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01A71" w14:textId="77777777" w:rsidR="00857BD8" w:rsidRPr="00F5454D" w:rsidRDefault="00857BD8">
      <w:pPr>
        <w:rPr>
          <w:sz w:val="24"/>
          <w:szCs w:val="24"/>
        </w:rPr>
      </w:pPr>
    </w:p>
    <w:p w14:paraId="44035351" w14:textId="77777777" w:rsidR="00857BD8" w:rsidRPr="001D419B" w:rsidRDefault="003F087A" w:rsidP="00857BD8">
      <w:pPr>
        <w:rPr>
          <w:rFonts w:ascii="Times New Roman" w:hAnsi="Times New Roman" w:cs="Times New Roman"/>
          <w:sz w:val="24"/>
          <w:szCs w:val="24"/>
          <w:lang w:val="en-US"/>
        </w:rPr>
      </w:pPr>
      <w:r w:rsidRPr="001D419B">
        <w:rPr>
          <w:rFonts w:ascii="Times New Roman" w:hAnsi="Times New Roman" w:cs="Times New Roman"/>
          <w:sz w:val="24"/>
          <w:szCs w:val="24"/>
          <w:lang w:val="en-US"/>
        </w:rPr>
        <w:t>NOTE</w:t>
      </w:r>
    </w:p>
    <w:p w14:paraId="4EA02457" w14:textId="77777777" w:rsidR="008F65CF" w:rsidRPr="001D419B" w:rsidRDefault="00004025" w:rsidP="00857BD8">
      <w:pPr>
        <w:rPr>
          <w:rFonts w:ascii="Times New Roman" w:hAnsi="Times New Roman" w:cs="Times New Roman"/>
          <w:sz w:val="24"/>
          <w:szCs w:val="24"/>
          <w:lang w:val="en-US"/>
        </w:rPr>
      </w:pPr>
      <w:r w:rsidRPr="00F5454D">
        <w:rPr>
          <w:rFonts w:ascii="Times New Roman" w:hAnsi="Times New Roman" w:cs="Times New Roman"/>
          <w:noProof/>
          <w:sz w:val="24"/>
          <w:szCs w:val="24"/>
          <w:lang w:eastAsia="da-DK"/>
        </w:rPr>
        <mc:AlternateContent>
          <mc:Choice Requires="wps">
            <w:drawing>
              <wp:anchor distT="45720" distB="45720" distL="114300" distR="114300" simplePos="0" relativeHeight="251659264" behindDoc="1" locked="0" layoutInCell="1" allowOverlap="1" wp14:anchorId="4AE3F426" wp14:editId="261A3650">
                <wp:simplePos x="0" y="0"/>
                <wp:positionH relativeFrom="column">
                  <wp:posOffset>4559935</wp:posOffset>
                </wp:positionH>
                <wp:positionV relativeFrom="paragraph">
                  <wp:posOffset>12700</wp:posOffset>
                </wp:positionV>
                <wp:extent cx="1799590" cy="368300"/>
                <wp:effectExtent l="0" t="0" r="0" b="0"/>
                <wp:wrapTight wrapText="bothSides">
                  <wp:wrapPolygon edited="0">
                    <wp:start x="0" y="0"/>
                    <wp:lineTo x="0" y="20110"/>
                    <wp:lineTo x="21265" y="20110"/>
                    <wp:lineTo x="21265" y="0"/>
                    <wp:lineTo x="0" y="0"/>
                  </wp:wrapPolygon>
                </wp:wrapTight>
                <wp:docPr id="11" name="Tekstfel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368300"/>
                        </a:xfrm>
                        <a:prstGeom prst="rect">
                          <a:avLst/>
                        </a:prstGeom>
                        <a:solidFill>
                          <a:srgbClr val="FFFFFF"/>
                        </a:solidFill>
                        <a:ln w="9525">
                          <a:noFill/>
                          <a:miter lim="800000"/>
                          <a:headEnd/>
                          <a:tailEnd/>
                        </a:ln>
                      </wps:spPr>
                      <wps:txbx>
                        <w:txbxContent>
                          <w:p w14:paraId="4668A33A" w14:textId="14523707" w:rsidR="00004025" w:rsidRPr="00004025" w:rsidRDefault="00004025" w:rsidP="00004025">
                            <w:pPr>
                              <w:pStyle w:val="Template-Adresse"/>
                              <w:tabs>
                                <w:tab w:val="left" w:pos="709"/>
                              </w:tabs>
                              <w:rPr>
                                <w:rFonts w:ascii="Times New Roman" w:hAnsi="Times New Roman" w:cs="Times New Roman"/>
                                <w:color w:val="auto"/>
                                <w:sz w:val="18"/>
                                <w:szCs w:val="18"/>
                              </w:rPr>
                            </w:pPr>
                            <w:r w:rsidRPr="00004025">
                              <w:rPr>
                                <w:rFonts w:ascii="Times New Roman" w:hAnsi="Times New Roman" w:cs="Times New Roman"/>
                                <w:color w:val="auto"/>
                                <w:sz w:val="18"/>
                                <w:szCs w:val="18"/>
                              </w:rPr>
                              <w:t xml:space="preserve">Date          </w:t>
                            </w:r>
                            <w:r w:rsidR="001D419B">
                              <w:rPr>
                                <w:rFonts w:ascii="Times New Roman" w:hAnsi="Times New Roman" w:cs="Times New Roman"/>
                                <w:color w:val="auto"/>
                                <w:sz w:val="18"/>
                                <w:szCs w:val="18"/>
                              </w:rPr>
                              <w:t>24-08-2023</w:t>
                            </w:r>
                            <w:r w:rsidRPr="00004025">
                              <w:rPr>
                                <w:rFonts w:ascii="Times New Roman" w:hAnsi="Times New Roman" w:cs="Times New Roman"/>
                                <w:color w:val="auto"/>
                                <w:sz w:val="18"/>
                                <w:szCs w:val="18"/>
                              </w:rPr>
                              <w:t xml:space="preserve">         </w:t>
                            </w:r>
                          </w:p>
                          <w:p w14:paraId="374AC56F" w14:textId="49CBB205" w:rsidR="00004025" w:rsidRPr="00004025" w:rsidRDefault="00004025" w:rsidP="00004025">
                            <w:pPr>
                              <w:pStyle w:val="Template-Adresse"/>
                              <w:rPr>
                                <w:rFonts w:ascii="Times New Roman" w:hAnsi="Times New Roman" w:cs="Times New Roman"/>
                                <w:sz w:val="18"/>
                                <w:szCs w:val="18"/>
                              </w:rPr>
                            </w:pPr>
                            <w:r w:rsidRPr="00004025">
                              <w:rPr>
                                <w:rFonts w:ascii="Times New Roman" w:hAnsi="Times New Roman" w:cs="Times New Roman"/>
                                <w:color w:val="auto"/>
                                <w:sz w:val="18"/>
                                <w:szCs w:val="18"/>
                              </w:rPr>
                              <w:t xml:space="preserve">Casenr.  </w:t>
                            </w:r>
                            <w:r w:rsidRPr="00004025">
                              <w:rPr>
                                <w:rFonts w:ascii="Times New Roman" w:hAnsi="Times New Roman" w:cs="Times New Roman"/>
                                <w:color w:val="A6A6A6" w:themeColor="background1" w:themeShade="A6"/>
                                <w:sz w:val="18"/>
                                <w:szCs w:val="18"/>
                              </w:rPr>
                              <w:t xml:space="preserve">   </w:t>
                            </w:r>
                            <w:r w:rsidR="001D419B">
                              <w:rPr>
                                <w:rFonts w:ascii="Times New Roman" w:hAnsi="Times New Roman" w:cs="Times New Roman"/>
                                <w:sz w:val="18"/>
                                <w:szCs w:val="18"/>
                              </w:rPr>
                              <w:t>2022-364</w:t>
                            </w:r>
                            <w:r w:rsidRPr="00004025">
                              <w:rPr>
                                <w:rFonts w:ascii="Times New Roman" w:hAnsi="Times New Roman" w:cs="Times New Roman"/>
                                <w:sz w:val="18"/>
                                <w:szCs w:val="18"/>
                              </w:rPr>
                              <w:t xml:space="preserve">         </w:t>
                            </w:r>
                          </w:p>
                          <w:p w14:paraId="4A84F33D" w14:textId="77777777" w:rsidR="00004025" w:rsidRDefault="00004025" w:rsidP="00004025">
                            <w:pPr>
                              <w:pStyle w:val="Template-Adresse"/>
                              <w:tabs>
                                <w:tab w:val="left" w:pos="709"/>
                              </w:tabs>
                              <w:rPr>
                                <w:rFonts w:ascii="Calibri" w:hAnsi="Calibri" w:cs="Calibri"/>
                                <w:sz w:val="18"/>
                                <w:szCs w:val="18"/>
                              </w:rPr>
                            </w:pPr>
                          </w:p>
                          <w:p w14:paraId="697442AD" w14:textId="77777777" w:rsidR="00004025" w:rsidRDefault="00004025" w:rsidP="00004025">
                            <w:pPr>
                              <w:pStyle w:val="Template-Adresse"/>
                              <w:tabs>
                                <w:tab w:val="left" w:pos="567"/>
                              </w:tabs>
                              <w:rPr>
                                <w:rFonts w:ascii="Calibri" w:hAnsi="Calibri" w:cs="Calibri"/>
                                <w:color w:val="A6A6A6" w:themeColor="background1" w:themeShade="A6"/>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E3F426" id="_x0000_t202" coordsize="21600,21600" o:spt="202" path="m,l,21600r21600,l21600,xe">
                <v:stroke joinstyle="miter"/>
                <v:path gradientshapeok="t" o:connecttype="rect"/>
              </v:shapetype>
              <v:shape id="Tekstfelt 11" o:spid="_x0000_s1026" type="#_x0000_t202" style="position:absolute;margin-left:359.05pt;margin-top:1pt;width:141.7pt;height:2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" stroked="f">
                <v:textbox>
                  <w:txbxContent>
                    <w:p w14:paraId="4668A33A" w14:textId="14523707" w:rsidR="00004025" w:rsidRPr="00004025" w:rsidRDefault="00004025" w:rsidP="00004025">
                      <w:pPr>
                        <w:pStyle w:val="Template-Adresse"/>
                        <w:tabs>
                          <w:tab w:val="left" w:pos="709"/>
                        </w:tabs>
                        <w:rPr>
                          <w:rFonts w:ascii="Times New Roman" w:hAnsi="Times New Roman" w:cs="Times New Roman"/>
                          <w:color w:val="auto"/>
                          <w:sz w:val="18"/>
                          <w:szCs w:val="18"/>
                        </w:rPr>
                      </w:pPr>
                      <w:r w:rsidRPr="00004025">
                        <w:rPr>
                          <w:rFonts w:ascii="Times New Roman" w:hAnsi="Times New Roman" w:cs="Times New Roman"/>
                          <w:color w:val="auto"/>
                          <w:sz w:val="18"/>
                          <w:szCs w:val="18"/>
                        </w:rPr>
                        <w:t xml:space="preserve">Date          </w:t>
                      </w:r>
                      <w:r w:rsidR="001D419B">
                        <w:rPr>
                          <w:rFonts w:ascii="Times New Roman" w:hAnsi="Times New Roman" w:cs="Times New Roman"/>
                          <w:color w:val="auto"/>
                          <w:sz w:val="18"/>
                          <w:szCs w:val="18"/>
                        </w:rPr>
                        <w:t>24-08-2023</w:t>
                      </w:r>
                      <w:r w:rsidRPr="00004025">
                        <w:rPr>
                          <w:rFonts w:ascii="Times New Roman" w:hAnsi="Times New Roman" w:cs="Times New Roman"/>
                          <w:color w:val="auto"/>
                          <w:sz w:val="18"/>
                          <w:szCs w:val="18"/>
                        </w:rPr>
                        <w:t xml:space="preserve">         </w:t>
                      </w:r>
                    </w:p>
                    <w:p w14:paraId="374AC56F" w14:textId="49CBB205" w:rsidR="00004025" w:rsidRPr="00004025" w:rsidRDefault="00004025" w:rsidP="00004025">
                      <w:pPr>
                        <w:pStyle w:val="Template-Adresse"/>
                        <w:rPr>
                          <w:rFonts w:ascii="Times New Roman" w:hAnsi="Times New Roman" w:cs="Times New Roman"/>
                          <w:sz w:val="18"/>
                          <w:szCs w:val="18"/>
                        </w:rPr>
                      </w:pPr>
                      <w:r w:rsidRPr="00004025">
                        <w:rPr>
                          <w:rFonts w:ascii="Times New Roman" w:hAnsi="Times New Roman" w:cs="Times New Roman"/>
                          <w:color w:val="auto"/>
                          <w:sz w:val="18"/>
                          <w:szCs w:val="18"/>
                        </w:rPr>
                        <w:t xml:space="preserve">Casenr.  </w:t>
                      </w:r>
                      <w:r w:rsidRPr="00004025">
                        <w:rPr>
                          <w:rFonts w:ascii="Times New Roman" w:hAnsi="Times New Roman" w:cs="Times New Roman"/>
                          <w:color w:val="A6A6A6" w:themeColor="background1" w:themeShade="A6"/>
                          <w:sz w:val="18"/>
                          <w:szCs w:val="18"/>
                        </w:rPr>
                        <w:t xml:space="preserve">   </w:t>
                      </w:r>
                      <w:r w:rsidR="001D419B">
                        <w:rPr>
                          <w:rFonts w:ascii="Times New Roman" w:hAnsi="Times New Roman" w:cs="Times New Roman"/>
                          <w:sz w:val="18"/>
                          <w:szCs w:val="18"/>
                        </w:rPr>
                        <w:t>2022-364</w:t>
                      </w:r>
                      <w:r w:rsidRPr="00004025">
                        <w:rPr>
                          <w:rFonts w:ascii="Times New Roman" w:hAnsi="Times New Roman" w:cs="Times New Roman"/>
                          <w:sz w:val="18"/>
                          <w:szCs w:val="18"/>
                        </w:rPr>
                        <w:t xml:space="preserve">         </w:t>
                      </w:r>
                    </w:p>
                    <w:p w14:paraId="4A84F33D" w14:textId="77777777" w:rsidR="00004025" w:rsidRDefault="00004025" w:rsidP="00004025">
                      <w:pPr>
                        <w:pStyle w:val="Template-Adresse"/>
                        <w:tabs>
                          <w:tab w:val="left" w:pos="709"/>
                        </w:tabs>
                        <w:rPr>
                          <w:rFonts w:ascii="Calibri" w:hAnsi="Calibri" w:cs="Calibri"/>
                          <w:sz w:val="18"/>
                          <w:szCs w:val="18"/>
                        </w:rPr>
                      </w:pPr>
                    </w:p>
                    <w:p w14:paraId="697442AD" w14:textId="77777777" w:rsidR="00004025" w:rsidRDefault="00004025" w:rsidP="00004025">
                      <w:pPr>
                        <w:pStyle w:val="Template-Adresse"/>
                        <w:tabs>
                          <w:tab w:val="left" w:pos="567"/>
                        </w:tabs>
                        <w:rPr>
                          <w:rFonts w:ascii="Calibri" w:hAnsi="Calibri" w:cs="Calibri"/>
                          <w:color w:val="A6A6A6" w:themeColor="background1" w:themeShade="A6"/>
                          <w:sz w:val="18"/>
                          <w:szCs w:val="18"/>
                        </w:rPr>
                      </w:pPr>
                    </w:p>
                  </w:txbxContent>
                </v:textbox>
                <w10:wrap type="tight"/>
              </v:shape>
            </w:pict>
          </mc:Fallback>
        </mc:AlternateContent>
      </w:r>
      <w:r w:rsidRPr="001D419B">
        <w:rPr>
          <w:rFonts w:ascii="Times New Roman" w:hAnsi="Times New Roman" w:cs="Times New Roman"/>
          <w:sz w:val="24"/>
          <w:szCs w:val="24"/>
          <w:lang w:val="en-US"/>
        </w:rPr>
        <w:tab/>
      </w:r>
      <w:r w:rsidRPr="001D419B">
        <w:rPr>
          <w:rFonts w:ascii="Times New Roman" w:hAnsi="Times New Roman" w:cs="Times New Roman"/>
          <w:sz w:val="24"/>
          <w:szCs w:val="24"/>
          <w:lang w:val="en-US"/>
        </w:rPr>
        <w:tab/>
      </w:r>
      <w:r w:rsidRPr="001D419B">
        <w:rPr>
          <w:rFonts w:ascii="Times New Roman" w:hAnsi="Times New Roman" w:cs="Times New Roman"/>
          <w:sz w:val="24"/>
          <w:szCs w:val="24"/>
          <w:lang w:val="en-US"/>
        </w:rPr>
        <w:tab/>
      </w:r>
      <w:r w:rsidRPr="001D419B">
        <w:rPr>
          <w:rFonts w:ascii="Times New Roman" w:hAnsi="Times New Roman" w:cs="Times New Roman"/>
          <w:sz w:val="24"/>
          <w:szCs w:val="24"/>
          <w:lang w:val="en-US"/>
        </w:rPr>
        <w:tab/>
      </w:r>
      <w:r w:rsidRPr="001D419B">
        <w:rPr>
          <w:rFonts w:ascii="Times New Roman" w:hAnsi="Times New Roman" w:cs="Times New Roman"/>
          <w:sz w:val="24"/>
          <w:szCs w:val="24"/>
          <w:lang w:val="en-US"/>
        </w:rPr>
        <w:tab/>
        <w:t xml:space="preserve">                       </w:t>
      </w:r>
    </w:p>
    <w:p w14:paraId="709EF63E" w14:textId="77777777" w:rsidR="00857BD8" w:rsidRPr="001D419B" w:rsidRDefault="00857BD8" w:rsidP="00857BD8">
      <w:pPr>
        <w:rPr>
          <w:rFonts w:ascii="Times New Roman" w:hAnsi="Times New Roman" w:cs="Times New Roman"/>
          <w:sz w:val="24"/>
          <w:szCs w:val="24"/>
          <w:lang w:val="en-US"/>
        </w:rPr>
      </w:pPr>
    </w:p>
    <w:p w14:paraId="1D59A428" w14:textId="77777777" w:rsidR="00857BD8" w:rsidRPr="001D419B" w:rsidRDefault="00857BD8" w:rsidP="00857BD8">
      <w:pPr>
        <w:rPr>
          <w:rFonts w:ascii="Times New Roman" w:hAnsi="Times New Roman" w:cs="Times New Roman"/>
          <w:sz w:val="24"/>
          <w:szCs w:val="24"/>
          <w:lang w:val="en-US"/>
        </w:rPr>
      </w:pPr>
    </w:p>
    <w:p w14:paraId="12FB6149" w14:textId="77777777" w:rsidR="00857BD8" w:rsidRPr="001D419B" w:rsidRDefault="00857BD8" w:rsidP="00857BD8">
      <w:pPr>
        <w:rPr>
          <w:rFonts w:ascii="Times New Roman" w:hAnsi="Times New Roman" w:cs="Times New Roman"/>
          <w:sz w:val="24"/>
          <w:szCs w:val="24"/>
          <w:lang w:val="en-US"/>
        </w:rPr>
      </w:pPr>
    </w:p>
    <w:p w14:paraId="50CFDD53" w14:textId="2CE8D44C" w:rsidR="008F65CF" w:rsidRPr="001D419B" w:rsidRDefault="001D419B" w:rsidP="00857BD8">
      <w:pPr>
        <w:rPr>
          <w:rFonts w:ascii="Times New Roman" w:hAnsi="Times New Roman" w:cs="Times New Roman"/>
          <w:b/>
          <w:sz w:val="24"/>
          <w:szCs w:val="24"/>
          <w:lang w:val="en-US"/>
        </w:rPr>
      </w:pPr>
      <w:r w:rsidRPr="001D419B">
        <w:rPr>
          <w:rFonts w:ascii="Times New Roman" w:hAnsi="Times New Roman" w:cs="Times New Roman"/>
          <w:b/>
          <w:sz w:val="24"/>
          <w:szCs w:val="24"/>
          <w:lang w:val="en-US"/>
        </w:rPr>
        <w:t xml:space="preserve">English translation of report summary, </w:t>
      </w:r>
      <w:r>
        <w:rPr>
          <w:rFonts w:ascii="Times New Roman" w:hAnsi="Times New Roman" w:cs="Times New Roman"/>
          <w:b/>
          <w:sz w:val="24"/>
          <w:szCs w:val="24"/>
          <w:lang w:val="en-US"/>
        </w:rPr>
        <w:t xml:space="preserve">conclusion and </w:t>
      </w:r>
      <w:r w:rsidR="00EF47B2">
        <w:rPr>
          <w:rFonts w:ascii="Times New Roman" w:hAnsi="Times New Roman" w:cs="Times New Roman"/>
          <w:b/>
          <w:sz w:val="24"/>
          <w:szCs w:val="24"/>
          <w:lang w:val="en-US"/>
        </w:rPr>
        <w:t>recommendations</w:t>
      </w:r>
      <w:r>
        <w:rPr>
          <w:rFonts w:ascii="Times New Roman" w:hAnsi="Times New Roman" w:cs="Times New Roman"/>
          <w:b/>
          <w:sz w:val="24"/>
          <w:szCs w:val="24"/>
          <w:lang w:val="en-US"/>
        </w:rPr>
        <w:t>.</w:t>
      </w:r>
    </w:p>
    <w:p w14:paraId="516A8EA5" w14:textId="77777777" w:rsidR="008F65CF" w:rsidRPr="001D419B" w:rsidRDefault="008F65CF" w:rsidP="008F65CF">
      <w:pPr>
        <w:rPr>
          <w:rFonts w:ascii="Times New Roman" w:hAnsi="Times New Roman" w:cs="Times New Roman"/>
          <w:sz w:val="24"/>
          <w:szCs w:val="24"/>
          <w:lang w:val="en-US"/>
        </w:rPr>
      </w:pPr>
    </w:p>
    <w:p w14:paraId="7FEF3371" w14:textId="04B7C19D" w:rsidR="008F65CF" w:rsidRPr="004F1D1E" w:rsidRDefault="001D419B" w:rsidP="008F65CF">
      <w:pPr>
        <w:rPr>
          <w:rFonts w:ascii="Times New Roman" w:hAnsi="Times New Roman" w:cs="Times New Roman"/>
          <w:sz w:val="24"/>
          <w:szCs w:val="24"/>
          <w:u w:val="single"/>
          <w:lang w:val="en-US"/>
        </w:rPr>
      </w:pPr>
      <w:r w:rsidRPr="004F1D1E">
        <w:rPr>
          <w:rFonts w:ascii="Times New Roman" w:hAnsi="Times New Roman" w:cs="Times New Roman"/>
          <w:sz w:val="24"/>
          <w:szCs w:val="24"/>
          <w:u w:val="single"/>
          <w:lang w:val="en-US"/>
        </w:rPr>
        <w:t>Rail</w:t>
      </w:r>
      <w:r w:rsidR="00F13D4D" w:rsidRPr="004F1D1E">
        <w:rPr>
          <w:rFonts w:ascii="Times New Roman" w:hAnsi="Times New Roman" w:cs="Times New Roman"/>
          <w:sz w:val="24"/>
          <w:szCs w:val="24"/>
          <w:u w:val="single"/>
          <w:lang w:val="en-US"/>
        </w:rPr>
        <w:t>way</w:t>
      </w:r>
      <w:r w:rsidRPr="004F1D1E">
        <w:rPr>
          <w:rFonts w:ascii="Times New Roman" w:hAnsi="Times New Roman" w:cs="Times New Roman"/>
          <w:sz w:val="24"/>
          <w:szCs w:val="24"/>
          <w:u w:val="single"/>
          <w:lang w:val="en-US"/>
        </w:rPr>
        <w:t xml:space="preserve"> </w:t>
      </w:r>
      <w:r w:rsidR="000F4E26" w:rsidRPr="004F1D1E">
        <w:rPr>
          <w:u w:val="single"/>
          <w:lang w:val="en-US"/>
        </w:rPr>
        <w:t xml:space="preserve">embankment </w:t>
      </w:r>
      <w:r w:rsidRPr="004F1D1E">
        <w:rPr>
          <w:rFonts w:ascii="Times New Roman" w:hAnsi="Times New Roman" w:cs="Times New Roman"/>
          <w:sz w:val="24"/>
          <w:szCs w:val="24"/>
          <w:u w:val="single"/>
          <w:lang w:val="en-US"/>
        </w:rPr>
        <w:t xml:space="preserve">under rapid deterioration while a </w:t>
      </w:r>
      <w:r w:rsidR="00EF47B2" w:rsidRPr="004F1D1E">
        <w:rPr>
          <w:rFonts w:ascii="Times New Roman" w:hAnsi="Times New Roman" w:cs="Times New Roman"/>
          <w:sz w:val="24"/>
          <w:szCs w:val="24"/>
          <w:u w:val="single"/>
          <w:lang w:val="en-US"/>
        </w:rPr>
        <w:t>regional train was passing</w:t>
      </w:r>
      <w:r w:rsidR="004F1D1E">
        <w:rPr>
          <w:rFonts w:ascii="Times New Roman" w:hAnsi="Times New Roman" w:cs="Times New Roman"/>
          <w:sz w:val="24"/>
          <w:szCs w:val="24"/>
          <w:u w:val="single"/>
          <w:lang w:val="en-US"/>
        </w:rPr>
        <w:t xml:space="preserve"> (26-08-2022)</w:t>
      </w:r>
      <w:r w:rsidR="00EF47B2" w:rsidRPr="004F1D1E">
        <w:rPr>
          <w:rFonts w:ascii="Times New Roman" w:hAnsi="Times New Roman" w:cs="Times New Roman"/>
          <w:sz w:val="24"/>
          <w:szCs w:val="24"/>
          <w:u w:val="single"/>
          <w:lang w:val="en-US"/>
        </w:rPr>
        <w:t>.</w:t>
      </w:r>
    </w:p>
    <w:p w14:paraId="27FDDA74" w14:textId="24F82178" w:rsidR="00851BDE" w:rsidRDefault="00851BDE" w:rsidP="008F65CF">
      <w:pPr>
        <w:rPr>
          <w:rFonts w:ascii="Times New Roman" w:hAnsi="Times New Roman" w:cs="Times New Roman"/>
          <w:sz w:val="24"/>
          <w:szCs w:val="24"/>
          <w:lang w:val="en-US"/>
        </w:rPr>
      </w:pPr>
    </w:p>
    <w:p w14:paraId="5E28AD1E" w14:textId="324AC63E" w:rsidR="00F13D4D" w:rsidRPr="000F4E26" w:rsidRDefault="000F4E26" w:rsidP="000F4E26">
      <w:pPr>
        <w:rPr>
          <w:rFonts w:ascii="Times New Roman" w:hAnsi="Times New Roman" w:cs="Times New Roman"/>
          <w:sz w:val="24"/>
          <w:szCs w:val="24"/>
          <w:lang w:val="en-US"/>
        </w:rPr>
      </w:pPr>
      <w:r w:rsidRPr="000F4E26">
        <w:rPr>
          <w:rFonts w:ascii="Times New Roman" w:hAnsi="Times New Roman" w:cs="Times New Roman"/>
          <w:sz w:val="24"/>
          <w:szCs w:val="24"/>
          <w:lang w:val="en-US"/>
        </w:rPr>
        <w:t>1.</w:t>
      </w:r>
      <w:r>
        <w:rPr>
          <w:rFonts w:ascii="Times New Roman" w:hAnsi="Times New Roman" w:cs="Times New Roman"/>
          <w:sz w:val="24"/>
          <w:szCs w:val="24"/>
          <w:lang w:val="en-US"/>
        </w:rPr>
        <w:tab/>
      </w:r>
      <w:r w:rsidR="00F13D4D" w:rsidRPr="000F4E26">
        <w:rPr>
          <w:rFonts w:ascii="Times New Roman" w:hAnsi="Times New Roman" w:cs="Times New Roman"/>
          <w:sz w:val="24"/>
          <w:szCs w:val="24"/>
          <w:lang w:val="en-US"/>
        </w:rPr>
        <w:t>Summary.</w:t>
      </w:r>
    </w:p>
    <w:p w14:paraId="4C0F6E19" w14:textId="048849A8" w:rsidR="00F13D4D" w:rsidRPr="00F13D4D" w:rsidRDefault="00F13D4D" w:rsidP="00F13D4D">
      <w:pPr>
        <w:rPr>
          <w:lang w:val="en-US"/>
        </w:rPr>
      </w:pPr>
      <w:r w:rsidRPr="00F13D4D">
        <w:rPr>
          <w:lang w:val="en-US"/>
        </w:rPr>
        <w:t xml:space="preserve">Shortly before train 5362, which was on its way from </w:t>
      </w:r>
      <w:proofErr w:type="spellStart"/>
      <w:r w:rsidRPr="00F13D4D">
        <w:rPr>
          <w:lang w:val="en-US"/>
        </w:rPr>
        <w:t>S</w:t>
      </w:r>
      <w:r>
        <w:rPr>
          <w:lang w:val="en-US"/>
        </w:rPr>
        <w:t>kjern</w:t>
      </w:r>
      <w:proofErr w:type="spellEnd"/>
      <w:r>
        <w:rPr>
          <w:lang w:val="en-US"/>
        </w:rPr>
        <w:t xml:space="preserve"> towards Herning, passed a</w:t>
      </w:r>
      <w:r w:rsidR="007A32BE">
        <w:rPr>
          <w:lang w:val="en-US"/>
        </w:rPr>
        <w:t>n</w:t>
      </w:r>
      <w:r w:rsidRPr="00F13D4D">
        <w:rPr>
          <w:lang w:val="en-US"/>
        </w:rPr>
        <w:t xml:space="preserve"> </w:t>
      </w:r>
      <w:r w:rsidR="007A32BE" w:rsidRPr="003F3EB9">
        <w:rPr>
          <w:lang w:val="en-US"/>
        </w:rPr>
        <w:t>embankment</w:t>
      </w:r>
      <w:r w:rsidR="007A32BE">
        <w:rPr>
          <w:lang w:val="en-US"/>
        </w:rPr>
        <w:t xml:space="preserve"> </w:t>
      </w:r>
      <w:r w:rsidRPr="00F13D4D">
        <w:rPr>
          <w:lang w:val="en-US"/>
        </w:rPr>
        <w:t xml:space="preserve">in </w:t>
      </w:r>
      <w:r>
        <w:rPr>
          <w:lang w:val="en-US"/>
        </w:rPr>
        <w:t>line</w:t>
      </w:r>
      <w:r w:rsidRPr="00F13D4D">
        <w:rPr>
          <w:lang w:val="en-US"/>
        </w:rPr>
        <w:t xml:space="preserve"> 35's km 88.65, the two locomotive drivers (driver teacher and student) observed that there were missing </w:t>
      </w:r>
      <w:r w:rsidR="007A32BE">
        <w:rPr>
          <w:lang w:val="en-US"/>
        </w:rPr>
        <w:t>ballast</w:t>
      </w:r>
      <w:r w:rsidRPr="00F13D4D">
        <w:rPr>
          <w:lang w:val="en-US"/>
        </w:rPr>
        <w:t xml:space="preserve"> under the track. The train was unable to stop and the area was passed at 87 km/h. During the passage, the train set bounced violently, and several passengers suffered knocks</w:t>
      </w:r>
      <w:r>
        <w:rPr>
          <w:lang w:val="en-US"/>
        </w:rPr>
        <w:t xml:space="preserve"> and bruises</w:t>
      </w:r>
      <w:r w:rsidRPr="00F13D4D">
        <w:rPr>
          <w:lang w:val="en-US"/>
        </w:rPr>
        <w:t xml:space="preserve">. No one was seriously injured, but the damage to </w:t>
      </w:r>
      <w:r>
        <w:rPr>
          <w:lang w:val="en-US"/>
        </w:rPr>
        <w:t>rolling stock</w:t>
      </w:r>
      <w:r w:rsidRPr="00F13D4D">
        <w:rPr>
          <w:lang w:val="en-US"/>
        </w:rPr>
        <w:t xml:space="preserve"> and infrastructure was extensive.</w:t>
      </w:r>
    </w:p>
    <w:p w14:paraId="06FF9F09" w14:textId="0E451616" w:rsidR="00F13D4D" w:rsidRPr="00F13D4D" w:rsidRDefault="00F13D4D" w:rsidP="00F13D4D">
      <w:pPr>
        <w:rPr>
          <w:lang w:val="en-US"/>
        </w:rPr>
      </w:pPr>
      <w:r w:rsidRPr="00F13D4D">
        <w:rPr>
          <w:lang w:val="en-US"/>
        </w:rPr>
        <w:t xml:space="preserve">In the hours leading up to the incident, it had rained heavily over the area by the </w:t>
      </w:r>
      <w:r w:rsidR="0083467D">
        <w:rPr>
          <w:lang w:val="en-US"/>
        </w:rPr>
        <w:t>embankment</w:t>
      </w:r>
      <w:r w:rsidRPr="00F13D4D">
        <w:rPr>
          <w:lang w:val="en-US"/>
        </w:rPr>
        <w:t xml:space="preserve">, and large amounts of rainwater had </w:t>
      </w:r>
      <w:r w:rsidR="003F3EB9">
        <w:rPr>
          <w:lang w:val="en-US"/>
        </w:rPr>
        <w:t xml:space="preserve">flown to the </w:t>
      </w:r>
      <w:r w:rsidR="0083467D">
        <w:rPr>
          <w:lang w:val="en-US"/>
        </w:rPr>
        <w:t>embankment</w:t>
      </w:r>
      <w:r w:rsidRPr="00F13D4D">
        <w:rPr>
          <w:lang w:val="en-US"/>
        </w:rPr>
        <w:t xml:space="preserve">. The water caused the </w:t>
      </w:r>
      <w:r w:rsidR="0083467D">
        <w:rPr>
          <w:lang w:val="en-US"/>
        </w:rPr>
        <w:t xml:space="preserve">embankment </w:t>
      </w:r>
      <w:r w:rsidRPr="00F13D4D">
        <w:rPr>
          <w:lang w:val="en-US"/>
        </w:rPr>
        <w:t>to collapse around a</w:t>
      </w:r>
      <w:r w:rsidR="003F3EB9">
        <w:rPr>
          <w:lang w:val="en-US"/>
        </w:rPr>
        <w:t>n aqueduct bridge,</w:t>
      </w:r>
      <w:r w:rsidRPr="00F13D4D">
        <w:rPr>
          <w:lang w:val="en-US"/>
        </w:rPr>
        <w:t xml:space="preserve"> and once a hole had been breached, large parts of the </w:t>
      </w:r>
      <w:r w:rsidR="0083467D">
        <w:rPr>
          <w:lang w:val="en-US"/>
        </w:rPr>
        <w:t>embankment</w:t>
      </w:r>
      <w:r w:rsidR="0083467D" w:rsidRPr="00F13D4D">
        <w:rPr>
          <w:lang w:val="en-US"/>
        </w:rPr>
        <w:t xml:space="preserve"> </w:t>
      </w:r>
      <w:r w:rsidRPr="00F13D4D">
        <w:rPr>
          <w:lang w:val="en-US"/>
        </w:rPr>
        <w:t xml:space="preserve">below the track were washed away. A few minutes after train 5362 had passed, approx. 10 meters of the </w:t>
      </w:r>
      <w:r w:rsidR="0083467D">
        <w:rPr>
          <w:lang w:val="en-US"/>
        </w:rPr>
        <w:t xml:space="preserve">embankment </w:t>
      </w:r>
      <w:r w:rsidRPr="00F13D4D">
        <w:rPr>
          <w:lang w:val="en-US"/>
        </w:rPr>
        <w:t>below the track</w:t>
      </w:r>
      <w:r w:rsidR="003F3EB9">
        <w:rPr>
          <w:lang w:val="en-US"/>
        </w:rPr>
        <w:t xml:space="preserve"> had</w:t>
      </w:r>
      <w:r w:rsidRPr="00F13D4D">
        <w:rPr>
          <w:lang w:val="en-US"/>
        </w:rPr>
        <w:t xml:space="preserve"> disappeared.</w:t>
      </w:r>
    </w:p>
    <w:p w14:paraId="1784C99B" w14:textId="2B55B034" w:rsidR="00F13D4D" w:rsidRPr="00F13D4D" w:rsidRDefault="00F13D4D" w:rsidP="00F13D4D">
      <w:pPr>
        <w:rPr>
          <w:lang w:val="en-US"/>
        </w:rPr>
      </w:pPr>
      <w:r w:rsidRPr="00F13D4D">
        <w:rPr>
          <w:lang w:val="en-US"/>
        </w:rPr>
        <w:t xml:space="preserve">Regular inspection and maintenance were not sufficient barriers to safeguard against the </w:t>
      </w:r>
      <w:r w:rsidR="003F3EB9">
        <w:rPr>
          <w:lang w:val="en-US"/>
        </w:rPr>
        <w:t>line</w:t>
      </w:r>
      <w:r w:rsidRPr="00F13D4D">
        <w:rPr>
          <w:lang w:val="en-US"/>
        </w:rPr>
        <w:t xml:space="preserve"> becoming impassable as a result of heavy rain. Furthermore, operational rules regarding the handling of warnings about local cloudbursts were not followed.</w:t>
      </w:r>
    </w:p>
    <w:p w14:paraId="4425D24E" w14:textId="45990CCA" w:rsidR="00F13D4D" w:rsidRDefault="00F13D4D" w:rsidP="00F13D4D">
      <w:pPr>
        <w:rPr>
          <w:lang w:val="en-US"/>
        </w:rPr>
      </w:pPr>
      <w:r w:rsidRPr="00F13D4D">
        <w:rPr>
          <w:lang w:val="en-US"/>
        </w:rPr>
        <w:t xml:space="preserve">The </w:t>
      </w:r>
      <w:r w:rsidR="003F3EB9">
        <w:rPr>
          <w:lang w:val="en-US"/>
        </w:rPr>
        <w:t>AIB</w:t>
      </w:r>
      <w:r w:rsidRPr="00F13D4D">
        <w:rPr>
          <w:lang w:val="en-US"/>
        </w:rPr>
        <w:t xml:space="preserve">'s investigation has been made difficult by the fact that parts of the documentation regarding repairs and risk management around the </w:t>
      </w:r>
      <w:r w:rsidR="0083467D">
        <w:rPr>
          <w:lang w:val="en-US"/>
        </w:rPr>
        <w:t>embankment</w:t>
      </w:r>
      <w:r w:rsidR="0083467D" w:rsidRPr="00F13D4D">
        <w:rPr>
          <w:lang w:val="en-US"/>
        </w:rPr>
        <w:t xml:space="preserve"> </w:t>
      </w:r>
      <w:r w:rsidRPr="00F13D4D">
        <w:rPr>
          <w:lang w:val="en-US"/>
        </w:rPr>
        <w:t xml:space="preserve">and the </w:t>
      </w:r>
      <w:r w:rsidR="003F3EB9">
        <w:rPr>
          <w:lang w:val="en-US"/>
        </w:rPr>
        <w:t>aqueduct</w:t>
      </w:r>
      <w:r w:rsidRPr="00F13D4D">
        <w:rPr>
          <w:lang w:val="en-US"/>
        </w:rPr>
        <w:t xml:space="preserve"> bridge in km 88.65 could not be obtained.</w:t>
      </w:r>
    </w:p>
    <w:p w14:paraId="3B795E9C" w14:textId="09636091" w:rsidR="003F3EB9" w:rsidRPr="003F3EB9" w:rsidRDefault="003F3EB9" w:rsidP="003F3EB9">
      <w:pPr>
        <w:rPr>
          <w:lang w:val="en-US"/>
        </w:rPr>
      </w:pPr>
      <w:r w:rsidRPr="003F3EB9">
        <w:rPr>
          <w:lang w:val="en-US"/>
        </w:rPr>
        <w:t>A</w:t>
      </w:r>
      <w:r w:rsidR="007A32BE">
        <w:rPr>
          <w:lang w:val="en-US"/>
        </w:rPr>
        <w:t>IB has made two recommendations</w:t>
      </w:r>
    </w:p>
    <w:p w14:paraId="49AE9520" w14:textId="74AD4EC3" w:rsidR="007A32BE" w:rsidRDefault="007A32BE" w:rsidP="003F3EB9">
      <w:pPr>
        <w:rPr>
          <w:lang w:val="en-US"/>
        </w:rPr>
      </w:pPr>
    </w:p>
    <w:p w14:paraId="37B39423" w14:textId="579B3A19" w:rsidR="001136CC" w:rsidRDefault="000F4E26" w:rsidP="003F3EB9">
      <w:pPr>
        <w:rPr>
          <w:lang w:val="en-US"/>
        </w:rPr>
      </w:pPr>
      <w:r>
        <w:rPr>
          <w:lang w:val="en-US"/>
        </w:rPr>
        <w:t>5.</w:t>
      </w:r>
      <w:r>
        <w:rPr>
          <w:lang w:val="en-US"/>
        </w:rPr>
        <w:tab/>
      </w:r>
      <w:r w:rsidR="001136CC">
        <w:rPr>
          <w:lang w:val="en-US"/>
        </w:rPr>
        <w:t>Conclusion.</w:t>
      </w:r>
    </w:p>
    <w:p w14:paraId="71AFA544" w14:textId="7C593BF9" w:rsidR="001136CC" w:rsidRPr="001136CC" w:rsidRDefault="001136CC" w:rsidP="001136CC">
      <w:pPr>
        <w:rPr>
          <w:lang w:val="en-US"/>
        </w:rPr>
      </w:pPr>
      <w:r w:rsidRPr="001136CC">
        <w:rPr>
          <w:lang w:val="en-US"/>
        </w:rPr>
        <w:t xml:space="preserve">The </w:t>
      </w:r>
      <w:r w:rsidRPr="003F3EB9">
        <w:rPr>
          <w:lang w:val="en-US"/>
        </w:rPr>
        <w:t>embankment</w:t>
      </w:r>
      <w:r>
        <w:rPr>
          <w:lang w:val="en-US"/>
        </w:rPr>
        <w:t xml:space="preserve"> </w:t>
      </w:r>
      <w:r w:rsidRPr="001136CC">
        <w:rPr>
          <w:lang w:val="en-US"/>
        </w:rPr>
        <w:t xml:space="preserve">and </w:t>
      </w:r>
      <w:r>
        <w:rPr>
          <w:lang w:val="en-US"/>
        </w:rPr>
        <w:t xml:space="preserve">aqueduct </w:t>
      </w:r>
      <w:r w:rsidRPr="001136CC">
        <w:rPr>
          <w:lang w:val="en-US"/>
        </w:rPr>
        <w:t xml:space="preserve">bridge at km 88.65 on </w:t>
      </w:r>
      <w:r>
        <w:rPr>
          <w:lang w:val="en-US"/>
        </w:rPr>
        <w:t>line</w:t>
      </w:r>
      <w:r w:rsidRPr="001136CC">
        <w:rPr>
          <w:lang w:val="en-US"/>
        </w:rPr>
        <w:t xml:space="preserve"> 35 between </w:t>
      </w:r>
      <w:proofErr w:type="spellStart"/>
      <w:r w:rsidRPr="001136CC">
        <w:rPr>
          <w:lang w:val="en-US"/>
        </w:rPr>
        <w:t>Troldhede</w:t>
      </w:r>
      <w:proofErr w:type="spellEnd"/>
      <w:r w:rsidRPr="001136CC">
        <w:rPr>
          <w:lang w:val="en-US"/>
        </w:rPr>
        <w:t xml:space="preserve"> and </w:t>
      </w:r>
      <w:proofErr w:type="spellStart"/>
      <w:r w:rsidRPr="001136CC">
        <w:rPr>
          <w:lang w:val="en-US"/>
        </w:rPr>
        <w:t>Kibæk</w:t>
      </w:r>
      <w:proofErr w:type="spellEnd"/>
      <w:r w:rsidRPr="001136CC">
        <w:rPr>
          <w:lang w:val="en-US"/>
        </w:rPr>
        <w:t xml:space="preserve"> were broken</w:t>
      </w:r>
      <w:r>
        <w:rPr>
          <w:lang w:val="en-US"/>
        </w:rPr>
        <w:t xml:space="preserve"> down</w:t>
      </w:r>
      <w:r w:rsidRPr="001136CC">
        <w:rPr>
          <w:lang w:val="en-US"/>
        </w:rPr>
        <w:t xml:space="preserve"> by large amounts of </w:t>
      </w:r>
      <w:r w:rsidR="000F4E26" w:rsidRPr="001136CC">
        <w:rPr>
          <w:lang w:val="en-US"/>
        </w:rPr>
        <w:t>water, which</w:t>
      </w:r>
      <w:r w:rsidRPr="001136CC">
        <w:rPr>
          <w:lang w:val="en-US"/>
        </w:rPr>
        <w:t xml:space="preserve"> flowed in after an unusual rain event over the hydrological catchment</w:t>
      </w:r>
      <w:r>
        <w:rPr>
          <w:lang w:val="en-US"/>
        </w:rPr>
        <w:t xml:space="preserve"> area</w:t>
      </w:r>
      <w:r w:rsidRPr="001136CC">
        <w:rPr>
          <w:lang w:val="en-US"/>
        </w:rPr>
        <w:t>.</w:t>
      </w:r>
    </w:p>
    <w:p w14:paraId="7A641251" w14:textId="5A593BA9" w:rsidR="001136CC" w:rsidRPr="001136CC" w:rsidRDefault="001136CC" w:rsidP="001136CC">
      <w:pPr>
        <w:rPr>
          <w:lang w:val="en-US"/>
        </w:rPr>
      </w:pPr>
      <w:r w:rsidRPr="001136CC">
        <w:rPr>
          <w:lang w:val="en-US"/>
        </w:rPr>
        <w:t xml:space="preserve">It is likely that the water volumes caused the </w:t>
      </w:r>
      <w:r w:rsidRPr="003F3EB9">
        <w:rPr>
          <w:lang w:val="en-US"/>
        </w:rPr>
        <w:t>embankment</w:t>
      </w:r>
      <w:r>
        <w:rPr>
          <w:lang w:val="en-US"/>
        </w:rPr>
        <w:t xml:space="preserve"> </w:t>
      </w:r>
      <w:r w:rsidRPr="001136CC">
        <w:rPr>
          <w:lang w:val="en-US"/>
        </w:rPr>
        <w:t>to fail by one or more of three possible degradation mechanisms:</w:t>
      </w:r>
    </w:p>
    <w:p w14:paraId="16604AB8" w14:textId="30C40965" w:rsidR="001136CC" w:rsidRPr="001136CC" w:rsidRDefault="001136CC" w:rsidP="001136CC">
      <w:pPr>
        <w:pStyle w:val="ListParagraph"/>
        <w:numPr>
          <w:ilvl w:val="0"/>
          <w:numId w:val="1"/>
        </w:numPr>
        <w:rPr>
          <w:lang w:val="en-US"/>
        </w:rPr>
      </w:pPr>
      <w:r w:rsidRPr="001136CC">
        <w:rPr>
          <w:lang w:val="en-US"/>
        </w:rPr>
        <w:lastRenderedPageBreak/>
        <w:t>The water found its way through the embankment along any weaknesses. Possibly at the outer sides of the aqueduct bridge, its bottom, or at an unprotected ditch side, and took material with it.</w:t>
      </w:r>
    </w:p>
    <w:p w14:paraId="559EF251" w14:textId="43A4A97B" w:rsidR="001136CC" w:rsidRPr="001136CC" w:rsidRDefault="001136CC" w:rsidP="001136CC">
      <w:pPr>
        <w:pStyle w:val="ListParagraph"/>
        <w:numPr>
          <w:ilvl w:val="0"/>
          <w:numId w:val="1"/>
        </w:numPr>
        <w:rPr>
          <w:lang w:val="en-US"/>
        </w:rPr>
      </w:pPr>
      <w:r w:rsidRPr="001136CC">
        <w:rPr>
          <w:lang w:val="en-US"/>
        </w:rPr>
        <w:t>The water ran through the ballast on top of the embankment, whereby the sand in the embankment began to be washed away.</w:t>
      </w:r>
    </w:p>
    <w:p w14:paraId="4A262241" w14:textId="01FEF995" w:rsidR="001136CC" w:rsidRPr="001136CC" w:rsidRDefault="001136CC" w:rsidP="001136CC">
      <w:pPr>
        <w:pStyle w:val="ListParagraph"/>
        <w:numPr>
          <w:ilvl w:val="0"/>
          <w:numId w:val="1"/>
        </w:numPr>
        <w:rPr>
          <w:lang w:val="en-US"/>
        </w:rPr>
      </w:pPr>
      <w:r w:rsidRPr="001136CC">
        <w:rPr>
          <w:lang w:val="en-US"/>
        </w:rPr>
        <w:t>The water gushing out of the outlet side of the aqueduct bridge washed material with it, collapsing the embankment from behind.</w:t>
      </w:r>
    </w:p>
    <w:p w14:paraId="33FCE7DD" w14:textId="07783424" w:rsidR="001136CC" w:rsidRPr="001136CC" w:rsidRDefault="001136CC" w:rsidP="001136CC">
      <w:pPr>
        <w:rPr>
          <w:lang w:val="en-US"/>
        </w:rPr>
      </w:pPr>
      <w:r w:rsidRPr="001136CC">
        <w:rPr>
          <w:lang w:val="en-US"/>
        </w:rPr>
        <w:t xml:space="preserve">The annual inspections of the </w:t>
      </w:r>
      <w:r w:rsidR="007821A0" w:rsidRPr="001136CC">
        <w:rPr>
          <w:lang w:val="en-US"/>
        </w:rPr>
        <w:t xml:space="preserve">aqueduct </w:t>
      </w:r>
      <w:r w:rsidRPr="001136CC">
        <w:rPr>
          <w:lang w:val="en-US"/>
        </w:rPr>
        <w:t xml:space="preserve">bridge in relation to drainage gave no indication of functional impairment, and an ongoing erosion of the ditch side near the entrance to the </w:t>
      </w:r>
      <w:r w:rsidR="007821A0" w:rsidRPr="001136CC">
        <w:rPr>
          <w:lang w:val="en-US"/>
        </w:rPr>
        <w:t xml:space="preserve">aqueduct </w:t>
      </w:r>
      <w:r w:rsidRPr="001136CC">
        <w:rPr>
          <w:lang w:val="en-US"/>
        </w:rPr>
        <w:t>bridge had not been registered and dealt with.</w:t>
      </w:r>
    </w:p>
    <w:p w14:paraId="0857D15F" w14:textId="67CCAFBE" w:rsidR="001136CC" w:rsidRPr="001136CC" w:rsidRDefault="001136CC" w:rsidP="001136CC">
      <w:pPr>
        <w:rPr>
          <w:lang w:val="en-US"/>
        </w:rPr>
      </w:pPr>
      <w:r w:rsidRPr="001136CC">
        <w:rPr>
          <w:lang w:val="en-US"/>
        </w:rPr>
        <w:t xml:space="preserve">Risk mapping in 2008 with checking of problematic </w:t>
      </w:r>
      <w:r w:rsidR="007821A0" w:rsidRPr="001136CC">
        <w:rPr>
          <w:lang w:val="en-US"/>
        </w:rPr>
        <w:t xml:space="preserve">embankment </w:t>
      </w:r>
      <w:r w:rsidRPr="001136CC">
        <w:rPr>
          <w:lang w:val="en-US"/>
        </w:rPr>
        <w:t>and checking of t</w:t>
      </w:r>
      <w:r w:rsidR="007821A0">
        <w:rPr>
          <w:lang w:val="en-US"/>
        </w:rPr>
        <w:t xml:space="preserve">he capacity of </w:t>
      </w:r>
      <w:r w:rsidR="007821A0" w:rsidRPr="001136CC">
        <w:rPr>
          <w:lang w:val="en-US"/>
        </w:rPr>
        <w:t xml:space="preserve">aqueduct </w:t>
      </w:r>
      <w:r w:rsidRPr="001136CC">
        <w:rPr>
          <w:lang w:val="en-US"/>
        </w:rPr>
        <w:t xml:space="preserve">bridges, in relation to extreme rain events, probably led to the repair of the outlet side of the </w:t>
      </w:r>
      <w:r w:rsidR="007821A0" w:rsidRPr="001136CC">
        <w:rPr>
          <w:lang w:val="en-US"/>
        </w:rPr>
        <w:t xml:space="preserve">aqueduct </w:t>
      </w:r>
      <w:r w:rsidRPr="001136CC">
        <w:rPr>
          <w:lang w:val="en-US"/>
        </w:rPr>
        <w:t xml:space="preserve">bridge, but no comments regarding possible capacity issues. Documentation for risk assessment in relation to capacity regarding </w:t>
      </w:r>
      <w:r w:rsidR="007821A0" w:rsidRPr="001136CC">
        <w:rPr>
          <w:lang w:val="en-US"/>
        </w:rPr>
        <w:t xml:space="preserve">embankment </w:t>
      </w:r>
      <w:r w:rsidRPr="001136CC">
        <w:rPr>
          <w:lang w:val="en-US"/>
        </w:rPr>
        <w:t xml:space="preserve">and </w:t>
      </w:r>
      <w:r w:rsidR="007821A0" w:rsidRPr="001136CC">
        <w:rPr>
          <w:lang w:val="en-US"/>
        </w:rPr>
        <w:t xml:space="preserve">aqueduct </w:t>
      </w:r>
      <w:r w:rsidRPr="001136CC">
        <w:rPr>
          <w:lang w:val="en-US"/>
        </w:rPr>
        <w:t xml:space="preserve">bridge at km 88.65 have not been available for the </w:t>
      </w:r>
      <w:r w:rsidR="007821A0">
        <w:rPr>
          <w:lang w:val="en-US"/>
        </w:rPr>
        <w:t>investigation</w:t>
      </w:r>
      <w:r w:rsidRPr="001136CC">
        <w:rPr>
          <w:lang w:val="en-US"/>
        </w:rPr>
        <w:t xml:space="preserve">. The documentation for repairs regarding </w:t>
      </w:r>
      <w:r w:rsidR="007821A0" w:rsidRPr="001136CC">
        <w:rPr>
          <w:lang w:val="en-US"/>
        </w:rPr>
        <w:t xml:space="preserve">embankment </w:t>
      </w:r>
      <w:r w:rsidRPr="001136CC">
        <w:rPr>
          <w:lang w:val="en-US"/>
        </w:rPr>
        <w:t xml:space="preserve">and </w:t>
      </w:r>
      <w:r w:rsidR="007821A0" w:rsidRPr="001136CC">
        <w:rPr>
          <w:lang w:val="en-US"/>
        </w:rPr>
        <w:t xml:space="preserve">aqueduct </w:t>
      </w:r>
      <w:r w:rsidRPr="001136CC">
        <w:rPr>
          <w:lang w:val="en-US"/>
        </w:rPr>
        <w:t xml:space="preserve">bridge at km 88.65 have not been available for the </w:t>
      </w:r>
      <w:r w:rsidR="007821A0">
        <w:rPr>
          <w:lang w:val="en-US"/>
        </w:rPr>
        <w:t>investigation</w:t>
      </w:r>
      <w:r w:rsidRPr="001136CC">
        <w:rPr>
          <w:lang w:val="en-US"/>
        </w:rPr>
        <w:t>.</w:t>
      </w:r>
    </w:p>
    <w:p w14:paraId="2C07D2F3" w14:textId="5452DBC7" w:rsidR="001136CC" w:rsidRPr="001136CC" w:rsidRDefault="001136CC" w:rsidP="001136CC">
      <w:pPr>
        <w:rPr>
          <w:lang w:val="en-US"/>
        </w:rPr>
      </w:pPr>
      <w:proofErr w:type="spellStart"/>
      <w:r w:rsidRPr="001136CC">
        <w:rPr>
          <w:lang w:val="en-US"/>
        </w:rPr>
        <w:t>Banedanmark</w:t>
      </w:r>
      <w:proofErr w:type="spellEnd"/>
      <w:r w:rsidRPr="001136CC">
        <w:rPr>
          <w:lang w:val="en-US"/>
        </w:rPr>
        <w:t xml:space="preserve"> </w:t>
      </w:r>
      <w:r w:rsidR="007821A0">
        <w:rPr>
          <w:lang w:val="en-US"/>
        </w:rPr>
        <w:t xml:space="preserve">(the IM) </w:t>
      </w:r>
      <w:r w:rsidRPr="001136CC">
        <w:rPr>
          <w:lang w:val="en-US"/>
        </w:rPr>
        <w:t xml:space="preserve">did not initiate rain preparedness prior to the incident, because warnings of cloudbursts were considered imprecise, which is why it was uncertain where </w:t>
      </w:r>
      <w:r w:rsidR="007821A0">
        <w:rPr>
          <w:lang w:val="en-US"/>
        </w:rPr>
        <w:t>(</w:t>
      </w:r>
      <w:r w:rsidRPr="001136CC">
        <w:rPr>
          <w:lang w:val="en-US"/>
        </w:rPr>
        <w:t>and whether</w:t>
      </w:r>
      <w:r w:rsidR="007821A0">
        <w:rPr>
          <w:lang w:val="en-US"/>
        </w:rPr>
        <w:t>) rain preparedness would be</w:t>
      </w:r>
      <w:r w:rsidRPr="001136CC">
        <w:rPr>
          <w:lang w:val="en-US"/>
        </w:rPr>
        <w:t xml:space="preserve"> needed. </w:t>
      </w:r>
      <w:proofErr w:type="spellStart"/>
      <w:r w:rsidRPr="001136CC">
        <w:rPr>
          <w:lang w:val="en-US"/>
        </w:rPr>
        <w:t>Stbst</w:t>
      </w:r>
      <w:proofErr w:type="spellEnd"/>
      <w:r w:rsidRPr="001136CC">
        <w:rPr>
          <w:lang w:val="en-US"/>
        </w:rPr>
        <w:t xml:space="preserve"> </w:t>
      </w:r>
      <w:r w:rsidR="007821A0">
        <w:rPr>
          <w:lang w:val="en-US"/>
        </w:rPr>
        <w:t xml:space="preserve">(the signaler) </w:t>
      </w:r>
      <w:r w:rsidRPr="001136CC">
        <w:rPr>
          <w:lang w:val="en-US"/>
        </w:rPr>
        <w:t xml:space="preserve">therefore received no </w:t>
      </w:r>
      <w:r w:rsidR="007821A0">
        <w:rPr>
          <w:lang w:val="en-US"/>
        </w:rPr>
        <w:t xml:space="preserve">information about </w:t>
      </w:r>
      <w:r w:rsidR="007821A0" w:rsidRPr="001136CC">
        <w:rPr>
          <w:lang w:val="en-US"/>
        </w:rPr>
        <w:t>rain preparedness</w:t>
      </w:r>
      <w:r w:rsidR="001D5014">
        <w:rPr>
          <w:lang w:val="en-US"/>
        </w:rPr>
        <w:t>,</w:t>
      </w:r>
      <w:r w:rsidRPr="001136CC">
        <w:rPr>
          <w:lang w:val="en-US"/>
        </w:rPr>
        <w:t xml:space="preserve"> and was thus not particularly aware that cloudbursts could cause problems on the routes that </w:t>
      </w:r>
      <w:r w:rsidR="007821A0">
        <w:rPr>
          <w:lang w:val="en-US"/>
        </w:rPr>
        <w:t>he managed</w:t>
      </w:r>
      <w:r w:rsidRPr="001136CC">
        <w:rPr>
          <w:lang w:val="en-US"/>
        </w:rPr>
        <w:t>.</w:t>
      </w:r>
    </w:p>
    <w:p w14:paraId="433478E9" w14:textId="63A88E7A" w:rsidR="001136CC" w:rsidRPr="001136CC" w:rsidRDefault="001136CC" w:rsidP="001136CC">
      <w:pPr>
        <w:rPr>
          <w:lang w:val="en-US"/>
        </w:rPr>
      </w:pPr>
      <w:r w:rsidRPr="001136CC">
        <w:rPr>
          <w:lang w:val="en-US"/>
        </w:rPr>
        <w:t>With the repeal of TC</w:t>
      </w:r>
      <w:r w:rsidR="000F4E26">
        <w:rPr>
          <w:rStyle w:val="FootnoteReference"/>
          <w:lang w:val="en-US"/>
        </w:rPr>
        <w:footnoteReference w:id="1"/>
      </w:r>
      <w:r w:rsidRPr="001136CC">
        <w:rPr>
          <w:lang w:val="en-US"/>
        </w:rPr>
        <w:t xml:space="preserve"> 2023-18, a warning system is no longer established.</w:t>
      </w:r>
    </w:p>
    <w:p w14:paraId="4F0F6B2B" w14:textId="6017B4D6" w:rsidR="001136CC" w:rsidRPr="001136CC" w:rsidRDefault="007821A0" w:rsidP="001136CC">
      <w:pPr>
        <w:rPr>
          <w:lang w:val="en-US"/>
        </w:rPr>
      </w:pPr>
      <w:r>
        <w:rPr>
          <w:lang w:val="en-US"/>
        </w:rPr>
        <w:t>Signalers</w:t>
      </w:r>
      <w:r w:rsidR="001136CC" w:rsidRPr="001136CC">
        <w:rPr>
          <w:lang w:val="en-US"/>
        </w:rPr>
        <w:t xml:space="preserve"> and locomotive drivers, who had to jointly assess whether train operations should be limited or suspended on sections through areas with a lot of water, had no prerequisites to know when the amount of water could be critical for the infrastructure.</w:t>
      </w:r>
    </w:p>
    <w:p w14:paraId="1D8F3960" w14:textId="14447C50" w:rsidR="001136CC" w:rsidRPr="001136CC" w:rsidRDefault="001136CC" w:rsidP="001136CC">
      <w:pPr>
        <w:rPr>
          <w:lang w:val="en-US"/>
        </w:rPr>
      </w:pPr>
      <w:r w:rsidRPr="001136CC">
        <w:rPr>
          <w:lang w:val="en-US"/>
        </w:rPr>
        <w:t xml:space="preserve">None of the reports to </w:t>
      </w:r>
      <w:proofErr w:type="spellStart"/>
      <w:r w:rsidRPr="001136CC">
        <w:rPr>
          <w:lang w:val="en-US"/>
        </w:rPr>
        <w:t>Stbst</w:t>
      </w:r>
      <w:proofErr w:type="spellEnd"/>
      <w:r w:rsidRPr="001136CC">
        <w:rPr>
          <w:lang w:val="en-US"/>
        </w:rPr>
        <w:t xml:space="preserve"> about water on and along the track included km 88.65, where the </w:t>
      </w:r>
      <w:r w:rsidR="001D5014" w:rsidRPr="001136CC">
        <w:rPr>
          <w:lang w:val="en-US"/>
        </w:rPr>
        <w:t xml:space="preserve">aqueduct </w:t>
      </w:r>
      <w:r w:rsidRPr="001136CC">
        <w:rPr>
          <w:lang w:val="en-US"/>
        </w:rPr>
        <w:t xml:space="preserve">bridge was located. It must therefore be assumed that the locomotive drivers who passed the site were not able to identify the imminent danger to the infrastructure at this particular site. Thus, </w:t>
      </w:r>
      <w:proofErr w:type="spellStart"/>
      <w:r w:rsidRPr="001136CC">
        <w:rPr>
          <w:lang w:val="en-US"/>
        </w:rPr>
        <w:t>Stbst's</w:t>
      </w:r>
      <w:proofErr w:type="spellEnd"/>
      <w:r w:rsidRPr="001136CC">
        <w:rPr>
          <w:lang w:val="en-US"/>
        </w:rPr>
        <w:t xml:space="preserve"> incomplete per</w:t>
      </w:r>
      <w:r w:rsidR="001D5014">
        <w:rPr>
          <w:lang w:val="en-US"/>
        </w:rPr>
        <w:t>ception and relay</w:t>
      </w:r>
      <w:r w:rsidRPr="001136CC">
        <w:rPr>
          <w:lang w:val="en-US"/>
        </w:rPr>
        <w:t>ing of the registered areas is assessed not to have had an influence on the course of events.</w:t>
      </w:r>
    </w:p>
    <w:p w14:paraId="1A98C8CE" w14:textId="17CC5787" w:rsidR="001136CC" w:rsidRPr="001136CC" w:rsidRDefault="001136CC" w:rsidP="001136CC">
      <w:pPr>
        <w:rPr>
          <w:lang w:val="en-US"/>
        </w:rPr>
      </w:pPr>
      <w:r w:rsidRPr="001136CC">
        <w:rPr>
          <w:lang w:val="en-US"/>
        </w:rPr>
        <w:t xml:space="preserve">The track </w:t>
      </w:r>
      <w:r w:rsidR="001D5014">
        <w:rPr>
          <w:lang w:val="en-US"/>
        </w:rPr>
        <w:t>inspector</w:t>
      </w:r>
      <w:r w:rsidRPr="001136CC">
        <w:rPr>
          <w:lang w:val="en-US"/>
        </w:rPr>
        <w:t>, who was called to assess the condition of the track, did not arrive until the incident had occurred.</w:t>
      </w:r>
    </w:p>
    <w:p w14:paraId="725C51C3" w14:textId="2550E519" w:rsidR="001136CC" w:rsidRPr="001136CC" w:rsidRDefault="001136CC" w:rsidP="001136CC">
      <w:pPr>
        <w:rPr>
          <w:lang w:val="en-US"/>
        </w:rPr>
      </w:pPr>
      <w:r w:rsidRPr="001136CC">
        <w:rPr>
          <w:lang w:val="en-US"/>
        </w:rPr>
        <w:t xml:space="preserve">Imprecise </w:t>
      </w:r>
      <w:r w:rsidR="001D5014">
        <w:rPr>
          <w:lang w:val="en-US"/>
        </w:rPr>
        <w:t>communication</w:t>
      </w:r>
      <w:r w:rsidRPr="001136CC">
        <w:rPr>
          <w:lang w:val="en-US"/>
        </w:rPr>
        <w:t xml:space="preserve"> of </w:t>
      </w:r>
      <w:r w:rsidR="001D5014">
        <w:rPr>
          <w:lang w:val="en-US"/>
        </w:rPr>
        <w:t>order to drive with</w:t>
      </w:r>
      <w:r w:rsidRPr="001136CC">
        <w:rPr>
          <w:lang w:val="en-US"/>
        </w:rPr>
        <w:t xml:space="preserve"> </w:t>
      </w:r>
      <w:r w:rsidR="001D5014">
        <w:rPr>
          <w:lang w:val="en-US"/>
        </w:rPr>
        <w:t>“enhanced</w:t>
      </w:r>
      <w:r w:rsidRPr="001136CC">
        <w:rPr>
          <w:lang w:val="en-US"/>
        </w:rPr>
        <w:t xml:space="preserve"> lookout</w:t>
      </w:r>
      <w:r w:rsidR="001D5014">
        <w:rPr>
          <w:lang w:val="en-US"/>
        </w:rPr>
        <w:t>”</w:t>
      </w:r>
      <w:r w:rsidRPr="001136CC">
        <w:rPr>
          <w:lang w:val="en-US"/>
        </w:rPr>
        <w:t xml:space="preserve"> led to the perception that the area had been passed before it had been reached.</w:t>
      </w:r>
    </w:p>
    <w:p w14:paraId="5AB99841" w14:textId="6464A27D" w:rsidR="001136CC" w:rsidRPr="001136CC" w:rsidRDefault="001D5014" w:rsidP="001136CC">
      <w:pPr>
        <w:rPr>
          <w:lang w:val="en-US"/>
        </w:rPr>
      </w:pPr>
      <w:r>
        <w:rPr>
          <w:lang w:val="en-US"/>
        </w:rPr>
        <w:t>Driving under the rules of “enhanced</w:t>
      </w:r>
      <w:r w:rsidRPr="001136CC">
        <w:rPr>
          <w:lang w:val="en-US"/>
        </w:rPr>
        <w:t xml:space="preserve"> lookout</w:t>
      </w:r>
      <w:r>
        <w:rPr>
          <w:lang w:val="en-US"/>
        </w:rPr>
        <w:t>”</w:t>
      </w:r>
      <w:r w:rsidRPr="001136CC">
        <w:rPr>
          <w:lang w:val="en-US"/>
        </w:rPr>
        <w:t xml:space="preserve"> </w:t>
      </w:r>
      <w:r w:rsidR="001136CC" w:rsidRPr="001136CC">
        <w:rPr>
          <w:lang w:val="en-US"/>
        </w:rPr>
        <w:t xml:space="preserve">would probably not be </w:t>
      </w:r>
      <w:r>
        <w:rPr>
          <w:lang w:val="en-US"/>
        </w:rPr>
        <w:t>sufficient</w:t>
      </w:r>
      <w:r w:rsidR="001136CC" w:rsidRPr="001136CC">
        <w:rPr>
          <w:lang w:val="en-US"/>
        </w:rPr>
        <w:t xml:space="preserve"> to prevent trains from passing dangerous sections of line that were impassable, because the</w:t>
      </w:r>
      <w:r>
        <w:rPr>
          <w:lang w:val="en-US"/>
        </w:rPr>
        <w:t xml:space="preserve"> distance need to stop could</w:t>
      </w:r>
      <w:r w:rsidR="001136CC" w:rsidRPr="001136CC">
        <w:rPr>
          <w:lang w:val="en-US"/>
        </w:rPr>
        <w:t xml:space="preserve"> be greater than the distance at which critical damage to the infrastructure </w:t>
      </w:r>
      <w:r>
        <w:rPr>
          <w:lang w:val="en-US"/>
        </w:rPr>
        <w:t>could</w:t>
      </w:r>
      <w:r w:rsidRPr="001136CC">
        <w:rPr>
          <w:lang w:val="en-US"/>
        </w:rPr>
        <w:t xml:space="preserve"> </w:t>
      </w:r>
      <w:r w:rsidR="001136CC" w:rsidRPr="001136CC">
        <w:rPr>
          <w:lang w:val="en-US"/>
        </w:rPr>
        <w:t>be observed.</w:t>
      </w:r>
    </w:p>
    <w:p w14:paraId="6C8E12D1" w14:textId="1D12DD8B" w:rsidR="001136CC" w:rsidRDefault="001136CC" w:rsidP="001136CC">
      <w:pPr>
        <w:rPr>
          <w:lang w:val="en-US"/>
        </w:rPr>
      </w:pPr>
      <w:r w:rsidRPr="001136CC">
        <w:rPr>
          <w:lang w:val="en-US"/>
        </w:rPr>
        <w:t>Thus, TC 2022-22 is not seen as sufficient barriers for the risks associated with train operation on sections which became impassable due to sudden inflows of water in connection with heavy cloudburst.</w:t>
      </w:r>
    </w:p>
    <w:p w14:paraId="79FC7F2C" w14:textId="61F9DBFB" w:rsidR="007A32BE" w:rsidRDefault="000F4E26" w:rsidP="003F3EB9">
      <w:pPr>
        <w:rPr>
          <w:lang w:val="en-US"/>
        </w:rPr>
      </w:pPr>
      <w:r>
        <w:rPr>
          <w:lang w:val="en-US"/>
        </w:rPr>
        <w:lastRenderedPageBreak/>
        <w:t>5.1.</w:t>
      </w:r>
      <w:r>
        <w:rPr>
          <w:lang w:val="en-US"/>
        </w:rPr>
        <w:tab/>
      </w:r>
      <w:r w:rsidRPr="000F4E26">
        <w:rPr>
          <w:lang w:val="en-US"/>
        </w:rPr>
        <w:t>Additional Information</w:t>
      </w:r>
      <w:r>
        <w:rPr>
          <w:lang w:val="en-US"/>
        </w:rPr>
        <w:t>.</w:t>
      </w:r>
    </w:p>
    <w:p w14:paraId="3CAFAD6B" w14:textId="6AC994B2" w:rsidR="000F4E26" w:rsidRPr="000F4E26" w:rsidRDefault="003913E8" w:rsidP="000F4E26">
      <w:pPr>
        <w:rPr>
          <w:lang w:val="en-US"/>
        </w:rPr>
      </w:pPr>
      <w:r>
        <w:rPr>
          <w:lang w:val="en-US"/>
        </w:rPr>
        <w:t>TC</w:t>
      </w:r>
      <w:r w:rsidR="000F4E26" w:rsidRPr="000F4E26">
        <w:rPr>
          <w:lang w:val="en-US"/>
        </w:rPr>
        <w:t xml:space="preserve"> 2022-22 (continued as TC 2023-18 and later TC 2023-26) was also applicable to CBTC and ECTS </w:t>
      </w:r>
      <w:r>
        <w:rPr>
          <w:lang w:val="en-US"/>
        </w:rPr>
        <w:t>lines</w:t>
      </w:r>
      <w:r w:rsidR="000F4E26" w:rsidRPr="000F4E26">
        <w:rPr>
          <w:lang w:val="en-US"/>
        </w:rPr>
        <w:t xml:space="preserve">. The rule sets for these sections (ORS/ORF) did not support driving with </w:t>
      </w:r>
      <w:r>
        <w:rPr>
          <w:lang w:val="en-US"/>
        </w:rPr>
        <w:t>“</w:t>
      </w:r>
      <w:r w:rsidRPr="003F3EB9">
        <w:rPr>
          <w:lang w:val="en-US"/>
        </w:rPr>
        <w:t>enhanced lookout</w:t>
      </w:r>
      <w:r>
        <w:rPr>
          <w:lang w:val="en-US"/>
        </w:rPr>
        <w:t>”</w:t>
      </w:r>
      <w:r w:rsidR="000F4E26" w:rsidRPr="000F4E26">
        <w:rPr>
          <w:lang w:val="en-US"/>
        </w:rPr>
        <w:t>.</w:t>
      </w:r>
    </w:p>
    <w:p w14:paraId="3A9CBE7C" w14:textId="230024A8" w:rsidR="000F4E26" w:rsidRPr="000F4E26" w:rsidRDefault="003913E8" w:rsidP="000F4E26">
      <w:pPr>
        <w:rPr>
          <w:lang w:val="en-US"/>
        </w:rPr>
      </w:pPr>
      <w:r>
        <w:rPr>
          <w:lang w:val="en-US"/>
        </w:rPr>
        <w:t>TC</w:t>
      </w:r>
      <w:r w:rsidR="000F4E26" w:rsidRPr="000F4E26">
        <w:rPr>
          <w:lang w:val="en-US"/>
        </w:rPr>
        <w:t xml:space="preserve"> 2022-27 introduced after the incident, and continued as T</w:t>
      </w:r>
      <w:r>
        <w:rPr>
          <w:lang w:val="en-US"/>
        </w:rPr>
        <w:t xml:space="preserve">C 2023-13 and later TC 2023-26, is also applicable to both SR, </w:t>
      </w:r>
      <w:r w:rsidR="000F4E26" w:rsidRPr="000F4E26">
        <w:rPr>
          <w:lang w:val="en-US"/>
        </w:rPr>
        <w:t xml:space="preserve">CBTC and ECTS </w:t>
      </w:r>
      <w:r>
        <w:rPr>
          <w:lang w:val="en-US"/>
        </w:rPr>
        <w:t>lines</w:t>
      </w:r>
      <w:r w:rsidR="000F4E26" w:rsidRPr="000F4E26">
        <w:rPr>
          <w:lang w:val="en-US"/>
        </w:rPr>
        <w:t>. Here, however, a maximum speed</w:t>
      </w:r>
      <w:r>
        <w:rPr>
          <w:lang w:val="en-US"/>
        </w:rPr>
        <w:t xml:space="preserve"> of 40 km/h has been introduced when</w:t>
      </w:r>
      <w:r w:rsidR="000F4E26" w:rsidRPr="000F4E26">
        <w:rPr>
          <w:lang w:val="en-US"/>
        </w:rPr>
        <w:t xml:space="preserve"> driving on CBTC and ECTS </w:t>
      </w:r>
      <w:r>
        <w:rPr>
          <w:lang w:val="en-US"/>
        </w:rPr>
        <w:t>lines</w:t>
      </w:r>
      <w:r w:rsidR="000F4E26" w:rsidRPr="000F4E26">
        <w:rPr>
          <w:lang w:val="en-US"/>
        </w:rPr>
        <w:t xml:space="preserve">, which are at risk of being affected by water, </w:t>
      </w:r>
      <w:r>
        <w:rPr>
          <w:lang w:val="en-US"/>
        </w:rPr>
        <w:t>displacements of</w:t>
      </w:r>
      <w:r w:rsidRPr="003F3EB9">
        <w:rPr>
          <w:lang w:val="en-US"/>
        </w:rPr>
        <w:t xml:space="preserve"> the track</w:t>
      </w:r>
      <w:r w:rsidR="000F4E26" w:rsidRPr="000F4E26">
        <w:rPr>
          <w:lang w:val="en-US"/>
        </w:rPr>
        <w:t xml:space="preserve">, missing </w:t>
      </w:r>
      <w:r>
        <w:rPr>
          <w:lang w:val="en-US"/>
        </w:rPr>
        <w:t>ballast</w:t>
      </w:r>
      <w:r w:rsidR="000F4E26" w:rsidRPr="000F4E26">
        <w:rPr>
          <w:lang w:val="en-US"/>
        </w:rPr>
        <w:t xml:space="preserve"> or landslides on embankments. On SR </w:t>
      </w:r>
      <w:r>
        <w:rPr>
          <w:lang w:val="en-US"/>
        </w:rPr>
        <w:t>lines</w:t>
      </w:r>
      <w:r w:rsidR="000F4E26" w:rsidRPr="000F4E26">
        <w:rPr>
          <w:lang w:val="en-US"/>
        </w:rPr>
        <w:t xml:space="preserve">, driving continues with </w:t>
      </w:r>
      <w:r>
        <w:rPr>
          <w:lang w:val="en-US"/>
        </w:rPr>
        <w:t>“</w:t>
      </w:r>
      <w:r w:rsidRPr="003F3EB9">
        <w:rPr>
          <w:lang w:val="en-US"/>
        </w:rPr>
        <w:t>enhanced lookout</w:t>
      </w:r>
      <w:r>
        <w:rPr>
          <w:lang w:val="en-US"/>
        </w:rPr>
        <w:t>”, with</w:t>
      </w:r>
      <w:r w:rsidR="000F4E26" w:rsidRPr="000F4E26">
        <w:rPr>
          <w:lang w:val="en-US"/>
        </w:rPr>
        <w:t xml:space="preserve"> up to 60 km/h. It</w:t>
      </w:r>
      <w:r>
        <w:rPr>
          <w:lang w:val="en-US"/>
        </w:rPr>
        <w:t xml:space="preserve"> is noted that only</w:t>
      </w:r>
      <w:r w:rsidR="000F4E26" w:rsidRPr="000F4E26">
        <w:rPr>
          <w:lang w:val="en-US"/>
        </w:rPr>
        <w:t xml:space="preserve"> on CBTC </w:t>
      </w:r>
      <w:r>
        <w:rPr>
          <w:lang w:val="en-US"/>
        </w:rPr>
        <w:t>lines</w:t>
      </w:r>
      <w:r w:rsidR="000F4E26" w:rsidRPr="000F4E26">
        <w:rPr>
          <w:lang w:val="en-US"/>
        </w:rPr>
        <w:t xml:space="preserve">, the speed must be adjusted so that </w:t>
      </w:r>
      <w:r>
        <w:rPr>
          <w:lang w:val="en-US"/>
        </w:rPr>
        <w:t>vehicles</w:t>
      </w:r>
      <w:r w:rsidR="000F4E26" w:rsidRPr="000F4E26">
        <w:rPr>
          <w:lang w:val="en-US"/>
        </w:rPr>
        <w:t xml:space="preserve"> can stop </w:t>
      </w:r>
      <w:r>
        <w:rPr>
          <w:lang w:val="en-US"/>
        </w:rPr>
        <w:t>short of</w:t>
      </w:r>
      <w:r w:rsidR="000F4E26" w:rsidRPr="000F4E26">
        <w:rPr>
          <w:lang w:val="en-US"/>
        </w:rPr>
        <w:t xml:space="preserve"> an obstacle.</w:t>
      </w:r>
    </w:p>
    <w:p w14:paraId="2A446201" w14:textId="272CA936" w:rsidR="000F4E26" w:rsidRPr="000F4E26" w:rsidRDefault="000F4E26" w:rsidP="000F4E26">
      <w:pPr>
        <w:rPr>
          <w:lang w:val="en-US"/>
        </w:rPr>
      </w:pPr>
      <w:proofErr w:type="spellStart"/>
      <w:r w:rsidRPr="000F4E26">
        <w:rPr>
          <w:lang w:val="en-US"/>
        </w:rPr>
        <w:t>Banedanmark</w:t>
      </w:r>
      <w:proofErr w:type="spellEnd"/>
      <w:r w:rsidRPr="000F4E26">
        <w:rPr>
          <w:lang w:val="en-US"/>
        </w:rPr>
        <w:t xml:space="preserve"> has </w:t>
      </w:r>
      <w:r w:rsidR="003913E8">
        <w:rPr>
          <w:lang w:val="en-US"/>
        </w:rPr>
        <w:t xml:space="preserve">during </w:t>
      </w:r>
      <w:r w:rsidRPr="000F4E26">
        <w:rPr>
          <w:lang w:val="en-US"/>
        </w:rPr>
        <w:t xml:space="preserve">hearing informed that </w:t>
      </w:r>
      <w:r w:rsidR="005964A1">
        <w:rPr>
          <w:lang w:val="en-US"/>
        </w:rPr>
        <w:t>they</w:t>
      </w:r>
      <w:r w:rsidRPr="000F4E26">
        <w:rPr>
          <w:lang w:val="en-US"/>
        </w:rPr>
        <w:t xml:space="preserve"> considers the </w:t>
      </w:r>
      <w:r w:rsidR="003913E8">
        <w:rPr>
          <w:lang w:val="en-US"/>
        </w:rPr>
        <w:t>theme</w:t>
      </w:r>
      <w:r w:rsidRPr="000F4E26">
        <w:rPr>
          <w:lang w:val="en-US"/>
        </w:rPr>
        <w:t xml:space="preserve"> regarding inspection of ditch sides </w:t>
      </w:r>
      <w:r w:rsidR="005964A1">
        <w:rPr>
          <w:lang w:val="en-US"/>
        </w:rPr>
        <w:t>to be</w:t>
      </w:r>
      <w:r w:rsidRPr="000F4E26">
        <w:rPr>
          <w:lang w:val="en-US"/>
        </w:rPr>
        <w:t xml:space="preserve"> in</w:t>
      </w:r>
      <w:r w:rsidR="003913E8">
        <w:rPr>
          <w:lang w:val="en-US"/>
        </w:rPr>
        <w:t>cluded in the contract for</w:t>
      </w:r>
      <w:r w:rsidRPr="000F4E26">
        <w:rPr>
          <w:lang w:val="en-US"/>
        </w:rPr>
        <w:t xml:space="preserve"> maintenance by the wording:</w:t>
      </w:r>
    </w:p>
    <w:p w14:paraId="4979147C" w14:textId="371A0FEC" w:rsidR="000F4E26" w:rsidRDefault="000F4E26" w:rsidP="003913E8">
      <w:pPr>
        <w:ind w:left="1304"/>
        <w:rPr>
          <w:lang w:val="en-US"/>
        </w:rPr>
      </w:pPr>
      <w:r w:rsidRPr="000F4E26">
        <w:rPr>
          <w:lang w:val="en-US"/>
        </w:rPr>
        <w:t xml:space="preserve">During the inspection, the Supplier inspects the entire facility and reports faults, deficiencies and breakdowns </w:t>
      </w:r>
      <w:r w:rsidR="003913E8">
        <w:rPr>
          <w:lang w:val="en-US"/>
        </w:rPr>
        <w:t>per line</w:t>
      </w:r>
      <w:r w:rsidRPr="000F4E26">
        <w:rPr>
          <w:lang w:val="en-US"/>
        </w:rPr>
        <w:t xml:space="preserve"> to </w:t>
      </w:r>
      <w:proofErr w:type="spellStart"/>
      <w:r w:rsidRPr="000F4E26">
        <w:rPr>
          <w:lang w:val="en-US"/>
        </w:rPr>
        <w:t>Banedanmark</w:t>
      </w:r>
      <w:proofErr w:type="spellEnd"/>
      <w:r w:rsidRPr="000F4E26">
        <w:rPr>
          <w:lang w:val="en-US"/>
        </w:rPr>
        <w:t>.</w:t>
      </w:r>
    </w:p>
    <w:p w14:paraId="00C60911" w14:textId="77777777" w:rsidR="000F4E26" w:rsidRDefault="000F4E26" w:rsidP="003F3EB9">
      <w:pPr>
        <w:rPr>
          <w:lang w:val="en-US"/>
        </w:rPr>
      </w:pPr>
    </w:p>
    <w:p w14:paraId="70AB1120" w14:textId="746F617D" w:rsidR="007A32BE" w:rsidRDefault="000F4E26" w:rsidP="003F3EB9">
      <w:pPr>
        <w:rPr>
          <w:lang w:val="en-US"/>
        </w:rPr>
      </w:pPr>
      <w:r>
        <w:rPr>
          <w:lang w:val="en-US"/>
        </w:rPr>
        <w:t>7.</w:t>
      </w:r>
      <w:r>
        <w:rPr>
          <w:lang w:val="en-US"/>
        </w:rPr>
        <w:tab/>
      </w:r>
      <w:r w:rsidR="007A32BE" w:rsidRPr="003F3EB9">
        <w:rPr>
          <w:lang w:val="en-US"/>
        </w:rPr>
        <w:t>Recommendations</w:t>
      </w:r>
      <w:r w:rsidR="007A32BE">
        <w:rPr>
          <w:lang w:val="en-US"/>
        </w:rPr>
        <w:t>.</w:t>
      </w:r>
    </w:p>
    <w:p w14:paraId="3A2F648F" w14:textId="6A9B8F36" w:rsidR="003F3EB9" w:rsidRPr="003F3EB9" w:rsidRDefault="003F3EB9" w:rsidP="003F3EB9">
      <w:pPr>
        <w:rPr>
          <w:lang w:val="en-US"/>
        </w:rPr>
      </w:pPr>
      <w:r w:rsidRPr="003F3EB9">
        <w:rPr>
          <w:lang w:val="en-US"/>
        </w:rPr>
        <w:t xml:space="preserve">Repairs and risk assessment regarding the </w:t>
      </w:r>
      <w:r w:rsidR="0083467D">
        <w:rPr>
          <w:lang w:val="en-US"/>
        </w:rPr>
        <w:t>embankment</w:t>
      </w:r>
      <w:r w:rsidR="0083467D" w:rsidRPr="003F3EB9">
        <w:rPr>
          <w:lang w:val="en-US"/>
        </w:rPr>
        <w:t xml:space="preserve"> </w:t>
      </w:r>
      <w:r w:rsidRPr="003F3EB9">
        <w:rPr>
          <w:lang w:val="en-US"/>
        </w:rPr>
        <w:t xml:space="preserve">and the </w:t>
      </w:r>
      <w:r>
        <w:rPr>
          <w:lang w:val="en-US"/>
        </w:rPr>
        <w:t>aqueduct</w:t>
      </w:r>
      <w:r w:rsidRPr="003F3EB9">
        <w:rPr>
          <w:lang w:val="en-US"/>
        </w:rPr>
        <w:t xml:space="preserve"> bridge in km 88.65 are not documented, which is why it has been difficult to </w:t>
      </w:r>
      <w:r w:rsidR="007A32BE" w:rsidRPr="003F3EB9">
        <w:rPr>
          <w:lang w:val="en-US"/>
        </w:rPr>
        <w:t xml:space="preserve">assess </w:t>
      </w:r>
      <w:r w:rsidRPr="003F3EB9">
        <w:rPr>
          <w:lang w:val="en-US"/>
        </w:rPr>
        <w:t xml:space="preserve">the condition of this part of the infrastructure prior to the rain event on 26-08-2022, as well as to </w:t>
      </w:r>
      <w:r w:rsidR="007A32BE">
        <w:rPr>
          <w:lang w:val="en-US"/>
        </w:rPr>
        <w:t>determine</w:t>
      </w:r>
      <w:r w:rsidR="007A32BE" w:rsidRPr="003F3EB9">
        <w:rPr>
          <w:lang w:val="en-US"/>
        </w:rPr>
        <w:t xml:space="preserve"> </w:t>
      </w:r>
      <w:r w:rsidRPr="003F3EB9">
        <w:rPr>
          <w:lang w:val="en-US"/>
        </w:rPr>
        <w:t xml:space="preserve">the extent of the risk assessment in relation to the capacity of the </w:t>
      </w:r>
      <w:r w:rsidR="007A32BE">
        <w:rPr>
          <w:lang w:val="en-US"/>
        </w:rPr>
        <w:t>aqueduct</w:t>
      </w:r>
      <w:r w:rsidR="007A32BE" w:rsidRPr="003F3EB9">
        <w:rPr>
          <w:lang w:val="en-US"/>
        </w:rPr>
        <w:t xml:space="preserve"> </w:t>
      </w:r>
      <w:r w:rsidRPr="003F3EB9">
        <w:rPr>
          <w:lang w:val="en-US"/>
        </w:rPr>
        <w:t>bridge.</w:t>
      </w:r>
    </w:p>
    <w:p w14:paraId="47318C47" w14:textId="77777777" w:rsidR="003F3EB9" w:rsidRPr="003F3EB9" w:rsidRDefault="003F3EB9" w:rsidP="003F3EB9">
      <w:pPr>
        <w:rPr>
          <w:lang w:val="en-US"/>
        </w:rPr>
      </w:pPr>
      <w:r w:rsidRPr="003F3EB9">
        <w:rPr>
          <w:lang w:val="en-US"/>
        </w:rPr>
        <w:t>DK-2023 R 2 of 22-08-2023.</w:t>
      </w:r>
    </w:p>
    <w:p w14:paraId="52DF60D3" w14:textId="447C57F8" w:rsidR="003F3EB9" w:rsidRDefault="003F3EB9" w:rsidP="003F3EB9">
      <w:pPr>
        <w:rPr>
          <w:lang w:val="en-US"/>
        </w:rPr>
      </w:pPr>
      <w:r w:rsidRPr="003F3EB9">
        <w:rPr>
          <w:lang w:val="en-US"/>
        </w:rPr>
        <w:t xml:space="preserve">AIB recommends that the Danish Transport Agency ensures that </w:t>
      </w:r>
      <w:proofErr w:type="spellStart"/>
      <w:r w:rsidRPr="003F3EB9">
        <w:rPr>
          <w:lang w:val="en-US"/>
        </w:rPr>
        <w:t>Banedanmark</w:t>
      </w:r>
      <w:proofErr w:type="spellEnd"/>
      <w:r w:rsidRPr="003F3EB9">
        <w:rPr>
          <w:lang w:val="en-US"/>
        </w:rPr>
        <w:t xml:space="preserve"> documents and archives safety-relevant information regarding repairs and risk assessments on the railway's drainage elements, and ensures traceability between the drainage elements and the archived safety-relevant information.</w:t>
      </w:r>
    </w:p>
    <w:p w14:paraId="71478EE5" w14:textId="77777777" w:rsidR="007A32BE" w:rsidRPr="003F3EB9" w:rsidRDefault="007A32BE" w:rsidP="003F3EB9">
      <w:pPr>
        <w:rPr>
          <w:lang w:val="en-US"/>
        </w:rPr>
      </w:pPr>
    </w:p>
    <w:p w14:paraId="5E92611B" w14:textId="15CB1793" w:rsidR="003F3EB9" w:rsidRPr="003F3EB9" w:rsidRDefault="003F3EB9" w:rsidP="003F3EB9">
      <w:pPr>
        <w:rPr>
          <w:lang w:val="en-US"/>
        </w:rPr>
      </w:pPr>
      <w:r w:rsidRPr="003F3EB9">
        <w:rPr>
          <w:lang w:val="en-US"/>
        </w:rPr>
        <w:t xml:space="preserve">In the incident on 26-08-2022, it was not possible to stop the train within the distance that was available after the situation around the </w:t>
      </w:r>
      <w:r w:rsidR="0083467D">
        <w:rPr>
          <w:lang w:val="en-US"/>
        </w:rPr>
        <w:t>embankment</w:t>
      </w:r>
      <w:r w:rsidRPr="003F3EB9">
        <w:rPr>
          <w:lang w:val="en-US"/>
        </w:rPr>
        <w:t>/</w:t>
      </w:r>
      <w:r w:rsidR="007A32BE">
        <w:rPr>
          <w:lang w:val="en-US"/>
        </w:rPr>
        <w:t>aqueduct</w:t>
      </w:r>
      <w:r w:rsidRPr="003F3EB9">
        <w:rPr>
          <w:lang w:val="en-US"/>
        </w:rPr>
        <w:t xml:space="preserve"> bridge was observed. Driving </w:t>
      </w:r>
      <w:r w:rsidR="007A32BE" w:rsidRPr="003F3EB9">
        <w:rPr>
          <w:lang w:val="en-US"/>
        </w:rPr>
        <w:t xml:space="preserve">with </w:t>
      </w:r>
      <w:r w:rsidR="007A32BE">
        <w:rPr>
          <w:lang w:val="en-US"/>
        </w:rPr>
        <w:t>“</w:t>
      </w:r>
      <w:r w:rsidR="007A32BE" w:rsidRPr="003F3EB9">
        <w:rPr>
          <w:lang w:val="en-US"/>
        </w:rPr>
        <w:t>enhanced lookout</w:t>
      </w:r>
      <w:r w:rsidR="007A32BE">
        <w:rPr>
          <w:lang w:val="en-US"/>
        </w:rPr>
        <w:t>”</w:t>
      </w:r>
      <w:r w:rsidR="007A32BE" w:rsidRPr="003F3EB9">
        <w:rPr>
          <w:lang w:val="en-US"/>
        </w:rPr>
        <w:t xml:space="preserve"> </w:t>
      </w:r>
      <w:r w:rsidR="007A32BE">
        <w:rPr>
          <w:lang w:val="en-US"/>
        </w:rPr>
        <w:t>as described in the rulebook (</w:t>
      </w:r>
      <w:r w:rsidRPr="003F3EB9">
        <w:rPr>
          <w:lang w:val="en-US"/>
        </w:rPr>
        <w:t>SR §2, section 5.3</w:t>
      </w:r>
      <w:r w:rsidR="007A32BE">
        <w:rPr>
          <w:lang w:val="en-US"/>
        </w:rPr>
        <w:t>)</w:t>
      </w:r>
      <w:r w:rsidRPr="003F3EB9">
        <w:rPr>
          <w:lang w:val="en-US"/>
        </w:rPr>
        <w:t xml:space="preserve"> as well as looking out while driving at a maximum of 40 km/h (</w:t>
      </w:r>
      <w:r w:rsidR="007A32BE">
        <w:rPr>
          <w:lang w:val="en-US"/>
        </w:rPr>
        <w:t>Rulebook for ERTMS</w:t>
      </w:r>
      <w:r w:rsidRPr="003F3EB9">
        <w:rPr>
          <w:lang w:val="en-US"/>
        </w:rPr>
        <w:t xml:space="preserve">) does not require the train to be able to stop </w:t>
      </w:r>
      <w:r w:rsidR="0083467D">
        <w:rPr>
          <w:lang w:val="en-US"/>
        </w:rPr>
        <w:t>short of</w:t>
      </w:r>
      <w:r w:rsidRPr="003F3EB9">
        <w:rPr>
          <w:lang w:val="en-US"/>
        </w:rPr>
        <w:t xml:space="preserve"> an obstacle.</w:t>
      </w:r>
    </w:p>
    <w:p w14:paraId="30A43C93" w14:textId="77777777" w:rsidR="003F3EB9" w:rsidRPr="003F3EB9" w:rsidRDefault="003F3EB9" w:rsidP="003F3EB9">
      <w:pPr>
        <w:rPr>
          <w:lang w:val="en-US"/>
        </w:rPr>
      </w:pPr>
      <w:r w:rsidRPr="003F3EB9">
        <w:rPr>
          <w:lang w:val="en-US"/>
        </w:rPr>
        <w:t>DK-2023 R 3 of 22-08-2023.</w:t>
      </w:r>
    </w:p>
    <w:p w14:paraId="266BDCBA" w14:textId="23F00398" w:rsidR="003F3EB9" w:rsidRPr="001D419B" w:rsidRDefault="003F3EB9" w:rsidP="003F3EB9">
      <w:pPr>
        <w:rPr>
          <w:lang w:val="en-US"/>
        </w:rPr>
      </w:pPr>
      <w:r w:rsidRPr="003F3EB9">
        <w:rPr>
          <w:lang w:val="en-US"/>
        </w:rPr>
        <w:t xml:space="preserve">AIB recommends that the Danish Transport Agency ensures that </w:t>
      </w:r>
      <w:proofErr w:type="spellStart"/>
      <w:r w:rsidRPr="003F3EB9">
        <w:rPr>
          <w:lang w:val="en-US"/>
        </w:rPr>
        <w:t>Banedanmark</w:t>
      </w:r>
      <w:proofErr w:type="spellEnd"/>
      <w:r w:rsidRPr="003F3EB9">
        <w:rPr>
          <w:lang w:val="en-US"/>
        </w:rPr>
        <w:t xml:space="preserve"> investigates whether the rules regarding driving with </w:t>
      </w:r>
      <w:r w:rsidR="007A32BE">
        <w:rPr>
          <w:lang w:val="en-US"/>
        </w:rPr>
        <w:t>“</w:t>
      </w:r>
      <w:r w:rsidRPr="003F3EB9">
        <w:rPr>
          <w:lang w:val="en-US"/>
        </w:rPr>
        <w:t>enhanced lookout</w:t>
      </w:r>
      <w:r w:rsidR="007A32BE">
        <w:rPr>
          <w:lang w:val="en-US"/>
        </w:rPr>
        <w:t>”</w:t>
      </w:r>
      <w:r w:rsidRPr="003F3EB9">
        <w:rPr>
          <w:lang w:val="en-US"/>
        </w:rPr>
        <w:t xml:space="preserve"> (SR), as well as </w:t>
      </w:r>
      <w:r w:rsidR="007A32BE">
        <w:rPr>
          <w:lang w:val="en-US"/>
        </w:rPr>
        <w:t>“</w:t>
      </w:r>
      <w:r w:rsidRPr="003F3EB9">
        <w:rPr>
          <w:lang w:val="en-US"/>
        </w:rPr>
        <w:t>lookout while driving</w:t>
      </w:r>
      <w:r w:rsidR="007A32BE">
        <w:rPr>
          <w:lang w:val="en-US"/>
        </w:rPr>
        <w:t>”</w:t>
      </w:r>
      <w:r w:rsidRPr="003F3EB9">
        <w:rPr>
          <w:lang w:val="en-US"/>
        </w:rPr>
        <w:t xml:space="preserve"> at a maximum of 40 km/h </w:t>
      </w:r>
      <w:r w:rsidR="007A32BE" w:rsidRPr="003F3EB9">
        <w:rPr>
          <w:lang w:val="en-US"/>
        </w:rPr>
        <w:t>(</w:t>
      </w:r>
      <w:r w:rsidR="007A32BE">
        <w:rPr>
          <w:lang w:val="en-US"/>
        </w:rPr>
        <w:t>Rulebook for ERTMS</w:t>
      </w:r>
      <w:r w:rsidRPr="003F3EB9">
        <w:rPr>
          <w:lang w:val="en-US"/>
        </w:rPr>
        <w:t xml:space="preserve">), on sections that are at risk of being affected by water, </w:t>
      </w:r>
      <w:r w:rsidR="0083467D">
        <w:rPr>
          <w:lang w:val="en-US"/>
        </w:rPr>
        <w:t>displacements of</w:t>
      </w:r>
      <w:r w:rsidRPr="003F3EB9">
        <w:rPr>
          <w:lang w:val="en-US"/>
        </w:rPr>
        <w:t xml:space="preserve"> the track, missing </w:t>
      </w:r>
      <w:r w:rsidR="007A32BE">
        <w:rPr>
          <w:lang w:val="en-US"/>
        </w:rPr>
        <w:t>bal</w:t>
      </w:r>
      <w:r w:rsidR="0083467D">
        <w:rPr>
          <w:lang w:val="en-US"/>
        </w:rPr>
        <w:t>l</w:t>
      </w:r>
      <w:r w:rsidR="007A32BE">
        <w:rPr>
          <w:lang w:val="en-US"/>
        </w:rPr>
        <w:t>ast</w:t>
      </w:r>
      <w:r w:rsidRPr="003F3EB9">
        <w:rPr>
          <w:lang w:val="en-US"/>
        </w:rPr>
        <w:t xml:space="preserve"> or landslides on embankments, provide sufficient protection against the dangers associated with trains traveling on parts of the infrastructure that have become impassable due to these conditions.</w:t>
      </w:r>
    </w:p>
    <w:sectPr w:rsidR="003F3EB9" w:rsidRPr="001D419B" w:rsidSect="00004025">
      <w:footerReference w:type="default" r:id="rId11"/>
      <w:headerReference w:type="first" r:id="rId12"/>
      <w:footerReference w:type="first" r:id="rId13"/>
      <w:pgSz w:w="11906" w:h="16838"/>
      <w:pgMar w:top="1701" w:right="1134" w:bottom="1701"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0B3B" w14:textId="77777777" w:rsidR="00FE1FC5" w:rsidRDefault="00FE1FC5" w:rsidP="00857BD8">
      <w:pPr>
        <w:spacing w:after="0" w:line="240" w:lineRule="auto"/>
      </w:pPr>
      <w:r>
        <w:separator/>
      </w:r>
    </w:p>
  </w:endnote>
  <w:endnote w:type="continuationSeparator" w:id="0">
    <w:p w14:paraId="7B1C54D3" w14:textId="77777777" w:rsidR="00FE1FC5" w:rsidRDefault="00FE1FC5" w:rsidP="0085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467113"/>
      <w:docPartObj>
        <w:docPartGallery w:val="Page Numbers (Bottom of Page)"/>
        <w:docPartUnique/>
      </w:docPartObj>
    </w:sdtPr>
    <w:sdtEndPr/>
    <w:sdtContent>
      <w:sdt>
        <w:sdtPr>
          <w:id w:val="-1769616900"/>
          <w:docPartObj>
            <w:docPartGallery w:val="Page Numbers (Top of Page)"/>
            <w:docPartUnique/>
          </w:docPartObj>
        </w:sdtPr>
        <w:sdtEndPr/>
        <w:sdtContent>
          <w:p w14:paraId="5172A68E" w14:textId="3A999BE5" w:rsidR="00004025" w:rsidRDefault="00004025">
            <w:pPr>
              <w:pStyle w:val="Footer"/>
              <w:jc w:val="right"/>
            </w:pPr>
            <w:r w:rsidRPr="00004025">
              <w:rPr>
                <w:rFonts w:ascii="Times New Roman" w:hAnsi="Times New Roman" w:cs="Times New Roman"/>
              </w:rPr>
              <w:t xml:space="preserve">Side </w:t>
            </w:r>
            <w:r w:rsidRPr="00004025">
              <w:rPr>
                <w:rFonts w:ascii="Times New Roman" w:hAnsi="Times New Roman" w:cs="Times New Roman"/>
                <w:b/>
                <w:bCs/>
                <w:sz w:val="24"/>
                <w:szCs w:val="24"/>
              </w:rPr>
              <w:fldChar w:fldCharType="begin"/>
            </w:r>
            <w:r w:rsidRPr="00004025">
              <w:rPr>
                <w:rFonts w:ascii="Times New Roman" w:hAnsi="Times New Roman" w:cs="Times New Roman"/>
                <w:b/>
                <w:bCs/>
              </w:rPr>
              <w:instrText>PAGE</w:instrText>
            </w:r>
            <w:r w:rsidRPr="00004025">
              <w:rPr>
                <w:rFonts w:ascii="Times New Roman" w:hAnsi="Times New Roman" w:cs="Times New Roman"/>
                <w:b/>
                <w:bCs/>
                <w:sz w:val="24"/>
                <w:szCs w:val="24"/>
              </w:rPr>
              <w:fldChar w:fldCharType="separate"/>
            </w:r>
            <w:r w:rsidR="004F1D1E">
              <w:rPr>
                <w:rFonts w:ascii="Times New Roman" w:hAnsi="Times New Roman" w:cs="Times New Roman"/>
                <w:b/>
                <w:bCs/>
                <w:noProof/>
              </w:rPr>
              <w:t>3</w:t>
            </w:r>
            <w:r w:rsidRPr="00004025">
              <w:rPr>
                <w:rFonts w:ascii="Times New Roman" w:hAnsi="Times New Roman" w:cs="Times New Roman"/>
                <w:b/>
                <w:bCs/>
                <w:sz w:val="24"/>
                <w:szCs w:val="24"/>
              </w:rPr>
              <w:fldChar w:fldCharType="end"/>
            </w:r>
            <w:r w:rsidRPr="00004025">
              <w:rPr>
                <w:rFonts w:ascii="Times New Roman" w:hAnsi="Times New Roman" w:cs="Times New Roman"/>
              </w:rPr>
              <w:t xml:space="preserve"> af </w:t>
            </w:r>
            <w:r w:rsidRPr="00004025">
              <w:rPr>
                <w:rFonts w:ascii="Times New Roman" w:hAnsi="Times New Roman" w:cs="Times New Roman"/>
                <w:b/>
                <w:bCs/>
                <w:sz w:val="24"/>
                <w:szCs w:val="24"/>
              </w:rPr>
              <w:fldChar w:fldCharType="begin"/>
            </w:r>
            <w:r w:rsidRPr="00004025">
              <w:rPr>
                <w:rFonts w:ascii="Times New Roman" w:hAnsi="Times New Roman" w:cs="Times New Roman"/>
                <w:b/>
                <w:bCs/>
              </w:rPr>
              <w:instrText>NUMPAGES</w:instrText>
            </w:r>
            <w:r w:rsidRPr="00004025">
              <w:rPr>
                <w:rFonts w:ascii="Times New Roman" w:hAnsi="Times New Roman" w:cs="Times New Roman"/>
                <w:b/>
                <w:bCs/>
                <w:sz w:val="24"/>
                <w:szCs w:val="24"/>
              </w:rPr>
              <w:fldChar w:fldCharType="separate"/>
            </w:r>
            <w:r w:rsidR="004F1D1E">
              <w:rPr>
                <w:rFonts w:ascii="Times New Roman" w:hAnsi="Times New Roman" w:cs="Times New Roman"/>
                <w:b/>
                <w:bCs/>
                <w:noProof/>
              </w:rPr>
              <w:t>3</w:t>
            </w:r>
            <w:r w:rsidRPr="00004025">
              <w:rPr>
                <w:rFonts w:ascii="Times New Roman" w:hAnsi="Times New Roman" w:cs="Times New Roman"/>
                <w:b/>
                <w:bCs/>
                <w:sz w:val="24"/>
                <w:szCs w:val="24"/>
              </w:rPr>
              <w:fldChar w:fldCharType="end"/>
            </w:r>
          </w:p>
        </w:sdtContent>
      </w:sdt>
    </w:sdtContent>
  </w:sdt>
  <w:p w14:paraId="366C6610" w14:textId="77777777" w:rsidR="00004025" w:rsidRDefault="00004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004025" w14:paraId="0851219F" w14:textId="77777777" w:rsidTr="00004025">
      <w:tc>
        <w:tcPr>
          <w:tcW w:w="3209" w:type="dxa"/>
        </w:tcPr>
        <w:p w14:paraId="48831F7E" w14:textId="77777777" w:rsidR="00004025" w:rsidRPr="00851BDE" w:rsidRDefault="00004025" w:rsidP="00004025">
          <w:pPr>
            <w:pStyle w:val="Template-Adresse"/>
            <w:tabs>
              <w:tab w:val="left" w:pos="709"/>
            </w:tabs>
            <w:spacing w:after="60"/>
            <w:rPr>
              <w:rFonts w:ascii="Times New Roman" w:hAnsi="Times New Roman" w:cs="Times New Roman"/>
              <w:sz w:val="18"/>
              <w:szCs w:val="18"/>
              <w:lang w:val="en-US"/>
            </w:rPr>
          </w:pPr>
          <w:r w:rsidRPr="00851BDE">
            <w:rPr>
              <w:rFonts w:ascii="Times New Roman" w:hAnsi="Times New Roman" w:cs="Times New Roman"/>
              <w:sz w:val="18"/>
              <w:szCs w:val="18"/>
              <w:lang w:val="en-US"/>
            </w:rPr>
            <w:t>Accident Investigation Board Denmark</w:t>
          </w:r>
        </w:p>
        <w:p w14:paraId="695C0474" w14:textId="77777777" w:rsidR="00004025" w:rsidRPr="00851BDE" w:rsidRDefault="00004025" w:rsidP="00004025">
          <w:pPr>
            <w:pStyle w:val="Template-Adresse"/>
            <w:rPr>
              <w:rFonts w:ascii="Times New Roman" w:hAnsi="Times New Roman" w:cs="Times New Roman"/>
              <w:sz w:val="18"/>
              <w:szCs w:val="18"/>
              <w:lang w:val="en-US"/>
            </w:rPr>
          </w:pPr>
          <w:r w:rsidRPr="00851BDE">
            <w:rPr>
              <w:rFonts w:ascii="Times New Roman" w:hAnsi="Times New Roman" w:cs="Times New Roman"/>
              <w:sz w:val="18"/>
              <w:szCs w:val="18"/>
              <w:lang w:val="en-US"/>
            </w:rPr>
            <w:t>Jaettevej 50A, 1. sal, mf.</w:t>
          </w:r>
        </w:p>
        <w:p w14:paraId="0A23D4A0" w14:textId="77777777" w:rsidR="00004025" w:rsidRPr="00851BDE" w:rsidRDefault="00004025" w:rsidP="00004025">
          <w:pPr>
            <w:pStyle w:val="Template-Adresse"/>
            <w:rPr>
              <w:rFonts w:ascii="Times New Roman" w:hAnsi="Times New Roman" w:cs="Times New Roman"/>
              <w:sz w:val="18"/>
              <w:szCs w:val="18"/>
              <w:lang w:val="en-US"/>
            </w:rPr>
          </w:pPr>
          <w:r w:rsidRPr="00851BDE">
            <w:rPr>
              <w:rFonts w:ascii="Times New Roman" w:hAnsi="Times New Roman" w:cs="Times New Roman"/>
              <w:sz w:val="18"/>
              <w:szCs w:val="18"/>
              <w:lang w:val="en-US"/>
            </w:rPr>
            <w:t>4100 Ringsted</w:t>
          </w:r>
        </w:p>
      </w:tc>
      <w:tc>
        <w:tcPr>
          <w:tcW w:w="3209" w:type="dxa"/>
        </w:tcPr>
        <w:p w14:paraId="1BA0A29E" w14:textId="77777777" w:rsidR="00004025" w:rsidRPr="00851BDE" w:rsidRDefault="00004025" w:rsidP="00004025">
          <w:pPr>
            <w:pStyle w:val="Template-Adresse"/>
            <w:tabs>
              <w:tab w:val="left" w:pos="709"/>
            </w:tabs>
            <w:rPr>
              <w:rFonts w:ascii="Times New Roman" w:hAnsi="Times New Roman" w:cs="Times New Roman"/>
              <w:sz w:val="18"/>
              <w:szCs w:val="18"/>
              <w:lang w:val="en-US"/>
            </w:rPr>
          </w:pPr>
          <w:r w:rsidRPr="00851BDE">
            <w:rPr>
              <w:rFonts w:ascii="Times New Roman" w:hAnsi="Times New Roman" w:cs="Times New Roman"/>
              <w:sz w:val="18"/>
              <w:szCs w:val="18"/>
              <w:lang w:val="en-US"/>
            </w:rPr>
            <w:t>Phone no. 33 14 70 80</w:t>
          </w:r>
        </w:p>
        <w:p w14:paraId="7C8B4C7B" w14:textId="77777777" w:rsidR="00004025" w:rsidRPr="00851BDE" w:rsidRDefault="00004025" w:rsidP="00004025">
          <w:pPr>
            <w:pStyle w:val="Template-Adresse"/>
            <w:tabs>
              <w:tab w:val="left" w:pos="709"/>
            </w:tabs>
            <w:rPr>
              <w:rFonts w:ascii="Times New Roman" w:hAnsi="Times New Roman" w:cs="Times New Roman"/>
              <w:sz w:val="18"/>
              <w:szCs w:val="18"/>
              <w:lang w:val="en-US"/>
            </w:rPr>
          </w:pPr>
          <w:r w:rsidRPr="00851BDE">
            <w:rPr>
              <w:rFonts w:ascii="Times New Roman" w:hAnsi="Times New Roman" w:cs="Times New Roman"/>
              <w:sz w:val="18"/>
              <w:szCs w:val="18"/>
              <w:lang w:val="en-US"/>
            </w:rPr>
            <w:t>aib@havarikommissionen.dk</w:t>
          </w:r>
        </w:p>
        <w:p w14:paraId="0701F6A9" w14:textId="77777777" w:rsidR="00004025" w:rsidRPr="00851BDE" w:rsidRDefault="00004025" w:rsidP="00004025">
          <w:pPr>
            <w:pStyle w:val="Footer"/>
            <w:rPr>
              <w:rFonts w:ascii="Times New Roman" w:hAnsi="Times New Roman" w:cs="Times New Roman"/>
              <w:lang w:val="en-US"/>
            </w:rPr>
          </w:pPr>
          <w:r w:rsidRPr="00851BDE">
            <w:rPr>
              <w:rFonts w:ascii="Times New Roman" w:hAnsi="Times New Roman" w:cs="Times New Roman"/>
              <w:sz w:val="18"/>
              <w:szCs w:val="18"/>
              <w:lang w:val="en-US"/>
            </w:rPr>
            <w:t>www.havarikommissionen.dk</w:t>
          </w:r>
        </w:p>
      </w:tc>
      <w:tc>
        <w:tcPr>
          <w:tcW w:w="3210" w:type="dxa"/>
        </w:tcPr>
        <w:p w14:paraId="71605B20" w14:textId="77777777" w:rsidR="00004025" w:rsidRPr="00851BDE" w:rsidRDefault="00004025" w:rsidP="00004025">
          <w:pPr>
            <w:pStyle w:val="Template-Adresse"/>
            <w:tabs>
              <w:tab w:val="left" w:pos="567"/>
            </w:tabs>
            <w:rPr>
              <w:rFonts w:ascii="Times New Roman" w:hAnsi="Times New Roman" w:cs="Times New Roman"/>
              <w:sz w:val="18"/>
              <w:szCs w:val="18"/>
            </w:rPr>
          </w:pPr>
          <w:r w:rsidRPr="00851BDE">
            <w:rPr>
              <w:rFonts w:ascii="Times New Roman" w:hAnsi="Times New Roman" w:cs="Times New Roman"/>
              <w:sz w:val="18"/>
              <w:szCs w:val="18"/>
            </w:rPr>
            <w:t>Bank</w:t>
          </w:r>
          <w:r w:rsidRPr="00851BDE">
            <w:rPr>
              <w:rFonts w:ascii="Times New Roman" w:hAnsi="Times New Roman" w:cs="Times New Roman"/>
              <w:sz w:val="18"/>
              <w:szCs w:val="18"/>
            </w:rPr>
            <w:tab/>
            <w:t>Danske Bank</w:t>
          </w:r>
        </w:p>
        <w:p w14:paraId="1894E180" w14:textId="77777777" w:rsidR="00004025" w:rsidRPr="00851BDE" w:rsidRDefault="00004025" w:rsidP="00004025">
          <w:pPr>
            <w:pStyle w:val="Template-Adresse"/>
            <w:tabs>
              <w:tab w:val="left" w:pos="567"/>
            </w:tabs>
            <w:rPr>
              <w:rFonts w:ascii="Times New Roman" w:hAnsi="Times New Roman" w:cs="Times New Roman"/>
              <w:sz w:val="18"/>
              <w:szCs w:val="18"/>
            </w:rPr>
          </w:pPr>
          <w:r w:rsidRPr="00851BDE">
            <w:rPr>
              <w:rFonts w:ascii="Times New Roman" w:hAnsi="Times New Roman" w:cs="Times New Roman"/>
              <w:sz w:val="18"/>
              <w:szCs w:val="18"/>
            </w:rPr>
            <w:tab/>
            <w:t>reg. 0216 kt. 4069 061397</w:t>
          </w:r>
        </w:p>
        <w:p w14:paraId="229B9D2E" w14:textId="77777777" w:rsidR="00004025" w:rsidRPr="00851BDE" w:rsidRDefault="00004025" w:rsidP="00004025">
          <w:pPr>
            <w:pStyle w:val="Template-Adresse"/>
            <w:tabs>
              <w:tab w:val="left" w:pos="567"/>
            </w:tabs>
            <w:rPr>
              <w:rFonts w:ascii="Times New Roman" w:hAnsi="Times New Roman" w:cs="Times New Roman"/>
              <w:sz w:val="18"/>
              <w:szCs w:val="18"/>
              <w:lang w:val="en-US"/>
            </w:rPr>
          </w:pPr>
          <w:r w:rsidRPr="00851BDE">
            <w:rPr>
              <w:rFonts w:ascii="Times New Roman" w:hAnsi="Times New Roman" w:cs="Times New Roman"/>
              <w:sz w:val="18"/>
              <w:szCs w:val="18"/>
              <w:lang w:val="en-US"/>
            </w:rPr>
            <w:t>EAN</w:t>
          </w:r>
          <w:r w:rsidRPr="00851BDE">
            <w:rPr>
              <w:rFonts w:ascii="Times New Roman" w:hAnsi="Times New Roman" w:cs="Times New Roman"/>
              <w:sz w:val="18"/>
              <w:szCs w:val="18"/>
              <w:lang w:val="en-US"/>
            </w:rPr>
            <w:tab/>
            <w:t>5798 0008 93344</w:t>
          </w:r>
        </w:p>
        <w:p w14:paraId="46E9B199" w14:textId="77777777" w:rsidR="00004025" w:rsidRPr="00851BDE" w:rsidRDefault="00004025" w:rsidP="00004025">
          <w:pPr>
            <w:pStyle w:val="Template-Adresse"/>
            <w:tabs>
              <w:tab w:val="left" w:pos="567"/>
            </w:tabs>
            <w:rPr>
              <w:rFonts w:ascii="Times New Roman" w:hAnsi="Times New Roman" w:cs="Times New Roman"/>
              <w:sz w:val="18"/>
              <w:szCs w:val="18"/>
            </w:rPr>
          </w:pPr>
          <w:r w:rsidRPr="00851BDE">
            <w:rPr>
              <w:rFonts w:ascii="Times New Roman" w:hAnsi="Times New Roman" w:cs="Times New Roman"/>
              <w:sz w:val="18"/>
              <w:szCs w:val="18"/>
              <w:lang w:val="en-US"/>
            </w:rPr>
            <w:t>CVR</w:t>
          </w:r>
          <w:r w:rsidRPr="00851BDE">
            <w:rPr>
              <w:rFonts w:ascii="Times New Roman" w:hAnsi="Times New Roman" w:cs="Times New Roman"/>
              <w:sz w:val="18"/>
              <w:szCs w:val="18"/>
              <w:lang w:val="en-US"/>
            </w:rPr>
            <w:tab/>
            <w:t>25775</w:t>
          </w:r>
          <w:r w:rsidRPr="00851BDE">
            <w:rPr>
              <w:rFonts w:ascii="Times New Roman" w:hAnsi="Times New Roman" w:cs="Times New Roman"/>
              <w:sz w:val="18"/>
              <w:szCs w:val="18"/>
            </w:rPr>
            <w:t>910</w:t>
          </w:r>
        </w:p>
        <w:p w14:paraId="0E4F03CA" w14:textId="77777777" w:rsidR="00004025" w:rsidRPr="00851BDE" w:rsidRDefault="00004025">
          <w:pPr>
            <w:pStyle w:val="Footer"/>
            <w:rPr>
              <w:rFonts w:ascii="Times New Roman" w:hAnsi="Times New Roman" w:cs="Times New Roman"/>
            </w:rPr>
          </w:pPr>
        </w:p>
      </w:tc>
    </w:tr>
  </w:tbl>
  <w:p w14:paraId="2B837DF2" w14:textId="77777777" w:rsidR="00004025" w:rsidRDefault="00004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3BD4" w14:textId="77777777" w:rsidR="00FE1FC5" w:rsidRDefault="00FE1FC5" w:rsidP="00857BD8">
      <w:pPr>
        <w:spacing w:after="0" w:line="240" w:lineRule="auto"/>
      </w:pPr>
      <w:r>
        <w:separator/>
      </w:r>
    </w:p>
  </w:footnote>
  <w:footnote w:type="continuationSeparator" w:id="0">
    <w:p w14:paraId="67836E01" w14:textId="77777777" w:rsidR="00FE1FC5" w:rsidRDefault="00FE1FC5" w:rsidP="00857BD8">
      <w:pPr>
        <w:spacing w:after="0" w:line="240" w:lineRule="auto"/>
      </w:pPr>
      <w:r>
        <w:continuationSeparator/>
      </w:r>
    </w:p>
  </w:footnote>
  <w:footnote w:id="1">
    <w:p w14:paraId="546ECB1E" w14:textId="2282473A" w:rsidR="000F4E26" w:rsidRPr="000F4E26" w:rsidRDefault="000F4E26">
      <w:pPr>
        <w:pStyle w:val="FootnoteText"/>
        <w:rPr>
          <w:lang w:val="en-US"/>
        </w:rPr>
      </w:pPr>
      <w:r>
        <w:rPr>
          <w:rStyle w:val="FootnoteReference"/>
        </w:rPr>
        <w:footnoteRef/>
      </w:r>
      <w:r w:rsidRPr="000F4E26">
        <w:rPr>
          <w:lang w:val="en-US"/>
        </w:rPr>
        <w:t xml:space="preserve"> TC is short for TrafikCirkulære, </w:t>
      </w:r>
      <w:r w:rsidR="003913E8" w:rsidRPr="000F4E26">
        <w:rPr>
          <w:lang w:val="en-US"/>
        </w:rPr>
        <w:t>which</w:t>
      </w:r>
      <w:r w:rsidRPr="000F4E26">
        <w:rPr>
          <w:lang w:val="en-US"/>
        </w:rPr>
        <w:t xml:space="preserve"> is publications of </w:t>
      </w:r>
      <w:r>
        <w:rPr>
          <w:lang w:val="en-US"/>
        </w:rPr>
        <w:t>rule</w:t>
      </w:r>
      <w:r w:rsidR="003913E8">
        <w:rPr>
          <w:lang w:val="en-US"/>
        </w:rPr>
        <w:t>s and</w:t>
      </w:r>
      <w:r>
        <w:rPr>
          <w:lang w:val="en-US"/>
        </w:rPr>
        <w:t>/</w:t>
      </w:r>
      <w:r w:rsidR="003913E8">
        <w:rPr>
          <w:lang w:val="en-US"/>
        </w:rPr>
        <w:t xml:space="preserve">or </w:t>
      </w:r>
      <w:r>
        <w:rPr>
          <w:lang w:val="en-US"/>
        </w:rPr>
        <w:t>procedure</w:t>
      </w:r>
      <w:r w:rsidR="003913E8">
        <w:rPr>
          <w:lang w:val="en-US"/>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B54C" w14:textId="77777777" w:rsidR="00D12144" w:rsidRDefault="00D12144">
    <w:pPr>
      <w:pStyle w:val="Header"/>
    </w:pPr>
    <w:r>
      <w:rPr>
        <w:noProof/>
        <w:lang w:eastAsia="da-DK"/>
      </w:rPr>
      <w:drawing>
        <wp:anchor distT="0" distB="0" distL="114300" distR="114300" simplePos="0" relativeHeight="251661312" behindDoc="0" locked="0" layoutInCell="1" allowOverlap="1" wp14:anchorId="344B27D6" wp14:editId="42440460">
          <wp:simplePos x="0" y="0"/>
          <wp:positionH relativeFrom="page">
            <wp:posOffset>474345</wp:posOffset>
          </wp:positionH>
          <wp:positionV relativeFrom="paragraph">
            <wp:posOffset>-192405</wp:posOffset>
          </wp:positionV>
          <wp:extent cx="2028558" cy="664872"/>
          <wp:effectExtent l="0" t="0" r="0" b="1905"/>
          <wp:wrapSquare wrapText="bothSides"/>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11212 Havarikommissionen logo -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8558" cy="6648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23ED"/>
    <w:multiLevelType w:val="hybridMultilevel"/>
    <w:tmpl w:val="DF5C81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EE4151C"/>
    <w:multiLevelType w:val="hybridMultilevel"/>
    <w:tmpl w:val="0FB039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4512733">
    <w:abstractNumId w:val="1"/>
  </w:num>
  <w:num w:numId="2" w16cid:durableId="147561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BD8"/>
    <w:rsid w:val="00004025"/>
    <w:rsid w:val="000444F4"/>
    <w:rsid w:val="000F4E26"/>
    <w:rsid w:val="001136CC"/>
    <w:rsid w:val="001B6DC7"/>
    <w:rsid w:val="001D419B"/>
    <w:rsid w:val="001D5014"/>
    <w:rsid w:val="002710D8"/>
    <w:rsid w:val="00366184"/>
    <w:rsid w:val="003913E8"/>
    <w:rsid w:val="003F087A"/>
    <w:rsid w:val="003F3EB9"/>
    <w:rsid w:val="004F1D1E"/>
    <w:rsid w:val="005964A1"/>
    <w:rsid w:val="0062028B"/>
    <w:rsid w:val="0068697F"/>
    <w:rsid w:val="0069381C"/>
    <w:rsid w:val="00705081"/>
    <w:rsid w:val="007821A0"/>
    <w:rsid w:val="007A32BE"/>
    <w:rsid w:val="007D169E"/>
    <w:rsid w:val="0083467D"/>
    <w:rsid w:val="00851BDE"/>
    <w:rsid w:val="00857BD8"/>
    <w:rsid w:val="008B7A83"/>
    <w:rsid w:val="008F65CF"/>
    <w:rsid w:val="00C1612E"/>
    <w:rsid w:val="00C77F6D"/>
    <w:rsid w:val="00D12144"/>
    <w:rsid w:val="00D917AC"/>
    <w:rsid w:val="00DC7FEC"/>
    <w:rsid w:val="00E0350B"/>
    <w:rsid w:val="00E54769"/>
    <w:rsid w:val="00E6412E"/>
    <w:rsid w:val="00EC26FA"/>
    <w:rsid w:val="00EF47B2"/>
    <w:rsid w:val="00F13D4D"/>
    <w:rsid w:val="00F5454D"/>
    <w:rsid w:val="00FD34E9"/>
    <w:rsid w:val="00FE1F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0BCD14"/>
  <w15:chartTrackingRefBased/>
  <w15:docId w15:val="{76F36C51-16B2-41FE-A14B-FAA817FC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BD8"/>
    <w:pPr>
      <w:tabs>
        <w:tab w:val="center" w:pos="4819"/>
        <w:tab w:val="right" w:pos="9638"/>
      </w:tabs>
      <w:spacing w:after="0" w:line="240" w:lineRule="auto"/>
    </w:pPr>
  </w:style>
  <w:style w:type="character" w:customStyle="1" w:styleId="HeaderChar">
    <w:name w:val="Header Char"/>
    <w:basedOn w:val="DefaultParagraphFont"/>
    <w:link w:val="Header"/>
    <w:uiPriority w:val="99"/>
    <w:rsid w:val="00857BD8"/>
  </w:style>
  <w:style w:type="paragraph" w:styleId="Footer">
    <w:name w:val="footer"/>
    <w:basedOn w:val="Normal"/>
    <w:link w:val="FooterChar"/>
    <w:uiPriority w:val="99"/>
    <w:unhideWhenUsed/>
    <w:rsid w:val="00857BD8"/>
    <w:pPr>
      <w:tabs>
        <w:tab w:val="center" w:pos="4819"/>
        <w:tab w:val="right" w:pos="9638"/>
      </w:tabs>
      <w:spacing w:after="0" w:line="240" w:lineRule="auto"/>
    </w:pPr>
  </w:style>
  <w:style w:type="character" w:customStyle="1" w:styleId="FooterChar">
    <w:name w:val="Footer Char"/>
    <w:basedOn w:val="DefaultParagraphFont"/>
    <w:link w:val="Footer"/>
    <w:uiPriority w:val="99"/>
    <w:rsid w:val="00857BD8"/>
  </w:style>
  <w:style w:type="paragraph" w:customStyle="1" w:styleId="Template-Adresse">
    <w:name w:val="Template - Adresse"/>
    <w:basedOn w:val="Normal"/>
    <w:semiHidden/>
    <w:rsid w:val="00857BD8"/>
    <w:pPr>
      <w:spacing w:after="0" w:line="190" w:lineRule="atLeast"/>
    </w:pPr>
    <w:rPr>
      <w:rFonts w:ascii="Georgia" w:eastAsiaTheme="minorEastAsia" w:hAnsi="Georgia" w:cs="Georgia"/>
      <w:noProof/>
      <w:color w:val="0D0D0D" w:themeColor="text1" w:themeTint="F2"/>
      <w:sz w:val="15"/>
      <w:szCs w:val="21"/>
    </w:rPr>
  </w:style>
  <w:style w:type="table" w:styleId="TableGrid">
    <w:name w:val="Table Grid"/>
    <w:basedOn w:val="TableNormal"/>
    <w:uiPriority w:val="39"/>
    <w:rsid w:val="008F6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36CC"/>
    <w:pPr>
      <w:ind w:left="720"/>
      <w:contextualSpacing/>
    </w:pPr>
  </w:style>
  <w:style w:type="paragraph" w:styleId="FootnoteText">
    <w:name w:val="footnote text"/>
    <w:basedOn w:val="Normal"/>
    <w:link w:val="FootnoteTextChar"/>
    <w:uiPriority w:val="99"/>
    <w:semiHidden/>
    <w:unhideWhenUsed/>
    <w:rsid w:val="000F4E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4E26"/>
    <w:rPr>
      <w:sz w:val="20"/>
      <w:szCs w:val="20"/>
    </w:rPr>
  </w:style>
  <w:style w:type="character" w:styleId="FootnoteReference">
    <w:name w:val="footnote reference"/>
    <w:basedOn w:val="DefaultParagraphFont"/>
    <w:uiPriority w:val="99"/>
    <w:semiHidden/>
    <w:unhideWhenUsed/>
    <w:rsid w:val="000F4E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917AF27DC0E74FBC18F04831EE69AD" ma:contentTypeVersion="2" ma:contentTypeDescription="Create a new document." ma:contentTypeScope="" ma:versionID="85c256ed90f8e56dac91a087894c1c59">
  <xsd:schema xmlns:xsd="http://www.w3.org/2001/XMLSchema" xmlns:xs="http://www.w3.org/2001/XMLSchema" xmlns:p="http://schemas.microsoft.com/office/2006/metadata/properties" xmlns:ns3="cb69716f-a19e-4e54-821c-8526d7ece4c4" targetNamespace="http://schemas.microsoft.com/office/2006/metadata/properties" ma:root="true" ma:fieldsID="069634f956987ddabac2c24cb20504ca" ns3:_="">
    <xsd:import namespace="cb69716f-a19e-4e54-821c-8526d7ece4c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9716f-a19e-4e54-821c-8526d7ece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85947-DFDF-441E-B0D3-B3C9F05958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F0B811-E470-41F1-984F-BC8D931EF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9716f-a19e-4e54-821c-8526d7ece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340AF-953F-43CD-82E9-7A2A586DA84A}">
  <ds:schemaRefs>
    <ds:schemaRef ds:uri="http://schemas.microsoft.com/sharepoint/v3/contenttype/forms"/>
  </ds:schemaRefs>
</ds:datastoreItem>
</file>

<file path=customXml/itemProps4.xml><?xml version="1.0" encoding="utf-8"?>
<ds:datastoreItem xmlns:ds="http://schemas.openxmlformats.org/officeDocument/2006/customXml" ds:itemID="{617E48C5-13BD-46BC-A540-1E72C878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6744</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Havarikommissionen</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Juel Andersen</dc:creator>
  <cp:keywords/>
  <dc:description/>
  <cp:lastModifiedBy>ROTOLI Francesco</cp:lastModifiedBy>
  <cp:revision>2</cp:revision>
  <dcterms:created xsi:type="dcterms:W3CDTF">2023-09-07T08:42:00Z</dcterms:created>
  <dcterms:modified xsi:type="dcterms:W3CDTF">2023-09-07T08:42:00Z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0x0101001C917AF27DC0E74FBC18F04831EE69AD</vt:lpwstr>
  </property>
</Properties>
</file>