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A6" w:rsidRPr="00A03B04" w:rsidRDefault="00CE74A6" w:rsidP="00CE74A6">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HU-6229</w:t>
      </w:r>
      <w:bookmarkStart w:id="0" w:name="_GoBack"/>
      <w:bookmarkEnd w:id="0"/>
    </w:p>
    <w:p w:rsidR="00CE74A6" w:rsidRPr="00A03B04" w:rsidRDefault="00CE74A6" w:rsidP="00CE74A6">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accident/incident</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3 February 2020</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Pusztaszabolcs</w:t>
            </w:r>
            <w:proofErr w:type="spellEnd"/>
            <w:r w:rsidRPr="00A03B04">
              <w:rPr>
                <w:rFonts w:ascii="Times New Roman" w:hAnsi="Times New Roman" w:cs="Times New Roman"/>
                <w:sz w:val="20"/>
                <w:szCs w:val="20"/>
                <w:lang w:val="en-GB"/>
              </w:rPr>
              <w:t xml:space="preserve"> (station)</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Trains collision</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Shunting operation</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A shunting train crossed the route of an overpassing freight train no. 82901 and collided with it side to side at </w:t>
            </w:r>
            <w:proofErr w:type="spellStart"/>
            <w:r w:rsidRPr="00A03B04">
              <w:rPr>
                <w:rFonts w:ascii="Times New Roman" w:hAnsi="Times New Roman" w:cs="Times New Roman"/>
                <w:sz w:val="20"/>
                <w:szCs w:val="20"/>
                <w:lang w:val="en-GB"/>
              </w:rPr>
              <w:t>Pusztaszabolcs</w:t>
            </w:r>
            <w:proofErr w:type="spellEnd"/>
            <w:r w:rsidRPr="00A03B04">
              <w:rPr>
                <w:rFonts w:ascii="Times New Roman" w:hAnsi="Times New Roman" w:cs="Times New Roman"/>
                <w:sz w:val="20"/>
                <w:szCs w:val="20"/>
                <w:lang w:val="en-GB"/>
              </w:rPr>
              <w:t xml:space="preserve"> station.</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CE74A6" w:rsidRPr="00A03B04" w:rsidRDefault="00CE74A6"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0 fatality / 0 serious injury</w:t>
            </w:r>
          </w:p>
          <w:p w:rsidR="00CE74A6" w:rsidRPr="00A03B04" w:rsidRDefault="00CE74A6"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Total damage HUF 10,984,875 ( &lt; EUR 150,000)</w:t>
            </w:r>
          </w:p>
        </w:tc>
      </w:tr>
      <w:tr w:rsidR="00CE74A6" w:rsidRPr="00A03B04" w:rsidTr="00807622">
        <w:tc>
          <w:tcPr>
            <w:tcW w:w="2235" w:type="dxa"/>
          </w:tcPr>
          <w:p w:rsidR="00CE74A6" w:rsidRPr="00A03B04" w:rsidRDefault="00CE74A6" w:rsidP="00807622">
            <w:pPr>
              <w:pStyle w:val="Nincstrkz"/>
              <w:spacing w:before="40" w:after="68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CE74A6" w:rsidRPr="00A03B04" w:rsidRDefault="00CE74A6"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CE74A6" w:rsidRPr="00A03B04" w:rsidRDefault="00CE74A6" w:rsidP="00807622">
            <w:pPr>
              <w:pStyle w:val="Nincstrkz"/>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de-DE"/>
              </w:rPr>
              <w:t>Kárpát</w:t>
            </w:r>
            <w:proofErr w:type="spellEnd"/>
            <w:r w:rsidRPr="00A03B04">
              <w:rPr>
                <w:rFonts w:ascii="Times New Roman" w:hAnsi="Times New Roman" w:cs="Times New Roman"/>
                <w:sz w:val="20"/>
                <w:szCs w:val="20"/>
                <w:lang w:val="de-DE"/>
              </w:rPr>
              <w:t xml:space="preserve"> </w:t>
            </w:r>
            <w:proofErr w:type="spellStart"/>
            <w:r w:rsidRPr="00A03B04">
              <w:rPr>
                <w:rFonts w:ascii="Times New Roman" w:hAnsi="Times New Roman" w:cs="Times New Roman"/>
                <w:sz w:val="20"/>
                <w:szCs w:val="20"/>
                <w:lang w:val="de-DE"/>
              </w:rPr>
              <w:t>Vasút</w:t>
            </w:r>
            <w:proofErr w:type="spellEnd"/>
            <w:r w:rsidRPr="00A03B04">
              <w:rPr>
                <w:rFonts w:ascii="Times New Roman" w:hAnsi="Times New Roman" w:cs="Times New Roman"/>
                <w:sz w:val="20"/>
                <w:szCs w:val="20"/>
                <w:lang w:val="de-DE"/>
              </w:rPr>
              <w:t xml:space="preserve"> </w:t>
            </w:r>
            <w:proofErr w:type="spellStart"/>
            <w:r w:rsidRPr="00A03B04">
              <w:rPr>
                <w:rFonts w:ascii="Times New Roman" w:hAnsi="Times New Roman" w:cs="Times New Roman"/>
                <w:sz w:val="20"/>
                <w:szCs w:val="20"/>
                <w:lang w:val="de-DE"/>
              </w:rPr>
              <w:t>Kft</w:t>
            </w:r>
            <w:proofErr w:type="spellEnd"/>
            <w:r w:rsidRPr="00A03B04">
              <w:rPr>
                <w:rFonts w:ascii="Times New Roman" w:hAnsi="Times New Roman" w:cs="Times New Roman"/>
                <w:sz w:val="20"/>
                <w:szCs w:val="20"/>
                <w:lang w:val="de-DE"/>
              </w:rPr>
              <w:t xml:space="preserve">. </w:t>
            </w:r>
            <w:r w:rsidRPr="00A03B04">
              <w:rPr>
                <w:rFonts w:ascii="Times New Roman" w:hAnsi="Times New Roman" w:cs="Times New Roman"/>
                <w:sz w:val="20"/>
                <w:szCs w:val="20"/>
                <w:lang w:val="en-GB"/>
              </w:rPr>
              <w:t>(RU)</w:t>
            </w:r>
          </w:p>
          <w:p w:rsidR="00CE74A6" w:rsidRPr="00A03B04" w:rsidRDefault="00CE74A6"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Rail Cargo </w:t>
            </w:r>
            <w:proofErr w:type="spellStart"/>
            <w:r w:rsidRPr="00A03B04">
              <w:rPr>
                <w:rFonts w:ascii="Times New Roman" w:hAnsi="Times New Roman" w:cs="Times New Roman"/>
                <w:sz w:val="20"/>
                <w:szCs w:val="20"/>
                <w:lang w:val="en-GB"/>
              </w:rPr>
              <w:t>Hungaria</w:t>
            </w:r>
            <w:proofErr w:type="spellEnd"/>
            <w:r w:rsidRPr="00A03B04">
              <w:rPr>
                <w:rFonts w:ascii="Times New Roman" w:hAnsi="Times New Roman" w:cs="Times New Roman"/>
                <w:sz w:val="20"/>
                <w:szCs w:val="20"/>
                <w:lang w:val="en-GB"/>
              </w:rPr>
              <w:t xml:space="preserve"> </w:t>
            </w:r>
            <w:proofErr w:type="spellStart"/>
            <w:r w:rsidRPr="00A03B04">
              <w:rPr>
                <w:rFonts w:ascii="Times New Roman" w:hAnsi="Times New Roman" w:cs="Times New Roman"/>
                <w:sz w:val="20"/>
                <w:szCs w:val="20"/>
                <w:lang w:val="en-GB"/>
              </w:rPr>
              <w:t>Zrt</w:t>
            </w:r>
            <w:proofErr w:type="spellEnd"/>
            <w:r w:rsidRPr="00A03B04">
              <w:rPr>
                <w:rFonts w:ascii="Times New Roman" w:hAnsi="Times New Roman" w:cs="Times New Roman"/>
                <w:sz w:val="20"/>
                <w:szCs w:val="20"/>
                <w:lang w:val="en-GB"/>
              </w:rPr>
              <w:t>. (RU)</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safety installation did not detect the occupation of the № 14 switch, so the route of the passing freight train could be locked and “green” light could appear on the signal</w:t>
            </w:r>
          </w:p>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traffic controller gave authorisation to start the shunting movement without having information about the actual position of the train, without having competence over the tracks where the train was located (in the construction site) and without the presence of a </w:t>
            </w:r>
            <w:proofErr w:type="spellStart"/>
            <w:r w:rsidRPr="00A03B04">
              <w:rPr>
                <w:rFonts w:ascii="Times New Roman" w:hAnsi="Times New Roman" w:cs="Times New Roman"/>
                <w:sz w:val="20"/>
                <w:szCs w:val="20"/>
                <w:lang w:val="en-GB"/>
              </w:rPr>
              <w:t>forman</w:t>
            </w:r>
            <w:proofErr w:type="spellEnd"/>
            <w:r w:rsidRPr="00A03B04">
              <w:rPr>
                <w:rFonts w:ascii="Times New Roman" w:hAnsi="Times New Roman" w:cs="Times New Roman"/>
                <w:sz w:val="20"/>
                <w:szCs w:val="20"/>
                <w:lang w:val="en-GB"/>
              </w:rPr>
              <w:t xml:space="preserve"> shunter at the </w:t>
            </w:r>
            <w:proofErr w:type="spellStart"/>
            <w:r w:rsidRPr="00A03B04">
              <w:rPr>
                <w:rFonts w:ascii="Times New Roman" w:hAnsi="Times New Roman" w:cs="Times New Roman"/>
                <w:sz w:val="20"/>
                <w:szCs w:val="20"/>
                <w:lang w:val="en-GB"/>
              </w:rPr>
              <w:t>shounting</w:t>
            </w:r>
            <w:proofErr w:type="spellEnd"/>
            <w:r w:rsidRPr="00A03B04">
              <w:rPr>
                <w:rFonts w:ascii="Times New Roman" w:hAnsi="Times New Roman" w:cs="Times New Roman"/>
                <w:sz w:val="20"/>
                <w:szCs w:val="20"/>
                <w:lang w:val="en-GB"/>
              </w:rPr>
              <w:t xml:space="preserve"> site</w:t>
            </w:r>
          </w:p>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train making the shunting movement stopped on the № 14 in a position of violating the structure gauge (clearance) of the route of the ongoing freight train</w:t>
            </w:r>
          </w:p>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transition points between the station area in use and the construction area and the way of managing the movements crossing them were not clearly defined</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limited information was available to the traffic controller on the processes in progress at the construction site</w:t>
            </w:r>
          </w:p>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shunting movement was performed without a </w:t>
            </w:r>
            <w:proofErr w:type="spellStart"/>
            <w:r w:rsidRPr="00A03B04">
              <w:rPr>
                <w:rFonts w:ascii="Times New Roman" w:hAnsi="Times New Roman" w:cs="Times New Roman"/>
                <w:sz w:val="20"/>
                <w:szCs w:val="20"/>
                <w:lang w:val="en-GB"/>
              </w:rPr>
              <w:t>forman</w:t>
            </w:r>
            <w:proofErr w:type="spellEnd"/>
            <w:r w:rsidRPr="00A03B04">
              <w:rPr>
                <w:rFonts w:ascii="Times New Roman" w:hAnsi="Times New Roman" w:cs="Times New Roman"/>
                <w:sz w:val="20"/>
                <w:szCs w:val="20"/>
                <w:lang w:val="en-GB"/>
              </w:rPr>
              <w:t xml:space="preserve"> shunter being present in the construction area</w:t>
            </w:r>
          </w:p>
        </w:tc>
      </w:tr>
      <w:tr w:rsidR="00CE74A6" w:rsidRPr="00A03B04" w:rsidTr="00807622">
        <w:tc>
          <w:tcPr>
            <w:tcW w:w="2235" w:type="dxa"/>
          </w:tcPr>
          <w:p w:rsidR="00CE74A6" w:rsidRPr="00A03B04" w:rsidRDefault="00CE74A6" w:rsidP="00807622">
            <w:pPr>
              <w:pStyle w:val="Nincstrkz"/>
              <w:spacing w:before="40" w:after="4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 implementing instructions had been drawn up on the traffic management procedures applicable at the time of the reconstruction works</w:t>
            </w:r>
          </w:p>
          <w:p w:rsidR="00CE74A6" w:rsidRPr="00A03B04" w:rsidRDefault="00CE74A6" w:rsidP="00CE74A6">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staff were only allowed to work under instructions which did not indicate a person authorising the shunting operations in the work area</w:t>
            </w:r>
          </w:p>
        </w:tc>
      </w:tr>
      <w:tr w:rsidR="00CE74A6" w:rsidRPr="00A03B04" w:rsidTr="00807622">
        <w:tc>
          <w:tcPr>
            <w:tcW w:w="2235" w:type="dxa"/>
          </w:tcPr>
          <w:p w:rsidR="00CE74A6" w:rsidRPr="00A03B04" w:rsidRDefault="00CE74A6"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CE74A6" w:rsidRPr="00A03B04" w:rsidRDefault="00CE74A6"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CE74A6" w:rsidRPr="00A03B04" w:rsidRDefault="00CE74A6" w:rsidP="00CE74A6">
      <w:pPr>
        <w:pStyle w:val="Nincstrkz"/>
        <w:rPr>
          <w:rFonts w:ascii="Times New Roman" w:hAnsi="Times New Roman" w:cs="Times New Roman"/>
          <w:sz w:val="20"/>
          <w:szCs w:val="20"/>
          <w:lang w:val="en-GB"/>
        </w:rPr>
      </w:pPr>
    </w:p>
    <w:p w:rsidR="00DE1EC3" w:rsidRDefault="00CE74A6" w:rsidP="00CE74A6">
      <w:pPr>
        <w:pStyle w:val="Nincstrkz"/>
        <w:spacing w:before="120"/>
        <w:jc w:val="center"/>
      </w:pPr>
      <w:r w:rsidRPr="00A03B04">
        <w:rPr>
          <w:rFonts w:ascii="Times New Roman" w:hAnsi="Times New Roman" w:cs="Times New Roman"/>
          <w:noProof/>
          <w:lang w:eastAsia="hu-HU"/>
        </w:rPr>
        <w:drawing>
          <wp:inline distT="0" distB="0" distL="0" distR="0" wp14:anchorId="1D3F2ACE" wp14:editId="1B59F402">
            <wp:extent cx="2619343" cy="2160000"/>
            <wp:effectExtent l="0" t="0" r="0" b="0"/>
            <wp:docPr id="1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619343" cy="2160000"/>
                    </a:xfrm>
                    <a:prstGeom prst="rect">
                      <a:avLst/>
                    </a:prstGeom>
                    <a:noFill/>
                    <a:ln>
                      <a:noFill/>
                    </a:ln>
                  </pic:spPr>
                </pic:pic>
              </a:graphicData>
            </a:graphic>
          </wp:inline>
        </w:drawing>
      </w:r>
      <w:r w:rsidRPr="00A03B04">
        <w:rPr>
          <w:rFonts w:ascii="Times New Roman" w:hAnsi="Times New Roman" w:cs="Times New Roman"/>
          <w:sz w:val="20"/>
          <w:szCs w:val="20"/>
          <w:lang w:val="en-GB"/>
        </w:rPr>
        <w:tab/>
      </w:r>
      <w:r w:rsidRPr="00A03B04">
        <w:rPr>
          <w:rFonts w:ascii="Times New Roman" w:hAnsi="Times New Roman" w:cs="Times New Roman"/>
          <w:noProof/>
          <w:lang w:eastAsia="hu-HU"/>
        </w:rPr>
        <w:drawing>
          <wp:inline distT="0" distB="0" distL="0" distR="0" wp14:anchorId="64F2BC07" wp14:editId="4F244770">
            <wp:extent cx="2939602" cy="2160000"/>
            <wp:effectExtent l="0" t="0" r="0" b="0"/>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939602" cy="2160000"/>
                    </a:xfrm>
                    <a:prstGeom prst="rect">
                      <a:avLst/>
                    </a:prstGeom>
                    <a:noFill/>
                    <a:ln>
                      <a:noFill/>
                    </a:ln>
                  </pic:spPr>
                </pic:pic>
              </a:graphicData>
            </a:graphic>
          </wp:inline>
        </w:drawing>
      </w:r>
    </w:p>
    <w:sectPr w:rsidR="00DE1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A6"/>
    <w:rsid w:val="00CE74A6"/>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74A6"/>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CE74A6"/>
    <w:pPr>
      <w:spacing w:after="0" w:line="240" w:lineRule="auto"/>
    </w:pPr>
  </w:style>
  <w:style w:type="table" w:styleId="Rcsostblzat">
    <w:name w:val="Table Grid"/>
    <w:basedOn w:val="Normltblzat"/>
    <w:uiPriority w:val="59"/>
    <w:rsid w:val="00CE7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74A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E7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74A6"/>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CE74A6"/>
    <w:pPr>
      <w:spacing w:after="0" w:line="240" w:lineRule="auto"/>
    </w:pPr>
  </w:style>
  <w:style w:type="table" w:styleId="Rcsostblzat">
    <w:name w:val="Table Grid"/>
    <w:basedOn w:val="Normltblzat"/>
    <w:uiPriority w:val="59"/>
    <w:rsid w:val="00CE7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74A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E7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1662</Characters>
  <Application>Microsoft Office Word</Application>
  <DocSecurity>0</DocSecurity>
  <Lines>13</Lines>
  <Paragraphs>3</Paragraphs>
  <ScaleCrop>false</ScaleCrop>
  <Company>KD</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2023-03-02T09:59:00Z</dcterms:created>
  <dcterms:modified xsi:type="dcterms:W3CDTF">2023-03-02T10:00:00Z</dcterms:modified>
</cp:coreProperties>
</file>