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B8" w:rsidRPr="00A03B04" w:rsidRDefault="001673B8" w:rsidP="001673B8">
      <w:pPr>
        <w:pStyle w:val="Nincstrkz"/>
        <w:jc w:val="center"/>
        <w:rPr>
          <w:rFonts w:ascii="Times New Roman" w:hAnsi="Times New Roman" w:cs="Times New Roman"/>
          <w:b/>
          <w:sz w:val="20"/>
          <w:szCs w:val="20"/>
          <w:lang w:val="en-GB"/>
        </w:rPr>
      </w:pPr>
      <w:r w:rsidRPr="00A03B04">
        <w:rPr>
          <w:rFonts w:ascii="Times New Roman" w:hAnsi="Times New Roman" w:cs="Times New Roman"/>
          <w:b/>
          <w:sz w:val="20"/>
          <w:szCs w:val="20"/>
          <w:lang w:val="en-GB"/>
        </w:rPr>
        <w:t>SUMMARY OF OCCURRENCE № HU-6202</w:t>
      </w:r>
    </w:p>
    <w:p w:rsidR="001673B8" w:rsidRPr="00A03B04" w:rsidRDefault="001673B8" w:rsidP="001673B8">
      <w:pPr>
        <w:pStyle w:val="Nincstrkz"/>
        <w:rPr>
          <w:rFonts w:ascii="Times New Roman" w:hAnsi="Times New Roman" w:cs="Times New Roman"/>
          <w:sz w:val="20"/>
          <w:szCs w:val="20"/>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1673B8" w:rsidRPr="00A03B04" w:rsidTr="00807622">
        <w:tc>
          <w:tcPr>
            <w:tcW w:w="2235"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Grade:</w:t>
            </w:r>
          </w:p>
        </w:tc>
        <w:tc>
          <w:tcPr>
            <w:tcW w:w="6977"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Railway incident</w:t>
            </w:r>
          </w:p>
        </w:tc>
      </w:tr>
      <w:tr w:rsidR="001673B8" w:rsidRPr="00A03B04" w:rsidTr="00807622">
        <w:tc>
          <w:tcPr>
            <w:tcW w:w="2235"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Date and time:</w:t>
            </w:r>
          </w:p>
        </w:tc>
        <w:tc>
          <w:tcPr>
            <w:tcW w:w="6977"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21 February 2020</w:t>
            </w:r>
          </w:p>
        </w:tc>
      </w:tr>
      <w:tr w:rsidR="001673B8" w:rsidRPr="00A03B04" w:rsidTr="00807622">
        <w:tc>
          <w:tcPr>
            <w:tcW w:w="2235"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Location:</w:t>
            </w:r>
          </w:p>
        </w:tc>
        <w:tc>
          <w:tcPr>
            <w:tcW w:w="6977"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proofErr w:type="spellStart"/>
            <w:r w:rsidRPr="00A03B04">
              <w:rPr>
                <w:rFonts w:ascii="Times New Roman" w:hAnsi="Times New Roman" w:cs="Times New Roman"/>
                <w:sz w:val="20"/>
                <w:szCs w:val="20"/>
                <w:lang w:val="en-GB"/>
              </w:rPr>
              <w:t>Lőkösháza</w:t>
            </w:r>
            <w:proofErr w:type="spellEnd"/>
            <w:r w:rsidRPr="00A03B04">
              <w:rPr>
                <w:rFonts w:ascii="Times New Roman" w:hAnsi="Times New Roman" w:cs="Times New Roman"/>
                <w:sz w:val="20"/>
                <w:szCs w:val="20"/>
                <w:lang w:val="en-GB"/>
              </w:rPr>
              <w:t xml:space="preserve"> (station)</w:t>
            </w:r>
          </w:p>
        </w:tc>
      </w:tr>
      <w:tr w:rsidR="001673B8" w:rsidRPr="00A03B04" w:rsidTr="00807622">
        <w:tc>
          <w:tcPr>
            <w:tcW w:w="2235"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Occurrence type:</w:t>
            </w:r>
          </w:p>
        </w:tc>
        <w:tc>
          <w:tcPr>
            <w:tcW w:w="6977"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Signal passed at danger</w:t>
            </w:r>
          </w:p>
        </w:tc>
      </w:tr>
      <w:tr w:rsidR="001673B8" w:rsidRPr="00A03B04" w:rsidTr="00807622">
        <w:tc>
          <w:tcPr>
            <w:tcW w:w="2235"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Movement type:</w:t>
            </w:r>
          </w:p>
        </w:tc>
        <w:tc>
          <w:tcPr>
            <w:tcW w:w="6977"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Locomotive running solo</w:t>
            </w:r>
          </w:p>
        </w:tc>
      </w:tr>
      <w:tr w:rsidR="001673B8" w:rsidRPr="00A03B04" w:rsidTr="00807622">
        <w:tc>
          <w:tcPr>
            <w:tcW w:w="2235"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Description:</w:t>
            </w:r>
          </w:p>
        </w:tc>
        <w:tc>
          <w:tcPr>
            <w:tcW w:w="6977"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The train no. 27355 passed the signal of </w:t>
            </w:r>
            <w:proofErr w:type="spellStart"/>
            <w:r w:rsidRPr="00A03B04">
              <w:rPr>
                <w:rFonts w:ascii="Times New Roman" w:hAnsi="Times New Roman" w:cs="Times New Roman"/>
                <w:sz w:val="20"/>
                <w:szCs w:val="20"/>
                <w:lang w:val="en-GB"/>
              </w:rPr>
              <w:t>Lőkösháza</w:t>
            </w:r>
            <w:proofErr w:type="spellEnd"/>
            <w:r w:rsidRPr="00A03B04">
              <w:rPr>
                <w:rFonts w:ascii="Times New Roman" w:hAnsi="Times New Roman" w:cs="Times New Roman"/>
                <w:sz w:val="20"/>
                <w:szCs w:val="20"/>
                <w:lang w:val="en-GB"/>
              </w:rPr>
              <w:t xml:space="preserve"> station at danger. Eventually the train was stopped by the engine driver before leaving the station. The passenger train what was coming from the opposite direction (no. 7504), stopped before reaching the entry signal of the station.</w:t>
            </w:r>
          </w:p>
        </w:tc>
      </w:tr>
      <w:tr w:rsidR="001673B8" w:rsidRPr="00A03B04" w:rsidTr="00807622">
        <w:tc>
          <w:tcPr>
            <w:tcW w:w="2235" w:type="dxa"/>
          </w:tcPr>
          <w:p w:rsidR="001673B8" w:rsidRPr="00A03B04" w:rsidRDefault="001673B8"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Consequences:</w:t>
            </w:r>
          </w:p>
        </w:tc>
        <w:tc>
          <w:tcPr>
            <w:tcW w:w="6977" w:type="dxa"/>
          </w:tcPr>
          <w:p w:rsidR="001673B8" w:rsidRPr="00A03B04" w:rsidRDefault="001673B8" w:rsidP="00807622">
            <w:pPr>
              <w:pStyle w:val="Nincstrkz"/>
              <w:spacing w:before="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0 fatality / 0 serious injury</w:t>
            </w:r>
          </w:p>
          <w:p w:rsidR="001673B8" w:rsidRPr="00A03B04" w:rsidRDefault="001673B8"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 damage (EUR 0)</w:t>
            </w:r>
          </w:p>
        </w:tc>
      </w:tr>
      <w:tr w:rsidR="001673B8" w:rsidRPr="00A03B04" w:rsidTr="00807622">
        <w:tc>
          <w:tcPr>
            <w:tcW w:w="2235" w:type="dxa"/>
          </w:tcPr>
          <w:p w:rsidR="001673B8" w:rsidRPr="00A03B04" w:rsidRDefault="001673B8" w:rsidP="00807622">
            <w:pPr>
              <w:pStyle w:val="Nincstrkz"/>
              <w:spacing w:before="40" w:after="68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Parties:</w:t>
            </w:r>
          </w:p>
        </w:tc>
        <w:tc>
          <w:tcPr>
            <w:tcW w:w="6977" w:type="dxa"/>
          </w:tcPr>
          <w:p w:rsidR="001673B8" w:rsidRPr="00A03B04" w:rsidRDefault="001673B8" w:rsidP="00807622">
            <w:pPr>
              <w:pStyle w:val="Nincstrkz"/>
              <w:spacing w:before="40"/>
              <w:jc w:val="both"/>
              <w:rPr>
                <w:rFonts w:ascii="Times New Roman" w:hAnsi="Times New Roman" w:cs="Times New Roman"/>
                <w:sz w:val="20"/>
                <w:szCs w:val="20"/>
                <w:lang w:val="de-DE"/>
              </w:rPr>
            </w:pPr>
            <w:r w:rsidRPr="00A03B04">
              <w:rPr>
                <w:rFonts w:ascii="Times New Roman" w:hAnsi="Times New Roman" w:cs="Times New Roman"/>
                <w:sz w:val="20"/>
                <w:szCs w:val="20"/>
                <w:lang w:val="de-DE"/>
              </w:rPr>
              <w:t xml:space="preserve">MÁV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(IM)</w:t>
            </w:r>
          </w:p>
          <w:p w:rsidR="001673B8" w:rsidRPr="00A03B04" w:rsidRDefault="001673B8" w:rsidP="00807622">
            <w:pPr>
              <w:pStyle w:val="Nincstrkz"/>
              <w:jc w:val="both"/>
              <w:rPr>
                <w:rFonts w:ascii="Times New Roman" w:hAnsi="Times New Roman" w:cs="Times New Roman"/>
                <w:sz w:val="20"/>
                <w:szCs w:val="20"/>
                <w:lang w:val="de-DE"/>
              </w:rPr>
            </w:pPr>
            <w:r w:rsidRPr="00A03B04">
              <w:rPr>
                <w:rFonts w:ascii="Times New Roman" w:hAnsi="Times New Roman" w:cs="Times New Roman"/>
                <w:sz w:val="20"/>
                <w:szCs w:val="20"/>
                <w:lang w:val="de-DE"/>
              </w:rPr>
              <w:t xml:space="preserve">CER </w:t>
            </w:r>
            <w:proofErr w:type="spellStart"/>
            <w:r w:rsidRPr="00A03B04">
              <w:rPr>
                <w:rFonts w:ascii="Times New Roman" w:hAnsi="Times New Roman" w:cs="Times New Roman"/>
                <w:sz w:val="20"/>
                <w:szCs w:val="20"/>
                <w:lang w:val="de-DE"/>
              </w:rPr>
              <w:t>Hungary</w:t>
            </w:r>
            <w:proofErr w:type="spellEnd"/>
            <w:r w:rsidRPr="00A03B04">
              <w:rPr>
                <w:rFonts w:ascii="Times New Roman" w:hAnsi="Times New Roman" w:cs="Times New Roman"/>
                <w:sz w:val="20"/>
                <w:szCs w:val="20"/>
                <w:lang w:val="de-DE"/>
              </w:rPr>
              <w:t xml:space="preserve">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(RU)</w:t>
            </w:r>
          </w:p>
          <w:p w:rsidR="001673B8" w:rsidRPr="00A03B04" w:rsidRDefault="001673B8" w:rsidP="00807622">
            <w:pPr>
              <w:pStyle w:val="Nincstrkz"/>
              <w:spacing w:after="40"/>
              <w:jc w:val="both"/>
              <w:rPr>
                <w:rFonts w:ascii="Times New Roman" w:hAnsi="Times New Roman" w:cs="Times New Roman"/>
                <w:sz w:val="20"/>
                <w:szCs w:val="20"/>
                <w:lang w:val="de-DE"/>
              </w:rPr>
            </w:pPr>
            <w:r w:rsidRPr="00A03B04">
              <w:rPr>
                <w:rFonts w:ascii="Times New Roman" w:hAnsi="Times New Roman" w:cs="Times New Roman"/>
                <w:sz w:val="20"/>
                <w:szCs w:val="20"/>
                <w:lang w:val="de-DE"/>
              </w:rPr>
              <w:t xml:space="preserve">MÁV-START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(RU)</w:t>
            </w:r>
          </w:p>
        </w:tc>
      </w:tr>
      <w:tr w:rsidR="001673B8" w:rsidRPr="00A03B04" w:rsidTr="00807622">
        <w:tc>
          <w:tcPr>
            <w:tcW w:w="2235" w:type="dxa"/>
          </w:tcPr>
          <w:p w:rsidR="001673B8" w:rsidRPr="00A03B04" w:rsidRDefault="001673B8"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Direct cause(s):</w:t>
            </w:r>
          </w:p>
        </w:tc>
        <w:tc>
          <w:tcPr>
            <w:tcW w:w="6977" w:type="dxa"/>
          </w:tcPr>
          <w:p w:rsidR="001673B8" w:rsidRPr="00A03B04" w:rsidRDefault="001673B8" w:rsidP="001673B8">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driver remembered incorrectly the aspect of the entrance signal which also gave pre-indication for the exit signal</w:t>
            </w:r>
          </w:p>
          <w:p w:rsidR="001673B8" w:rsidRPr="00A03B04" w:rsidRDefault="001673B8" w:rsidP="001673B8">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locomotive driver was late in checking the aspect of the “K2” exit signal</w:t>
            </w:r>
          </w:p>
          <w:p w:rsidR="001673B8" w:rsidRPr="00A03B04" w:rsidRDefault="001673B8" w:rsidP="001673B8">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the driver's work was interrupted by a telephone conversation with the dispatcher of the railway company and then by the </w:t>
            </w:r>
            <w:proofErr w:type="spellStart"/>
            <w:r w:rsidRPr="00A03B04">
              <w:rPr>
                <w:rFonts w:ascii="Times New Roman" w:hAnsi="Times New Roman" w:cs="Times New Roman"/>
                <w:sz w:val="20"/>
                <w:szCs w:val="20"/>
                <w:lang w:val="en-GB"/>
              </w:rPr>
              <w:t>receive</w:t>
            </w:r>
            <w:proofErr w:type="spellEnd"/>
            <w:r w:rsidRPr="00A03B04">
              <w:rPr>
                <w:rFonts w:ascii="Times New Roman" w:hAnsi="Times New Roman" w:cs="Times New Roman"/>
                <w:sz w:val="20"/>
                <w:szCs w:val="20"/>
                <w:lang w:val="en-GB"/>
              </w:rPr>
              <w:t xml:space="preserve"> of the journey documents</w:t>
            </w:r>
          </w:p>
        </w:tc>
      </w:tr>
      <w:tr w:rsidR="001673B8" w:rsidRPr="00A03B04" w:rsidTr="00807622">
        <w:tc>
          <w:tcPr>
            <w:tcW w:w="2235" w:type="dxa"/>
          </w:tcPr>
          <w:p w:rsidR="001673B8" w:rsidRPr="00A03B04" w:rsidRDefault="001673B8"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Contributory factor(s):</w:t>
            </w:r>
          </w:p>
        </w:tc>
        <w:tc>
          <w:tcPr>
            <w:tcW w:w="6977" w:type="dxa"/>
          </w:tcPr>
          <w:p w:rsidR="001673B8" w:rsidRPr="00A03B04" w:rsidRDefault="001673B8" w:rsidP="001673B8">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driver was also distracted by the fact that, after a phone call with the dispatcher, he was already planning the rest of the work to be done at Szolnok station when he got back on the locomotive and departed</w:t>
            </w:r>
          </w:p>
          <w:p w:rsidR="001673B8" w:rsidRPr="00A03B04" w:rsidRDefault="001673B8" w:rsidP="001673B8">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the </w:t>
            </w:r>
            <w:proofErr w:type="spellStart"/>
            <w:r w:rsidRPr="00A03B04">
              <w:rPr>
                <w:rFonts w:ascii="Times New Roman" w:hAnsi="Times New Roman" w:cs="Times New Roman"/>
                <w:sz w:val="20"/>
                <w:szCs w:val="20"/>
                <w:lang w:val="en-GB"/>
              </w:rPr>
              <w:t>locomotie</w:t>
            </w:r>
            <w:proofErr w:type="spellEnd"/>
            <w:r w:rsidRPr="00A03B04">
              <w:rPr>
                <w:rFonts w:ascii="Times New Roman" w:hAnsi="Times New Roman" w:cs="Times New Roman"/>
                <w:sz w:val="20"/>
                <w:szCs w:val="20"/>
                <w:lang w:val="en-GB"/>
              </w:rPr>
              <w:t xml:space="preserve"> driver’s concentration may have been reduced by the fact that he has had to leave home quite early, about four hours before the start of the service</w:t>
            </w:r>
          </w:p>
        </w:tc>
      </w:tr>
      <w:tr w:rsidR="001673B8" w:rsidRPr="00A03B04" w:rsidTr="00807622">
        <w:tc>
          <w:tcPr>
            <w:tcW w:w="2235" w:type="dxa"/>
          </w:tcPr>
          <w:p w:rsidR="001673B8" w:rsidRPr="00A03B04" w:rsidRDefault="001673B8"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Underlying cause(s):</w:t>
            </w:r>
          </w:p>
        </w:tc>
        <w:tc>
          <w:tcPr>
            <w:tcW w:w="6977" w:type="dxa"/>
          </w:tcPr>
          <w:p w:rsidR="001673B8" w:rsidRPr="00A03B04" w:rsidRDefault="001673B8" w:rsidP="001673B8">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r w:rsidR="001673B8" w:rsidRPr="00A03B04" w:rsidTr="00807622">
        <w:tc>
          <w:tcPr>
            <w:tcW w:w="2235" w:type="dxa"/>
          </w:tcPr>
          <w:p w:rsidR="001673B8" w:rsidRPr="00A03B04" w:rsidRDefault="001673B8" w:rsidP="00807622">
            <w:pPr>
              <w:pStyle w:val="Nincstrkz"/>
              <w:spacing w:before="12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Recommendation(s):</w:t>
            </w:r>
          </w:p>
        </w:tc>
        <w:tc>
          <w:tcPr>
            <w:tcW w:w="6977" w:type="dxa"/>
          </w:tcPr>
          <w:p w:rsidR="001673B8" w:rsidRPr="00A03B04" w:rsidRDefault="001673B8" w:rsidP="00807622">
            <w:pPr>
              <w:pStyle w:val="Nincstrkz"/>
              <w:spacing w:before="12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bl>
    <w:p w:rsidR="001673B8" w:rsidRPr="00A03B04" w:rsidRDefault="001673B8" w:rsidP="001673B8">
      <w:pPr>
        <w:pStyle w:val="Nincstrkz"/>
        <w:rPr>
          <w:rFonts w:ascii="Times New Roman" w:hAnsi="Times New Roman" w:cs="Times New Roman"/>
          <w:sz w:val="20"/>
          <w:szCs w:val="20"/>
          <w:lang w:val="en-GB"/>
        </w:rPr>
      </w:pPr>
    </w:p>
    <w:p w:rsidR="00DE1EC3" w:rsidRPr="001673B8" w:rsidRDefault="001673B8" w:rsidP="001673B8">
      <w:pPr>
        <w:pStyle w:val="Nincstrkz"/>
        <w:jc w:val="center"/>
        <w:rPr>
          <w:rFonts w:ascii="Times New Roman" w:hAnsi="Times New Roman" w:cs="Times New Roman"/>
          <w:sz w:val="20"/>
          <w:szCs w:val="20"/>
          <w:lang w:val="en-GB"/>
        </w:rPr>
      </w:pPr>
      <w:r w:rsidRPr="00A03B04">
        <w:rPr>
          <w:rFonts w:ascii="Times New Roman" w:hAnsi="Times New Roman" w:cs="Times New Roman"/>
          <w:noProof/>
          <w:lang w:eastAsia="hu-HU"/>
        </w:rPr>
        <w:drawing>
          <wp:inline distT="0" distB="0" distL="0" distR="0" wp14:anchorId="34ED05B0" wp14:editId="04000589">
            <wp:extent cx="3960000" cy="2971381"/>
            <wp:effectExtent l="0" t="0" r="2540" b="635"/>
            <wp:docPr id="15" name="Kép 15" descr="20200221_16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00221_163027"/>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960000" cy="2971381"/>
                    </a:xfrm>
                    <a:prstGeom prst="rect">
                      <a:avLst/>
                    </a:prstGeom>
                    <a:noFill/>
                    <a:ln>
                      <a:noFill/>
                    </a:ln>
                  </pic:spPr>
                </pic:pic>
              </a:graphicData>
            </a:graphic>
          </wp:inline>
        </w:drawing>
      </w:r>
      <w:bookmarkStart w:id="0" w:name="_GoBack"/>
      <w:bookmarkEnd w:id="0"/>
    </w:p>
    <w:sectPr w:rsidR="00DE1EC3" w:rsidRPr="00167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69B7"/>
    <w:multiLevelType w:val="hybridMultilevel"/>
    <w:tmpl w:val="151AFE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99A10E2">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B8"/>
    <w:rsid w:val="001673B8"/>
    <w:rsid w:val="00DE1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73B8"/>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673B8"/>
    <w:pPr>
      <w:spacing w:after="0" w:line="240" w:lineRule="auto"/>
    </w:pPr>
  </w:style>
  <w:style w:type="table" w:styleId="Rcsostblzat">
    <w:name w:val="Table Grid"/>
    <w:basedOn w:val="Normltblzat"/>
    <w:uiPriority w:val="59"/>
    <w:rsid w:val="00167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673B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7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73B8"/>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673B8"/>
    <w:pPr>
      <w:spacing w:after="0" w:line="240" w:lineRule="auto"/>
    </w:pPr>
  </w:style>
  <w:style w:type="table" w:styleId="Rcsostblzat">
    <w:name w:val="Table Grid"/>
    <w:basedOn w:val="Normltblzat"/>
    <w:uiPriority w:val="59"/>
    <w:rsid w:val="00167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673B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7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1272</Characters>
  <Application>Microsoft Office Word</Application>
  <DocSecurity>0</DocSecurity>
  <Lines>10</Lines>
  <Paragraphs>2</Paragraphs>
  <ScaleCrop>false</ScaleCrop>
  <Company>KD</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2023-03-02T10:01:00Z</dcterms:created>
  <dcterms:modified xsi:type="dcterms:W3CDTF">2023-03-02T10:01:00Z</dcterms:modified>
</cp:coreProperties>
</file>