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D8219A"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Výzva na predkladanie žiadostí na miesto projektových referentov v bezpečnostnom útvare </w:t>
      </w:r>
    </w:p>
    <w:p w:rsidR="00797555" w:rsidRPr="008F1AD8" w:rsidRDefault="00D8219A" w:rsidP="008F1AD8">
      <w:pPr>
        <w:pStyle w:val="Subtitle"/>
        <w:jc w:val="both"/>
      </w:pPr>
      <w:r>
        <w:t>Dočasný zamestnanec podľa čl. 2 písm. f) (AD6) – so zámerom zostaviť rezervný zoznam – ERA/AD/2016/003-OPE</w:t>
      </w:r>
    </w:p>
    <w:p w:rsidR="00797555" w:rsidRDefault="00FE2962"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0D68EF" w:rsidTr="008F1AD8">
        <w:trPr>
          <w:trHeight w:val="274"/>
        </w:trPr>
        <w:tc>
          <w:tcPr>
            <w:tcW w:w="5000" w:type="pct"/>
            <w:shd w:val="clear" w:color="auto" w:fill="auto"/>
            <w:vAlign w:val="center"/>
          </w:tcPr>
          <w:p w:rsidR="00797555" w:rsidRPr="00BC4249" w:rsidRDefault="00D8219A" w:rsidP="006420F3">
            <w:pPr>
              <w:pStyle w:val="HeadingTableleft"/>
            </w:pPr>
            <w:r>
              <w:t>NÁPLŇ PRÁCE</w:t>
            </w:r>
          </w:p>
        </w:tc>
      </w:tr>
      <w:tr w:rsidR="000D68EF" w:rsidTr="008F1AD8">
        <w:tc>
          <w:tcPr>
            <w:tcW w:w="5000" w:type="pct"/>
          </w:tcPr>
          <w:p w:rsidR="00797555" w:rsidRPr="008F1AD8" w:rsidRDefault="00D8219A" w:rsidP="006420F3">
            <w:pPr>
              <w:rPr>
                <w:color w:val="auto"/>
              </w:rPr>
            </w:pPr>
            <w:r>
              <w:rPr>
                <w:color w:val="auto"/>
              </w:rPr>
              <w:t>Zamestnanec bude pracovať v bezpečnostnom útvare pod vedením jedného z vedúcich úseku. Vzhľadom na citlivosť práce sa od úspešného uchádzača vyžaduje vysoká miera zmyslu pre zachovanie dôvernosti.</w:t>
            </w:r>
          </w:p>
          <w:p w:rsidR="00797555" w:rsidRPr="008F1AD8" w:rsidRDefault="00D8219A" w:rsidP="006420F3">
            <w:pPr>
              <w:rPr>
                <w:color w:val="auto"/>
              </w:rPr>
            </w:pPr>
            <w:r>
              <w:rPr>
                <w:color w:val="auto"/>
              </w:rPr>
              <w:t>Hlavné úlohy a povinnosti:</w:t>
            </w:r>
          </w:p>
          <w:p w:rsidR="00797555" w:rsidRPr="008F1AD8" w:rsidRDefault="00D8219A" w:rsidP="008F1AD8">
            <w:pPr>
              <w:pStyle w:val="ERAbulletpoint"/>
            </w:pPr>
            <w:r>
              <w:t>viesť prácu v oblasti vývoja produktov týkajúcich sa bezpečnosti vrátane oblasti ľudských faktorov a kultúry bezpečnosti a prispievať relevantnými odbornými poznatkami k projektom týkajúcim sa hlásenia udalostí, modelov zrelosti, posudzovania rizík,</w:t>
            </w:r>
          </w:p>
          <w:p w:rsidR="00797555" w:rsidRPr="008F1AD8" w:rsidRDefault="00D8219A" w:rsidP="008F1AD8">
            <w:pPr>
              <w:pStyle w:val="ERAbulletpoint"/>
            </w:pPr>
            <w:r>
              <w:t>zúčastňovať sa na ďalšom rozvoji koncepcií auditu alebo monitorovania,</w:t>
            </w:r>
          </w:p>
          <w:p w:rsidR="00797555" w:rsidRPr="008F1AD8" w:rsidRDefault="00D8219A" w:rsidP="008F1AD8">
            <w:pPr>
              <w:pStyle w:val="ERAbulletpoint"/>
            </w:pPr>
            <w:r>
              <w:t>pomáhať pri podpore a monitorovaní systémov riadenia bezpečnosti,</w:t>
            </w:r>
          </w:p>
          <w:p w:rsidR="00797555" w:rsidRPr="008F1AD8" w:rsidRDefault="00D8219A" w:rsidP="008F1AD8">
            <w:pPr>
              <w:pStyle w:val="ERAbulletpoint"/>
            </w:pPr>
            <w:r>
              <w:t>zúčastňovať sa na ďalšom vývoji a na podpore a monitorovaní zásad posudzovania zhody a dohľade nad systémami riadenia bezpečnosti,</w:t>
            </w:r>
          </w:p>
          <w:p w:rsidR="00797555" w:rsidRPr="008F1AD8" w:rsidRDefault="00D8219A" w:rsidP="008F1AD8">
            <w:pPr>
              <w:pStyle w:val="ERAbulletpoint"/>
            </w:pPr>
            <w:r>
              <w:t>zúčastňovať sa na harmonizácii a monitorovaní vyšetrovaní úrazov, klasifikácii úrazov a príčin incidentov a na iných aktivitách súvisiacich s podávaním správ,</w:t>
            </w:r>
          </w:p>
          <w:p w:rsidR="00797555" w:rsidRPr="008F1AD8" w:rsidRDefault="00D8219A" w:rsidP="008F1AD8">
            <w:pPr>
              <w:pStyle w:val="ERAbulletpoint"/>
            </w:pPr>
            <w:r>
              <w:t>poskytovať podporu pri organizovaní a riadení sietí zainteresovaných strán stanovených na základe modelovania bezpečnostných rizík,</w:t>
            </w:r>
          </w:p>
          <w:p w:rsidR="00797555" w:rsidRPr="008F1AD8" w:rsidRDefault="00D8219A" w:rsidP="008F1AD8">
            <w:pPr>
              <w:pStyle w:val="ERAbulletpoint"/>
            </w:pPr>
            <w:r>
              <w:t xml:space="preserve">zúčastňovať sa na hodnotení výkonnosti železníc v oblasti bezpečnosti v jednotlivých členských štátoch, </w:t>
            </w:r>
          </w:p>
          <w:p w:rsidR="00797555" w:rsidRPr="008F1AD8" w:rsidRDefault="00D8219A" w:rsidP="008F1AD8">
            <w:pPr>
              <w:pStyle w:val="ERAbulletpoint"/>
            </w:pPr>
            <w:r>
              <w:t>pomáhať pri príprave odborných stanovísk pre Európsku komisiu týkajúcich sa bezpečnostných aspektov vrátane kontroly transpozície a vykonávania európskych právnych predpisov,</w:t>
            </w:r>
          </w:p>
          <w:p w:rsidR="00797555" w:rsidRPr="008F1AD8" w:rsidRDefault="00D8219A" w:rsidP="008F1AD8">
            <w:pPr>
              <w:pStyle w:val="ERAbulletpoint"/>
            </w:pPr>
            <w:r>
              <w:t>podporovať riadenie zainteresovaných strán bezpečnostného útvaru, ako aj internú a externú komunikáciu.</w:t>
            </w:r>
          </w:p>
          <w:p w:rsidR="00797555" w:rsidRPr="00BD501C" w:rsidRDefault="00FE2962" w:rsidP="006420F3">
            <w:pPr>
              <w:spacing w:before="120" w:after="0"/>
              <w:ind w:left="851"/>
              <w:contextualSpacing/>
              <w:jc w:val="left"/>
              <w:rPr>
                <w:color w:val="auto"/>
                <w:szCs w:val="20"/>
              </w:rPr>
            </w:pPr>
          </w:p>
        </w:tc>
      </w:tr>
    </w:tbl>
    <w:p w:rsidR="00797555" w:rsidRDefault="00FE2962" w:rsidP="00797555">
      <w:pPr>
        <w:spacing w:after="0"/>
      </w:pPr>
    </w:p>
    <w:p w:rsidR="004E37A9" w:rsidRPr="009B7308" w:rsidRDefault="00FE2962" w:rsidP="00797555">
      <w:pPr>
        <w:spacing w:after="0"/>
      </w:pPr>
    </w:p>
    <w:tbl>
      <w:tblPr>
        <w:tblStyle w:val="TableGrid"/>
        <w:tblW w:w="5000" w:type="pct"/>
        <w:tblLook w:val="04A0" w:firstRow="1" w:lastRow="0" w:firstColumn="1" w:lastColumn="0" w:noHBand="0" w:noVBand="1"/>
      </w:tblPr>
      <w:tblGrid>
        <w:gridCol w:w="9629"/>
      </w:tblGrid>
      <w:tr w:rsidR="000D68EF" w:rsidTr="008F1AD8">
        <w:trPr>
          <w:trHeight w:val="290"/>
        </w:trPr>
        <w:tc>
          <w:tcPr>
            <w:tcW w:w="5000" w:type="pct"/>
            <w:shd w:val="clear" w:color="auto" w:fill="auto"/>
            <w:vAlign w:val="center"/>
          </w:tcPr>
          <w:p w:rsidR="00797555" w:rsidRPr="00AE3651" w:rsidRDefault="00D8219A" w:rsidP="006420F3">
            <w:pPr>
              <w:spacing w:after="0"/>
              <w:jc w:val="left"/>
              <w:rPr>
                <w:i/>
                <w:color w:val="0C4DA2"/>
              </w:rPr>
            </w:pPr>
            <w:r>
              <w:rPr>
                <w:i/>
                <w:color w:val="0C4DA2"/>
              </w:rPr>
              <w:t>ODBORNÉ KVALIFIKÁCIE A INÉ POŽIADAVKY</w:t>
            </w:r>
          </w:p>
        </w:tc>
      </w:tr>
      <w:tr w:rsidR="000D68EF" w:rsidTr="008F1AD8">
        <w:tc>
          <w:tcPr>
            <w:tcW w:w="5000" w:type="pct"/>
          </w:tcPr>
          <w:p w:rsidR="00797555" w:rsidRPr="008F1AD8" w:rsidRDefault="00D8219A" w:rsidP="006420F3">
            <w:pPr>
              <w:rPr>
                <w:color w:val="auto"/>
              </w:rPr>
            </w:pPr>
            <w:r>
              <w:rPr>
                <w:color w:val="auto"/>
              </w:rPr>
              <w:t>Uchádzači sa budú považovať za spôsobilých, ak budú ku dňu uzávierky predkladania žiadostí spĺňať všetky nižšie uvedené kritériá oprávnenosti:</w:t>
            </w:r>
          </w:p>
          <w:p w:rsidR="00797555" w:rsidRPr="008F1AD8" w:rsidRDefault="00FE2962" w:rsidP="006420F3">
            <w:pPr>
              <w:spacing w:after="0"/>
              <w:rPr>
                <w:b/>
                <w:color w:val="auto"/>
                <w:szCs w:val="20"/>
              </w:rPr>
            </w:pPr>
          </w:p>
          <w:p w:rsidR="00797555" w:rsidRPr="008F1AD8" w:rsidRDefault="00D8219A" w:rsidP="006420F3">
            <w:pPr>
              <w:spacing w:after="0"/>
              <w:jc w:val="center"/>
              <w:rPr>
                <w:b/>
                <w:color w:val="auto"/>
                <w:szCs w:val="20"/>
              </w:rPr>
            </w:pPr>
            <w:r>
              <w:rPr>
                <w:b/>
                <w:color w:val="auto"/>
              </w:rPr>
              <w:t>KRITÉRIÁ OPRÁVNENOSTI</w:t>
            </w:r>
          </w:p>
          <w:p w:rsidR="00797555" w:rsidRPr="008F1AD8" w:rsidRDefault="00FE2962" w:rsidP="006420F3">
            <w:pPr>
              <w:spacing w:after="0"/>
              <w:jc w:val="center"/>
              <w:rPr>
                <w:b/>
                <w:color w:val="auto"/>
                <w:szCs w:val="20"/>
              </w:rPr>
            </w:pPr>
          </w:p>
          <w:p w:rsidR="00797555" w:rsidRPr="008F1AD8" w:rsidRDefault="00D8219A" w:rsidP="006420F3">
            <w:pPr>
              <w:pStyle w:val="ERAbulletpoint"/>
              <w:rPr>
                <w:color w:val="auto"/>
              </w:rPr>
            </w:pPr>
            <w:r>
              <w:rPr>
                <w:color w:val="auto"/>
              </w:rPr>
              <w:lastRenderedPageBreak/>
              <w:t>Úroveň vzdelania zodpovedajúca ukončenému vysokoškolskému štúdiu, osvedčená diplomom</w:t>
            </w:r>
            <w:r>
              <w:rPr>
                <w:rStyle w:val="FootnoteReference"/>
                <w:color w:val="auto"/>
              </w:rPr>
              <w:footnoteReference w:id="1"/>
            </w:r>
            <w:r>
              <w:rPr>
                <w:color w:val="auto"/>
              </w:rPr>
              <w:t>, s bežnou dĺžkou vysokoškolského štúdia 4 roky alebo viac, po ktorom nasledovali aspoň 3 roky odbornej praxe.</w:t>
            </w:r>
          </w:p>
          <w:p w:rsidR="00797555" w:rsidRPr="008F1AD8" w:rsidRDefault="00D8219A" w:rsidP="006420F3">
            <w:pPr>
              <w:pStyle w:val="ERAbulletpoint"/>
              <w:numPr>
                <w:ilvl w:val="0"/>
                <w:numId w:val="0"/>
              </w:numPr>
              <w:ind w:left="851"/>
              <w:rPr>
                <w:b/>
                <w:color w:val="auto"/>
              </w:rPr>
            </w:pPr>
            <w:r>
              <w:rPr>
                <w:b/>
                <w:color w:val="auto"/>
              </w:rPr>
              <w:t>ALEBO</w:t>
            </w:r>
          </w:p>
          <w:p w:rsidR="00797555" w:rsidRPr="008F1AD8" w:rsidRDefault="00D8219A" w:rsidP="006420F3">
            <w:pPr>
              <w:pStyle w:val="ERAbulletpoint"/>
              <w:rPr>
                <w:color w:val="auto"/>
              </w:rPr>
            </w:pPr>
            <w:r>
              <w:rPr>
                <w:color w:val="auto"/>
              </w:rPr>
              <w:t>úroveň vzdelania zodpovedajúca ukončenému vysokoškolskému štúdiu, osvedčená diplomom, s bežnou dĺžkou vysokoškolského vzdelania 3 roky alebo viac, po ktorom nasledovali aspoň 4 roky odbornej praxe</w:t>
            </w:r>
          </w:p>
          <w:p w:rsidR="00797555" w:rsidRPr="008F1AD8" w:rsidRDefault="00D8219A" w:rsidP="006420F3">
            <w:pPr>
              <w:pStyle w:val="ERAbulletpoint"/>
              <w:numPr>
                <w:ilvl w:val="0"/>
                <w:numId w:val="0"/>
              </w:numPr>
              <w:spacing w:after="0"/>
              <w:ind w:left="851"/>
              <w:rPr>
                <w:b/>
                <w:color w:val="auto"/>
              </w:rPr>
            </w:pPr>
            <w:r>
              <w:rPr>
                <w:b/>
                <w:color w:val="auto"/>
              </w:rPr>
              <w:t>ALEBO</w:t>
            </w:r>
          </w:p>
          <w:p w:rsidR="00797555" w:rsidRPr="008F1AD8" w:rsidRDefault="00D8219A" w:rsidP="006420F3">
            <w:pPr>
              <w:numPr>
                <w:ilvl w:val="0"/>
                <w:numId w:val="15"/>
              </w:numPr>
              <w:ind w:left="851" w:hanging="284"/>
              <w:contextualSpacing/>
              <w:rPr>
                <w:color w:val="auto"/>
              </w:rPr>
            </w:pPr>
            <w:r>
              <w:rPr>
                <w:color w:val="auto"/>
              </w:rPr>
              <w:t>odborná príprava rovnocennej úrovne, ak je to opodstatnené v služobnom záujme.</w:t>
            </w:r>
          </w:p>
          <w:p w:rsidR="00797555" w:rsidRPr="008F1AD8" w:rsidRDefault="00FE2962" w:rsidP="006420F3">
            <w:pPr>
              <w:ind w:left="851"/>
              <w:contextualSpacing/>
              <w:rPr>
                <w:color w:val="auto"/>
              </w:rPr>
            </w:pPr>
          </w:p>
          <w:p w:rsidR="00797555" w:rsidRPr="008F1AD8" w:rsidRDefault="00D8219A" w:rsidP="006420F3">
            <w:pPr>
              <w:spacing w:after="0"/>
              <w:ind w:left="851"/>
              <w:contextualSpacing/>
              <w:rPr>
                <w:b/>
                <w:color w:val="auto"/>
              </w:rPr>
            </w:pPr>
            <w:r>
              <w:rPr>
                <w:b/>
                <w:color w:val="auto"/>
              </w:rPr>
              <w:t>Dôležité:</w:t>
            </w:r>
          </w:p>
          <w:p w:rsidR="00797555" w:rsidRPr="008F1AD8" w:rsidRDefault="00D8219A" w:rsidP="00347D65">
            <w:pPr>
              <w:pStyle w:val="ERAbulletpoint"/>
              <w:numPr>
                <w:ilvl w:val="0"/>
                <w:numId w:val="0"/>
              </w:numPr>
              <w:spacing w:before="0"/>
              <w:ind w:left="850"/>
              <w:rPr>
                <w:color w:val="auto"/>
                <w:szCs w:val="20"/>
              </w:rPr>
            </w:pPr>
            <w:r>
              <w:rPr>
                <w:color w:val="auto"/>
              </w:rPr>
              <w:t>Vysokoškolské štúdium musí byť ukončené v oblasti ľudských faktorov, ergonómie, práce, organizačnej alebo pracovnej psychológie alebo v podobnom odbore.</w:t>
            </w:r>
          </w:p>
          <w:p w:rsidR="00797555" w:rsidRPr="008F1AD8" w:rsidRDefault="00FE2962" w:rsidP="006420F3">
            <w:pPr>
              <w:spacing w:before="120"/>
              <w:ind w:left="851"/>
              <w:contextualSpacing/>
              <w:rPr>
                <w:color w:val="auto"/>
              </w:rPr>
            </w:pPr>
          </w:p>
          <w:p w:rsidR="00797555" w:rsidRPr="008F1AD8" w:rsidRDefault="00D8219A" w:rsidP="006420F3">
            <w:pPr>
              <w:numPr>
                <w:ilvl w:val="0"/>
                <w:numId w:val="15"/>
              </w:numPr>
              <w:spacing w:before="120"/>
              <w:ind w:left="851" w:hanging="284"/>
              <w:contextualSpacing/>
              <w:rPr>
                <w:color w:val="auto"/>
              </w:rPr>
            </w:pPr>
            <w:r>
              <w:rPr>
                <w:color w:val="auto"/>
              </w:rPr>
              <w:t>Dôkladná znalosť jedného z úradných jazykov</w:t>
            </w:r>
            <w:r>
              <w:rPr>
                <w:color w:val="auto"/>
                <w:vertAlign w:val="superscript"/>
              </w:rPr>
              <w:footnoteReference w:id="2"/>
            </w:r>
            <w:r>
              <w:rPr>
                <w:color w:val="auto"/>
              </w:rPr>
              <w:t xml:space="preserve"> Európskej únie a uspokojivé znalosti ďalšieho úradného jazyka</w:t>
            </w:r>
            <w:r>
              <w:rPr>
                <w:color w:val="auto"/>
                <w:vertAlign w:val="superscript"/>
              </w:rPr>
              <w:footnoteReference w:id="3"/>
            </w:r>
            <w:r>
              <w:rPr>
                <w:color w:val="auto"/>
              </w:rPr>
              <w:t xml:space="preserve"> Európskej únie v rozsahu potrebnom na vykonávanie povinností súvisiacich s pracovným miestom.</w:t>
            </w:r>
          </w:p>
          <w:p w:rsidR="00797555" w:rsidRPr="008F1AD8" w:rsidRDefault="00D8219A" w:rsidP="006420F3">
            <w:pPr>
              <w:numPr>
                <w:ilvl w:val="0"/>
                <w:numId w:val="15"/>
              </w:numPr>
              <w:spacing w:before="120"/>
              <w:ind w:left="851" w:hanging="284"/>
              <w:contextualSpacing/>
              <w:rPr>
                <w:color w:val="auto"/>
              </w:rPr>
            </w:pPr>
            <w:r>
              <w:rPr>
                <w:color w:val="auto"/>
              </w:rPr>
              <w:t>Občianstvo členského štátu Európskej únie alebo štátov, ktoré sú zmluvnými stranami Dohody o EHP (Island, Lichtenštajnsko a Nórsko).</w:t>
            </w:r>
          </w:p>
          <w:p w:rsidR="00797555" w:rsidRPr="008F1AD8" w:rsidRDefault="00D8219A" w:rsidP="006420F3">
            <w:pPr>
              <w:numPr>
                <w:ilvl w:val="0"/>
                <w:numId w:val="15"/>
              </w:numPr>
              <w:spacing w:before="120"/>
              <w:ind w:left="851" w:hanging="284"/>
              <w:contextualSpacing/>
              <w:rPr>
                <w:color w:val="auto"/>
              </w:rPr>
            </w:pPr>
            <w:r>
              <w:rPr>
                <w:color w:val="auto"/>
              </w:rPr>
              <w:t>Mať všetky občianske práva.</w:t>
            </w:r>
          </w:p>
          <w:p w:rsidR="00797555" w:rsidRPr="008F1AD8" w:rsidRDefault="00D8219A" w:rsidP="006420F3">
            <w:pPr>
              <w:numPr>
                <w:ilvl w:val="0"/>
                <w:numId w:val="15"/>
              </w:numPr>
              <w:spacing w:before="120"/>
              <w:ind w:left="851" w:hanging="284"/>
              <w:contextualSpacing/>
              <w:rPr>
                <w:color w:val="auto"/>
              </w:rPr>
            </w:pPr>
            <w:r>
              <w:rPr>
                <w:color w:val="auto"/>
              </w:rPr>
              <w:t>Mať splnené všetky povinnosti, ktoré stanovujú platné právne predpisy týkajúce sa vojenskej služby</w:t>
            </w:r>
            <w:r>
              <w:rPr>
                <w:color w:val="auto"/>
                <w:vertAlign w:val="superscript"/>
              </w:rPr>
              <w:footnoteReference w:id="4"/>
            </w:r>
            <w:r>
              <w:rPr>
                <w:color w:val="auto"/>
              </w:rPr>
              <w:t>.</w:t>
            </w:r>
          </w:p>
          <w:p w:rsidR="00797555" w:rsidRPr="008F1AD8" w:rsidRDefault="00D8219A" w:rsidP="006420F3">
            <w:pPr>
              <w:numPr>
                <w:ilvl w:val="0"/>
                <w:numId w:val="15"/>
              </w:numPr>
              <w:spacing w:before="120"/>
              <w:ind w:left="851" w:hanging="284"/>
              <w:contextualSpacing/>
              <w:rPr>
                <w:color w:val="auto"/>
              </w:rPr>
            </w:pPr>
            <w:r>
              <w:rPr>
                <w:color w:val="auto"/>
              </w:rPr>
              <w:t>Splnenie charakterových požiadaviek potrebných pre príslušné úlohy</w:t>
            </w:r>
            <w:r>
              <w:rPr>
                <w:rStyle w:val="FootnoteReference"/>
                <w:color w:val="auto"/>
              </w:rPr>
              <w:footnoteReference w:id="5"/>
            </w:r>
            <w:r>
              <w:rPr>
                <w:color w:val="auto"/>
              </w:rPr>
              <w:t>.</w:t>
            </w:r>
          </w:p>
          <w:p w:rsidR="00797555" w:rsidRPr="008F1AD8" w:rsidRDefault="00D8219A" w:rsidP="006420F3">
            <w:pPr>
              <w:numPr>
                <w:ilvl w:val="0"/>
                <w:numId w:val="15"/>
              </w:numPr>
              <w:spacing w:before="120" w:after="0"/>
              <w:ind w:left="851" w:hanging="284"/>
              <w:contextualSpacing/>
              <w:rPr>
                <w:color w:val="auto"/>
              </w:rPr>
            </w:pPr>
            <w:r>
              <w:rPr>
                <w:color w:val="auto"/>
              </w:rPr>
              <w:t>Fyzická spôsobilosť na plnenie úloh súvisiacich s pracovným miestom</w:t>
            </w:r>
            <w:r>
              <w:rPr>
                <w:color w:val="auto"/>
                <w:vertAlign w:val="superscript"/>
              </w:rPr>
              <w:footnoteReference w:id="6"/>
            </w:r>
            <w:r>
              <w:rPr>
                <w:color w:val="auto"/>
              </w:rPr>
              <w:t>.</w:t>
            </w:r>
          </w:p>
          <w:p w:rsidR="00797555" w:rsidRPr="008F1AD8" w:rsidRDefault="00FE2962" w:rsidP="006420F3">
            <w:pPr>
              <w:spacing w:after="0"/>
              <w:ind w:left="900"/>
              <w:rPr>
                <w:color w:val="auto"/>
                <w:szCs w:val="20"/>
              </w:rPr>
            </w:pPr>
          </w:p>
          <w:p w:rsidR="00797555" w:rsidRPr="008F1AD8" w:rsidRDefault="00D8219A" w:rsidP="006420F3">
            <w:pPr>
              <w:rPr>
                <w:color w:val="auto"/>
              </w:rPr>
            </w:pPr>
            <w:r>
              <w:rPr>
                <w:color w:val="auto"/>
              </w:rPr>
              <w:t>Všetky oprávnené žiadosti budú posudzované a vyhodnotené na základe ďalej uvedených požiadaviek. Upozorňujeme, že nesplnenie už jedného zo základných kritérií bude mať za následok vylúčenie uchádzača z výberového konania. Kritériá zvýhodnenia predstavujú ďalšie prínosy, ktorých nesplnenie však nebude mať za následok vylúčenie.</w:t>
            </w:r>
          </w:p>
          <w:p w:rsidR="00797555" w:rsidRPr="008F1AD8" w:rsidRDefault="00D8219A" w:rsidP="006420F3">
            <w:pPr>
              <w:spacing w:after="0"/>
              <w:jc w:val="center"/>
              <w:rPr>
                <w:b/>
                <w:color w:val="auto"/>
                <w:szCs w:val="20"/>
              </w:rPr>
            </w:pPr>
            <w:r>
              <w:rPr>
                <w:b/>
                <w:color w:val="auto"/>
              </w:rPr>
              <w:t>KRITÉRIÁ VÝBERU</w:t>
            </w:r>
          </w:p>
          <w:p w:rsidR="00797555" w:rsidRPr="008F1AD8" w:rsidRDefault="00FE2962" w:rsidP="006420F3">
            <w:pPr>
              <w:spacing w:after="0"/>
              <w:rPr>
                <w:b/>
                <w:color w:val="auto"/>
                <w:szCs w:val="20"/>
              </w:rPr>
            </w:pPr>
          </w:p>
          <w:p w:rsidR="008F1AD8" w:rsidRPr="008F1AD8" w:rsidRDefault="00D8219A" w:rsidP="008F1AD8">
            <w:pPr>
              <w:spacing w:after="0"/>
              <w:rPr>
                <w:color w:val="auto"/>
                <w:szCs w:val="20"/>
              </w:rPr>
            </w:pPr>
            <w:r>
              <w:rPr>
                <w:color w:val="auto"/>
              </w:rPr>
              <w:t xml:space="preserve">Aby výberová komisia mohla posúdiť vaše schopnosti a zručnosti, musíte predložiť </w:t>
            </w:r>
            <w:r>
              <w:rPr>
                <w:color w:val="auto"/>
                <w:u w:val="single"/>
              </w:rPr>
              <w:t>konkrétne príklady</w:t>
            </w:r>
            <w:r>
              <w:rPr>
                <w:color w:val="auto"/>
              </w:rPr>
              <w:t xml:space="preserve"> vašich vzdelanostných kvalifikácií a odborných skúseností, ktoré preukážu, že spĺňate základné kritériá výberu a kritériá výberu, ktoré sú výhodou:</w:t>
            </w:r>
          </w:p>
          <w:p w:rsidR="00797555" w:rsidRPr="006C1DA3" w:rsidRDefault="00FE2962" w:rsidP="006420F3">
            <w:pPr>
              <w:spacing w:after="0"/>
              <w:rPr>
                <w:b/>
                <w:color w:val="002034" w:themeColor="text1"/>
                <w:szCs w:val="20"/>
              </w:rPr>
            </w:pPr>
          </w:p>
          <w:p w:rsidR="00797555" w:rsidRPr="00BC4249" w:rsidRDefault="00D8219A" w:rsidP="00797555">
            <w:pPr>
              <w:numPr>
                <w:ilvl w:val="0"/>
                <w:numId w:val="17"/>
              </w:numPr>
              <w:spacing w:after="0"/>
              <w:contextualSpacing/>
              <w:jc w:val="left"/>
              <w:rPr>
                <w:i/>
                <w:color w:val="0C4DA2"/>
                <w:sz w:val="24"/>
              </w:rPr>
            </w:pPr>
            <w:r>
              <w:rPr>
                <w:i/>
                <w:color w:val="0C4DA2"/>
                <w:sz w:val="24"/>
              </w:rPr>
              <w:t>Základné</w:t>
            </w:r>
          </w:p>
          <w:p w:rsidR="00797555" w:rsidRPr="008F1AD8" w:rsidRDefault="00D8219A" w:rsidP="006420F3">
            <w:pPr>
              <w:pStyle w:val="ERAbulletpoint"/>
              <w:rPr>
                <w:color w:val="auto"/>
              </w:rPr>
            </w:pPr>
            <w:r>
              <w:rPr>
                <w:color w:val="auto"/>
              </w:rPr>
              <w:t>Príslušné pracovné skúsenosti a odborné znalosti v oblasti ľudskej výkonnosti a kultúry bezpečnosti.</w:t>
            </w:r>
          </w:p>
          <w:p w:rsidR="00797555" w:rsidRPr="008F1AD8" w:rsidRDefault="00D8219A" w:rsidP="006420F3">
            <w:pPr>
              <w:pStyle w:val="ERAbulletpoint"/>
              <w:rPr>
                <w:color w:val="auto"/>
              </w:rPr>
            </w:pPr>
            <w:r>
              <w:rPr>
                <w:color w:val="auto"/>
              </w:rPr>
              <w:t>Schopnosť úzko spolupracovať s technickými expertmi a železničnými zamestnancami.</w:t>
            </w:r>
          </w:p>
          <w:p w:rsidR="00797555" w:rsidRPr="008F1AD8" w:rsidRDefault="00D8219A" w:rsidP="006420F3">
            <w:pPr>
              <w:pStyle w:val="ERAbulletpoint"/>
              <w:rPr>
                <w:color w:val="auto"/>
              </w:rPr>
            </w:pPr>
            <w:r>
              <w:rPr>
                <w:color w:val="auto"/>
              </w:rPr>
              <w:t>Veľmi dobré písomné a ústne komunikačné zručnosti.</w:t>
            </w:r>
          </w:p>
          <w:p w:rsidR="00797555" w:rsidRDefault="00FE2962" w:rsidP="00797555">
            <w:pPr>
              <w:pStyle w:val="ERAbulletpoint"/>
              <w:numPr>
                <w:ilvl w:val="0"/>
                <w:numId w:val="0"/>
              </w:numPr>
              <w:ind w:left="851"/>
            </w:pPr>
          </w:p>
          <w:p w:rsidR="00797555" w:rsidRPr="006A7D1B" w:rsidRDefault="00D8219A" w:rsidP="00797555">
            <w:pPr>
              <w:numPr>
                <w:ilvl w:val="0"/>
                <w:numId w:val="17"/>
              </w:numPr>
              <w:spacing w:after="0"/>
              <w:contextualSpacing/>
              <w:jc w:val="left"/>
              <w:rPr>
                <w:i/>
                <w:color w:val="0C4DA2"/>
                <w:sz w:val="24"/>
              </w:rPr>
            </w:pPr>
            <w:r>
              <w:rPr>
                <w:i/>
                <w:color w:val="0C4DA2"/>
                <w:sz w:val="24"/>
              </w:rPr>
              <w:t>Kritériá, ktoré sú výhodou</w:t>
            </w:r>
          </w:p>
          <w:p w:rsidR="00797555" w:rsidRDefault="00D8219A" w:rsidP="006420F3">
            <w:pPr>
              <w:pStyle w:val="ERAbulletpoint"/>
              <w:rPr>
                <w:color w:val="002034" w:themeColor="text1"/>
              </w:rPr>
            </w:pPr>
            <w:r>
              <w:rPr>
                <w:color w:val="002034" w:themeColor="text1"/>
              </w:rPr>
              <w:t>Skúsenosti s integráciou ľudských faktorov do systémov riadenia bezpečnosti, najmä posudzovania rizík, riadenia projektov a zmien, monitorovania procesov a iných procesov týkajúcich sa ľudskej výkonnosti.</w:t>
            </w:r>
          </w:p>
          <w:p w:rsidR="00797555" w:rsidRDefault="00D8219A" w:rsidP="006420F3">
            <w:pPr>
              <w:pStyle w:val="ERAbulletpoint"/>
              <w:rPr>
                <w:color w:val="002034" w:themeColor="text1"/>
              </w:rPr>
            </w:pPr>
            <w:r>
              <w:rPr>
                <w:color w:val="002034" w:themeColor="text1"/>
              </w:rPr>
              <w:t>Skúsenosti s poskytovaním podpory týkajúcej sa ľudských faktorov pre vzdelávacie projekty na technický rozvoj a/alebo rozvoj zručností a kompetencií vrátane vývoja systémov podávania správ a vyšetrovania incidentov/nehôd.</w:t>
            </w:r>
          </w:p>
          <w:p w:rsidR="00797555" w:rsidRDefault="00D8219A" w:rsidP="006420F3">
            <w:pPr>
              <w:pStyle w:val="ERAbulletpoint"/>
              <w:rPr>
                <w:color w:val="002034" w:themeColor="text1"/>
              </w:rPr>
            </w:pPr>
            <w:r>
              <w:rPr>
                <w:color w:val="002034" w:themeColor="text1"/>
              </w:rPr>
              <w:t>Skúsenosti s prispievaním k rozvoju organizačnej a bezpečnostnej kultúry vrátane hodnotenia bezpečnostného prostredia a práce so zamestnancami na umožnenie pozitívneho rozvoja kultúry bezpečnosti v organizácii.</w:t>
            </w:r>
          </w:p>
          <w:p w:rsidR="00797555" w:rsidRDefault="00D8219A" w:rsidP="006420F3">
            <w:pPr>
              <w:pStyle w:val="ERAbulletpoint"/>
              <w:rPr>
                <w:color w:val="002034" w:themeColor="text1"/>
              </w:rPr>
            </w:pPr>
            <w:r>
              <w:rPr>
                <w:color w:val="002034" w:themeColor="text1"/>
              </w:rPr>
              <w:t>Byť členom (na certifikovanej alebo odbornej úrovni) vnútroštátnej alebo medzinárodnej profesijnej organizácie v oblasti ľudských faktorov, ergonómie alebo psychológie.</w:t>
            </w:r>
          </w:p>
          <w:p w:rsidR="00797555" w:rsidRDefault="00D8219A" w:rsidP="006420F3">
            <w:pPr>
              <w:pStyle w:val="ERAbulletpoint"/>
              <w:rPr>
                <w:color w:val="002034" w:themeColor="text1"/>
              </w:rPr>
            </w:pPr>
            <w:r>
              <w:rPr>
                <w:color w:val="002034" w:themeColor="text1"/>
              </w:rPr>
              <w:t>Znalosti a skúsenosti v oblasti železničnej prevádzky a/alebo údržby.</w:t>
            </w:r>
          </w:p>
          <w:p w:rsidR="00797555" w:rsidRPr="00AA1C1F" w:rsidRDefault="00D8219A" w:rsidP="006420F3">
            <w:pPr>
              <w:pStyle w:val="ERAbulletpoint"/>
              <w:rPr>
                <w:color w:val="002034" w:themeColor="text1"/>
              </w:rPr>
            </w:pPr>
            <w:r>
              <w:rPr>
                <w:color w:val="002034" w:themeColor="text1"/>
              </w:rPr>
              <w:t>Znalosti v oblasti certifikácie procesov systému riadenia a dozoru/dohľadu nad nimi.</w:t>
            </w:r>
          </w:p>
          <w:p w:rsidR="00797555" w:rsidRPr="00AE3651" w:rsidRDefault="00FE2962" w:rsidP="006420F3">
            <w:pPr>
              <w:spacing w:after="0"/>
              <w:jc w:val="left"/>
              <w:rPr>
                <w:color w:val="auto"/>
                <w:szCs w:val="20"/>
              </w:rPr>
            </w:pPr>
          </w:p>
          <w:p w:rsidR="00797555" w:rsidRPr="008F1AD8" w:rsidRDefault="00D8219A" w:rsidP="006420F3">
            <w:pPr>
              <w:rPr>
                <w:color w:val="auto"/>
              </w:rPr>
            </w:pPr>
            <w:r>
              <w:rPr>
                <w:color w:val="auto"/>
              </w:rPr>
              <w:t>V závislosti od počtu doručených žiadostí môže výberová komisia uplatniť prísnejšie požiadavky v rámci vyššie uvedených kritérií výberu.</w:t>
            </w:r>
          </w:p>
          <w:p w:rsidR="00797555" w:rsidRPr="00AE3651" w:rsidRDefault="00FE2962" w:rsidP="006420F3">
            <w:pPr>
              <w:spacing w:after="0"/>
              <w:jc w:val="left"/>
              <w:rPr>
                <w:color w:val="auto"/>
                <w:szCs w:val="20"/>
              </w:rPr>
            </w:pPr>
          </w:p>
        </w:tc>
      </w:tr>
    </w:tbl>
    <w:p w:rsidR="00797555" w:rsidRDefault="00FE2962" w:rsidP="00797555">
      <w:pPr>
        <w:spacing w:after="0"/>
        <w:rPr>
          <w:sz w:val="16"/>
          <w:szCs w:val="16"/>
        </w:rPr>
      </w:pPr>
    </w:p>
    <w:p w:rsidR="00887E37" w:rsidRDefault="00D8219A" w:rsidP="00887E37">
      <w:pPr>
        <w:spacing w:after="200" w:line="276" w:lineRule="auto"/>
        <w:jc w:val="left"/>
      </w:pPr>
      <w:r>
        <w:br w:type="page"/>
      </w:r>
    </w:p>
    <w:p w:rsidR="008F1AD8" w:rsidRDefault="00D8219A"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Výzva na predkladanie žiadostí na miesto projektových referentov v bezpečnostnom útvare</w:t>
      </w:r>
    </w:p>
    <w:p w:rsidR="00797555" w:rsidRPr="008F1AD8" w:rsidRDefault="00D8219A" w:rsidP="008F1AD8">
      <w:pPr>
        <w:pStyle w:val="Subtitle"/>
        <w:jc w:val="both"/>
      </w:pPr>
      <w:r>
        <w:t>Dočasný zamestnanec podľa čl. 2 písm. f) (AD6) – so zámerom zostaviť rezervný zoznam – ERA/AD/2016/003-OPE</w:t>
      </w:r>
    </w:p>
    <w:p w:rsidR="00797555" w:rsidRPr="008F1AD8" w:rsidRDefault="00FE2962" w:rsidP="00797555"/>
    <w:tbl>
      <w:tblPr>
        <w:tblStyle w:val="TableGrid"/>
        <w:tblW w:w="5000" w:type="pct"/>
        <w:tblLook w:val="04A0" w:firstRow="1" w:lastRow="0" w:firstColumn="1" w:lastColumn="0" w:noHBand="0" w:noVBand="1"/>
      </w:tblPr>
      <w:tblGrid>
        <w:gridCol w:w="4866"/>
        <w:gridCol w:w="4763"/>
      </w:tblGrid>
      <w:tr w:rsidR="000D68EF" w:rsidTr="008F1AD8">
        <w:tc>
          <w:tcPr>
            <w:tcW w:w="2527" w:type="pct"/>
          </w:tcPr>
          <w:p w:rsidR="00797555" w:rsidRPr="009C390E" w:rsidRDefault="00D8219A" w:rsidP="000D4B92">
            <w:pPr>
              <w:spacing w:after="0"/>
              <w:jc w:val="left"/>
              <w:rPr>
                <w:color w:val="auto"/>
                <w:szCs w:val="20"/>
              </w:rPr>
            </w:pPr>
            <w:r>
              <w:rPr>
                <w:rFonts w:ascii="Calibri" w:eastAsiaTheme="majorEastAsia" w:hAnsi="Calibri" w:cstheme="majorBidi"/>
                <w:i/>
                <w:color w:val="0C4DA2"/>
              </w:rPr>
              <w:t>Dátum uverejnenia:</w:t>
            </w:r>
            <w:r>
              <w:rPr>
                <w:color w:val="auto"/>
              </w:rPr>
              <w:t xml:space="preserve"> </w:t>
            </w:r>
            <w:r w:rsidR="000D4B92">
              <w:rPr>
                <w:color w:val="auto"/>
              </w:rPr>
              <w:t>12</w:t>
            </w:r>
            <w:r>
              <w:rPr>
                <w:color w:val="auto"/>
              </w:rPr>
              <w:t>/1</w:t>
            </w:r>
            <w:r w:rsidR="000D4B92">
              <w:rPr>
                <w:color w:val="auto"/>
              </w:rPr>
              <w:t>2</w:t>
            </w:r>
            <w:r>
              <w:rPr>
                <w:color w:val="auto"/>
              </w:rPr>
              <w:t>/2016</w:t>
            </w:r>
          </w:p>
        </w:tc>
        <w:tc>
          <w:tcPr>
            <w:tcW w:w="2473" w:type="pct"/>
          </w:tcPr>
          <w:p w:rsidR="00797555" w:rsidRPr="009C390E" w:rsidRDefault="00D8219A" w:rsidP="000D4B92">
            <w:pPr>
              <w:spacing w:after="0"/>
              <w:jc w:val="left"/>
              <w:rPr>
                <w:color w:val="auto"/>
                <w:szCs w:val="20"/>
              </w:rPr>
            </w:pPr>
            <w:r>
              <w:rPr>
                <w:rFonts w:ascii="Calibri" w:eastAsiaTheme="majorEastAsia" w:hAnsi="Calibri" w:cstheme="majorBidi"/>
                <w:i/>
                <w:color w:val="0C4DA2"/>
              </w:rPr>
              <w:t>Uzávierka podávania žiadostí:</w:t>
            </w:r>
            <w:r>
              <w:rPr>
                <w:color w:val="auto"/>
              </w:rPr>
              <w:t xml:space="preserve"> </w:t>
            </w:r>
            <w:r w:rsidR="000D4B92">
              <w:rPr>
                <w:color w:val="auto"/>
              </w:rPr>
              <w:t>12</w:t>
            </w:r>
            <w:r>
              <w:rPr>
                <w:color w:val="auto"/>
              </w:rPr>
              <w:t>/</w:t>
            </w:r>
            <w:r w:rsidR="000D4B92">
              <w:rPr>
                <w:color w:val="auto"/>
              </w:rPr>
              <w:t>01</w:t>
            </w:r>
            <w:r>
              <w:rPr>
                <w:color w:val="auto"/>
              </w:rPr>
              <w:t>/201</w:t>
            </w:r>
            <w:r w:rsidR="000D4B92">
              <w:rPr>
                <w:color w:val="auto"/>
              </w:rPr>
              <w:t>7</w:t>
            </w:r>
            <w:r>
              <w:rPr>
                <w:color w:val="auto"/>
              </w:rPr>
              <w:t xml:space="preserve"> (23.59 hod. SEČ, miestneho času vo Valenciennes)</w:t>
            </w:r>
          </w:p>
        </w:tc>
      </w:tr>
      <w:tr w:rsidR="000D68EF" w:rsidTr="008F1AD8">
        <w:tc>
          <w:tcPr>
            <w:tcW w:w="2527" w:type="pct"/>
          </w:tcPr>
          <w:p w:rsidR="00797555" w:rsidRPr="009C390E" w:rsidRDefault="00D8219A" w:rsidP="006420F3">
            <w:pPr>
              <w:spacing w:after="0"/>
              <w:jc w:val="left"/>
              <w:rPr>
                <w:color w:val="auto"/>
                <w:szCs w:val="20"/>
              </w:rPr>
            </w:pPr>
            <w:r>
              <w:rPr>
                <w:rFonts w:ascii="Calibri" w:eastAsiaTheme="majorEastAsia" w:hAnsi="Calibri" w:cstheme="majorBidi"/>
                <w:i/>
                <w:color w:val="0C4DA2"/>
              </w:rPr>
              <w:t>Typ zmluvy:</w:t>
            </w:r>
            <w:r>
              <w:rPr>
                <w:color w:val="auto"/>
              </w:rPr>
              <w:t xml:space="preserve"> Dočasný zamestnanec podľa čl. 2 písm. f)</w:t>
            </w:r>
          </w:p>
          <w:p w:rsidR="00797555" w:rsidRPr="009C390E" w:rsidRDefault="00D8219A" w:rsidP="006420F3">
            <w:pPr>
              <w:spacing w:after="0"/>
              <w:jc w:val="left"/>
              <w:rPr>
                <w:color w:val="auto"/>
                <w:szCs w:val="20"/>
              </w:rPr>
            </w:pPr>
            <w:r>
              <w:rPr>
                <w:rFonts w:ascii="Calibri" w:eastAsiaTheme="majorEastAsia" w:hAnsi="Calibri" w:cstheme="majorBidi"/>
                <w:i/>
                <w:color w:val="0C4DA2"/>
              </w:rPr>
              <w:t>Funkčná skupina a platová trieda:</w:t>
            </w:r>
            <w:r>
              <w:rPr>
                <w:color w:val="auto"/>
              </w:rPr>
              <w:t xml:space="preserve"> AD6</w:t>
            </w:r>
          </w:p>
        </w:tc>
        <w:tc>
          <w:tcPr>
            <w:tcW w:w="2473" w:type="pct"/>
          </w:tcPr>
          <w:p w:rsidR="00797555" w:rsidRPr="009C390E" w:rsidRDefault="00D8219A" w:rsidP="006420F3">
            <w:pPr>
              <w:spacing w:after="0"/>
              <w:jc w:val="left"/>
              <w:rPr>
                <w:color w:val="auto"/>
                <w:szCs w:val="20"/>
              </w:rPr>
            </w:pPr>
            <w:r>
              <w:rPr>
                <w:rFonts w:ascii="Calibri" w:eastAsiaTheme="majorEastAsia" w:hAnsi="Calibri" w:cstheme="majorBidi"/>
                <w:i/>
                <w:color w:val="0C4DA2"/>
              </w:rPr>
              <w:t>Miesto zamestnania:</w:t>
            </w:r>
            <w:r>
              <w:rPr>
                <w:color w:val="auto"/>
              </w:rPr>
              <w:t xml:space="preserve"> Valenciennes, Francúzsko</w:t>
            </w:r>
          </w:p>
        </w:tc>
      </w:tr>
      <w:tr w:rsidR="000D68EF" w:rsidTr="008F1AD8">
        <w:tc>
          <w:tcPr>
            <w:tcW w:w="2527" w:type="pct"/>
          </w:tcPr>
          <w:p w:rsidR="00797555" w:rsidRPr="009C390E" w:rsidRDefault="00D8219A" w:rsidP="006420F3">
            <w:pPr>
              <w:tabs>
                <w:tab w:val="left" w:pos="-720"/>
              </w:tabs>
              <w:suppressAutoHyphens/>
              <w:spacing w:after="0"/>
              <w:rPr>
                <w:color w:val="auto"/>
                <w:szCs w:val="20"/>
              </w:rPr>
            </w:pPr>
            <w:r>
              <w:rPr>
                <w:rFonts w:ascii="Calibri" w:eastAsiaTheme="majorEastAsia" w:hAnsi="Calibri" w:cstheme="majorBidi"/>
                <w:i/>
                <w:color w:val="0C4DA2"/>
              </w:rPr>
              <w:t>Trvanie zmluvy:</w:t>
            </w:r>
            <w:r>
              <w:rPr>
                <w:color w:val="auto"/>
              </w:rPr>
              <w:t xml:space="preserve"> 4 roky a môže byť predĺžená na dobu určitú najviac na 4 roky. V prípade druhého obnovenia sa zmluva zmení na zmluvu s dobou neurčitou</w:t>
            </w:r>
          </w:p>
        </w:tc>
        <w:tc>
          <w:tcPr>
            <w:tcW w:w="2473" w:type="pct"/>
          </w:tcPr>
          <w:p w:rsidR="00797555" w:rsidRPr="009C390E" w:rsidRDefault="00D8219A" w:rsidP="008F1AD8">
            <w:pPr>
              <w:spacing w:after="0"/>
              <w:jc w:val="left"/>
              <w:rPr>
                <w:color w:val="auto"/>
                <w:szCs w:val="20"/>
              </w:rPr>
            </w:pPr>
            <w:r>
              <w:rPr>
                <w:rFonts w:ascii="Calibri" w:eastAsiaTheme="majorEastAsia" w:hAnsi="Calibri" w:cstheme="majorBidi"/>
                <w:i/>
                <w:color w:val="0C4DA2"/>
              </w:rPr>
              <w:t>Základný mesačný plat:</w:t>
            </w:r>
            <w:r>
              <w:rPr>
                <w:color w:val="auto"/>
              </w:rPr>
              <w:t xml:space="preserve"> 5 079,70 EUR v 1. stupni s váhovým koeficientom 13,8 % (od 1. 7. 2016) plus osobitné príspevky v prípade potreby</w:t>
            </w:r>
          </w:p>
        </w:tc>
      </w:tr>
      <w:tr w:rsidR="000D68EF" w:rsidTr="008F1AD8">
        <w:tc>
          <w:tcPr>
            <w:tcW w:w="5000" w:type="pct"/>
            <w:gridSpan w:val="2"/>
          </w:tcPr>
          <w:p w:rsidR="00797555" w:rsidRPr="009C390E" w:rsidRDefault="00D8219A" w:rsidP="006420F3">
            <w:pPr>
              <w:spacing w:after="0"/>
              <w:jc w:val="left"/>
              <w:rPr>
                <w:color w:val="auto"/>
                <w:szCs w:val="20"/>
              </w:rPr>
            </w:pPr>
            <w:r>
              <w:rPr>
                <w:rFonts w:ascii="Calibri" w:eastAsiaTheme="majorEastAsia" w:hAnsi="Calibri" w:cstheme="majorBidi"/>
                <w:i/>
                <w:color w:val="0C4DA2"/>
              </w:rPr>
              <w:t>Útvar:</w:t>
            </w:r>
            <w:r>
              <w:rPr>
                <w:color w:val="auto"/>
              </w:rPr>
              <w:t xml:space="preserve"> </w:t>
            </w:r>
            <w:r>
              <w:rPr>
                <w:color w:val="002034" w:themeColor="text1"/>
              </w:rPr>
              <w:t>pozri ďalej</w:t>
            </w:r>
          </w:p>
        </w:tc>
      </w:tr>
      <w:tr w:rsidR="000D68EF" w:rsidTr="008F1AD8">
        <w:tc>
          <w:tcPr>
            <w:tcW w:w="2527" w:type="pct"/>
          </w:tcPr>
          <w:p w:rsidR="00797555" w:rsidRPr="009C390E" w:rsidRDefault="00D8219A" w:rsidP="006420F3">
            <w:pPr>
              <w:spacing w:after="0"/>
              <w:jc w:val="left"/>
              <w:rPr>
                <w:b/>
                <w:color w:val="auto"/>
                <w:szCs w:val="20"/>
              </w:rPr>
            </w:pPr>
            <w:r>
              <w:rPr>
                <w:rFonts w:ascii="Calibri" w:eastAsiaTheme="majorEastAsia" w:hAnsi="Calibri" w:cstheme="majorBidi"/>
                <w:i/>
                <w:color w:val="0C4DA2"/>
              </w:rPr>
              <w:t xml:space="preserve">Žiadosti je potrebné poslať len na e-mailovú adresu: </w:t>
            </w:r>
            <w:r>
              <w:rPr>
                <w:color w:val="002034" w:themeColor="text1"/>
              </w:rPr>
              <w:t>jobs@era.europa.eu</w:t>
            </w:r>
          </w:p>
        </w:tc>
        <w:tc>
          <w:tcPr>
            <w:tcW w:w="2473" w:type="pct"/>
          </w:tcPr>
          <w:p w:rsidR="00797555" w:rsidRPr="009C390E" w:rsidRDefault="00D8219A" w:rsidP="00797555">
            <w:pPr>
              <w:spacing w:after="0"/>
              <w:jc w:val="left"/>
              <w:rPr>
                <w:b/>
                <w:color w:val="auto"/>
                <w:szCs w:val="20"/>
              </w:rPr>
            </w:pPr>
            <w:r>
              <w:rPr>
                <w:rFonts w:ascii="Calibri" w:eastAsiaTheme="majorEastAsia" w:hAnsi="Calibri" w:cstheme="majorBidi"/>
                <w:i/>
                <w:color w:val="0C4DA2"/>
              </w:rPr>
              <w:t>Rezervný zoznam je platný do:</w:t>
            </w:r>
            <w:r>
              <w:rPr>
                <w:color w:val="auto"/>
              </w:rPr>
              <w:t xml:space="preserve"> 31. 12. 2017 (platnosť rezervného zoznamu je možné predĺžiť)</w:t>
            </w:r>
          </w:p>
        </w:tc>
      </w:tr>
    </w:tbl>
    <w:p w:rsidR="00797555" w:rsidRPr="009C390E" w:rsidRDefault="00FE2962" w:rsidP="00797555">
      <w:pPr>
        <w:tabs>
          <w:tab w:val="left" w:pos="5355"/>
        </w:tabs>
        <w:spacing w:after="0"/>
        <w:jc w:val="left"/>
        <w:rPr>
          <w:color w:val="auto"/>
        </w:rPr>
      </w:pPr>
    </w:p>
    <w:p w:rsidR="00797555" w:rsidRPr="009C390E" w:rsidRDefault="00FE2962"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0D68EF" w:rsidTr="008F1AD8">
        <w:trPr>
          <w:trHeight w:val="247"/>
        </w:trPr>
        <w:tc>
          <w:tcPr>
            <w:tcW w:w="5000" w:type="pct"/>
            <w:shd w:val="clear" w:color="auto" w:fill="auto"/>
            <w:vAlign w:val="center"/>
          </w:tcPr>
          <w:p w:rsidR="00797555" w:rsidRPr="009C390E" w:rsidRDefault="00D8219A" w:rsidP="006420F3">
            <w:pPr>
              <w:spacing w:after="0"/>
              <w:jc w:val="left"/>
              <w:rPr>
                <w:i/>
                <w:color w:val="auto"/>
              </w:rPr>
            </w:pPr>
            <w:r>
              <w:rPr>
                <w:i/>
                <w:color w:val="0C4DA2"/>
              </w:rPr>
              <w:t>AGENTÚRA</w:t>
            </w:r>
          </w:p>
        </w:tc>
      </w:tr>
      <w:tr w:rsidR="000D68EF" w:rsidTr="008F1AD8">
        <w:trPr>
          <w:trHeight w:val="2235"/>
        </w:trPr>
        <w:tc>
          <w:tcPr>
            <w:tcW w:w="5000" w:type="pct"/>
          </w:tcPr>
          <w:p w:rsidR="00797555" w:rsidRPr="008F1AD8" w:rsidRDefault="00D8219A" w:rsidP="006420F3">
            <w:pPr>
              <w:rPr>
                <w:color w:val="auto"/>
              </w:rPr>
            </w:pPr>
            <w:r>
              <w:rPr>
                <w:color w:val="auto"/>
              </w:rPr>
              <w:t>Železničná agentúra Európskej únie (ďalej len „agentúra“) vznikla na základe nariadenia Európskeho parlamentu a Rady (EÚ) č. 2016/796 z 11. mája 2016. Naším cieľom je lepší železničný systém pre našu spoločnosť, čo chceme dosiahnuť podporou vytvorenia jednotného európskeho železničného priestoru bez hraníc a zárukou vysokej miery bezpečnosti, vývojom jednotného prístupu k bezpečnosti v rámci Európskeho systému riadenia vlakov (ERTMS) a podporou zjednodušeného prístupu pre zákazníkov v európskom železničnom sektore. Agentúra sa okrem toho od roku 2019 stane európskym orgánom vydávajúcim jednotné celoeurópske bezpečnostné osvedčenia, povolenie na prevádzku vozidiel vo viacerých krajinách a udeľujúcim predbežné schválenia infraštruktúry ERTMS. Agentúra sídli vo Valenciennes (sídlo) a Lille (konferenčné centrum) vo Francúzsku a v súčasnosti zamestnáva 160 zamestnancov.</w:t>
            </w:r>
          </w:p>
          <w:p w:rsidR="00797555" w:rsidRPr="008F1AD8" w:rsidRDefault="00D8219A" w:rsidP="006420F3">
            <w:pPr>
              <w:spacing w:after="0"/>
              <w:rPr>
                <w:rStyle w:val="Hyperlink"/>
                <w:color w:val="auto"/>
              </w:rPr>
            </w:pPr>
            <w:r>
              <w:rPr>
                <w:color w:val="auto"/>
              </w:rPr>
              <w:t xml:space="preserve">Viac informácií o agentúre sa nachádza na webovej stránke: </w:t>
            </w:r>
            <w:hyperlink r:id="rId13" w:history="1">
              <w:r>
                <w:rPr>
                  <w:rStyle w:val="Hyperlink"/>
                  <w:color w:val="auto"/>
                </w:rPr>
                <w:t>http://www.era.europa.eu</w:t>
              </w:r>
            </w:hyperlink>
          </w:p>
          <w:p w:rsidR="00797555" w:rsidRPr="009C390E" w:rsidRDefault="00FE2962" w:rsidP="006420F3">
            <w:pPr>
              <w:spacing w:after="0"/>
              <w:rPr>
                <w:color w:val="auto"/>
              </w:rPr>
            </w:pPr>
          </w:p>
        </w:tc>
      </w:tr>
    </w:tbl>
    <w:p w:rsidR="00797555" w:rsidRPr="009C390E" w:rsidRDefault="00FE2962" w:rsidP="00797555">
      <w:pPr>
        <w:spacing w:after="0"/>
        <w:jc w:val="left"/>
        <w:rPr>
          <w:color w:val="auto"/>
        </w:rPr>
      </w:pPr>
    </w:p>
    <w:p w:rsidR="0040145B" w:rsidRPr="00BC4249" w:rsidRDefault="00FE2962"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0D68EF" w:rsidTr="008F1AD8">
        <w:trPr>
          <w:trHeight w:val="274"/>
        </w:trPr>
        <w:tc>
          <w:tcPr>
            <w:tcW w:w="5000" w:type="pct"/>
            <w:shd w:val="clear" w:color="auto" w:fill="auto"/>
            <w:vAlign w:val="center"/>
          </w:tcPr>
          <w:p w:rsidR="0040145B" w:rsidRPr="00BC4249" w:rsidRDefault="00D8219A" w:rsidP="006420F3">
            <w:pPr>
              <w:pStyle w:val="HeadingTableleft"/>
            </w:pPr>
            <w:r>
              <w:t>BEZPEČNOSTNÝ ÚTVAR</w:t>
            </w:r>
          </w:p>
        </w:tc>
      </w:tr>
      <w:tr w:rsidR="000D68EF" w:rsidTr="008F1AD8">
        <w:tc>
          <w:tcPr>
            <w:tcW w:w="5000" w:type="pct"/>
          </w:tcPr>
          <w:p w:rsidR="0040145B" w:rsidRPr="00086C19" w:rsidRDefault="00D8219A" w:rsidP="006420F3">
            <w:r>
              <w:rPr>
                <w:color w:val="auto"/>
              </w:rPr>
              <w:t>V rámci práce v legislatívnom rámci stanovenom smernicou o bezpečnosti železníc a nariadením o agentúre agentúra ERA zriadila dynamický bezpečnostný tím odhodlaný podporovať plnenie ambicióznych cieľov bezpečnosti vrátane dosiahnutia toho, aby sa z európskeho železničného systému stal svetový líder v oblasti bezpečnosti. Nová smernica o bezpečnosti železníc jasne ukladá agentúre zabezpečiť zlepšenie bezpečnosti v celej Európe a agentúra prijíma nových zamestnancov s cieľom reagovať na tieto nové výzvy. Príspevok činnosti ľudí má zásadný význam pre bezpečnosť a agentúra hľadá skúsených pracovníkov, ktorí sa pripoja k tímu útvaru a posilnia našu činnosť v tejto oblasti a podporia nové pracovné okruhy, ako napríklad rozvoj pozitívnej kultúry bezpečnosti v celej Európe.</w:t>
            </w:r>
          </w:p>
        </w:tc>
      </w:tr>
    </w:tbl>
    <w:p w:rsidR="00797555" w:rsidRDefault="00FE2962" w:rsidP="00797555">
      <w:pPr>
        <w:spacing w:after="0"/>
      </w:pPr>
    </w:p>
    <w:p w:rsidR="0040145B" w:rsidRDefault="00D8219A">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0D68EF" w:rsidTr="008F1AD8">
        <w:trPr>
          <w:trHeight w:val="239"/>
        </w:trPr>
        <w:tc>
          <w:tcPr>
            <w:tcW w:w="5000" w:type="pct"/>
            <w:shd w:val="clear" w:color="auto" w:fill="auto"/>
            <w:vAlign w:val="center"/>
          </w:tcPr>
          <w:p w:rsidR="00797555" w:rsidRPr="009C390E" w:rsidRDefault="00D8219A" w:rsidP="006420F3">
            <w:pPr>
              <w:spacing w:after="0"/>
              <w:jc w:val="left"/>
              <w:rPr>
                <w:i/>
                <w:color w:val="0C4DA2"/>
              </w:rPr>
            </w:pPr>
            <w:r>
              <w:rPr>
                <w:i/>
                <w:color w:val="0C4DA2"/>
              </w:rPr>
              <w:lastRenderedPageBreak/>
              <w:t>POSTUP PODÁVANIA ŽIADOSTÍ</w:t>
            </w:r>
          </w:p>
        </w:tc>
      </w:tr>
      <w:tr w:rsidR="000D68EF" w:rsidTr="008F1AD8">
        <w:tc>
          <w:tcPr>
            <w:tcW w:w="5000" w:type="pct"/>
          </w:tcPr>
          <w:p w:rsidR="00797555" w:rsidRPr="008F1AD8" w:rsidRDefault="00D8219A" w:rsidP="006420F3">
            <w:pPr>
              <w:spacing w:after="0"/>
              <w:rPr>
                <w:color w:val="auto"/>
                <w:szCs w:val="20"/>
              </w:rPr>
            </w:pPr>
            <w:r>
              <w:rPr>
                <w:color w:val="auto"/>
              </w:rPr>
              <w:t xml:space="preserve">Aby žiadosti boli </w:t>
            </w:r>
            <w:r>
              <w:rPr>
                <w:rFonts w:ascii="Calibri" w:eastAsiaTheme="majorEastAsia" w:hAnsi="Calibri" w:cstheme="majorBidi"/>
                <w:b/>
                <w:color w:val="auto"/>
                <w:sz w:val="24"/>
              </w:rPr>
              <w:t>platné</w:t>
            </w:r>
            <w:r>
              <w:rPr>
                <w:color w:val="auto"/>
              </w:rPr>
              <w:t>, uchádzači musia predložiť tieto dokumenty:</w:t>
            </w:r>
          </w:p>
          <w:p w:rsidR="00797555" w:rsidRPr="008F1AD8" w:rsidRDefault="00D8219A" w:rsidP="008F1AD8">
            <w:pPr>
              <w:pStyle w:val="ERAbulletpoint"/>
              <w:rPr>
                <w:color w:val="auto"/>
              </w:rPr>
            </w:pPr>
            <w:r>
              <w:rPr>
                <w:color w:val="auto"/>
              </w:rPr>
              <w:t>Podrobný životopis (len EÚ formát životopisu). Uvádza sa v tomto odkaze:</w:t>
            </w:r>
          </w:p>
          <w:p w:rsidR="00797555" w:rsidRPr="008F1AD8" w:rsidRDefault="00FE2962" w:rsidP="008F1AD8">
            <w:pPr>
              <w:pStyle w:val="ERAbulletpoint"/>
              <w:numPr>
                <w:ilvl w:val="0"/>
                <w:numId w:val="0"/>
              </w:numPr>
              <w:ind w:left="851"/>
              <w:rPr>
                <w:color w:val="auto"/>
                <w:sz w:val="20"/>
              </w:rPr>
            </w:pPr>
            <w:hyperlink r:id="rId14" w:history="1">
              <w:r w:rsidR="00D8219A">
                <w:rPr>
                  <w:color w:val="auto"/>
                  <w:sz w:val="20"/>
                  <w:u w:val="single"/>
                </w:rPr>
                <w:t>http://europass.cedefop.europa.eu/sk/documents/curriculum-vitae/templates-instructions</w:t>
              </w:r>
            </w:hyperlink>
          </w:p>
          <w:p w:rsidR="00797555" w:rsidRPr="008F1AD8" w:rsidRDefault="00D8219A" w:rsidP="008F1AD8">
            <w:pPr>
              <w:pStyle w:val="ERAbulletpoint"/>
              <w:rPr>
                <w:color w:val="auto"/>
              </w:rPr>
            </w:pPr>
            <w:r>
              <w:rPr>
                <w:color w:val="auto"/>
              </w:rPr>
              <w:t>Motivačný list na maximálne 2 stranách vysvetľujúci prečo sa uchádzač zaujíma o pracovné miesto a akú pridanú hodnotu ponúkne agentúre v prípade výberu.</w:t>
            </w:r>
          </w:p>
          <w:p w:rsidR="00797555" w:rsidRPr="008F1AD8" w:rsidRDefault="00D8219A" w:rsidP="008F1AD8">
            <w:pPr>
              <w:pStyle w:val="ERAbulletpoint"/>
              <w:rPr>
                <w:color w:val="auto"/>
              </w:rPr>
            </w:pPr>
            <w:r>
              <w:rPr>
                <w:color w:val="auto"/>
              </w:rPr>
              <w:t>Tabuľka oprávnenosti (pozri prílohu).</w:t>
            </w:r>
          </w:p>
          <w:p w:rsidR="00797555" w:rsidRPr="008F1AD8" w:rsidRDefault="00FE2962" w:rsidP="006420F3">
            <w:pPr>
              <w:spacing w:before="120" w:after="0"/>
              <w:contextualSpacing/>
              <w:jc w:val="left"/>
              <w:rPr>
                <w:color w:val="auto"/>
                <w:szCs w:val="20"/>
              </w:rPr>
            </w:pPr>
          </w:p>
          <w:p w:rsidR="00797555" w:rsidRPr="008F1AD8" w:rsidRDefault="00D8219A" w:rsidP="006420F3">
            <w:pPr>
              <w:spacing w:after="0"/>
              <w:rPr>
                <w:rFonts w:eastAsiaTheme="majorEastAsia" w:cstheme="majorBidi"/>
                <w:b/>
                <w:bCs/>
                <w:color w:val="auto"/>
              </w:rPr>
            </w:pPr>
            <w:r>
              <w:rPr>
                <w:rFonts w:eastAsiaTheme="majorEastAsia" w:cstheme="majorBidi"/>
                <w:b/>
                <w:color w:val="auto"/>
              </w:rPr>
              <w:t>Nedodržanie uvedených pokynov bude mať za následok vylúčenie z výberového konania.</w:t>
            </w:r>
          </w:p>
          <w:p w:rsidR="00797555" w:rsidRPr="008F1AD8" w:rsidRDefault="00FE2962" w:rsidP="006420F3">
            <w:pPr>
              <w:spacing w:after="0"/>
              <w:rPr>
                <w:b/>
                <w:color w:val="auto"/>
                <w:szCs w:val="20"/>
              </w:rPr>
            </w:pPr>
          </w:p>
          <w:p w:rsidR="00797555" w:rsidRPr="008F1AD8" w:rsidRDefault="00D8219A" w:rsidP="006420F3">
            <w:pPr>
              <w:spacing w:after="0"/>
              <w:rPr>
                <w:color w:val="auto"/>
                <w:szCs w:val="20"/>
              </w:rPr>
            </w:pPr>
            <w:r>
              <w:rPr>
                <w:color w:val="auto"/>
              </w:rPr>
              <w:t>Keďže pracovným jazykom agentúry je angličtina, na uľahčenie výberového procesu sa uchádzačom odporúča podať prihlášku v angličtine.</w:t>
            </w:r>
          </w:p>
          <w:p w:rsidR="00797555" w:rsidRPr="008F1AD8" w:rsidRDefault="00FE2962" w:rsidP="006420F3">
            <w:pPr>
              <w:spacing w:after="0"/>
              <w:rPr>
                <w:color w:val="auto"/>
                <w:szCs w:val="20"/>
              </w:rPr>
            </w:pPr>
          </w:p>
          <w:p w:rsidR="00797555" w:rsidRPr="008F1AD8" w:rsidRDefault="00D8219A" w:rsidP="006420F3">
            <w:pPr>
              <w:spacing w:after="0"/>
              <w:rPr>
                <w:color w:val="auto"/>
                <w:szCs w:val="20"/>
              </w:rPr>
            </w:pPr>
            <w:r>
              <w:rPr>
                <w:color w:val="auto"/>
              </w:rPr>
              <w:t xml:space="preserve">Prihlášky musia byť zaslané na e-mailovú adresu </w:t>
            </w:r>
            <w:hyperlink r:id="rId15" w:history="1">
              <w:r>
                <w:rPr>
                  <w:b/>
                  <w:color w:val="auto"/>
                  <w:u w:val="single"/>
                </w:rPr>
                <w:t>jobs@era.europa.eu</w:t>
              </w:r>
            </w:hyperlink>
            <w:r>
              <w:rPr>
                <w:color w:val="auto"/>
              </w:rPr>
              <w:t xml:space="preserve"> do </w:t>
            </w:r>
            <w:r w:rsidR="000D4B92">
              <w:rPr>
                <w:b/>
                <w:color w:val="auto"/>
              </w:rPr>
              <w:t>12</w:t>
            </w:r>
            <w:r>
              <w:rPr>
                <w:b/>
                <w:color w:val="auto"/>
              </w:rPr>
              <w:t>. </w:t>
            </w:r>
            <w:r w:rsidR="000D4B92">
              <w:rPr>
                <w:b/>
                <w:color w:val="auto"/>
              </w:rPr>
              <w:t>01</w:t>
            </w:r>
            <w:r>
              <w:rPr>
                <w:b/>
                <w:color w:val="auto"/>
              </w:rPr>
              <w:t>. 201</w:t>
            </w:r>
            <w:r w:rsidR="000D4B92">
              <w:rPr>
                <w:b/>
                <w:color w:val="auto"/>
              </w:rPr>
              <w:t>7</w:t>
            </w:r>
            <w:bookmarkStart w:id="0" w:name="_GoBack"/>
            <w:bookmarkEnd w:id="0"/>
            <w:r>
              <w:rPr>
                <w:color w:val="auto"/>
              </w:rPr>
              <w:t xml:space="preserve"> o 23.59 SEČ (miestneho času vo Valenciennes) a </w:t>
            </w:r>
            <w:r>
              <w:rPr>
                <w:b/>
                <w:color w:val="auto"/>
              </w:rPr>
              <w:t>v riadku predmetu musí byť</w:t>
            </w:r>
            <w:r>
              <w:rPr>
                <w:color w:val="auto"/>
              </w:rPr>
              <w:t xml:space="preserve"> </w:t>
            </w:r>
            <w:r>
              <w:rPr>
                <w:b/>
                <w:color w:val="auto"/>
              </w:rPr>
              <w:t>jasne uvedené referenčné číslo výzvy na predkladanie prihlášok.</w:t>
            </w:r>
          </w:p>
          <w:p w:rsidR="00797555" w:rsidRPr="008F1AD8" w:rsidRDefault="00FE2962" w:rsidP="006420F3">
            <w:pPr>
              <w:spacing w:after="0"/>
              <w:rPr>
                <w:color w:val="auto"/>
                <w:szCs w:val="20"/>
              </w:rPr>
            </w:pPr>
          </w:p>
          <w:p w:rsidR="00797555" w:rsidRPr="008F1AD8" w:rsidRDefault="00D8219A" w:rsidP="006420F3">
            <w:pPr>
              <w:spacing w:after="0"/>
              <w:rPr>
                <w:color w:val="auto"/>
              </w:rPr>
            </w:pPr>
            <w:r>
              <w:rPr>
                <w:color w:val="auto"/>
              </w:rPr>
              <w:t>Upozorňujeme, že prihlášky predložené faxom alebo poštou sa nebudú brať do úvahy.</w:t>
            </w:r>
          </w:p>
          <w:p w:rsidR="00797555" w:rsidRPr="008F1AD8" w:rsidRDefault="00FE2962" w:rsidP="006420F3">
            <w:pPr>
              <w:spacing w:after="0"/>
              <w:rPr>
                <w:color w:val="auto"/>
              </w:rPr>
            </w:pPr>
          </w:p>
          <w:p w:rsidR="00797555" w:rsidRPr="008F1AD8" w:rsidRDefault="00D8219A" w:rsidP="006420F3">
            <w:pPr>
              <w:spacing w:after="0"/>
              <w:rPr>
                <w:color w:val="auto"/>
              </w:rPr>
            </w:pPr>
            <w:r>
              <w:rPr>
                <w:color w:val="auto"/>
              </w:rPr>
              <w:t>Ak sa v niektorej fáze postupu zistí, že informácie, ktoré uchádzač poskytol, sú nepravdivé, môže byť diskvalifikovaný.</w:t>
            </w:r>
          </w:p>
          <w:p w:rsidR="00797555" w:rsidRPr="008F1AD8" w:rsidRDefault="00FE2962" w:rsidP="006420F3">
            <w:pPr>
              <w:spacing w:after="0"/>
              <w:rPr>
                <w:color w:val="auto"/>
              </w:rPr>
            </w:pPr>
          </w:p>
          <w:p w:rsidR="00797555" w:rsidRPr="008F1AD8" w:rsidRDefault="00D8219A" w:rsidP="006420F3">
            <w:pPr>
              <w:spacing w:after="0"/>
              <w:rPr>
                <w:color w:val="auto"/>
              </w:rPr>
            </w:pPr>
            <w:r>
              <w:rPr>
                <w:color w:val="auto"/>
              </w:rPr>
              <w:t>Uchádzač ani nikto v jeho mene sa nesmie priamo alebo nepriamo kontaktovať s členmi výberovej komisie. Orgán oprávnený na uzatváranie zmlúv (ďalej len „AACC“) si vyhradzuje právo vylúčiť uchádzača, ktorý sa neriadi týmito pokynmi.</w:t>
            </w:r>
          </w:p>
          <w:p w:rsidR="00797555" w:rsidRPr="008F1AD8" w:rsidRDefault="00FE2962" w:rsidP="006420F3">
            <w:pPr>
              <w:spacing w:after="0"/>
              <w:rPr>
                <w:color w:val="auto"/>
              </w:rPr>
            </w:pPr>
          </w:p>
          <w:p w:rsidR="00797555" w:rsidRPr="008F1AD8" w:rsidRDefault="00D8219A" w:rsidP="006420F3">
            <w:pPr>
              <w:spacing w:after="0"/>
              <w:rPr>
                <w:color w:val="auto"/>
                <w:szCs w:val="20"/>
              </w:rPr>
            </w:pPr>
            <w:r>
              <w:rPr>
                <w:color w:val="auto"/>
              </w:rPr>
              <w:t xml:space="preserve">Zostavený bude rezervný zoznam, ktorý bude platný do </w:t>
            </w:r>
            <w:r>
              <w:rPr>
                <w:b/>
                <w:color w:val="auto"/>
              </w:rPr>
              <w:t>31. 12. 2017</w:t>
            </w:r>
            <w:r>
              <w:rPr>
                <w:color w:val="auto"/>
              </w:rPr>
              <w:t>. Platnosť rezervného zoznamu môže byť predĺžená na základe rozhodnutia orgánu AACC. Rezervný zoznam možno použiť na obsadenie iných pracovných miest, ktoré majú rovnaký profil ako miesto opísané vyššie.</w:t>
            </w:r>
          </w:p>
          <w:p w:rsidR="00797555" w:rsidRPr="008F1AD8" w:rsidRDefault="00FE2962" w:rsidP="006420F3">
            <w:pPr>
              <w:spacing w:after="0"/>
              <w:rPr>
                <w:color w:val="auto"/>
                <w:szCs w:val="20"/>
              </w:rPr>
            </w:pPr>
          </w:p>
          <w:p w:rsidR="00797555" w:rsidRPr="008F1AD8" w:rsidRDefault="00D8219A" w:rsidP="006420F3">
            <w:pPr>
              <w:keepNext/>
              <w:keepLines/>
              <w:spacing w:after="0"/>
              <w:outlineLvl w:val="3"/>
              <w:rPr>
                <w:rFonts w:eastAsiaTheme="majorEastAsia" w:cstheme="majorBidi"/>
                <w:b/>
                <w:bCs/>
                <w:iCs/>
                <w:color w:val="auto"/>
              </w:rPr>
            </w:pPr>
            <w:r>
              <w:rPr>
                <w:rFonts w:eastAsiaTheme="majorEastAsia" w:cstheme="majorBidi"/>
                <w:b/>
                <w:color w:val="auto"/>
              </w:rPr>
              <w:t>Upozorňujeme, že vzhľadom na veľký počet prihlášok, ktoré by sme mohli dostať do termínu uzávierky, sa môžu v systéme vyskytnúť problémy v dôsledku spracovania veľkého objemu údajov. Uchádzačom sa preto odporúča, aby svoje prihlášky posielali v dostatočnom predstihu pred uzávierkou.</w:t>
            </w:r>
          </w:p>
          <w:p w:rsidR="00797555" w:rsidRPr="008F1AD8" w:rsidRDefault="00FE2962" w:rsidP="006420F3">
            <w:pPr>
              <w:spacing w:after="0"/>
              <w:rPr>
                <w:b/>
                <w:color w:val="auto"/>
                <w:szCs w:val="20"/>
              </w:rPr>
            </w:pPr>
          </w:p>
          <w:p w:rsidR="00797555" w:rsidRPr="008F1AD8" w:rsidRDefault="00D8219A" w:rsidP="006420F3">
            <w:pPr>
              <w:spacing w:after="0"/>
              <w:rPr>
                <w:color w:val="auto"/>
              </w:rPr>
            </w:pPr>
            <w:r>
              <w:rPr>
                <w:b/>
                <w:color w:val="auto"/>
              </w:rPr>
              <w:t>Dôležité:</w:t>
            </w:r>
            <w:r>
              <w:rPr>
                <w:color w:val="auto"/>
              </w:rPr>
              <w:t xml:space="preserve"> Sprievodné doklady (napr. overené kópie diplomov, potvrdenia o predchádzajúcej praxi atď.) sa v tejto fáze NEPOSIELAJÚ, ale môžu sa vyžiadať v neskoršej fáze výberového konania. Uchádzačom sa nebudú vracať žiadne dokumenty.</w:t>
            </w:r>
          </w:p>
          <w:p w:rsidR="00797555" w:rsidRPr="009C390E" w:rsidRDefault="00FE2962" w:rsidP="006420F3">
            <w:pPr>
              <w:spacing w:after="0"/>
              <w:rPr>
                <w:color w:val="auto"/>
                <w:szCs w:val="20"/>
              </w:rPr>
            </w:pPr>
          </w:p>
        </w:tc>
      </w:tr>
    </w:tbl>
    <w:p w:rsidR="00797555" w:rsidRPr="009C390E" w:rsidRDefault="00FE2962" w:rsidP="00797555">
      <w:pPr>
        <w:spacing w:after="0"/>
        <w:jc w:val="left"/>
        <w:rPr>
          <w:color w:val="auto"/>
          <w:szCs w:val="20"/>
        </w:rPr>
      </w:pPr>
    </w:p>
    <w:p w:rsidR="00797555" w:rsidRPr="009C390E" w:rsidRDefault="00FE2962"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0D68EF" w:rsidTr="008F1AD8">
        <w:trPr>
          <w:trHeight w:val="235"/>
        </w:trPr>
        <w:tc>
          <w:tcPr>
            <w:tcW w:w="5000" w:type="pct"/>
            <w:shd w:val="clear" w:color="auto" w:fill="auto"/>
            <w:vAlign w:val="center"/>
          </w:tcPr>
          <w:p w:rsidR="00797555" w:rsidRPr="009C390E" w:rsidRDefault="00D8219A" w:rsidP="006420F3">
            <w:pPr>
              <w:spacing w:after="0"/>
              <w:jc w:val="left"/>
              <w:rPr>
                <w:i/>
                <w:color w:val="0C4DA2"/>
              </w:rPr>
            </w:pPr>
            <w:r>
              <w:rPr>
                <w:i/>
                <w:color w:val="0C4DA2"/>
              </w:rPr>
              <w:t>VÝBEROVÉ KONANIE</w:t>
            </w:r>
          </w:p>
        </w:tc>
      </w:tr>
      <w:tr w:rsidR="000D68EF" w:rsidTr="008F1AD8">
        <w:trPr>
          <w:trHeight w:val="1125"/>
        </w:trPr>
        <w:tc>
          <w:tcPr>
            <w:tcW w:w="5000" w:type="pct"/>
          </w:tcPr>
          <w:p w:rsidR="00797555" w:rsidRPr="008F1AD8" w:rsidRDefault="00D8219A" w:rsidP="006420F3">
            <w:pPr>
              <w:rPr>
                <w:color w:val="auto"/>
              </w:rPr>
            </w:pPr>
            <w:r>
              <w:rPr>
                <w:color w:val="auto"/>
              </w:rPr>
              <w:t>Výberové konanie bude organizované takto:</w:t>
            </w:r>
          </w:p>
          <w:p w:rsidR="00797555" w:rsidRPr="008F1AD8" w:rsidRDefault="00D8219A" w:rsidP="00797555">
            <w:pPr>
              <w:numPr>
                <w:ilvl w:val="0"/>
                <w:numId w:val="16"/>
              </w:numPr>
              <w:spacing w:after="0" w:line="240" w:lineRule="exact"/>
              <w:ind w:left="896" w:hanging="357"/>
              <w:rPr>
                <w:color w:val="auto"/>
              </w:rPr>
            </w:pPr>
            <w:r>
              <w:rPr>
                <w:color w:val="auto"/>
              </w:rPr>
              <w:t>Výberová komisia skontroluje, či všetky prihlášky spĺňajú kritériá platnosti a oprávnenosti.</w:t>
            </w:r>
          </w:p>
          <w:p w:rsidR="00797555" w:rsidRPr="008F1AD8" w:rsidRDefault="00D8219A" w:rsidP="00797555">
            <w:pPr>
              <w:numPr>
                <w:ilvl w:val="0"/>
                <w:numId w:val="16"/>
              </w:numPr>
              <w:spacing w:after="0" w:line="240" w:lineRule="exact"/>
              <w:ind w:left="896" w:hanging="357"/>
              <w:rPr>
                <w:color w:val="auto"/>
              </w:rPr>
            </w:pPr>
            <w:r>
              <w:rPr>
                <w:color w:val="auto"/>
              </w:rPr>
              <w:t>Uchádzači, ktorí spĺňajú kritériá oprávnenosti, budú hodnotení podľa kritérií výberu.</w:t>
            </w:r>
          </w:p>
          <w:p w:rsidR="00797555" w:rsidRPr="008F1AD8" w:rsidRDefault="00D8219A" w:rsidP="00797555">
            <w:pPr>
              <w:numPr>
                <w:ilvl w:val="0"/>
                <w:numId w:val="16"/>
              </w:numPr>
              <w:spacing w:after="0" w:line="240" w:lineRule="exact"/>
              <w:ind w:left="896" w:hanging="357"/>
              <w:rPr>
                <w:color w:val="auto"/>
              </w:rPr>
            </w:pPr>
            <w:r>
              <w:rPr>
                <w:color w:val="auto"/>
              </w:rPr>
              <w:t>Výberová komisia posúdi motivačné listy a životopisy oprávnených uchádzačov a vyhotoví užší zoznam uchádzačov, ktorí najlepšie vyhovujú kritériám výberu uvedeným vo výzve na predkladanie prihlášok.</w:t>
            </w:r>
          </w:p>
          <w:p w:rsidR="00797555" w:rsidRPr="008F1AD8" w:rsidRDefault="00D8219A" w:rsidP="00797555">
            <w:pPr>
              <w:numPr>
                <w:ilvl w:val="0"/>
                <w:numId w:val="16"/>
              </w:numPr>
              <w:spacing w:after="0" w:line="240" w:lineRule="exact"/>
              <w:ind w:left="896" w:hanging="357"/>
              <w:rPr>
                <w:color w:val="auto"/>
              </w:rPr>
            </w:pPr>
            <w:r>
              <w:rPr>
                <w:color w:val="auto"/>
              </w:rPr>
              <w:t>Pozvanie bude založené na najvyššom bodovom hodnotení v predbežnom výbere podľa kritérií výberu.</w:t>
            </w:r>
          </w:p>
          <w:p w:rsidR="00797555" w:rsidRPr="008F1AD8" w:rsidRDefault="00D8219A" w:rsidP="00797555">
            <w:pPr>
              <w:numPr>
                <w:ilvl w:val="0"/>
                <w:numId w:val="16"/>
              </w:numPr>
              <w:spacing w:after="0" w:line="240" w:lineRule="exact"/>
              <w:ind w:left="896" w:hanging="357"/>
              <w:rPr>
                <w:color w:val="auto"/>
              </w:rPr>
            </w:pPr>
            <w:r>
              <w:rPr>
                <w:color w:val="auto"/>
              </w:rPr>
              <w:lastRenderedPageBreak/>
              <w:t>Výberová komisia uskutoční pohovory s uchádzačmi, ktorí sa dostali do užšieho výberu, a otestuje ich.</w:t>
            </w:r>
          </w:p>
          <w:p w:rsidR="00797555" w:rsidRPr="008F1AD8" w:rsidRDefault="00D8219A" w:rsidP="00797555">
            <w:pPr>
              <w:numPr>
                <w:ilvl w:val="0"/>
                <w:numId w:val="16"/>
              </w:numPr>
              <w:spacing w:after="0" w:line="240" w:lineRule="exact"/>
              <w:ind w:left="896" w:hanging="357"/>
              <w:rPr>
                <w:color w:val="auto"/>
              </w:rPr>
            </w:pPr>
            <w:r>
              <w:rPr>
                <w:color w:val="auto"/>
              </w:rPr>
              <w:t>Písomný test sa koná v anglickom jazyku.</w:t>
            </w:r>
          </w:p>
          <w:p w:rsidR="00797555" w:rsidRPr="008F1AD8" w:rsidRDefault="00D8219A" w:rsidP="00797555">
            <w:pPr>
              <w:numPr>
                <w:ilvl w:val="0"/>
                <w:numId w:val="16"/>
              </w:numPr>
              <w:spacing w:after="0" w:line="240" w:lineRule="exact"/>
              <w:ind w:left="896" w:hanging="357"/>
              <w:rPr>
                <w:color w:val="auto"/>
              </w:rPr>
            </w:pPr>
            <w:r>
              <w:rPr>
                <w:color w:val="auto"/>
              </w:rPr>
              <w:t>Pohovor sa koná v anglickom jazyku. Ak je váš rodný jazyk angličtina, na pohovore sa testuje druhý jazyk uvedený v životopise.</w:t>
            </w:r>
          </w:p>
          <w:p w:rsidR="00797555" w:rsidRPr="008F1AD8" w:rsidRDefault="00D8219A" w:rsidP="00797555">
            <w:pPr>
              <w:numPr>
                <w:ilvl w:val="0"/>
                <w:numId w:val="16"/>
              </w:numPr>
              <w:spacing w:after="0" w:line="240" w:lineRule="exact"/>
              <w:ind w:left="896" w:hanging="357"/>
              <w:rPr>
                <w:color w:val="auto"/>
              </w:rPr>
            </w:pPr>
            <w:r>
              <w:rPr>
                <w:color w:val="auto"/>
              </w:rPr>
              <w:t>Na základe výsledkov pohovorov a písomných testov výberová komisia navrhne orgánu AACC zoznam vhodných uchádzačov</w:t>
            </w:r>
            <w:r>
              <w:rPr>
                <w:color w:val="auto"/>
                <w:vertAlign w:val="superscript"/>
              </w:rPr>
              <w:footnoteReference w:id="7"/>
            </w:r>
            <w:r>
              <w:rPr>
                <w:color w:val="auto"/>
              </w:rPr>
              <w:t>. Tento zoznam sa vyhotoví v abecednom poradí spolu s podrobným zoznamom bodového hodnotenia získaného na základe pohovoru a písomného testu (ak sa uplatňuje). Uchádzači, ktorí na pohovore a písomnom teste (ak sa uplatňuje) dosiahnu dostatočný počet bodov, budú zaradení do rezervného zoznamu (ak sa uplatňuje). Uchádzačov upozorňujeme, že zaradenie do rezervného zoznamu nezaručuje ponúknutie pracovného miesta.</w:t>
            </w:r>
          </w:p>
          <w:p w:rsidR="00797555" w:rsidRPr="008F1AD8" w:rsidRDefault="00D8219A" w:rsidP="00797555">
            <w:pPr>
              <w:numPr>
                <w:ilvl w:val="0"/>
                <w:numId w:val="16"/>
              </w:numPr>
              <w:spacing w:after="0" w:line="240" w:lineRule="exact"/>
              <w:ind w:left="896" w:hanging="357"/>
              <w:rPr>
                <w:color w:val="auto"/>
              </w:rPr>
            </w:pPr>
            <w:r>
              <w:rPr>
                <w:color w:val="auto"/>
              </w:rPr>
              <w:t>Pred prijatím do zamestnania na miesto dočasného zamestnanca orgán AACC preskúma, či v prípade uchádzača existuje nejaký osobný záujem, ktorý by mohol ohroziť jeho nezávislosť, alebo iný konflikt záujmov. Uchádzač informuje orgán AACC na osobitnom formulári o každom skutočnom alebo možnom konflikte záujmov. V prípade potreby orgán AACC prijme všetky príslušné opatrenia.</w:t>
            </w:r>
          </w:p>
          <w:p w:rsidR="00797555" w:rsidRPr="008F1AD8" w:rsidRDefault="00D8219A" w:rsidP="00797555">
            <w:pPr>
              <w:numPr>
                <w:ilvl w:val="0"/>
                <w:numId w:val="16"/>
              </w:numPr>
              <w:spacing w:after="0" w:line="240" w:lineRule="exact"/>
              <w:ind w:left="896" w:hanging="357"/>
              <w:rPr>
                <w:color w:val="auto"/>
              </w:rPr>
            </w:pPr>
            <w:r>
              <w:rPr>
                <w:color w:val="auto"/>
              </w:rPr>
              <w:t>Platnosť rezervného zoznamu je do 31. 12. 2017. Na základe rozhodnutia orgánu AACC ju možno predĺžiť.</w:t>
            </w:r>
          </w:p>
          <w:p w:rsidR="00797555" w:rsidRPr="008F1AD8" w:rsidRDefault="00D8219A" w:rsidP="00797555">
            <w:pPr>
              <w:numPr>
                <w:ilvl w:val="0"/>
                <w:numId w:val="16"/>
              </w:numPr>
              <w:spacing w:after="0" w:line="240" w:lineRule="exact"/>
              <w:ind w:left="896" w:hanging="357"/>
              <w:rPr>
                <w:color w:val="auto"/>
              </w:rPr>
            </w:pPr>
            <w:r>
              <w:rPr>
                <w:color w:val="auto"/>
              </w:rPr>
              <w:t>Vhodní uchádzači budú prijatí do zamestnania na základe rozhodnutia orgánu AACC. Uchádzači uvedení v rezervnom zozname môžu byť predtým, ako sa im ponúkne pracovné miesto, požiadaní, aby absolvovali osobný pohovor s výkonným riaditeľom.</w:t>
            </w:r>
          </w:p>
          <w:p w:rsidR="00797555" w:rsidRPr="009C390E" w:rsidRDefault="00FE2962" w:rsidP="006420F3">
            <w:pPr>
              <w:spacing w:after="0" w:line="240" w:lineRule="exact"/>
              <w:jc w:val="left"/>
              <w:rPr>
                <w:color w:val="auto"/>
                <w:szCs w:val="20"/>
              </w:rPr>
            </w:pPr>
          </w:p>
        </w:tc>
      </w:tr>
    </w:tbl>
    <w:p w:rsidR="00797555" w:rsidRPr="009C390E" w:rsidRDefault="00FE2962" w:rsidP="00797555">
      <w:pPr>
        <w:spacing w:after="0"/>
        <w:jc w:val="left"/>
        <w:rPr>
          <w:color w:val="auto"/>
        </w:rPr>
      </w:pPr>
    </w:p>
    <w:p w:rsidR="00797555" w:rsidRDefault="00FE2962"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0D68EF" w:rsidTr="008F1AD8">
        <w:trPr>
          <w:trHeight w:val="235"/>
        </w:trPr>
        <w:tc>
          <w:tcPr>
            <w:tcW w:w="5000" w:type="pct"/>
            <w:gridSpan w:val="2"/>
            <w:shd w:val="clear" w:color="auto" w:fill="auto"/>
            <w:vAlign w:val="center"/>
          </w:tcPr>
          <w:p w:rsidR="00797555" w:rsidRPr="009C390E" w:rsidRDefault="00D8219A" w:rsidP="006420F3">
            <w:pPr>
              <w:spacing w:after="0"/>
              <w:jc w:val="left"/>
              <w:rPr>
                <w:i/>
                <w:color w:val="0C4DA2"/>
              </w:rPr>
            </w:pPr>
            <w:r>
              <w:rPr>
                <w:i/>
                <w:color w:val="0C4DA2"/>
              </w:rPr>
              <w:t>ZHRNUTIE PODMIENOK ZAMESTNANIA</w:t>
            </w:r>
          </w:p>
        </w:tc>
      </w:tr>
      <w:tr w:rsidR="000D68EF" w:rsidTr="008F1AD8">
        <w:tc>
          <w:tcPr>
            <w:tcW w:w="2574" w:type="pct"/>
          </w:tcPr>
          <w:p w:rsidR="00797555" w:rsidRPr="00C605EA" w:rsidRDefault="00D8219A" w:rsidP="00347D65">
            <w:pPr>
              <w:pStyle w:val="ListParagraph"/>
              <w:numPr>
                <w:ilvl w:val="0"/>
                <w:numId w:val="18"/>
              </w:numPr>
              <w:tabs>
                <w:tab w:val="left" w:pos="338"/>
              </w:tabs>
              <w:ind w:left="0" w:firstLine="0"/>
              <w:contextualSpacing w:val="0"/>
              <w:rPr>
                <w:i w:val="0"/>
                <w:color w:val="auto"/>
              </w:rPr>
            </w:pPr>
            <w:r>
              <w:rPr>
                <w:i w:val="0"/>
                <w:color w:val="auto"/>
              </w:rPr>
              <w:t>Platy sú oslobodené od vnútroštátnej dane a namiesto toho sa daň v prospech Európskej únie odpočítava pri zdroji.</w:t>
            </w:r>
          </w:p>
          <w:p w:rsidR="00797555" w:rsidRPr="00C605EA" w:rsidRDefault="00D8219A" w:rsidP="00347D65">
            <w:pPr>
              <w:pStyle w:val="ListParagraph"/>
              <w:numPr>
                <w:ilvl w:val="0"/>
                <w:numId w:val="18"/>
              </w:numPr>
              <w:tabs>
                <w:tab w:val="left" w:pos="338"/>
              </w:tabs>
              <w:ind w:left="0" w:firstLine="0"/>
              <w:contextualSpacing w:val="0"/>
              <w:rPr>
                <w:i w:val="0"/>
                <w:color w:val="auto"/>
              </w:rPr>
            </w:pPr>
            <w:r>
              <w:rPr>
                <w:i w:val="0"/>
                <w:color w:val="auto"/>
              </w:rPr>
              <w:t>Ročný nárok na dovolenku sú dva dni za kalendárny mesiac plus ďalšie dni za vek a platovú triedu plus 2 ½ dňa pre expatriovaných pracovníkov a okrem toho v priemere 16 dní štátnych sviatkov ročne.</w:t>
            </w:r>
          </w:p>
          <w:p w:rsidR="00797555" w:rsidRPr="00C605EA" w:rsidRDefault="00D8219A" w:rsidP="00347D65">
            <w:pPr>
              <w:pStyle w:val="ListParagraph"/>
              <w:numPr>
                <w:ilvl w:val="0"/>
                <w:numId w:val="18"/>
              </w:numPr>
              <w:tabs>
                <w:tab w:val="left" w:pos="338"/>
              </w:tabs>
              <w:ind w:left="0" w:firstLine="0"/>
              <w:contextualSpacing w:val="0"/>
              <w:rPr>
                <w:i w:val="0"/>
                <w:color w:val="auto"/>
              </w:rPr>
            </w:pPr>
            <w:r>
              <w:rPr>
                <w:i w:val="0"/>
                <w:color w:val="auto"/>
              </w:rPr>
              <w:t>Všeobecná a relevantná odborná príprava plus príležitosti na profesionálny rozvoj.</w:t>
            </w:r>
          </w:p>
          <w:p w:rsidR="00797555" w:rsidRPr="00C605EA" w:rsidRDefault="00D8219A" w:rsidP="00347D65">
            <w:pPr>
              <w:pStyle w:val="ListParagraph"/>
              <w:numPr>
                <w:ilvl w:val="0"/>
                <w:numId w:val="18"/>
              </w:numPr>
              <w:tabs>
                <w:tab w:val="left" w:pos="338"/>
              </w:tabs>
              <w:ind w:left="0" w:firstLine="0"/>
              <w:contextualSpacing w:val="0"/>
              <w:rPr>
                <w:i w:val="0"/>
                <w:color w:val="auto"/>
              </w:rPr>
            </w:pPr>
            <w:r>
              <w:rPr>
                <w:i w:val="0"/>
                <w:color w:val="auto"/>
              </w:rPr>
              <w:t>Systém dôchodkového zabezpečenia EÚ (po 10 rokoch služby).</w:t>
            </w:r>
          </w:p>
          <w:p w:rsidR="00797555" w:rsidRPr="008F1AD8" w:rsidRDefault="00D8219A" w:rsidP="00347D65">
            <w:pPr>
              <w:pStyle w:val="ListParagraph"/>
              <w:numPr>
                <w:ilvl w:val="0"/>
                <w:numId w:val="18"/>
              </w:numPr>
              <w:tabs>
                <w:tab w:val="left" w:pos="338"/>
              </w:tabs>
              <w:ind w:left="0" w:firstLine="0"/>
              <w:contextualSpacing w:val="0"/>
              <w:rPr>
                <w:color w:val="auto"/>
              </w:rPr>
            </w:pPr>
            <w:r>
              <w:t>Krytie poistenia rizík úrazu a choroby z povolania spoločného systému zdravotného poistenia EÚ, príspevky v nezamestnanosti a zdravotného postihnutia a cestovné poistenie.</w:t>
            </w:r>
          </w:p>
        </w:tc>
        <w:tc>
          <w:tcPr>
            <w:tcW w:w="2426" w:type="pct"/>
          </w:tcPr>
          <w:p w:rsidR="00797555" w:rsidRPr="008F1AD8" w:rsidRDefault="00D8219A" w:rsidP="006420F3">
            <w:pPr>
              <w:spacing w:after="0"/>
              <w:jc w:val="left"/>
              <w:rPr>
                <w:b/>
                <w:color w:val="auto"/>
                <w:szCs w:val="20"/>
              </w:rPr>
            </w:pPr>
            <w:r>
              <w:rPr>
                <w:b/>
                <w:color w:val="auto"/>
              </w:rPr>
              <w:t>V závislosti od osobnej situácie jednotlivca a miesta pôvodu môže mať zamestnanec okrem toho nárok na:</w:t>
            </w:r>
          </w:p>
          <w:p w:rsidR="00797555" w:rsidRPr="00C605EA" w:rsidRDefault="00FE2962" w:rsidP="006420F3">
            <w:pPr>
              <w:spacing w:after="0"/>
              <w:jc w:val="left"/>
              <w:rPr>
                <w:color w:val="auto"/>
              </w:rPr>
            </w:pPr>
          </w:p>
          <w:p w:rsidR="00797555" w:rsidRPr="00C605EA" w:rsidRDefault="00D8219A" w:rsidP="00347D65">
            <w:pPr>
              <w:pStyle w:val="ListParagraph"/>
              <w:numPr>
                <w:ilvl w:val="0"/>
                <w:numId w:val="18"/>
              </w:numPr>
              <w:tabs>
                <w:tab w:val="left" w:pos="317"/>
              </w:tabs>
              <w:ind w:left="0" w:firstLine="0"/>
              <w:contextualSpacing w:val="0"/>
              <w:rPr>
                <w:i w:val="0"/>
                <w:color w:val="auto"/>
              </w:rPr>
            </w:pPr>
            <w:r>
              <w:rPr>
                <w:i w:val="0"/>
                <w:color w:val="auto"/>
              </w:rPr>
              <w:t>Príspevky na expatriáciu alebo bydlisko v zahraničí;</w:t>
            </w:r>
          </w:p>
          <w:p w:rsidR="00797555" w:rsidRPr="00C605EA" w:rsidRDefault="00D8219A" w:rsidP="00347D65">
            <w:pPr>
              <w:pStyle w:val="ListParagraph"/>
              <w:numPr>
                <w:ilvl w:val="0"/>
                <w:numId w:val="18"/>
              </w:numPr>
              <w:tabs>
                <w:tab w:val="left" w:pos="317"/>
              </w:tabs>
              <w:ind w:left="0" w:firstLine="0"/>
              <w:contextualSpacing w:val="0"/>
              <w:rPr>
                <w:i w:val="0"/>
                <w:color w:val="auto"/>
              </w:rPr>
            </w:pPr>
            <w:r>
              <w:rPr>
                <w:i w:val="0"/>
                <w:color w:val="auto"/>
              </w:rPr>
              <w:t>Príspevok na domácnosť;</w:t>
            </w:r>
          </w:p>
          <w:p w:rsidR="00797555" w:rsidRPr="00C605EA" w:rsidRDefault="00D8219A" w:rsidP="00347D65">
            <w:pPr>
              <w:pStyle w:val="ListParagraph"/>
              <w:numPr>
                <w:ilvl w:val="0"/>
                <w:numId w:val="18"/>
              </w:numPr>
              <w:tabs>
                <w:tab w:val="left" w:pos="317"/>
              </w:tabs>
              <w:ind w:left="0" w:firstLine="0"/>
              <w:contextualSpacing w:val="0"/>
              <w:rPr>
                <w:i w:val="0"/>
                <w:color w:val="auto"/>
              </w:rPr>
            </w:pPr>
            <w:r>
              <w:rPr>
                <w:i w:val="0"/>
                <w:color w:val="auto"/>
              </w:rPr>
              <w:t>Príspevok na nezaopatrené dieťa;</w:t>
            </w:r>
          </w:p>
          <w:p w:rsidR="00797555" w:rsidRPr="00C605EA" w:rsidRDefault="00D8219A" w:rsidP="00347D65">
            <w:pPr>
              <w:pStyle w:val="ListParagraph"/>
              <w:numPr>
                <w:ilvl w:val="0"/>
                <w:numId w:val="18"/>
              </w:numPr>
              <w:tabs>
                <w:tab w:val="left" w:pos="317"/>
              </w:tabs>
              <w:ind w:left="0" w:firstLine="0"/>
              <w:contextualSpacing w:val="0"/>
              <w:rPr>
                <w:i w:val="0"/>
                <w:color w:val="auto"/>
              </w:rPr>
            </w:pPr>
            <w:r>
              <w:rPr>
                <w:i w:val="0"/>
                <w:color w:val="auto"/>
              </w:rPr>
              <w:t>Príspevok na vzdelávanie;</w:t>
            </w:r>
          </w:p>
          <w:p w:rsidR="00797555" w:rsidRPr="00C605EA" w:rsidRDefault="00D8219A" w:rsidP="00347D65">
            <w:pPr>
              <w:pStyle w:val="ListParagraph"/>
              <w:numPr>
                <w:ilvl w:val="0"/>
                <w:numId w:val="18"/>
              </w:numPr>
              <w:tabs>
                <w:tab w:val="left" w:pos="377"/>
              </w:tabs>
              <w:ind w:left="0" w:firstLine="0"/>
              <w:contextualSpacing w:val="0"/>
              <w:rPr>
                <w:i w:val="0"/>
                <w:color w:val="auto"/>
              </w:rPr>
            </w:pPr>
            <w:r>
              <w:rPr>
                <w:i w:val="0"/>
                <w:color w:val="auto"/>
              </w:rPr>
              <w:t>Príspevok na zriadenie domácnosti a náhradu výdavkov na sťahovanie;</w:t>
            </w:r>
          </w:p>
          <w:p w:rsidR="00797555" w:rsidRPr="00C605EA" w:rsidRDefault="00D8219A" w:rsidP="00347D65">
            <w:pPr>
              <w:pStyle w:val="ListParagraph"/>
              <w:numPr>
                <w:ilvl w:val="0"/>
                <w:numId w:val="18"/>
              </w:numPr>
              <w:tabs>
                <w:tab w:val="left" w:pos="175"/>
                <w:tab w:val="left" w:pos="377"/>
              </w:tabs>
              <w:ind w:left="0" w:firstLine="0"/>
              <w:contextualSpacing w:val="0"/>
              <w:rPr>
                <w:i w:val="0"/>
                <w:color w:val="auto"/>
              </w:rPr>
            </w:pPr>
            <w:r>
              <w:rPr>
                <w:i w:val="0"/>
                <w:color w:val="auto"/>
              </w:rPr>
              <w:t>Počiatočné dočasné denné diéty;</w:t>
            </w:r>
          </w:p>
          <w:p w:rsidR="00797555" w:rsidRPr="00C605EA" w:rsidRDefault="00D8219A" w:rsidP="00347D65">
            <w:pPr>
              <w:pStyle w:val="ListParagraph"/>
              <w:numPr>
                <w:ilvl w:val="0"/>
                <w:numId w:val="18"/>
              </w:numPr>
              <w:tabs>
                <w:tab w:val="left" w:pos="175"/>
                <w:tab w:val="left" w:pos="377"/>
              </w:tabs>
              <w:ind w:left="0" w:firstLine="0"/>
              <w:contextualSpacing w:val="0"/>
              <w:rPr>
                <w:i w:val="0"/>
                <w:color w:val="auto"/>
              </w:rPr>
            </w:pPr>
            <w:r>
              <w:rPr>
                <w:i w:val="0"/>
                <w:color w:val="auto"/>
              </w:rPr>
              <w:t>Iné výhody (refundácia cestovných výdavkov pri nástupe do zamestnania a pod.)</w:t>
            </w:r>
          </w:p>
          <w:p w:rsidR="00797555" w:rsidRPr="008F1AD8" w:rsidRDefault="00FE2962" w:rsidP="006420F3">
            <w:pPr>
              <w:spacing w:after="0"/>
              <w:jc w:val="left"/>
              <w:rPr>
                <w:color w:val="auto"/>
                <w:szCs w:val="20"/>
              </w:rPr>
            </w:pPr>
          </w:p>
          <w:p w:rsidR="00797555" w:rsidRPr="008F1AD8" w:rsidRDefault="00D8219A" w:rsidP="006420F3">
            <w:pPr>
              <w:spacing w:after="0"/>
              <w:jc w:val="left"/>
              <w:rPr>
                <w:color w:val="auto"/>
              </w:rPr>
            </w:pPr>
            <w:r>
              <w:t xml:space="preserve">Ďalšie informácie o príslušných podmienkach sa uvádzajú </w:t>
            </w:r>
            <w:r>
              <w:rPr>
                <w:b/>
              </w:rPr>
              <w:t>v prílohe VII Služobného poriadku</w:t>
            </w:r>
            <w:r>
              <w:t xml:space="preserve"> (od strany 96 po stranu 110):</w:t>
            </w:r>
          </w:p>
          <w:p w:rsidR="00797555" w:rsidRPr="008F1AD8" w:rsidRDefault="00FE2962" w:rsidP="006420F3">
            <w:pPr>
              <w:spacing w:after="0"/>
              <w:jc w:val="left"/>
              <w:rPr>
                <w:b/>
                <w:color w:val="auto"/>
                <w:sz w:val="20"/>
                <w:szCs w:val="20"/>
              </w:rPr>
            </w:pPr>
            <w:hyperlink r:id="rId16" w:history="1">
              <w:r w:rsidR="00D8219A">
                <w:rPr>
                  <w:rFonts w:ascii="Calibri" w:hAnsi="Calibri"/>
                  <w:color w:val="auto"/>
                  <w:sz w:val="20"/>
                  <w:u w:val="single"/>
                </w:rPr>
                <w:t>http://eur-lex.europa.eu/LexUriServ/LexUriServ.do?uri=CONSLEG:1962R0031:20140101:SK:PDF</w:t>
              </w:r>
            </w:hyperlink>
          </w:p>
        </w:tc>
      </w:tr>
    </w:tbl>
    <w:p w:rsidR="00797555" w:rsidRPr="009C390E" w:rsidRDefault="00FE2962" w:rsidP="00797555">
      <w:pPr>
        <w:spacing w:after="0"/>
        <w:jc w:val="left"/>
        <w:rPr>
          <w:color w:val="auto"/>
        </w:rPr>
      </w:pPr>
    </w:p>
    <w:p w:rsidR="0040145B" w:rsidRDefault="00FE2962" w:rsidP="00596D63">
      <w:pPr>
        <w:spacing w:after="20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0D68EF" w:rsidTr="008F1AD8">
        <w:trPr>
          <w:trHeight w:val="301"/>
        </w:trPr>
        <w:tc>
          <w:tcPr>
            <w:tcW w:w="5000" w:type="pct"/>
            <w:gridSpan w:val="2"/>
            <w:shd w:val="clear" w:color="auto" w:fill="auto"/>
            <w:vAlign w:val="center"/>
          </w:tcPr>
          <w:p w:rsidR="00797555" w:rsidRPr="009C390E" w:rsidRDefault="00D8219A" w:rsidP="006420F3">
            <w:pPr>
              <w:spacing w:after="0"/>
              <w:jc w:val="left"/>
              <w:rPr>
                <w:i/>
                <w:color w:val="0C4DA2"/>
              </w:rPr>
            </w:pPr>
            <w:r>
              <w:rPr>
                <w:i/>
                <w:color w:val="0C4DA2"/>
              </w:rPr>
              <w:t>ZÁVÄZKY</w:t>
            </w:r>
          </w:p>
        </w:tc>
      </w:tr>
      <w:tr w:rsidR="000D68EF" w:rsidTr="008F1AD8">
        <w:tc>
          <w:tcPr>
            <w:tcW w:w="2527" w:type="pct"/>
          </w:tcPr>
          <w:p w:rsidR="00797555" w:rsidRPr="008F1AD8" w:rsidRDefault="00D8219A" w:rsidP="006420F3">
            <w:pPr>
              <w:spacing w:after="0"/>
              <w:jc w:val="left"/>
              <w:rPr>
                <w:b/>
                <w:color w:val="auto"/>
                <w:szCs w:val="20"/>
              </w:rPr>
            </w:pPr>
            <w:r>
              <w:rPr>
                <w:b/>
                <w:color w:val="auto"/>
              </w:rPr>
              <w:t>Záväzok podporovať rovnosť príležitostí:</w:t>
            </w:r>
          </w:p>
          <w:p w:rsidR="00797555" w:rsidRPr="008F1AD8" w:rsidRDefault="00D8219A" w:rsidP="006420F3">
            <w:pPr>
              <w:rPr>
                <w:color w:val="auto"/>
              </w:rPr>
            </w:pPr>
            <w:r>
              <w:rPr>
                <w:color w:val="auto"/>
              </w:rPr>
              <w:t>Agentúra je zamestnávateľom, ktorý uplatňuje rovnosť príležitostí a dôrazne podporuje žiadosti všetkých uchádzačov, ktorí spĺňajú kritériá oprávnenosti a výberu bez rozdielu, pokiaľ ide o štátnu príslušnosť, vek, rasu, politické, filozofické alebo náboženské presvedčenie, pohlavie alebo sexuálnu orientáciu a bez ohľadu na zdravotné postihnutie, rodinný stav alebo inú rodinnú situáciu.</w:t>
            </w:r>
          </w:p>
        </w:tc>
        <w:tc>
          <w:tcPr>
            <w:tcW w:w="2473" w:type="pct"/>
          </w:tcPr>
          <w:p w:rsidR="00797555" w:rsidRPr="008F1AD8" w:rsidRDefault="00D8219A" w:rsidP="006420F3">
            <w:pPr>
              <w:spacing w:after="0"/>
              <w:rPr>
                <w:b/>
                <w:color w:val="auto"/>
                <w:szCs w:val="20"/>
              </w:rPr>
            </w:pPr>
            <w:r>
              <w:rPr>
                <w:b/>
                <w:color w:val="auto"/>
              </w:rPr>
              <w:t>Odvolacie konanie:</w:t>
            </w:r>
          </w:p>
          <w:p w:rsidR="00797555" w:rsidRPr="008F1AD8" w:rsidRDefault="00D8219A" w:rsidP="006420F3">
            <w:pPr>
              <w:rPr>
                <w:color w:val="auto"/>
              </w:rPr>
            </w:pPr>
            <w:r>
              <w:rPr>
                <w:color w:val="auto"/>
              </w:rPr>
              <w:t>Uchádzač, ktorý sa domnieva, že došlo k chybe pri posúdení oprávnenosti jeho prihlášky, môže požiadať o preskúmanie. Žiadosť o preskúmanie možno na tento účel podať v lehote do 20 kalendárnych dní od dátumu e-mailu, v ktorom bol informovaný o zamietnutí svojej žiadosti o zamestnanie. V žiadosti o preskúmanie má byť uvedený odkaz na príslušné výberové konanie a jasne uvedené kritérium oprávnenosti, ktoré sa má podľa žiadosti prehodnotiť, ako aj zdôvodnenie žiadosti o preskúmanie. Táto žiadosť musí byť odoslaná na osobitnú e-mailovú adresu agentúry (jobs@era.europa.eu).</w:t>
            </w:r>
          </w:p>
          <w:p w:rsidR="00797555" w:rsidRPr="008F1AD8" w:rsidRDefault="00D8219A" w:rsidP="006420F3">
            <w:pPr>
              <w:rPr>
                <w:color w:val="auto"/>
              </w:rPr>
            </w:pPr>
            <w:r>
              <w:rPr>
                <w:color w:val="auto"/>
              </w:rPr>
              <w:t>Uchádzač je do 15 kalendárnych dní odo dňa doručenia jeho žiadosti informovaný o rozhodnutí výberovej komisie v tejto veci.</w:t>
            </w:r>
          </w:p>
        </w:tc>
      </w:tr>
    </w:tbl>
    <w:p w:rsidR="00797555" w:rsidRDefault="00FE2962" w:rsidP="0040145B">
      <w:pPr>
        <w:spacing w:after="0" w:line="276" w:lineRule="auto"/>
        <w:jc w:val="left"/>
        <w:rPr>
          <w:color w:val="auto"/>
        </w:rPr>
      </w:pPr>
    </w:p>
    <w:p w:rsidR="0040145B" w:rsidRDefault="00D8219A">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0D68EF" w:rsidTr="008F1AD8">
        <w:trPr>
          <w:trHeight w:val="261"/>
        </w:trPr>
        <w:tc>
          <w:tcPr>
            <w:tcW w:w="5000" w:type="pct"/>
            <w:gridSpan w:val="2"/>
            <w:shd w:val="clear" w:color="auto" w:fill="auto"/>
            <w:vAlign w:val="center"/>
          </w:tcPr>
          <w:p w:rsidR="00797555" w:rsidRPr="009C390E" w:rsidRDefault="00D8219A" w:rsidP="006420F3">
            <w:pPr>
              <w:spacing w:after="0"/>
              <w:jc w:val="left"/>
              <w:rPr>
                <w:i/>
                <w:color w:val="0C4DA2"/>
              </w:rPr>
            </w:pPr>
            <w:r>
              <w:rPr>
                <w:i/>
                <w:color w:val="0C4DA2"/>
              </w:rPr>
              <w:lastRenderedPageBreak/>
              <w:t>KONANIE V PRÍPADE ODVOLANIA A SŤAŽNOSTI</w:t>
            </w:r>
          </w:p>
        </w:tc>
      </w:tr>
      <w:tr w:rsidR="000D68EF" w:rsidTr="008F1AD8">
        <w:trPr>
          <w:trHeight w:val="9204"/>
        </w:trPr>
        <w:tc>
          <w:tcPr>
            <w:tcW w:w="2527" w:type="pct"/>
          </w:tcPr>
          <w:p w:rsidR="00797555" w:rsidRPr="008F1AD8" w:rsidRDefault="00D8219A" w:rsidP="006420F3">
            <w:pPr>
              <w:spacing w:after="0"/>
              <w:rPr>
                <w:color w:val="auto"/>
              </w:rPr>
            </w:pPr>
            <w:r>
              <w:rPr>
                <w:color w:val="auto"/>
              </w:rPr>
              <w:t>Ak sa uchádzač domnieva, že bol nepriaznivo ovplyvnený konkrétnym rozhodnutím, môže predložiť administratívnu sťažnosť podľa článku 90 ods. 2 Služobného poriadku úradníkov a Podmienok zamestnávania ostatných zamestnancov Európskej únie na adresu:</w:t>
            </w:r>
          </w:p>
          <w:p w:rsidR="00797555" w:rsidRPr="008F1AD8" w:rsidRDefault="00FE2962" w:rsidP="006420F3">
            <w:pPr>
              <w:spacing w:after="0"/>
              <w:rPr>
                <w:color w:val="auto"/>
              </w:rPr>
            </w:pPr>
          </w:p>
          <w:p w:rsidR="00797555" w:rsidRPr="008F1AD8" w:rsidRDefault="00D8219A" w:rsidP="006420F3">
            <w:pPr>
              <w:spacing w:after="0"/>
              <w:rPr>
                <w:color w:val="auto"/>
              </w:rPr>
            </w:pPr>
            <w:r>
              <w:rPr>
                <w:color w:val="auto"/>
              </w:rPr>
              <w:t>Executive Director</w:t>
            </w:r>
          </w:p>
          <w:p w:rsidR="00797555" w:rsidRPr="008F1AD8" w:rsidRDefault="00D8219A" w:rsidP="006420F3">
            <w:pPr>
              <w:spacing w:after="0"/>
              <w:rPr>
                <w:color w:val="auto"/>
              </w:rPr>
            </w:pPr>
            <w:r>
              <w:rPr>
                <w:color w:val="auto"/>
              </w:rPr>
              <w:t>European Union Agency For Railways</w:t>
            </w:r>
          </w:p>
          <w:p w:rsidR="00797555" w:rsidRPr="008F1AD8" w:rsidRDefault="00D8219A" w:rsidP="006420F3">
            <w:pPr>
              <w:spacing w:after="0"/>
              <w:rPr>
                <w:color w:val="auto"/>
              </w:rPr>
            </w:pPr>
            <w:r>
              <w:rPr>
                <w:color w:val="auto"/>
              </w:rPr>
              <w:t>120, rue Marc Lefrancq</w:t>
            </w:r>
          </w:p>
          <w:p w:rsidR="00797555" w:rsidRPr="008F1AD8" w:rsidRDefault="00D8219A" w:rsidP="006420F3">
            <w:pPr>
              <w:spacing w:after="0"/>
              <w:rPr>
                <w:color w:val="auto"/>
              </w:rPr>
            </w:pPr>
            <w:r>
              <w:rPr>
                <w:color w:val="auto"/>
              </w:rPr>
              <w:t>F – 59300 Valenciennes</w:t>
            </w:r>
          </w:p>
          <w:p w:rsidR="00797555" w:rsidRPr="008F1AD8" w:rsidRDefault="00FE2962" w:rsidP="006420F3">
            <w:pPr>
              <w:spacing w:after="0"/>
              <w:rPr>
                <w:color w:val="auto"/>
              </w:rPr>
            </w:pPr>
          </w:p>
          <w:p w:rsidR="00797555" w:rsidRPr="008F1AD8" w:rsidRDefault="00D8219A" w:rsidP="006420F3">
            <w:pPr>
              <w:spacing w:after="0"/>
              <w:rPr>
                <w:color w:val="auto"/>
              </w:rPr>
            </w:pPr>
            <w:r>
              <w:rPr>
                <w:color w:val="auto"/>
              </w:rPr>
              <w:t>Sťažnosť musí byť podaná do 3 mesiacov od dátumu, keď bol uchádzač informovaný o konaní, ktorým bol nepriaznivo ovplyvnený.</w:t>
            </w:r>
          </w:p>
          <w:p w:rsidR="00797555" w:rsidRPr="008F1AD8" w:rsidRDefault="00FE2962" w:rsidP="006420F3">
            <w:pPr>
              <w:spacing w:after="0"/>
              <w:rPr>
                <w:color w:val="auto"/>
              </w:rPr>
            </w:pPr>
          </w:p>
          <w:p w:rsidR="00797555" w:rsidRPr="008F1AD8" w:rsidRDefault="00D8219A" w:rsidP="006420F3">
            <w:pPr>
              <w:spacing w:after="0"/>
              <w:rPr>
                <w:color w:val="auto"/>
              </w:rPr>
            </w:pPr>
            <w:r>
              <w:rPr>
                <w:color w:val="auto"/>
              </w:rPr>
              <w:t>V prípade zamietnutia sťažnosti uchádzač môže prípad predložiť na základe článku 270 Zmluvy o fungovaní Európskej únie a článku 91 Služobného poriadku úradníkov Európskej únie a Podmienok zamestnávania ostatných zamestnancov Európskej únie na Súd pre verejnú službu Európskej únie:</w:t>
            </w:r>
          </w:p>
          <w:p w:rsidR="00797555" w:rsidRPr="008F1AD8" w:rsidRDefault="00FE2962" w:rsidP="006420F3">
            <w:pPr>
              <w:spacing w:after="0"/>
              <w:rPr>
                <w:color w:val="auto"/>
              </w:rPr>
            </w:pPr>
          </w:p>
          <w:p w:rsidR="00797555" w:rsidRPr="008F1AD8" w:rsidRDefault="00D8219A" w:rsidP="006420F3">
            <w:pPr>
              <w:spacing w:after="0"/>
              <w:rPr>
                <w:color w:val="auto"/>
              </w:rPr>
            </w:pPr>
            <w:r>
              <w:rPr>
                <w:color w:val="auto"/>
              </w:rPr>
              <w:t>The European Union Civil Service Tribunal</w:t>
            </w:r>
          </w:p>
          <w:p w:rsidR="00797555" w:rsidRPr="008F1AD8" w:rsidRDefault="00D8219A" w:rsidP="006420F3">
            <w:pPr>
              <w:spacing w:after="0"/>
              <w:rPr>
                <w:color w:val="auto"/>
              </w:rPr>
            </w:pPr>
            <w:r>
              <w:rPr>
                <w:color w:val="auto"/>
              </w:rPr>
              <w:t>Poštová adresa</w:t>
            </w:r>
          </w:p>
          <w:p w:rsidR="00797555" w:rsidRPr="008F1AD8" w:rsidRDefault="00D8219A" w:rsidP="006420F3">
            <w:pPr>
              <w:spacing w:after="0"/>
              <w:rPr>
                <w:color w:val="auto"/>
              </w:rPr>
            </w:pPr>
            <w:r>
              <w:rPr>
                <w:color w:val="auto"/>
              </w:rPr>
              <w:t>L-2925 Luxembourg</w:t>
            </w:r>
          </w:p>
          <w:p w:rsidR="00797555" w:rsidRPr="008F1AD8" w:rsidRDefault="00FE2962" w:rsidP="006420F3">
            <w:pPr>
              <w:spacing w:after="0"/>
              <w:rPr>
                <w:color w:val="auto"/>
              </w:rPr>
            </w:pPr>
            <w:hyperlink r:id="rId17" w:history="1">
              <w:r w:rsidR="00D8219A">
                <w:rPr>
                  <w:color w:val="auto"/>
                  <w:u w:val="single"/>
                </w:rPr>
                <w:t>http://curia.europa.eu/</w:t>
              </w:r>
            </w:hyperlink>
          </w:p>
          <w:p w:rsidR="00797555" w:rsidRPr="008F1AD8" w:rsidRDefault="00FE2962" w:rsidP="006420F3">
            <w:pPr>
              <w:spacing w:after="0"/>
              <w:rPr>
                <w:color w:val="auto"/>
              </w:rPr>
            </w:pPr>
          </w:p>
          <w:p w:rsidR="00797555" w:rsidRPr="008F1AD8" w:rsidRDefault="00D8219A" w:rsidP="006420F3">
            <w:pPr>
              <w:spacing w:after="0"/>
              <w:rPr>
                <w:color w:val="auto"/>
              </w:rPr>
            </w:pPr>
            <w:r>
              <w:rPr>
                <w:color w:val="auto"/>
              </w:rPr>
              <w:t>Upozorňujeme, že orgán AACC nemá právomoc meniť rozhodnutia výberovej komisie. Súdny dvor dôsledne trvá na tom, že rozsiahla voľnosť uváženia výberovej komisie nie je predmetom preskúmania Súdnym dvorom, pokiaľ neboli porušené pravidlá, ktorými sa riadi konanie výberových komisií.</w:t>
            </w:r>
          </w:p>
        </w:tc>
        <w:tc>
          <w:tcPr>
            <w:tcW w:w="2473" w:type="pct"/>
          </w:tcPr>
          <w:p w:rsidR="00797555" w:rsidRPr="008F1AD8" w:rsidRDefault="00D8219A" w:rsidP="006420F3">
            <w:pPr>
              <w:spacing w:after="0"/>
              <w:rPr>
                <w:color w:val="auto"/>
              </w:rPr>
            </w:pPr>
            <w:r>
              <w:rPr>
                <w:color w:val="auto"/>
              </w:rPr>
              <w:t>Sťažnosti možno podať aj Európskemu ombudsmanovi podľa článku 228 ods. 1 Zmluvy o fungovaní Európskej únie a v súlade s podmienkami ustanovenými v rozhodnutí Európskeho parlamentu z 9. marca 1994 o predpisoch a všeobecných podmienkach upravujúcich výkon funkcie ombudsmana uverejneného v Úradnom vestníku Európskej únie L 113 zo 4. mája 1994:</w:t>
            </w:r>
          </w:p>
          <w:p w:rsidR="00797555" w:rsidRPr="008F1AD8" w:rsidRDefault="00FE2962" w:rsidP="006420F3">
            <w:pPr>
              <w:spacing w:after="0"/>
              <w:rPr>
                <w:color w:val="auto"/>
              </w:rPr>
            </w:pPr>
          </w:p>
          <w:p w:rsidR="00797555" w:rsidRPr="008F1AD8" w:rsidRDefault="00D8219A" w:rsidP="006420F3">
            <w:pPr>
              <w:spacing w:after="0"/>
              <w:rPr>
                <w:color w:val="auto"/>
              </w:rPr>
            </w:pPr>
            <w:r>
              <w:rPr>
                <w:color w:val="auto"/>
              </w:rPr>
              <w:t>European Ombudsman</w:t>
            </w:r>
          </w:p>
          <w:p w:rsidR="00797555" w:rsidRPr="008F1AD8" w:rsidRDefault="00D8219A" w:rsidP="006420F3">
            <w:pPr>
              <w:spacing w:after="0"/>
              <w:rPr>
                <w:color w:val="auto"/>
              </w:rPr>
            </w:pPr>
            <w:r>
              <w:rPr>
                <w:color w:val="auto"/>
              </w:rPr>
              <w:t>1, Avenue du Président Robert Schuman – CS 30403</w:t>
            </w:r>
          </w:p>
          <w:p w:rsidR="00797555" w:rsidRPr="008F1AD8" w:rsidRDefault="00D8219A" w:rsidP="006420F3">
            <w:pPr>
              <w:spacing w:after="0"/>
              <w:rPr>
                <w:color w:val="auto"/>
              </w:rPr>
            </w:pPr>
            <w:r>
              <w:rPr>
                <w:color w:val="auto"/>
              </w:rPr>
              <w:t>F – 67001 Strasbourg Cedex</w:t>
            </w:r>
          </w:p>
          <w:p w:rsidR="00797555" w:rsidRPr="008F1AD8" w:rsidRDefault="00FE2962" w:rsidP="006420F3">
            <w:pPr>
              <w:spacing w:after="0"/>
              <w:rPr>
                <w:color w:val="auto"/>
                <w:u w:val="single"/>
              </w:rPr>
            </w:pPr>
            <w:hyperlink r:id="rId18" w:history="1">
              <w:r w:rsidR="00D8219A">
                <w:rPr>
                  <w:color w:val="auto"/>
                  <w:u w:val="single"/>
                </w:rPr>
                <w:t>http://www.ombudsman.europa.eu</w:t>
              </w:r>
            </w:hyperlink>
          </w:p>
          <w:p w:rsidR="00797555" w:rsidRPr="008F1AD8" w:rsidRDefault="00FE2962" w:rsidP="006420F3">
            <w:pPr>
              <w:spacing w:after="0"/>
              <w:rPr>
                <w:color w:val="auto"/>
                <w:u w:val="single"/>
              </w:rPr>
            </w:pPr>
          </w:p>
          <w:p w:rsidR="00797555" w:rsidRPr="008F1AD8" w:rsidRDefault="00D8219A" w:rsidP="006420F3">
            <w:pPr>
              <w:spacing w:after="0"/>
              <w:rPr>
                <w:color w:val="auto"/>
              </w:rPr>
            </w:pPr>
            <w:r>
              <w:rPr>
                <w:color w:val="auto"/>
              </w:rPr>
              <w:t>Upozorňujeme uchádzačov, že predložením sťažnosti Európskemu ombudsmanovi sa neprerušuje lehota stanovená v článku 90 ods. 2 a článku 91 Služobného poriadku úradníkov Európskej únie na podanie sťažnosti alebo odvolania na Súde pre verejnú službu na základe článku 270 Zmluvy o fungovaní Európskej únie.</w:t>
            </w:r>
          </w:p>
        </w:tc>
      </w:tr>
    </w:tbl>
    <w:p w:rsidR="00797555" w:rsidRDefault="00FE2962"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0D68EF" w:rsidTr="008F1AD8">
        <w:trPr>
          <w:trHeight w:val="261"/>
        </w:trPr>
        <w:tc>
          <w:tcPr>
            <w:tcW w:w="5000" w:type="pct"/>
            <w:gridSpan w:val="2"/>
            <w:shd w:val="clear" w:color="auto" w:fill="auto"/>
            <w:vAlign w:val="center"/>
          </w:tcPr>
          <w:p w:rsidR="00797555" w:rsidRPr="009C390E" w:rsidRDefault="00D8219A" w:rsidP="006420F3">
            <w:pPr>
              <w:spacing w:after="0"/>
              <w:jc w:val="left"/>
              <w:rPr>
                <w:i/>
                <w:color w:val="0C4DA2"/>
              </w:rPr>
            </w:pPr>
            <w:r>
              <w:rPr>
                <w:i/>
                <w:color w:val="0C4DA2"/>
              </w:rPr>
              <w:t>OCHRANA ÚDAJOV</w:t>
            </w:r>
          </w:p>
        </w:tc>
      </w:tr>
      <w:tr w:rsidR="000D68EF" w:rsidTr="008F1AD8">
        <w:tc>
          <w:tcPr>
            <w:tcW w:w="2527" w:type="pct"/>
          </w:tcPr>
          <w:p w:rsidR="00797555" w:rsidRPr="008F1AD8" w:rsidRDefault="00D8219A" w:rsidP="006420F3">
            <w:pPr>
              <w:rPr>
                <w:color w:val="auto"/>
              </w:rPr>
            </w:pPr>
            <w:r>
              <w:rPr>
                <w:color w:val="auto"/>
              </w:rPr>
              <w:t>Účelom spracovania údajov, ktoré predložíte, je spravovať vašu prihlášku so zreteľom na možný predbežný výber a zamestnanie v agentúre.</w:t>
            </w:r>
          </w:p>
          <w:p w:rsidR="00797555" w:rsidRPr="008F1AD8" w:rsidRDefault="00D8219A" w:rsidP="006420F3">
            <w:pPr>
              <w:rPr>
                <w:color w:val="auto"/>
                <w:sz w:val="20"/>
              </w:rPr>
            </w:pPr>
            <w:r>
              <w:rPr>
                <w:color w:val="auto"/>
              </w:rPr>
              <w:t>Osobné údaje, ktoré od vás požadujeme, budú spracované v súlade s nariadením Európskeho parlamentu a Rady (ES) č. 45/2001 z 18. decembra 2000 o ochrane jednotlivcov so zreteľom na spracovanie osobných údajov inštitúciami a orgánmi Spoločenstva a o voľnom pohybe takýchto údajov.</w:t>
            </w:r>
          </w:p>
        </w:tc>
        <w:tc>
          <w:tcPr>
            <w:tcW w:w="2473" w:type="pct"/>
          </w:tcPr>
          <w:p w:rsidR="00797555" w:rsidRPr="008F1AD8" w:rsidRDefault="00D8219A" w:rsidP="006420F3">
            <w:pPr>
              <w:spacing w:after="0"/>
              <w:jc w:val="left"/>
              <w:rPr>
                <w:color w:val="auto"/>
              </w:rPr>
            </w:pPr>
            <w:r>
              <w:rPr>
                <w:color w:val="auto"/>
              </w:rPr>
              <w:t>Pozri odkaz:</w:t>
            </w:r>
          </w:p>
          <w:p w:rsidR="00797555" w:rsidRPr="008F1AD8" w:rsidRDefault="00FE2962" w:rsidP="006420F3">
            <w:pPr>
              <w:spacing w:after="0"/>
              <w:jc w:val="left"/>
              <w:rPr>
                <w:color w:val="auto"/>
                <w:sz w:val="20"/>
                <w:szCs w:val="20"/>
              </w:rPr>
            </w:pPr>
            <w:hyperlink r:id="rId19" w:history="1">
              <w:r w:rsidR="00D8219A">
                <w:rPr>
                  <w:color w:val="auto"/>
                  <w:sz w:val="20"/>
                  <w:u w:val="single"/>
                </w:rPr>
                <w:t>http://www.era.europa.eu/The-Agency/Jobs/Pages/HR-Privacy-Statement.aspx</w:t>
              </w:r>
            </w:hyperlink>
          </w:p>
          <w:p w:rsidR="00797555" w:rsidRPr="008F1AD8" w:rsidRDefault="00FE2962" w:rsidP="006420F3">
            <w:pPr>
              <w:spacing w:after="0"/>
              <w:jc w:val="center"/>
              <w:rPr>
                <w:color w:val="auto"/>
                <w:sz w:val="20"/>
                <w:szCs w:val="20"/>
              </w:rPr>
            </w:pPr>
          </w:p>
        </w:tc>
      </w:tr>
    </w:tbl>
    <w:p w:rsidR="00797555" w:rsidRPr="009C390E" w:rsidRDefault="00FE2962"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7B2" w:rsidRDefault="00D8219A">
      <w:pPr>
        <w:spacing w:after="0"/>
      </w:pPr>
      <w:r>
        <w:separator/>
      </w:r>
    </w:p>
  </w:endnote>
  <w:endnote w:type="continuationSeparator" w:id="0">
    <w:p w:rsidR="000247B2" w:rsidRDefault="00D821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D8219A"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FE2962">
      <w:t>8</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596D63" w:rsidRDefault="00D8219A" w:rsidP="00D2337E">
    <w:pPr>
      <w:tabs>
        <w:tab w:val="right" w:pos="9639"/>
      </w:tabs>
      <w:spacing w:after="0"/>
      <w:ind w:right="-108"/>
      <w:rPr>
        <w:color w:val="004494"/>
        <w:sz w:val="16"/>
        <w:szCs w:val="16"/>
      </w:rPr>
    </w:pPr>
    <w:r w:rsidRPr="00596D63">
      <w:rPr>
        <w:color w:val="004494"/>
        <w:sz w:val="16"/>
      </w:rPr>
      <w:t>120 Rue Marc Lefrancq  |  BP 20392  |  FR-59307 Valenciennes Cedex</w:t>
    </w:r>
    <w:r w:rsidRPr="00596D63">
      <w:tab/>
    </w:r>
    <w:r w:rsidRPr="00596D63">
      <w:rPr>
        <w:color w:val="004494"/>
        <w:sz w:val="16"/>
        <w:szCs w:val="16"/>
      </w:rPr>
      <w:fldChar w:fldCharType="begin"/>
    </w:r>
    <w:r w:rsidRPr="00596D63">
      <w:rPr>
        <w:color w:val="004494"/>
        <w:sz w:val="16"/>
        <w:szCs w:val="16"/>
      </w:rPr>
      <w:instrText xml:space="preserve"> PAGE </w:instrText>
    </w:r>
    <w:r w:rsidRPr="00596D63">
      <w:rPr>
        <w:color w:val="004494"/>
        <w:sz w:val="16"/>
        <w:szCs w:val="16"/>
      </w:rPr>
      <w:fldChar w:fldCharType="separate"/>
    </w:r>
    <w:r w:rsidR="00FE2962">
      <w:rPr>
        <w:noProof/>
        <w:color w:val="004494"/>
        <w:sz w:val="16"/>
        <w:szCs w:val="16"/>
      </w:rPr>
      <w:t>8</w:t>
    </w:r>
    <w:r w:rsidRPr="00596D63">
      <w:rPr>
        <w:color w:val="004494"/>
        <w:sz w:val="16"/>
        <w:szCs w:val="16"/>
      </w:rPr>
      <w:fldChar w:fldCharType="end"/>
    </w:r>
    <w:r w:rsidRPr="00596D63">
      <w:rPr>
        <w:color w:val="004494"/>
        <w:sz w:val="16"/>
      </w:rPr>
      <w:t xml:space="preserve"> / </w:t>
    </w:r>
    <w:r w:rsidRPr="00596D63">
      <w:rPr>
        <w:color w:val="004494"/>
        <w:sz w:val="16"/>
        <w:szCs w:val="16"/>
      </w:rPr>
      <w:fldChar w:fldCharType="begin"/>
    </w:r>
    <w:r w:rsidRPr="00596D63">
      <w:rPr>
        <w:color w:val="004494"/>
        <w:sz w:val="16"/>
        <w:szCs w:val="16"/>
      </w:rPr>
      <w:instrText xml:space="preserve"> NUMPAGES </w:instrText>
    </w:r>
    <w:r w:rsidRPr="00596D63">
      <w:rPr>
        <w:color w:val="004494"/>
        <w:sz w:val="16"/>
        <w:szCs w:val="16"/>
      </w:rPr>
      <w:fldChar w:fldCharType="separate"/>
    </w:r>
    <w:r w:rsidR="00FE2962">
      <w:rPr>
        <w:noProof/>
        <w:color w:val="004494"/>
        <w:sz w:val="16"/>
        <w:szCs w:val="16"/>
      </w:rPr>
      <w:t>8</w:t>
    </w:r>
    <w:r w:rsidRPr="00596D63">
      <w:rPr>
        <w:color w:val="004494"/>
        <w:sz w:val="16"/>
        <w:szCs w:val="16"/>
      </w:rPr>
      <w:fldChar w:fldCharType="end"/>
    </w:r>
  </w:p>
  <w:p w:rsidR="00E7154A" w:rsidRPr="00596D63" w:rsidRDefault="00D8219A" w:rsidP="00D2337E">
    <w:pPr>
      <w:tabs>
        <w:tab w:val="right" w:pos="9360"/>
      </w:tabs>
      <w:spacing w:after="0"/>
      <w:ind w:right="-108"/>
    </w:pPr>
    <w:r w:rsidRPr="00596D63">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596D63" w:rsidRDefault="00D8219A" w:rsidP="00A050DB">
    <w:pPr>
      <w:tabs>
        <w:tab w:val="right" w:pos="9639"/>
      </w:tabs>
      <w:spacing w:after="0"/>
      <w:ind w:right="-108"/>
      <w:rPr>
        <w:color w:val="004494"/>
        <w:sz w:val="16"/>
        <w:szCs w:val="16"/>
      </w:rPr>
    </w:pPr>
    <w:r w:rsidRPr="00596D63">
      <w:rPr>
        <w:color w:val="004494"/>
        <w:sz w:val="16"/>
      </w:rPr>
      <w:t xml:space="preserve">120 </w:t>
    </w:r>
    <w:r w:rsidRPr="00596D63">
      <w:rPr>
        <w:color w:val="004494"/>
        <w:sz w:val="16"/>
      </w:rPr>
      <w:t>Rue Marc Lefrancq  |  BP 20392  |  FR-59307 Valenciennes Cedex</w:t>
    </w:r>
    <w:r w:rsidRPr="00596D63">
      <w:tab/>
    </w:r>
    <w:r w:rsidRPr="00596D63">
      <w:rPr>
        <w:color w:val="004494"/>
        <w:sz w:val="16"/>
        <w:szCs w:val="16"/>
      </w:rPr>
      <w:fldChar w:fldCharType="begin"/>
    </w:r>
    <w:r w:rsidRPr="00596D63">
      <w:rPr>
        <w:color w:val="004494"/>
        <w:sz w:val="16"/>
        <w:szCs w:val="16"/>
      </w:rPr>
      <w:instrText xml:space="preserve"> PAGE </w:instrText>
    </w:r>
    <w:r w:rsidRPr="00596D63">
      <w:rPr>
        <w:color w:val="004494"/>
        <w:sz w:val="16"/>
        <w:szCs w:val="16"/>
      </w:rPr>
      <w:fldChar w:fldCharType="separate"/>
    </w:r>
    <w:r w:rsidR="00FE2962">
      <w:rPr>
        <w:noProof/>
        <w:color w:val="004494"/>
        <w:sz w:val="16"/>
        <w:szCs w:val="16"/>
      </w:rPr>
      <w:t>1</w:t>
    </w:r>
    <w:r w:rsidRPr="00596D63">
      <w:rPr>
        <w:color w:val="004494"/>
        <w:sz w:val="16"/>
        <w:szCs w:val="16"/>
      </w:rPr>
      <w:fldChar w:fldCharType="end"/>
    </w:r>
    <w:r w:rsidRPr="00596D63">
      <w:rPr>
        <w:color w:val="004494"/>
        <w:sz w:val="16"/>
      </w:rPr>
      <w:t xml:space="preserve"> / </w:t>
    </w:r>
    <w:r w:rsidRPr="00596D63">
      <w:rPr>
        <w:color w:val="004494"/>
        <w:sz w:val="16"/>
        <w:szCs w:val="16"/>
      </w:rPr>
      <w:fldChar w:fldCharType="begin"/>
    </w:r>
    <w:r w:rsidRPr="00596D63">
      <w:rPr>
        <w:color w:val="004494"/>
        <w:sz w:val="16"/>
        <w:szCs w:val="16"/>
      </w:rPr>
      <w:instrText xml:space="preserve"> NUMPAGES </w:instrText>
    </w:r>
    <w:r w:rsidRPr="00596D63">
      <w:rPr>
        <w:color w:val="004494"/>
        <w:sz w:val="16"/>
        <w:szCs w:val="16"/>
      </w:rPr>
      <w:fldChar w:fldCharType="separate"/>
    </w:r>
    <w:r w:rsidR="00FE2962">
      <w:rPr>
        <w:noProof/>
        <w:color w:val="004494"/>
        <w:sz w:val="16"/>
        <w:szCs w:val="16"/>
      </w:rPr>
      <w:t>8</w:t>
    </w:r>
    <w:r w:rsidRPr="00596D63">
      <w:rPr>
        <w:color w:val="004494"/>
        <w:sz w:val="16"/>
        <w:szCs w:val="16"/>
      </w:rPr>
      <w:fldChar w:fldCharType="end"/>
    </w:r>
  </w:p>
  <w:p w:rsidR="00C108F3" w:rsidRPr="00596D63" w:rsidRDefault="00D8219A" w:rsidP="00A050DB">
    <w:pPr>
      <w:tabs>
        <w:tab w:val="right" w:pos="9360"/>
      </w:tabs>
      <w:spacing w:after="0"/>
      <w:ind w:right="-108"/>
      <w:rPr>
        <w:color w:val="000000"/>
        <w:szCs w:val="17"/>
        <w:shd w:val="clear" w:color="auto" w:fill="FFFFFF"/>
      </w:rPr>
    </w:pPr>
    <w:r w:rsidRPr="00596D63">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D8219A" w:rsidP="008B38C0">
      <w:r>
        <w:separator/>
      </w:r>
    </w:p>
  </w:footnote>
  <w:footnote w:type="continuationSeparator" w:id="0">
    <w:p w:rsidR="00DE1316" w:rsidRDefault="00D8219A" w:rsidP="008B38C0">
      <w:r>
        <w:continuationSeparator/>
      </w:r>
    </w:p>
  </w:footnote>
  <w:footnote w:id="1">
    <w:p w:rsidR="00797555" w:rsidRPr="00641BEC" w:rsidRDefault="00D8219A" w:rsidP="008F1AD8">
      <w:pPr>
        <w:pStyle w:val="Footnote"/>
      </w:pPr>
      <w:r>
        <w:rPr>
          <w:rStyle w:val="FootnoteReference"/>
        </w:rPr>
        <w:footnoteRef/>
      </w:r>
      <w:r>
        <w:t xml:space="preserve"> Posúdia sa len tie akademické tituly, ktoré boli udelené v členských štátoch EÚ alebo ktoré boli potvrdené osvedčením o rovnocennosti vydaným orgánmi v uvedených členských štátoch</w:t>
      </w:r>
    </w:p>
  </w:footnote>
  <w:footnote w:id="2">
    <w:p w:rsidR="00797555" w:rsidRPr="00D7407B" w:rsidRDefault="00D8219A" w:rsidP="008F1AD8">
      <w:pPr>
        <w:pStyle w:val="Footnote"/>
      </w:pPr>
      <w:r>
        <w:rPr>
          <w:rStyle w:val="FootnoteReference"/>
        </w:rPr>
        <w:footnoteRef/>
      </w:r>
      <w:r>
        <w:t xml:space="preserve"> </w:t>
      </w:r>
      <w:r>
        <w:t xml:space="preserve">Materský </w:t>
      </w:r>
      <w:r>
        <w:t xml:space="preserve">jazyk alebo iný úradný jazyk EÚ, ktorý výborne ovládate so znalosťami zodpovedajúcimi úrovni C1 tak, ako ju vymedzuje Spoločný európsky referenčný rámec pre jazyky (CEFR). </w:t>
      </w:r>
      <w:hyperlink r:id="rId1" w:history="1">
        <w:r>
          <w:rPr>
            <w:rStyle w:val="Hyperlink"/>
          </w:rPr>
          <w:t>http://europass.cedefop.europa.eu/sk/resources/european-language-levels-cefr</w:t>
        </w:r>
      </w:hyperlink>
    </w:p>
  </w:footnote>
  <w:footnote w:id="3">
    <w:p w:rsidR="00797555" w:rsidRPr="00D7407B" w:rsidRDefault="00D8219A" w:rsidP="008F1AD8">
      <w:pPr>
        <w:pStyle w:val="Footnote"/>
      </w:pPr>
      <w:r>
        <w:rPr>
          <w:rStyle w:val="FootnoteReference"/>
        </w:rPr>
        <w:footnoteRef/>
      </w:r>
      <w:r>
        <w:t xml:space="preserve"> </w:t>
      </w:r>
      <w:r>
        <w:t xml:space="preserve">Znalosti </w:t>
      </w:r>
      <w:r>
        <w:t>vášho druhého úradného jazyka EÚ zodpovedajú aspoň úrovni B2 tak, ako ich vymedzuje Spoločný európsky referenčný rámec pre jazyky (CEFR).</w:t>
      </w:r>
    </w:p>
  </w:footnote>
  <w:footnote w:id="4">
    <w:p w:rsidR="00797555" w:rsidRPr="009F726B" w:rsidRDefault="00D8219A" w:rsidP="008F1AD8">
      <w:pPr>
        <w:pStyle w:val="Footnote"/>
      </w:pPr>
      <w:r>
        <w:rPr>
          <w:rStyle w:val="FootnoteReference"/>
        </w:rPr>
        <w:footnoteRef/>
      </w:r>
      <w:r>
        <w:t xml:space="preserve"> </w:t>
      </w:r>
      <w:r>
        <w:t xml:space="preserve">Ak </w:t>
      </w:r>
      <w:r>
        <w:t>je to relevantné.</w:t>
      </w:r>
    </w:p>
  </w:footnote>
  <w:footnote w:id="5">
    <w:p w:rsidR="00797555" w:rsidRPr="006116E6" w:rsidRDefault="00D8219A" w:rsidP="008F1AD8">
      <w:pPr>
        <w:pStyle w:val="Footnote"/>
      </w:pPr>
      <w:r>
        <w:rPr>
          <w:rStyle w:val="FootnoteReference"/>
        </w:rPr>
        <w:footnoteRef/>
      </w:r>
      <w:r>
        <w:t xml:space="preserve"> </w:t>
      </w:r>
      <w:r>
        <w:t xml:space="preserve">Pred </w:t>
      </w:r>
      <w:r>
        <w:t>prijatím do zamestnania bude úspešný uchádzač vyzvaný, aby predložil doklad potvrdzujúci, že nemá záznam v registri trestov.</w:t>
      </w:r>
    </w:p>
  </w:footnote>
  <w:footnote w:id="6">
    <w:p w:rsidR="00797555" w:rsidRPr="003B50A5" w:rsidRDefault="00D8219A" w:rsidP="008F1AD8">
      <w:pPr>
        <w:pStyle w:val="Footnote"/>
        <w:rPr>
          <w:color w:val="auto"/>
        </w:rPr>
      </w:pPr>
      <w:r>
        <w:rPr>
          <w:rStyle w:val="FootnoteReference"/>
        </w:rPr>
        <w:footnoteRef/>
      </w:r>
      <w:r>
        <w:t xml:space="preserve"> </w:t>
      </w:r>
      <w:r>
        <w:rPr>
          <w:color w:val="auto"/>
        </w:rPr>
        <w:t xml:space="preserve">Pred </w:t>
      </w:r>
      <w:r>
        <w:rPr>
          <w:color w:val="auto"/>
        </w:rPr>
        <w:t>prijatím do zamestnania úspešný uchádzač absolvuje vyšetrenie v medicínskom centre, ktoré určí agentúra, s cieľom potvrdiť splnenie požiadaviek článku 28 písm. e) Služobného poriadku úradníkov EÚ a Podmienok zamestnávania ostatných zamestnancov EÚ.</w:t>
      </w:r>
    </w:p>
  </w:footnote>
  <w:footnote w:id="7">
    <w:p w:rsidR="00797555" w:rsidRPr="008F1AD8" w:rsidRDefault="00D8219A" w:rsidP="008F1AD8">
      <w:pPr>
        <w:pStyle w:val="Footnote"/>
      </w:pPr>
      <w:r>
        <w:rPr>
          <w:rStyle w:val="FootnoteReference"/>
        </w:rPr>
        <w:footnoteRef/>
      </w:r>
      <w:r>
        <w:rPr>
          <w:vertAlign w:val="superscript"/>
        </w:rPr>
        <w:t xml:space="preserve"> </w:t>
      </w:r>
      <w:r>
        <w:t xml:space="preserve">Posudzovať </w:t>
      </w:r>
      <w:r>
        <w:t>sa budú len tí uchádzači, ktorí získajú aspoň 50 % celkového počtu bodov.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0D68EF" w:rsidTr="006C42E9">
      <w:tc>
        <w:tcPr>
          <w:tcW w:w="2132" w:type="pct"/>
          <w:shd w:val="clear" w:color="auto" w:fill="auto"/>
        </w:tcPr>
        <w:p w:rsidR="00A050DB" w:rsidRPr="008803A1" w:rsidRDefault="00D8219A" w:rsidP="00A050DB">
          <w:pPr>
            <w:spacing w:after="0"/>
            <w:ind w:left="-108"/>
            <w:jc w:val="left"/>
            <w:rPr>
              <w:rFonts w:eastAsia="SimSun" w:cs="Times New Roman"/>
              <w:color w:val="004494"/>
              <w:sz w:val="18"/>
              <w:szCs w:val="18"/>
            </w:rPr>
          </w:pPr>
          <w:r>
            <w:rPr>
              <w:color w:val="004494"/>
              <w:sz w:val="18"/>
            </w:rPr>
            <w:t>ŽELEZNIČNÁ AGENTÚRA EURÓPSKEJ ÚNIE</w:t>
          </w:r>
        </w:p>
        <w:p w:rsidR="00A050DB" w:rsidRPr="008803A1" w:rsidRDefault="00FE2962" w:rsidP="00A050DB">
          <w:pPr>
            <w:spacing w:after="0"/>
            <w:ind w:left="-108"/>
            <w:jc w:val="left"/>
            <w:rPr>
              <w:i/>
              <w:color w:val="0C4DA2"/>
              <w:sz w:val="16"/>
            </w:rPr>
          </w:pPr>
        </w:p>
      </w:tc>
      <w:tc>
        <w:tcPr>
          <w:tcW w:w="2868" w:type="pct"/>
          <w:shd w:val="clear" w:color="auto" w:fill="auto"/>
          <w:vAlign w:val="bottom"/>
        </w:tcPr>
        <w:p w:rsidR="00A050DB" w:rsidRPr="008803A1" w:rsidRDefault="00D8219A" w:rsidP="00A050DB">
          <w:pPr>
            <w:tabs>
              <w:tab w:val="right" w:pos="9639"/>
            </w:tabs>
            <w:spacing w:after="0"/>
            <w:ind w:right="-108"/>
            <w:jc w:val="right"/>
            <w:rPr>
              <w:color w:val="004494"/>
              <w:sz w:val="16"/>
              <w:szCs w:val="16"/>
            </w:rPr>
          </w:pPr>
          <w:r>
            <w:rPr>
              <w:color w:val="004494"/>
              <w:sz w:val="16"/>
            </w:rPr>
            <w:t>Výzva na predkladanie žiadostí TA 2 písm. f)</w:t>
          </w:r>
        </w:p>
        <w:p w:rsidR="00242228" w:rsidRPr="00596D63" w:rsidRDefault="00D8219A" w:rsidP="00A050DB">
          <w:pPr>
            <w:tabs>
              <w:tab w:val="right" w:pos="9639"/>
            </w:tabs>
            <w:spacing w:after="0"/>
            <w:ind w:right="-108"/>
            <w:jc w:val="right"/>
            <w:rPr>
              <w:color w:val="004494"/>
              <w:sz w:val="16"/>
              <w:szCs w:val="16"/>
            </w:rPr>
          </w:pPr>
          <w:r w:rsidRPr="00596D63">
            <w:rPr>
              <w:color w:val="004494"/>
              <w:sz w:val="16"/>
            </w:rPr>
            <w:t>ERA/AD/2016/003-OPE</w:t>
          </w:r>
        </w:p>
        <w:p w:rsidR="00A050DB" w:rsidRPr="00D2337E" w:rsidRDefault="00FE2962" w:rsidP="00D2337E">
          <w:pPr>
            <w:tabs>
              <w:tab w:val="right" w:pos="9360"/>
            </w:tabs>
            <w:spacing w:after="0"/>
            <w:ind w:right="-108"/>
            <w:jc w:val="right"/>
            <w:rPr>
              <w:color w:val="004494"/>
              <w:sz w:val="16"/>
              <w:szCs w:val="16"/>
            </w:rPr>
          </w:pPr>
        </w:p>
      </w:tc>
    </w:tr>
  </w:tbl>
  <w:p w:rsidR="00C03182" w:rsidRPr="00A050DB" w:rsidRDefault="00FE2962"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0D68EF" w:rsidTr="006C42E9">
      <w:trPr>
        <w:trHeight w:val="1701"/>
      </w:trPr>
      <w:tc>
        <w:tcPr>
          <w:tcW w:w="1785" w:type="pct"/>
          <w:shd w:val="clear" w:color="auto" w:fill="auto"/>
          <w:vAlign w:val="center"/>
        </w:tcPr>
        <w:p w:rsidR="00A050DB" w:rsidRPr="00A050DB" w:rsidRDefault="00D8219A"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596D63" w:rsidRDefault="00D8219A" w:rsidP="00A050DB">
          <w:pPr>
            <w:tabs>
              <w:tab w:val="right" w:pos="9639"/>
            </w:tabs>
            <w:spacing w:after="0" w:line="276" w:lineRule="auto"/>
            <w:ind w:right="-108"/>
            <w:jc w:val="right"/>
            <w:rPr>
              <w:color w:val="004494"/>
              <w:sz w:val="16"/>
              <w:szCs w:val="16"/>
            </w:rPr>
          </w:pPr>
          <w:r w:rsidRPr="00596D63">
            <w:rPr>
              <w:color w:val="004494"/>
              <w:sz w:val="16"/>
            </w:rPr>
            <w:t xml:space="preserve">Výzva </w:t>
          </w:r>
          <w:r w:rsidRPr="00596D63">
            <w:rPr>
              <w:color w:val="004494"/>
              <w:sz w:val="16"/>
            </w:rPr>
            <w:t>na predkladanie žiadostí TA 2 písm. f)</w:t>
          </w:r>
        </w:p>
        <w:p w:rsidR="00A050DB" w:rsidRPr="00596D63" w:rsidRDefault="00D8219A" w:rsidP="00A050DB">
          <w:pPr>
            <w:tabs>
              <w:tab w:val="right" w:pos="9639"/>
            </w:tabs>
            <w:spacing w:after="0" w:line="276" w:lineRule="auto"/>
            <w:ind w:right="-108"/>
            <w:jc w:val="right"/>
            <w:rPr>
              <w:color w:val="004494"/>
              <w:sz w:val="16"/>
              <w:szCs w:val="16"/>
            </w:rPr>
          </w:pPr>
          <w:r w:rsidRPr="00596D63">
            <w:rPr>
              <w:color w:val="004494"/>
              <w:sz w:val="16"/>
            </w:rPr>
            <w:t>ERA/AD/2016/003-OPE</w:t>
          </w:r>
        </w:p>
        <w:p w:rsidR="00A050DB" w:rsidRPr="00596D63" w:rsidRDefault="00FE2962" w:rsidP="00A050DB">
          <w:pPr>
            <w:tabs>
              <w:tab w:val="right" w:pos="9360"/>
            </w:tabs>
            <w:spacing w:after="0"/>
            <w:ind w:right="-108"/>
            <w:jc w:val="right"/>
            <w:rPr>
              <w:color w:val="004494"/>
              <w:sz w:val="16"/>
              <w:szCs w:val="16"/>
            </w:rPr>
          </w:pPr>
        </w:p>
        <w:p w:rsidR="00A050DB" w:rsidRPr="00596D63" w:rsidRDefault="00FE2962" w:rsidP="00A050DB">
          <w:pPr>
            <w:tabs>
              <w:tab w:val="left" w:pos="2085"/>
              <w:tab w:val="right" w:pos="9360"/>
            </w:tabs>
            <w:spacing w:after="0"/>
            <w:ind w:right="-108"/>
            <w:rPr>
              <w:color w:val="0C4DA2"/>
              <w:sz w:val="18"/>
            </w:rPr>
          </w:pPr>
        </w:p>
      </w:tc>
    </w:tr>
    <w:tr w:rsidR="000D68EF" w:rsidTr="006C42E9">
      <w:trPr>
        <w:trHeight w:val="581"/>
      </w:trPr>
      <w:tc>
        <w:tcPr>
          <w:tcW w:w="1785" w:type="pct"/>
          <w:shd w:val="clear" w:color="auto" w:fill="auto"/>
          <w:vAlign w:val="center"/>
        </w:tcPr>
        <w:p w:rsidR="00A050DB" w:rsidRPr="00A050DB" w:rsidRDefault="00D8219A" w:rsidP="00A050DB">
          <w:pPr>
            <w:spacing w:after="0"/>
            <w:ind w:left="680"/>
            <w:jc w:val="left"/>
            <w:rPr>
              <w:rFonts w:eastAsia="SimSun" w:cs="Lucida Sans"/>
              <w:color w:val="004494"/>
              <w:sz w:val="20"/>
              <w:szCs w:val="18"/>
            </w:rPr>
          </w:pPr>
          <w:r>
            <w:rPr>
              <w:color w:val="004494"/>
              <w:sz w:val="20"/>
            </w:rPr>
            <w:t xml:space="preserve">Železničný systém, </w:t>
          </w:r>
        </w:p>
        <w:p w:rsidR="00A050DB" w:rsidRPr="00A050DB" w:rsidRDefault="00D8219A" w:rsidP="00A050DB">
          <w:pPr>
            <w:spacing w:after="0"/>
            <w:ind w:left="680"/>
            <w:jc w:val="left"/>
            <w:rPr>
              <w:rFonts w:eastAsia="SimSun" w:cs="Lucida Sans"/>
              <w:color w:val="004494"/>
              <w:sz w:val="20"/>
              <w:szCs w:val="18"/>
            </w:rPr>
          </w:pPr>
          <w:r>
            <w:rPr>
              <w:color w:val="004494"/>
              <w:sz w:val="20"/>
            </w:rPr>
            <w:t>ktorý je pre spoločnosť lepší.</w:t>
          </w:r>
        </w:p>
        <w:p w:rsidR="00A050DB" w:rsidRPr="00A050DB" w:rsidRDefault="00FE2962" w:rsidP="00A050DB">
          <w:pPr>
            <w:tabs>
              <w:tab w:val="right" w:pos="9360"/>
            </w:tabs>
            <w:spacing w:after="0"/>
            <w:jc w:val="left"/>
            <w:rPr>
              <w:color w:val="0C4DA2"/>
              <w:sz w:val="18"/>
            </w:rPr>
          </w:pPr>
        </w:p>
      </w:tc>
      <w:tc>
        <w:tcPr>
          <w:tcW w:w="3215" w:type="pct"/>
          <w:shd w:val="clear" w:color="auto" w:fill="auto"/>
        </w:tcPr>
        <w:p w:rsidR="00A050DB" w:rsidRPr="00A050DB" w:rsidRDefault="00FE2962" w:rsidP="00A050DB">
          <w:pPr>
            <w:tabs>
              <w:tab w:val="right" w:pos="9639"/>
            </w:tabs>
            <w:spacing w:after="0" w:line="276" w:lineRule="auto"/>
            <w:jc w:val="right"/>
            <w:rPr>
              <w:color w:val="0C4DA2"/>
              <w:sz w:val="18"/>
              <w:szCs w:val="18"/>
            </w:rPr>
          </w:pPr>
        </w:p>
      </w:tc>
    </w:tr>
  </w:tbl>
  <w:p w:rsidR="00E8730E" w:rsidRPr="00E8730E" w:rsidRDefault="00FE2962"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AE988F00">
      <w:start w:val="1"/>
      <w:numFmt w:val="decimal"/>
      <w:lvlText w:val="%1."/>
      <w:lvlJc w:val="left"/>
      <w:pPr>
        <w:ind w:left="720" w:hanging="360"/>
      </w:pPr>
      <w:rPr>
        <w:rFonts w:hint="default"/>
      </w:rPr>
    </w:lvl>
    <w:lvl w:ilvl="1" w:tplc="93EAE9F0" w:tentative="1">
      <w:start w:val="1"/>
      <w:numFmt w:val="lowerLetter"/>
      <w:lvlText w:val="%2."/>
      <w:lvlJc w:val="left"/>
      <w:pPr>
        <w:ind w:left="1440" w:hanging="360"/>
      </w:pPr>
    </w:lvl>
    <w:lvl w:ilvl="2" w:tplc="556455E6" w:tentative="1">
      <w:start w:val="1"/>
      <w:numFmt w:val="lowerRoman"/>
      <w:lvlText w:val="%3."/>
      <w:lvlJc w:val="right"/>
      <w:pPr>
        <w:ind w:left="2160" w:hanging="180"/>
      </w:pPr>
    </w:lvl>
    <w:lvl w:ilvl="3" w:tplc="E9FAB4E8" w:tentative="1">
      <w:start w:val="1"/>
      <w:numFmt w:val="decimal"/>
      <w:lvlText w:val="%4."/>
      <w:lvlJc w:val="left"/>
      <w:pPr>
        <w:ind w:left="2880" w:hanging="360"/>
      </w:pPr>
    </w:lvl>
    <w:lvl w:ilvl="4" w:tplc="C616C9D0" w:tentative="1">
      <w:start w:val="1"/>
      <w:numFmt w:val="lowerLetter"/>
      <w:lvlText w:val="%5."/>
      <w:lvlJc w:val="left"/>
      <w:pPr>
        <w:ind w:left="3600" w:hanging="360"/>
      </w:pPr>
    </w:lvl>
    <w:lvl w:ilvl="5" w:tplc="D868982E" w:tentative="1">
      <w:start w:val="1"/>
      <w:numFmt w:val="lowerRoman"/>
      <w:lvlText w:val="%6."/>
      <w:lvlJc w:val="right"/>
      <w:pPr>
        <w:ind w:left="4320" w:hanging="180"/>
      </w:pPr>
    </w:lvl>
    <w:lvl w:ilvl="6" w:tplc="C218CEBA" w:tentative="1">
      <w:start w:val="1"/>
      <w:numFmt w:val="decimal"/>
      <w:lvlText w:val="%7."/>
      <w:lvlJc w:val="left"/>
      <w:pPr>
        <w:ind w:left="5040" w:hanging="360"/>
      </w:pPr>
    </w:lvl>
    <w:lvl w:ilvl="7" w:tplc="60867B4A" w:tentative="1">
      <w:start w:val="1"/>
      <w:numFmt w:val="lowerLetter"/>
      <w:lvlText w:val="%8."/>
      <w:lvlJc w:val="left"/>
      <w:pPr>
        <w:ind w:left="5760" w:hanging="360"/>
      </w:pPr>
    </w:lvl>
    <w:lvl w:ilvl="8" w:tplc="3C68F0A0"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E396826C">
      <w:start w:val="1"/>
      <w:numFmt w:val="decimal"/>
      <w:lvlText w:val="%1."/>
      <w:lvlJc w:val="left"/>
      <w:pPr>
        <w:tabs>
          <w:tab w:val="num" w:pos="900"/>
        </w:tabs>
        <w:ind w:left="900" w:hanging="360"/>
      </w:pPr>
      <w:rPr>
        <w:rFonts w:hint="default"/>
      </w:rPr>
    </w:lvl>
    <w:lvl w:ilvl="1" w:tplc="DBB0A81C" w:tentative="1">
      <w:start w:val="1"/>
      <w:numFmt w:val="bullet"/>
      <w:lvlText w:val="o"/>
      <w:lvlJc w:val="left"/>
      <w:pPr>
        <w:tabs>
          <w:tab w:val="num" w:pos="900"/>
        </w:tabs>
        <w:ind w:left="900" w:hanging="360"/>
      </w:pPr>
      <w:rPr>
        <w:rFonts w:ascii="Courier New" w:hAnsi="Courier New" w:cs="Courier New" w:hint="default"/>
      </w:rPr>
    </w:lvl>
    <w:lvl w:ilvl="2" w:tplc="D7E02654" w:tentative="1">
      <w:start w:val="1"/>
      <w:numFmt w:val="bullet"/>
      <w:lvlText w:val=""/>
      <w:lvlJc w:val="left"/>
      <w:pPr>
        <w:tabs>
          <w:tab w:val="num" w:pos="1620"/>
        </w:tabs>
        <w:ind w:left="1620" w:hanging="360"/>
      </w:pPr>
      <w:rPr>
        <w:rFonts w:ascii="Wingdings" w:hAnsi="Wingdings" w:hint="default"/>
      </w:rPr>
    </w:lvl>
    <w:lvl w:ilvl="3" w:tplc="A7168846" w:tentative="1">
      <w:start w:val="1"/>
      <w:numFmt w:val="bullet"/>
      <w:lvlText w:val=""/>
      <w:lvlJc w:val="left"/>
      <w:pPr>
        <w:tabs>
          <w:tab w:val="num" w:pos="2340"/>
        </w:tabs>
        <w:ind w:left="2340" w:hanging="360"/>
      </w:pPr>
      <w:rPr>
        <w:rFonts w:ascii="Symbol" w:hAnsi="Symbol" w:hint="default"/>
      </w:rPr>
    </w:lvl>
    <w:lvl w:ilvl="4" w:tplc="5E845520" w:tentative="1">
      <w:start w:val="1"/>
      <w:numFmt w:val="bullet"/>
      <w:lvlText w:val="o"/>
      <w:lvlJc w:val="left"/>
      <w:pPr>
        <w:tabs>
          <w:tab w:val="num" w:pos="3060"/>
        </w:tabs>
        <w:ind w:left="3060" w:hanging="360"/>
      </w:pPr>
      <w:rPr>
        <w:rFonts w:ascii="Courier New" w:hAnsi="Courier New" w:cs="Courier New" w:hint="default"/>
      </w:rPr>
    </w:lvl>
    <w:lvl w:ilvl="5" w:tplc="0ED8F8B8" w:tentative="1">
      <w:start w:val="1"/>
      <w:numFmt w:val="bullet"/>
      <w:lvlText w:val=""/>
      <w:lvlJc w:val="left"/>
      <w:pPr>
        <w:tabs>
          <w:tab w:val="num" w:pos="3780"/>
        </w:tabs>
        <w:ind w:left="3780" w:hanging="360"/>
      </w:pPr>
      <w:rPr>
        <w:rFonts w:ascii="Wingdings" w:hAnsi="Wingdings" w:hint="default"/>
      </w:rPr>
    </w:lvl>
    <w:lvl w:ilvl="6" w:tplc="603C4CEA" w:tentative="1">
      <w:start w:val="1"/>
      <w:numFmt w:val="bullet"/>
      <w:lvlText w:val=""/>
      <w:lvlJc w:val="left"/>
      <w:pPr>
        <w:tabs>
          <w:tab w:val="num" w:pos="4500"/>
        </w:tabs>
        <w:ind w:left="4500" w:hanging="360"/>
      </w:pPr>
      <w:rPr>
        <w:rFonts w:ascii="Symbol" w:hAnsi="Symbol" w:hint="default"/>
      </w:rPr>
    </w:lvl>
    <w:lvl w:ilvl="7" w:tplc="2B220E5A" w:tentative="1">
      <w:start w:val="1"/>
      <w:numFmt w:val="bullet"/>
      <w:lvlText w:val="o"/>
      <w:lvlJc w:val="left"/>
      <w:pPr>
        <w:tabs>
          <w:tab w:val="num" w:pos="5220"/>
        </w:tabs>
        <w:ind w:left="5220" w:hanging="360"/>
      </w:pPr>
      <w:rPr>
        <w:rFonts w:ascii="Courier New" w:hAnsi="Courier New" w:cs="Courier New" w:hint="default"/>
      </w:rPr>
    </w:lvl>
    <w:lvl w:ilvl="8" w:tplc="DF92882A"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A656D1A8">
      <w:start w:val="1"/>
      <w:numFmt w:val="decimal"/>
      <w:lvlText w:val="%1."/>
      <w:lvlJc w:val="left"/>
      <w:pPr>
        <w:ind w:left="720" w:hanging="360"/>
      </w:pPr>
      <w:rPr>
        <w:rFonts w:asciiTheme="minorHAnsi" w:hAnsiTheme="minorHAnsi" w:cstheme="minorHAnsi" w:hint="default"/>
        <w:i w:val="0"/>
        <w:sz w:val="22"/>
        <w:szCs w:val="22"/>
      </w:rPr>
    </w:lvl>
    <w:lvl w:ilvl="1" w:tplc="D8828570" w:tentative="1">
      <w:start w:val="1"/>
      <w:numFmt w:val="lowerLetter"/>
      <w:lvlText w:val="%2."/>
      <w:lvlJc w:val="left"/>
      <w:pPr>
        <w:ind w:left="1440" w:hanging="360"/>
      </w:pPr>
    </w:lvl>
    <w:lvl w:ilvl="2" w:tplc="AB321256" w:tentative="1">
      <w:start w:val="1"/>
      <w:numFmt w:val="lowerRoman"/>
      <w:lvlText w:val="%3."/>
      <w:lvlJc w:val="right"/>
      <w:pPr>
        <w:ind w:left="2160" w:hanging="180"/>
      </w:pPr>
    </w:lvl>
    <w:lvl w:ilvl="3" w:tplc="BA444670" w:tentative="1">
      <w:start w:val="1"/>
      <w:numFmt w:val="decimal"/>
      <w:lvlText w:val="%4."/>
      <w:lvlJc w:val="left"/>
      <w:pPr>
        <w:ind w:left="2880" w:hanging="360"/>
      </w:pPr>
    </w:lvl>
    <w:lvl w:ilvl="4" w:tplc="A9DC117E" w:tentative="1">
      <w:start w:val="1"/>
      <w:numFmt w:val="lowerLetter"/>
      <w:lvlText w:val="%5."/>
      <w:lvlJc w:val="left"/>
      <w:pPr>
        <w:ind w:left="3600" w:hanging="360"/>
      </w:pPr>
    </w:lvl>
    <w:lvl w:ilvl="5" w:tplc="64849452" w:tentative="1">
      <w:start w:val="1"/>
      <w:numFmt w:val="lowerRoman"/>
      <w:lvlText w:val="%6."/>
      <w:lvlJc w:val="right"/>
      <w:pPr>
        <w:ind w:left="4320" w:hanging="180"/>
      </w:pPr>
    </w:lvl>
    <w:lvl w:ilvl="6" w:tplc="AAC4CCC6" w:tentative="1">
      <w:start w:val="1"/>
      <w:numFmt w:val="decimal"/>
      <w:lvlText w:val="%7."/>
      <w:lvlJc w:val="left"/>
      <w:pPr>
        <w:ind w:left="5040" w:hanging="360"/>
      </w:pPr>
    </w:lvl>
    <w:lvl w:ilvl="7" w:tplc="62D4EDB2" w:tentative="1">
      <w:start w:val="1"/>
      <w:numFmt w:val="lowerLetter"/>
      <w:lvlText w:val="%8."/>
      <w:lvlJc w:val="left"/>
      <w:pPr>
        <w:ind w:left="5760" w:hanging="360"/>
      </w:pPr>
    </w:lvl>
    <w:lvl w:ilvl="8" w:tplc="880CA3C8"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B602FA28">
      <w:start w:val="1"/>
      <w:numFmt w:val="bullet"/>
      <w:lvlText w:val="›"/>
      <w:lvlJc w:val="left"/>
      <w:pPr>
        <w:ind w:left="720" w:hanging="360"/>
      </w:pPr>
      <w:rPr>
        <w:rFonts w:ascii="Calibri" w:hAnsi="Calibri" w:hint="default"/>
      </w:rPr>
    </w:lvl>
    <w:lvl w:ilvl="1" w:tplc="6A9C6BE2" w:tentative="1">
      <w:start w:val="1"/>
      <w:numFmt w:val="bullet"/>
      <w:lvlText w:val="o"/>
      <w:lvlJc w:val="left"/>
      <w:pPr>
        <w:ind w:left="1440" w:hanging="360"/>
      </w:pPr>
      <w:rPr>
        <w:rFonts w:ascii="Courier New" w:hAnsi="Courier New" w:cs="Courier New" w:hint="default"/>
      </w:rPr>
    </w:lvl>
    <w:lvl w:ilvl="2" w:tplc="1DDE519C" w:tentative="1">
      <w:start w:val="1"/>
      <w:numFmt w:val="bullet"/>
      <w:lvlText w:val=""/>
      <w:lvlJc w:val="left"/>
      <w:pPr>
        <w:ind w:left="2160" w:hanging="360"/>
      </w:pPr>
      <w:rPr>
        <w:rFonts w:ascii="Wingdings" w:hAnsi="Wingdings" w:hint="default"/>
      </w:rPr>
    </w:lvl>
    <w:lvl w:ilvl="3" w:tplc="1CC65D22" w:tentative="1">
      <w:start w:val="1"/>
      <w:numFmt w:val="bullet"/>
      <w:lvlText w:val=""/>
      <w:lvlJc w:val="left"/>
      <w:pPr>
        <w:ind w:left="2880" w:hanging="360"/>
      </w:pPr>
      <w:rPr>
        <w:rFonts w:ascii="Symbol" w:hAnsi="Symbol" w:hint="default"/>
      </w:rPr>
    </w:lvl>
    <w:lvl w:ilvl="4" w:tplc="3F9A7A4E" w:tentative="1">
      <w:start w:val="1"/>
      <w:numFmt w:val="bullet"/>
      <w:lvlText w:val="o"/>
      <w:lvlJc w:val="left"/>
      <w:pPr>
        <w:ind w:left="3600" w:hanging="360"/>
      </w:pPr>
      <w:rPr>
        <w:rFonts w:ascii="Courier New" w:hAnsi="Courier New" w:cs="Courier New" w:hint="default"/>
      </w:rPr>
    </w:lvl>
    <w:lvl w:ilvl="5" w:tplc="673A9A7A" w:tentative="1">
      <w:start w:val="1"/>
      <w:numFmt w:val="bullet"/>
      <w:lvlText w:val=""/>
      <w:lvlJc w:val="left"/>
      <w:pPr>
        <w:ind w:left="4320" w:hanging="360"/>
      </w:pPr>
      <w:rPr>
        <w:rFonts w:ascii="Wingdings" w:hAnsi="Wingdings" w:hint="default"/>
      </w:rPr>
    </w:lvl>
    <w:lvl w:ilvl="6" w:tplc="D9ECE7A2" w:tentative="1">
      <w:start w:val="1"/>
      <w:numFmt w:val="bullet"/>
      <w:lvlText w:val=""/>
      <w:lvlJc w:val="left"/>
      <w:pPr>
        <w:ind w:left="5040" w:hanging="360"/>
      </w:pPr>
      <w:rPr>
        <w:rFonts w:ascii="Symbol" w:hAnsi="Symbol" w:hint="default"/>
      </w:rPr>
    </w:lvl>
    <w:lvl w:ilvl="7" w:tplc="B818FF86" w:tentative="1">
      <w:start w:val="1"/>
      <w:numFmt w:val="bullet"/>
      <w:lvlText w:val="o"/>
      <w:lvlJc w:val="left"/>
      <w:pPr>
        <w:ind w:left="5760" w:hanging="360"/>
      </w:pPr>
      <w:rPr>
        <w:rFonts w:ascii="Courier New" w:hAnsi="Courier New" w:cs="Courier New" w:hint="default"/>
      </w:rPr>
    </w:lvl>
    <w:lvl w:ilvl="8" w:tplc="42C28F52"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5CE8C852">
      <w:start w:val="1"/>
      <w:numFmt w:val="decimal"/>
      <w:lvlText w:val="%1."/>
      <w:lvlJc w:val="left"/>
      <w:pPr>
        <w:ind w:left="720" w:hanging="360"/>
      </w:pPr>
      <w:rPr>
        <w:rFonts w:hint="default"/>
      </w:rPr>
    </w:lvl>
    <w:lvl w:ilvl="1" w:tplc="849A86EC" w:tentative="1">
      <w:start w:val="1"/>
      <w:numFmt w:val="lowerLetter"/>
      <w:lvlText w:val="%2."/>
      <w:lvlJc w:val="left"/>
      <w:pPr>
        <w:ind w:left="1440" w:hanging="360"/>
      </w:pPr>
    </w:lvl>
    <w:lvl w:ilvl="2" w:tplc="7876A722" w:tentative="1">
      <w:start w:val="1"/>
      <w:numFmt w:val="lowerRoman"/>
      <w:lvlText w:val="%3."/>
      <w:lvlJc w:val="right"/>
      <w:pPr>
        <w:ind w:left="2160" w:hanging="180"/>
      </w:pPr>
    </w:lvl>
    <w:lvl w:ilvl="3" w:tplc="6352C640" w:tentative="1">
      <w:start w:val="1"/>
      <w:numFmt w:val="decimal"/>
      <w:lvlText w:val="%4."/>
      <w:lvlJc w:val="left"/>
      <w:pPr>
        <w:ind w:left="2880" w:hanging="360"/>
      </w:pPr>
    </w:lvl>
    <w:lvl w:ilvl="4" w:tplc="2DA812E6" w:tentative="1">
      <w:start w:val="1"/>
      <w:numFmt w:val="lowerLetter"/>
      <w:lvlText w:val="%5."/>
      <w:lvlJc w:val="left"/>
      <w:pPr>
        <w:ind w:left="3600" w:hanging="360"/>
      </w:pPr>
    </w:lvl>
    <w:lvl w:ilvl="5" w:tplc="84403356" w:tentative="1">
      <w:start w:val="1"/>
      <w:numFmt w:val="lowerRoman"/>
      <w:lvlText w:val="%6."/>
      <w:lvlJc w:val="right"/>
      <w:pPr>
        <w:ind w:left="4320" w:hanging="180"/>
      </w:pPr>
    </w:lvl>
    <w:lvl w:ilvl="6" w:tplc="C7E42E76" w:tentative="1">
      <w:start w:val="1"/>
      <w:numFmt w:val="decimal"/>
      <w:lvlText w:val="%7."/>
      <w:lvlJc w:val="left"/>
      <w:pPr>
        <w:ind w:left="5040" w:hanging="360"/>
      </w:pPr>
    </w:lvl>
    <w:lvl w:ilvl="7" w:tplc="C62AF2A4" w:tentative="1">
      <w:start w:val="1"/>
      <w:numFmt w:val="lowerLetter"/>
      <w:lvlText w:val="%8."/>
      <w:lvlJc w:val="left"/>
      <w:pPr>
        <w:ind w:left="5760" w:hanging="360"/>
      </w:pPr>
    </w:lvl>
    <w:lvl w:ilvl="8" w:tplc="1412584E"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62D85900">
      <w:numFmt w:val="bullet"/>
      <w:lvlText w:val="-"/>
      <w:lvlJc w:val="left"/>
      <w:pPr>
        <w:ind w:left="720" w:hanging="360"/>
      </w:pPr>
      <w:rPr>
        <w:rFonts w:ascii="Calibri" w:eastAsia="Times New Roman" w:hAnsi="Calibri" w:cs="Calibri" w:hint="default"/>
      </w:rPr>
    </w:lvl>
    <w:lvl w:ilvl="1" w:tplc="E28A85A8" w:tentative="1">
      <w:start w:val="1"/>
      <w:numFmt w:val="bullet"/>
      <w:lvlText w:val="o"/>
      <w:lvlJc w:val="left"/>
      <w:pPr>
        <w:ind w:left="1440" w:hanging="360"/>
      </w:pPr>
      <w:rPr>
        <w:rFonts w:ascii="Courier New" w:hAnsi="Courier New" w:cs="Courier New" w:hint="default"/>
      </w:rPr>
    </w:lvl>
    <w:lvl w:ilvl="2" w:tplc="F57AF1C0" w:tentative="1">
      <w:start w:val="1"/>
      <w:numFmt w:val="bullet"/>
      <w:lvlText w:val=""/>
      <w:lvlJc w:val="left"/>
      <w:pPr>
        <w:ind w:left="2160" w:hanging="360"/>
      </w:pPr>
      <w:rPr>
        <w:rFonts w:ascii="Wingdings" w:hAnsi="Wingdings" w:hint="default"/>
      </w:rPr>
    </w:lvl>
    <w:lvl w:ilvl="3" w:tplc="DAA21CDC" w:tentative="1">
      <w:start w:val="1"/>
      <w:numFmt w:val="bullet"/>
      <w:lvlText w:val=""/>
      <w:lvlJc w:val="left"/>
      <w:pPr>
        <w:ind w:left="2880" w:hanging="360"/>
      </w:pPr>
      <w:rPr>
        <w:rFonts w:ascii="Symbol" w:hAnsi="Symbol" w:hint="default"/>
      </w:rPr>
    </w:lvl>
    <w:lvl w:ilvl="4" w:tplc="7A603E14" w:tentative="1">
      <w:start w:val="1"/>
      <w:numFmt w:val="bullet"/>
      <w:lvlText w:val="o"/>
      <w:lvlJc w:val="left"/>
      <w:pPr>
        <w:ind w:left="3600" w:hanging="360"/>
      </w:pPr>
      <w:rPr>
        <w:rFonts w:ascii="Courier New" w:hAnsi="Courier New" w:cs="Courier New" w:hint="default"/>
      </w:rPr>
    </w:lvl>
    <w:lvl w:ilvl="5" w:tplc="D9CE4176" w:tentative="1">
      <w:start w:val="1"/>
      <w:numFmt w:val="bullet"/>
      <w:lvlText w:val=""/>
      <w:lvlJc w:val="left"/>
      <w:pPr>
        <w:ind w:left="4320" w:hanging="360"/>
      </w:pPr>
      <w:rPr>
        <w:rFonts w:ascii="Wingdings" w:hAnsi="Wingdings" w:hint="default"/>
      </w:rPr>
    </w:lvl>
    <w:lvl w:ilvl="6" w:tplc="C840C84C" w:tentative="1">
      <w:start w:val="1"/>
      <w:numFmt w:val="bullet"/>
      <w:lvlText w:val=""/>
      <w:lvlJc w:val="left"/>
      <w:pPr>
        <w:ind w:left="5040" w:hanging="360"/>
      </w:pPr>
      <w:rPr>
        <w:rFonts w:ascii="Symbol" w:hAnsi="Symbol" w:hint="default"/>
      </w:rPr>
    </w:lvl>
    <w:lvl w:ilvl="7" w:tplc="9D3C793E" w:tentative="1">
      <w:start w:val="1"/>
      <w:numFmt w:val="bullet"/>
      <w:lvlText w:val="o"/>
      <w:lvlJc w:val="left"/>
      <w:pPr>
        <w:ind w:left="5760" w:hanging="360"/>
      </w:pPr>
      <w:rPr>
        <w:rFonts w:ascii="Courier New" w:hAnsi="Courier New" w:cs="Courier New" w:hint="default"/>
      </w:rPr>
    </w:lvl>
    <w:lvl w:ilvl="8" w:tplc="E668C270"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AE3A9340">
      <w:start w:val="1"/>
      <w:numFmt w:val="bullet"/>
      <w:pStyle w:val="ERAbulletpoint"/>
      <w:lvlText w:val="›"/>
      <w:lvlJc w:val="left"/>
      <w:pPr>
        <w:ind w:left="1440" w:hanging="360"/>
      </w:pPr>
      <w:rPr>
        <w:rFonts w:ascii="Calibri" w:hAnsi="Calibri" w:hint="default"/>
        <w:color w:val="094595" w:themeColor="text2"/>
      </w:rPr>
    </w:lvl>
    <w:lvl w:ilvl="1" w:tplc="7D827276" w:tentative="1">
      <w:start w:val="1"/>
      <w:numFmt w:val="bullet"/>
      <w:lvlText w:val="o"/>
      <w:lvlJc w:val="left"/>
      <w:pPr>
        <w:ind w:left="2160" w:hanging="360"/>
      </w:pPr>
      <w:rPr>
        <w:rFonts w:ascii="Courier New" w:hAnsi="Courier New" w:cs="Courier New" w:hint="default"/>
      </w:rPr>
    </w:lvl>
    <w:lvl w:ilvl="2" w:tplc="BB24CB7A" w:tentative="1">
      <w:start w:val="1"/>
      <w:numFmt w:val="bullet"/>
      <w:lvlText w:val=""/>
      <w:lvlJc w:val="left"/>
      <w:pPr>
        <w:ind w:left="2880" w:hanging="360"/>
      </w:pPr>
      <w:rPr>
        <w:rFonts w:ascii="Wingdings" w:hAnsi="Wingdings" w:hint="default"/>
      </w:rPr>
    </w:lvl>
    <w:lvl w:ilvl="3" w:tplc="C4A69D06" w:tentative="1">
      <w:start w:val="1"/>
      <w:numFmt w:val="bullet"/>
      <w:lvlText w:val=""/>
      <w:lvlJc w:val="left"/>
      <w:pPr>
        <w:ind w:left="3600" w:hanging="360"/>
      </w:pPr>
      <w:rPr>
        <w:rFonts w:ascii="Symbol" w:hAnsi="Symbol" w:hint="default"/>
      </w:rPr>
    </w:lvl>
    <w:lvl w:ilvl="4" w:tplc="721AB448" w:tentative="1">
      <w:start w:val="1"/>
      <w:numFmt w:val="bullet"/>
      <w:lvlText w:val="o"/>
      <w:lvlJc w:val="left"/>
      <w:pPr>
        <w:ind w:left="4320" w:hanging="360"/>
      </w:pPr>
      <w:rPr>
        <w:rFonts w:ascii="Courier New" w:hAnsi="Courier New" w:cs="Courier New" w:hint="default"/>
      </w:rPr>
    </w:lvl>
    <w:lvl w:ilvl="5" w:tplc="B89AA36C" w:tentative="1">
      <w:start w:val="1"/>
      <w:numFmt w:val="bullet"/>
      <w:lvlText w:val=""/>
      <w:lvlJc w:val="left"/>
      <w:pPr>
        <w:ind w:left="5040" w:hanging="360"/>
      </w:pPr>
      <w:rPr>
        <w:rFonts w:ascii="Wingdings" w:hAnsi="Wingdings" w:hint="default"/>
      </w:rPr>
    </w:lvl>
    <w:lvl w:ilvl="6" w:tplc="DE143D4A" w:tentative="1">
      <w:start w:val="1"/>
      <w:numFmt w:val="bullet"/>
      <w:lvlText w:val=""/>
      <w:lvlJc w:val="left"/>
      <w:pPr>
        <w:ind w:left="5760" w:hanging="360"/>
      </w:pPr>
      <w:rPr>
        <w:rFonts w:ascii="Symbol" w:hAnsi="Symbol" w:hint="default"/>
      </w:rPr>
    </w:lvl>
    <w:lvl w:ilvl="7" w:tplc="BBC027B2" w:tentative="1">
      <w:start w:val="1"/>
      <w:numFmt w:val="bullet"/>
      <w:lvlText w:val="o"/>
      <w:lvlJc w:val="left"/>
      <w:pPr>
        <w:ind w:left="6480" w:hanging="360"/>
      </w:pPr>
      <w:rPr>
        <w:rFonts w:ascii="Courier New" w:hAnsi="Courier New" w:cs="Courier New" w:hint="default"/>
      </w:rPr>
    </w:lvl>
    <w:lvl w:ilvl="8" w:tplc="3C40CA7E"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3E5E3084">
      <w:start w:val="1"/>
      <w:numFmt w:val="decimal"/>
      <w:lvlText w:val="%1."/>
      <w:lvlJc w:val="left"/>
      <w:pPr>
        <w:ind w:left="720" w:hanging="360"/>
      </w:pPr>
      <w:rPr>
        <w:rFonts w:hint="default"/>
      </w:rPr>
    </w:lvl>
    <w:lvl w:ilvl="1" w:tplc="B8DEC1A0" w:tentative="1">
      <w:start w:val="1"/>
      <w:numFmt w:val="lowerLetter"/>
      <w:lvlText w:val="%2."/>
      <w:lvlJc w:val="left"/>
      <w:pPr>
        <w:ind w:left="1440" w:hanging="360"/>
      </w:pPr>
    </w:lvl>
    <w:lvl w:ilvl="2" w:tplc="BF56BD30" w:tentative="1">
      <w:start w:val="1"/>
      <w:numFmt w:val="lowerRoman"/>
      <w:lvlText w:val="%3."/>
      <w:lvlJc w:val="right"/>
      <w:pPr>
        <w:ind w:left="2160" w:hanging="180"/>
      </w:pPr>
    </w:lvl>
    <w:lvl w:ilvl="3" w:tplc="84E0109A" w:tentative="1">
      <w:start w:val="1"/>
      <w:numFmt w:val="decimal"/>
      <w:lvlText w:val="%4."/>
      <w:lvlJc w:val="left"/>
      <w:pPr>
        <w:ind w:left="2880" w:hanging="360"/>
      </w:pPr>
    </w:lvl>
    <w:lvl w:ilvl="4" w:tplc="5F362F9C" w:tentative="1">
      <w:start w:val="1"/>
      <w:numFmt w:val="lowerLetter"/>
      <w:lvlText w:val="%5."/>
      <w:lvlJc w:val="left"/>
      <w:pPr>
        <w:ind w:left="3600" w:hanging="360"/>
      </w:pPr>
    </w:lvl>
    <w:lvl w:ilvl="5" w:tplc="F5D8FC2A" w:tentative="1">
      <w:start w:val="1"/>
      <w:numFmt w:val="lowerRoman"/>
      <w:lvlText w:val="%6."/>
      <w:lvlJc w:val="right"/>
      <w:pPr>
        <w:ind w:left="4320" w:hanging="180"/>
      </w:pPr>
    </w:lvl>
    <w:lvl w:ilvl="6" w:tplc="96908C08" w:tentative="1">
      <w:start w:val="1"/>
      <w:numFmt w:val="decimal"/>
      <w:lvlText w:val="%7."/>
      <w:lvlJc w:val="left"/>
      <w:pPr>
        <w:ind w:left="5040" w:hanging="360"/>
      </w:pPr>
    </w:lvl>
    <w:lvl w:ilvl="7" w:tplc="9E2A6376" w:tentative="1">
      <w:start w:val="1"/>
      <w:numFmt w:val="lowerLetter"/>
      <w:lvlText w:val="%8."/>
      <w:lvlJc w:val="left"/>
      <w:pPr>
        <w:ind w:left="5760" w:hanging="360"/>
      </w:pPr>
    </w:lvl>
    <w:lvl w:ilvl="8" w:tplc="200E33E4"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086EC5D8">
      <w:start w:val="1"/>
      <w:numFmt w:val="bullet"/>
      <w:lvlText w:val="›"/>
      <w:lvlJc w:val="left"/>
      <w:pPr>
        <w:ind w:left="1440" w:hanging="360"/>
      </w:pPr>
      <w:rPr>
        <w:rFonts w:ascii="Calibri" w:hAnsi="Calibri" w:hint="default"/>
      </w:rPr>
    </w:lvl>
    <w:lvl w:ilvl="1" w:tplc="6EBCA448" w:tentative="1">
      <w:start w:val="1"/>
      <w:numFmt w:val="bullet"/>
      <w:lvlText w:val="o"/>
      <w:lvlJc w:val="left"/>
      <w:pPr>
        <w:ind w:left="2160" w:hanging="360"/>
      </w:pPr>
      <w:rPr>
        <w:rFonts w:ascii="Courier New" w:hAnsi="Courier New" w:cs="Courier New" w:hint="default"/>
      </w:rPr>
    </w:lvl>
    <w:lvl w:ilvl="2" w:tplc="E7763B42" w:tentative="1">
      <w:start w:val="1"/>
      <w:numFmt w:val="bullet"/>
      <w:lvlText w:val=""/>
      <w:lvlJc w:val="left"/>
      <w:pPr>
        <w:ind w:left="2880" w:hanging="360"/>
      </w:pPr>
      <w:rPr>
        <w:rFonts w:ascii="Wingdings" w:hAnsi="Wingdings" w:hint="default"/>
      </w:rPr>
    </w:lvl>
    <w:lvl w:ilvl="3" w:tplc="E6FCF394" w:tentative="1">
      <w:start w:val="1"/>
      <w:numFmt w:val="bullet"/>
      <w:lvlText w:val=""/>
      <w:lvlJc w:val="left"/>
      <w:pPr>
        <w:ind w:left="3600" w:hanging="360"/>
      </w:pPr>
      <w:rPr>
        <w:rFonts w:ascii="Symbol" w:hAnsi="Symbol" w:hint="default"/>
      </w:rPr>
    </w:lvl>
    <w:lvl w:ilvl="4" w:tplc="088C661E" w:tentative="1">
      <w:start w:val="1"/>
      <w:numFmt w:val="bullet"/>
      <w:lvlText w:val="o"/>
      <w:lvlJc w:val="left"/>
      <w:pPr>
        <w:ind w:left="4320" w:hanging="360"/>
      </w:pPr>
      <w:rPr>
        <w:rFonts w:ascii="Courier New" w:hAnsi="Courier New" w:cs="Courier New" w:hint="default"/>
      </w:rPr>
    </w:lvl>
    <w:lvl w:ilvl="5" w:tplc="E6DE7252" w:tentative="1">
      <w:start w:val="1"/>
      <w:numFmt w:val="bullet"/>
      <w:lvlText w:val=""/>
      <w:lvlJc w:val="left"/>
      <w:pPr>
        <w:ind w:left="5040" w:hanging="360"/>
      </w:pPr>
      <w:rPr>
        <w:rFonts w:ascii="Wingdings" w:hAnsi="Wingdings" w:hint="default"/>
      </w:rPr>
    </w:lvl>
    <w:lvl w:ilvl="6" w:tplc="4F087914" w:tentative="1">
      <w:start w:val="1"/>
      <w:numFmt w:val="bullet"/>
      <w:lvlText w:val=""/>
      <w:lvlJc w:val="left"/>
      <w:pPr>
        <w:ind w:left="5760" w:hanging="360"/>
      </w:pPr>
      <w:rPr>
        <w:rFonts w:ascii="Symbol" w:hAnsi="Symbol" w:hint="default"/>
      </w:rPr>
    </w:lvl>
    <w:lvl w:ilvl="7" w:tplc="5350BCB4" w:tentative="1">
      <w:start w:val="1"/>
      <w:numFmt w:val="bullet"/>
      <w:lvlText w:val="o"/>
      <w:lvlJc w:val="left"/>
      <w:pPr>
        <w:ind w:left="6480" w:hanging="360"/>
      </w:pPr>
      <w:rPr>
        <w:rFonts w:ascii="Courier New" w:hAnsi="Courier New" w:cs="Courier New" w:hint="default"/>
      </w:rPr>
    </w:lvl>
    <w:lvl w:ilvl="8" w:tplc="C4BA9EEE"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F04082E2">
      <w:start w:val="1"/>
      <w:numFmt w:val="bullet"/>
      <w:lvlText w:val="›"/>
      <w:lvlJc w:val="left"/>
      <w:pPr>
        <w:ind w:left="720" w:hanging="360"/>
      </w:pPr>
      <w:rPr>
        <w:rFonts w:ascii="Calibri" w:hAnsi="Calibri" w:hint="default"/>
        <w:color w:val="094595" w:themeColor="text2"/>
      </w:rPr>
    </w:lvl>
    <w:lvl w:ilvl="1" w:tplc="96A812B2" w:tentative="1">
      <w:start w:val="1"/>
      <w:numFmt w:val="bullet"/>
      <w:lvlText w:val="o"/>
      <w:lvlJc w:val="left"/>
      <w:pPr>
        <w:ind w:left="1440" w:hanging="360"/>
      </w:pPr>
      <w:rPr>
        <w:rFonts w:ascii="Courier New" w:hAnsi="Courier New" w:cs="Courier New" w:hint="default"/>
      </w:rPr>
    </w:lvl>
    <w:lvl w:ilvl="2" w:tplc="75C4554A" w:tentative="1">
      <w:start w:val="1"/>
      <w:numFmt w:val="bullet"/>
      <w:lvlText w:val=""/>
      <w:lvlJc w:val="left"/>
      <w:pPr>
        <w:ind w:left="2160" w:hanging="360"/>
      </w:pPr>
      <w:rPr>
        <w:rFonts w:ascii="Wingdings" w:hAnsi="Wingdings" w:hint="default"/>
      </w:rPr>
    </w:lvl>
    <w:lvl w:ilvl="3" w:tplc="8252E92C" w:tentative="1">
      <w:start w:val="1"/>
      <w:numFmt w:val="bullet"/>
      <w:lvlText w:val=""/>
      <w:lvlJc w:val="left"/>
      <w:pPr>
        <w:ind w:left="2880" w:hanging="360"/>
      </w:pPr>
      <w:rPr>
        <w:rFonts w:ascii="Symbol" w:hAnsi="Symbol" w:hint="default"/>
      </w:rPr>
    </w:lvl>
    <w:lvl w:ilvl="4" w:tplc="E0C4459E" w:tentative="1">
      <w:start w:val="1"/>
      <w:numFmt w:val="bullet"/>
      <w:lvlText w:val="o"/>
      <w:lvlJc w:val="left"/>
      <w:pPr>
        <w:ind w:left="3600" w:hanging="360"/>
      </w:pPr>
      <w:rPr>
        <w:rFonts w:ascii="Courier New" w:hAnsi="Courier New" w:cs="Courier New" w:hint="default"/>
      </w:rPr>
    </w:lvl>
    <w:lvl w:ilvl="5" w:tplc="0C264B86" w:tentative="1">
      <w:start w:val="1"/>
      <w:numFmt w:val="bullet"/>
      <w:lvlText w:val=""/>
      <w:lvlJc w:val="left"/>
      <w:pPr>
        <w:ind w:left="4320" w:hanging="360"/>
      </w:pPr>
      <w:rPr>
        <w:rFonts w:ascii="Wingdings" w:hAnsi="Wingdings" w:hint="default"/>
      </w:rPr>
    </w:lvl>
    <w:lvl w:ilvl="6" w:tplc="B816AE88" w:tentative="1">
      <w:start w:val="1"/>
      <w:numFmt w:val="bullet"/>
      <w:lvlText w:val=""/>
      <w:lvlJc w:val="left"/>
      <w:pPr>
        <w:ind w:left="5040" w:hanging="360"/>
      </w:pPr>
      <w:rPr>
        <w:rFonts w:ascii="Symbol" w:hAnsi="Symbol" w:hint="default"/>
      </w:rPr>
    </w:lvl>
    <w:lvl w:ilvl="7" w:tplc="2C90165C" w:tentative="1">
      <w:start w:val="1"/>
      <w:numFmt w:val="bullet"/>
      <w:lvlText w:val="o"/>
      <w:lvlJc w:val="left"/>
      <w:pPr>
        <w:ind w:left="5760" w:hanging="360"/>
      </w:pPr>
      <w:rPr>
        <w:rFonts w:ascii="Courier New" w:hAnsi="Courier New" w:cs="Courier New" w:hint="default"/>
      </w:rPr>
    </w:lvl>
    <w:lvl w:ilvl="8" w:tplc="40FC7BA2"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6ADAAF4C">
      <w:start w:val="1"/>
      <w:numFmt w:val="bullet"/>
      <w:lvlText w:val="›"/>
      <w:lvlJc w:val="left"/>
      <w:pPr>
        <w:ind w:left="720" w:hanging="360"/>
      </w:pPr>
      <w:rPr>
        <w:rFonts w:ascii="Calibri" w:hAnsi="Calibri" w:hint="default"/>
      </w:rPr>
    </w:lvl>
    <w:lvl w:ilvl="1" w:tplc="85AA6116" w:tentative="1">
      <w:start w:val="1"/>
      <w:numFmt w:val="bullet"/>
      <w:lvlText w:val="o"/>
      <w:lvlJc w:val="left"/>
      <w:pPr>
        <w:ind w:left="1440" w:hanging="360"/>
      </w:pPr>
      <w:rPr>
        <w:rFonts w:ascii="Courier New" w:hAnsi="Courier New" w:cs="Courier New" w:hint="default"/>
      </w:rPr>
    </w:lvl>
    <w:lvl w:ilvl="2" w:tplc="E6A27F1A" w:tentative="1">
      <w:start w:val="1"/>
      <w:numFmt w:val="bullet"/>
      <w:lvlText w:val=""/>
      <w:lvlJc w:val="left"/>
      <w:pPr>
        <w:ind w:left="2160" w:hanging="360"/>
      </w:pPr>
      <w:rPr>
        <w:rFonts w:ascii="Wingdings" w:hAnsi="Wingdings" w:hint="default"/>
      </w:rPr>
    </w:lvl>
    <w:lvl w:ilvl="3" w:tplc="772403AA" w:tentative="1">
      <w:start w:val="1"/>
      <w:numFmt w:val="bullet"/>
      <w:lvlText w:val=""/>
      <w:lvlJc w:val="left"/>
      <w:pPr>
        <w:ind w:left="2880" w:hanging="360"/>
      </w:pPr>
      <w:rPr>
        <w:rFonts w:ascii="Symbol" w:hAnsi="Symbol" w:hint="default"/>
      </w:rPr>
    </w:lvl>
    <w:lvl w:ilvl="4" w:tplc="1202240A" w:tentative="1">
      <w:start w:val="1"/>
      <w:numFmt w:val="bullet"/>
      <w:lvlText w:val="o"/>
      <w:lvlJc w:val="left"/>
      <w:pPr>
        <w:ind w:left="3600" w:hanging="360"/>
      </w:pPr>
      <w:rPr>
        <w:rFonts w:ascii="Courier New" w:hAnsi="Courier New" w:cs="Courier New" w:hint="default"/>
      </w:rPr>
    </w:lvl>
    <w:lvl w:ilvl="5" w:tplc="15D04A54" w:tentative="1">
      <w:start w:val="1"/>
      <w:numFmt w:val="bullet"/>
      <w:lvlText w:val=""/>
      <w:lvlJc w:val="left"/>
      <w:pPr>
        <w:ind w:left="4320" w:hanging="360"/>
      </w:pPr>
      <w:rPr>
        <w:rFonts w:ascii="Wingdings" w:hAnsi="Wingdings" w:hint="default"/>
      </w:rPr>
    </w:lvl>
    <w:lvl w:ilvl="6" w:tplc="D6D06030" w:tentative="1">
      <w:start w:val="1"/>
      <w:numFmt w:val="bullet"/>
      <w:lvlText w:val=""/>
      <w:lvlJc w:val="left"/>
      <w:pPr>
        <w:ind w:left="5040" w:hanging="360"/>
      </w:pPr>
      <w:rPr>
        <w:rFonts w:ascii="Symbol" w:hAnsi="Symbol" w:hint="default"/>
      </w:rPr>
    </w:lvl>
    <w:lvl w:ilvl="7" w:tplc="6C347506" w:tentative="1">
      <w:start w:val="1"/>
      <w:numFmt w:val="bullet"/>
      <w:lvlText w:val="o"/>
      <w:lvlJc w:val="left"/>
      <w:pPr>
        <w:ind w:left="5760" w:hanging="360"/>
      </w:pPr>
      <w:rPr>
        <w:rFonts w:ascii="Courier New" w:hAnsi="Courier New" w:cs="Courier New" w:hint="default"/>
      </w:rPr>
    </w:lvl>
    <w:lvl w:ilvl="8" w:tplc="C420713A"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3CF4B562">
      <w:start w:val="1"/>
      <w:numFmt w:val="bullet"/>
      <w:lvlText w:val=""/>
      <w:lvlJc w:val="left"/>
      <w:pPr>
        <w:ind w:left="720" w:hanging="360"/>
      </w:pPr>
      <w:rPr>
        <w:rFonts w:ascii="Symbol" w:hAnsi="Symbol" w:hint="default"/>
      </w:rPr>
    </w:lvl>
    <w:lvl w:ilvl="1" w:tplc="15D4ECA4" w:tentative="1">
      <w:start w:val="1"/>
      <w:numFmt w:val="bullet"/>
      <w:lvlText w:val="o"/>
      <w:lvlJc w:val="left"/>
      <w:pPr>
        <w:ind w:left="1440" w:hanging="360"/>
      </w:pPr>
      <w:rPr>
        <w:rFonts w:ascii="Courier New" w:hAnsi="Courier New" w:cs="Courier New" w:hint="default"/>
      </w:rPr>
    </w:lvl>
    <w:lvl w:ilvl="2" w:tplc="15105434" w:tentative="1">
      <w:start w:val="1"/>
      <w:numFmt w:val="bullet"/>
      <w:lvlText w:val=""/>
      <w:lvlJc w:val="left"/>
      <w:pPr>
        <w:ind w:left="2160" w:hanging="360"/>
      </w:pPr>
      <w:rPr>
        <w:rFonts w:ascii="Wingdings" w:hAnsi="Wingdings" w:hint="default"/>
      </w:rPr>
    </w:lvl>
    <w:lvl w:ilvl="3" w:tplc="E68E9018" w:tentative="1">
      <w:start w:val="1"/>
      <w:numFmt w:val="bullet"/>
      <w:lvlText w:val=""/>
      <w:lvlJc w:val="left"/>
      <w:pPr>
        <w:ind w:left="2880" w:hanging="360"/>
      </w:pPr>
      <w:rPr>
        <w:rFonts w:ascii="Symbol" w:hAnsi="Symbol" w:hint="default"/>
      </w:rPr>
    </w:lvl>
    <w:lvl w:ilvl="4" w:tplc="942CE2FC" w:tentative="1">
      <w:start w:val="1"/>
      <w:numFmt w:val="bullet"/>
      <w:lvlText w:val="o"/>
      <w:lvlJc w:val="left"/>
      <w:pPr>
        <w:ind w:left="3600" w:hanging="360"/>
      </w:pPr>
      <w:rPr>
        <w:rFonts w:ascii="Courier New" w:hAnsi="Courier New" w:cs="Courier New" w:hint="default"/>
      </w:rPr>
    </w:lvl>
    <w:lvl w:ilvl="5" w:tplc="7C8A38DE" w:tentative="1">
      <w:start w:val="1"/>
      <w:numFmt w:val="bullet"/>
      <w:lvlText w:val=""/>
      <w:lvlJc w:val="left"/>
      <w:pPr>
        <w:ind w:left="4320" w:hanging="360"/>
      </w:pPr>
      <w:rPr>
        <w:rFonts w:ascii="Wingdings" w:hAnsi="Wingdings" w:hint="default"/>
      </w:rPr>
    </w:lvl>
    <w:lvl w:ilvl="6" w:tplc="E728987A" w:tentative="1">
      <w:start w:val="1"/>
      <w:numFmt w:val="bullet"/>
      <w:lvlText w:val=""/>
      <w:lvlJc w:val="left"/>
      <w:pPr>
        <w:ind w:left="5040" w:hanging="360"/>
      </w:pPr>
      <w:rPr>
        <w:rFonts w:ascii="Symbol" w:hAnsi="Symbol" w:hint="default"/>
      </w:rPr>
    </w:lvl>
    <w:lvl w:ilvl="7" w:tplc="13FC0BD4" w:tentative="1">
      <w:start w:val="1"/>
      <w:numFmt w:val="bullet"/>
      <w:lvlText w:val="o"/>
      <w:lvlJc w:val="left"/>
      <w:pPr>
        <w:ind w:left="5760" w:hanging="360"/>
      </w:pPr>
      <w:rPr>
        <w:rFonts w:ascii="Courier New" w:hAnsi="Courier New" w:cs="Courier New" w:hint="default"/>
      </w:rPr>
    </w:lvl>
    <w:lvl w:ilvl="8" w:tplc="16A042F8"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01600B1E">
      <w:start w:val="1"/>
      <w:numFmt w:val="bullet"/>
      <w:lvlText w:val="›"/>
      <w:lvlJc w:val="left"/>
      <w:pPr>
        <w:ind w:left="720" w:hanging="360"/>
      </w:pPr>
      <w:rPr>
        <w:rFonts w:ascii="Calibri" w:hAnsi="Calibri" w:hint="default"/>
      </w:rPr>
    </w:lvl>
    <w:lvl w:ilvl="1" w:tplc="C0F4CC04" w:tentative="1">
      <w:start w:val="1"/>
      <w:numFmt w:val="bullet"/>
      <w:lvlText w:val="o"/>
      <w:lvlJc w:val="left"/>
      <w:pPr>
        <w:ind w:left="1440" w:hanging="360"/>
      </w:pPr>
      <w:rPr>
        <w:rFonts w:ascii="Courier New" w:hAnsi="Courier New" w:cs="Courier New" w:hint="default"/>
      </w:rPr>
    </w:lvl>
    <w:lvl w:ilvl="2" w:tplc="6A108758" w:tentative="1">
      <w:start w:val="1"/>
      <w:numFmt w:val="bullet"/>
      <w:lvlText w:val=""/>
      <w:lvlJc w:val="left"/>
      <w:pPr>
        <w:ind w:left="2160" w:hanging="360"/>
      </w:pPr>
      <w:rPr>
        <w:rFonts w:ascii="Wingdings" w:hAnsi="Wingdings" w:hint="default"/>
      </w:rPr>
    </w:lvl>
    <w:lvl w:ilvl="3" w:tplc="E0387B60" w:tentative="1">
      <w:start w:val="1"/>
      <w:numFmt w:val="bullet"/>
      <w:lvlText w:val=""/>
      <w:lvlJc w:val="left"/>
      <w:pPr>
        <w:ind w:left="2880" w:hanging="360"/>
      </w:pPr>
      <w:rPr>
        <w:rFonts w:ascii="Symbol" w:hAnsi="Symbol" w:hint="default"/>
      </w:rPr>
    </w:lvl>
    <w:lvl w:ilvl="4" w:tplc="92EE59EC" w:tentative="1">
      <w:start w:val="1"/>
      <w:numFmt w:val="bullet"/>
      <w:lvlText w:val="o"/>
      <w:lvlJc w:val="left"/>
      <w:pPr>
        <w:ind w:left="3600" w:hanging="360"/>
      </w:pPr>
      <w:rPr>
        <w:rFonts w:ascii="Courier New" w:hAnsi="Courier New" w:cs="Courier New" w:hint="default"/>
      </w:rPr>
    </w:lvl>
    <w:lvl w:ilvl="5" w:tplc="083084E0" w:tentative="1">
      <w:start w:val="1"/>
      <w:numFmt w:val="bullet"/>
      <w:lvlText w:val=""/>
      <w:lvlJc w:val="left"/>
      <w:pPr>
        <w:ind w:left="4320" w:hanging="360"/>
      </w:pPr>
      <w:rPr>
        <w:rFonts w:ascii="Wingdings" w:hAnsi="Wingdings" w:hint="default"/>
      </w:rPr>
    </w:lvl>
    <w:lvl w:ilvl="6" w:tplc="1AE41D74" w:tentative="1">
      <w:start w:val="1"/>
      <w:numFmt w:val="bullet"/>
      <w:lvlText w:val=""/>
      <w:lvlJc w:val="left"/>
      <w:pPr>
        <w:ind w:left="5040" w:hanging="360"/>
      </w:pPr>
      <w:rPr>
        <w:rFonts w:ascii="Symbol" w:hAnsi="Symbol" w:hint="default"/>
      </w:rPr>
    </w:lvl>
    <w:lvl w:ilvl="7" w:tplc="3C863200" w:tentative="1">
      <w:start w:val="1"/>
      <w:numFmt w:val="bullet"/>
      <w:lvlText w:val="o"/>
      <w:lvlJc w:val="left"/>
      <w:pPr>
        <w:ind w:left="5760" w:hanging="360"/>
      </w:pPr>
      <w:rPr>
        <w:rFonts w:ascii="Courier New" w:hAnsi="Courier New" w:cs="Courier New" w:hint="default"/>
      </w:rPr>
    </w:lvl>
    <w:lvl w:ilvl="8" w:tplc="8C340D2C"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2ECCC61E">
      <w:start w:val="1"/>
      <w:numFmt w:val="decimal"/>
      <w:lvlText w:val="%1."/>
      <w:lvlJc w:val="left"/>
      <w:pPr>
        <w:ind w:left="720" w:hanging="360"/>
      </w:pPr>
    </w:lvl>
    <w:lvl w:ilvl="1" w:tplc="FB348B7E">
      <w:start w:val="1"/>
      <w:numFmt w:val="lowerLetter"/>
      <w:lvlText w:val="%2."/>
      <w:lvlJc w:val="left"/>
      <w:pPr>
        <w:ind w:left="1440" w:hanging="360"/>
      </w:pPr>
    </w:lvl>
    <w:lvl w:ilvl="2" w:tplc="D592FC1C">
      <w:start w:val="1"/>
      <w:numFmt w:val="lowerRoman"/>
      <w:lvlText w:val="%3."/>
      <w:lvlJc w:val="right"/>
      <w:pPr>
        <w:ind w:left="2160" w:hanging="180"/>
      </w:pPr>
    </w:lvl>
    <w:lvl w:ilvl="3" w:tplc="436CDE78">
      <w:start w:val="1"/>
      <w:numFmt w:val="decimal"/>
      <w:lvlText w:val="%4."/>
      <w:lvlJc w:val="left"/>
      <w:pPr>
        <w:ind w:left="2880" w:hanging="360"/>
      </w:pPr>
    </w:lvl>
    <w:lvl w:ilvl="4" w:tplc="60C28142">
      <w:start w:val="1"/>
      <w:numFmt w:val="lowerLetter"/>
      <w:lvlText w:val="%5."/>
      <w:lvlJc w:val="left"/>
      <w:pPr>
        <w:ind w:left="3600" w:hanging="360"/>
      </w:pPr>
    </w:lvl>
    <w:lvl w:ilvl="5" w:tplc="3AB8F35E">
      <w:start w:val="1"/>
      <w:numFmt w:val="lowerRoman"/>
      <w:lvlText w:val="%6."/>
      <w:lvlJc w:val="right"/>
      <w:pPr>
        <w:ind w:left="4320" w:hanging="180"/>
      </w:pPr>
    </w:lvl>
    <w:lvl w:ilvl="6" w:tplc="E1922B90">
      <w:start w:val="1"/>
      <w:numFmt w:val="decimal"/>
      <w:lvlText w:val="%7."/>
      <w:lvlJc w:val="left"/>
      <w:pPr>
        <w:ind w:left="5040" w:hanging="360"/>
      </w:pPr>
    </w:lvl>
    <w:lvl w:ilvl="7" w:tplc="AFD8A578">
      <w:start w:val="1"/>
      <w:numFmt w:val="lowerLetter"/>
      <w:lvlText w:val="%8."/>
      <w:lvlJc w:val="left"/>
      <w:pPr>
        <w:ind w:left="5760" w:hanging="360"/>
      </w:pPr>
    </w:lvl>
    <w:lvl w:ilvl="8" w:tplc="6A42F92A">
      <w:start w:val="1"/>
      <w:numFmt w:val="lowerRoman"/>
      <w:lvlText w:val="%9."/>
      <w:lvlJc w:val="right"/>
      <w:pPr>
        <w:ind w:left="6480" w:hanging="180"/>
      </w:pPr>
    </w:lvl>
  </w:abstractNum>
  <w:abstractNum w:abstractNumId="14" w15:restartNumberingAfterBreak="0">
    <w:nsid w:val="4E723D9A"/>
    <w:multiLevelType w:val="hybridMultilevel"/>
    <w:tmpl w:val="1C46E95A"/>
    <w:lvl w:ilvl="0" w:tplc="C97E6EF6">
      <w:start w:val="1"/>
      <w:numFmt w:val="bullet"/>
      <w:lvlText w:val="›"/>
      <w:lvlJc w:val="left"/>
      <w:pPr>
        <w:ind w:left="720" w:hanging="360"/>
      </w:pPr>
      <w:rPr>
        <w:rFonts w:ascii="Calibri" w:hAnsi="Calibri" w:hint="default"/>
        <w:color w:val="094595" w:themeColor="text2"/>
      </w:rPr>
    </w:lvl>
    <w:lvl w:ilvl="1" w:tplc="6FB4D186" w:tentative="1">
      <w:start w:val="1"/>
      <w:numFmt w:val="bullet"/>
      <w:lvlText w:val="o"/>
      <w:lvlJc w:val="left"/>
      <w:pPr>
        <w:ind w:left="1440" w:hanging="360"/>
      </w:pPr>
      <w:rPr>
        <w:rFonts w:ascii="Courier New" w:hAnsi="Courier New" w:cs="Courier New" w:hint="default"/>
      </w:rPr>
    </w:lvl>
    <w:lvl w:ilvl="2" w:tplc="77DC8F96" w:tentative="1">
      <w:start w:val="1"/>
      <w:numFmt w:val="bullet"/>
      <w:lvlText w:val=""/>
      <w:lvlJc w:val="left"/>
      <w:pPr>
        <w:ind w:left="2160" w:hanging="360"/>
      </w:pPr>
      <w:rPr>
        <w:rFonts w:ascii="Wingdings" w:hAnsi="Wingdings" w:hint="default"/>
      </w:rPr>
    </w:lvl>
    <w:lvl w:ilvl="3" w:tplc="040204B8" w:tentative="1">
      <w:start w:val="1"/>
      <w:numFmt w:val="bullet"/>
      <w:lvlText w:val=""/>
      <w:lvlJc w:val="left"/>
      <w:pPr>
        <w:ind w:left="2880" w:hanging="360"/>
      </w:pPr>
      <w:rPr>
        <w:rFonts w:ascii="Symbol" w:hAnsi="Symbol" w:hint="default"/>
      </w:rPr>
    </w:lvl>
    <w:lvl w:ilvl="4" w:tplc="7020E2F6" w:tentative="1">
      <w:start w:val="1"/>
      <w:numFmt w:val="bullet"/>
      <w:lvlText w:val="o"/>
      <w:lvlJc w:val="left"/>
      <w:pPr>
        <w:ind w:left="3600" w:hanging="360"/>
      </w:pPr>
      <w:rPr>
        <w:rFonts w:ascii="Courier New" w:hAnsi="Courier New" w:cs="Courier New" w:hint="default"/>
      </w:rPr>
    </w:lvl>
    <w:lvl w:ilvl="5" w:tplc="8B6C5544" w:tentative="1">
      <w:start w:val="1"/>
      <w:numFmt w:val="bullet"/>
      <w:lvlText w:val=""/>
      <w:lvlJc w:val="left"/>
      <w:pPr>
        <w:ind w:left="4320" w:hanging="360"/>
      </w:pPr>
      <w:rPr>
        <w:rFonts w:ascii="Wingdings" w:hAnsi="Wingdings" w:hint="default"/>
      </w:rPr>
    </w:lvl>
    <w:lvl w:ilvl="6" w:tplc="6E6486FA" w:tentative="1">
      <w:start w:val="1"/>
      <w:numFmt w:val="bullet"/>
      <w:lvlText w:val=""/>
      <w:lvlJc w:val="left"/>
      <w:pPr>
        <w:ind w:left="5040" w:hanging="360"/>
      </w:pPr>
      <w:rPr>
        <w:rFonts w:ascii="Symbol" w:hAnsi="Symbol" w:hint="default"/>
      </w:rPr>
    </w:lvl>
    <w:lvl w:ilvl="7" w:tplc="B4AE0192" w:tentative="1">
      <w:start w:val="1"/>
      <w:numFmt w:val="bullet"/>
      <w:lvlText w:val="o"/>
      <w:lvlJc w:val="left"/>
      <w:pPr>
        <w:ind w:left="5760" w:hanging="360"/>
      </w:pPr>
      <w:rPr>
        <w:rFonts w:ascii="Courier New" w:hAnsi="Courier New" w:cs="Courier New" w:hint="default"/>
      </w:rPr>
    </w:lvl>
    <w:lvl w:ilvl="8" w:tplc="B7D04E48"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658289C6">
      <w:start w:val="1"/>
      <w:numFmt w:val="bullet"/>
      <w:lvlText w:val="›"/>
      <w:lvlJc w:val="left"/>
      <w:pPr>
        <w:ind w:left="720" w:hanging="360"/>
      </w:pPr>
      <w:rPr>
        <w:rFonts w:ascii="Calibri" w:hAnsi="Calibri" w:hint="default"/>
        <w:color w:val="094595" w:themeColor="text2"/>
      </w:rPr>
    </w:lvl>
    <w:lvl w:ilvl="1" w:tplc="DFE4E326" w:tentative="1">
      <w:start w:val="1"/>
      <w:numFmt w:val="bullet"/>
      <w:lvlText w:val="o"/>
      <w:lvlJc w:val="left"/>
      <w:pPr>
        <w:ind w:left="1440" w:hanging="360"/>
      </w:pPr>
      <w:rPr>
        <w:rFonts w:ascii="Courier New" w:hAnsi="Courier New" w:cs="Courier New" w:hint="default"/>
      </w:rPr>
    </w:lvl>
    <w:lvl w:ilvl="2" w:tplc="A852F95C" w:tentative="1">
      <w:start w:val="1"/>
      <w:numFmt w:val="bullet"/>
      <w:lvlText w:val=""/>
      <w:lvlJc w:val="left"/>
      <w:pPr>
        <w:ind w:left="2160" w:hanging="360"/>
      </w:pPr>
      <w:rPr>
        <w:rFonts w:ascii="Wingdings" w:hAnsi="Wingdings" w:hint="default"/>
      </w:rPr>
    </w:lvl>
    <w:lvl w:ilvl="3" w:tplc="DE969968" w:tentative="1">
      <w:start w:val="1"/>
      <w:numFmt w:val="bullet"/>
      <w:lvlText w:val=""/>
      <w:lvlJc w:val="left"/>
      <w:pPr>
        <w:ind w:left="2880" w:hanging="360"/>
      </w:pPr>
      <w:rPr>
        <w:rFonts w:ascii="Symbol" w:hAnsi="Symbol" w:hint="default"/>
      </w:rPr>
    </w:lvl>
    <w:lvl w:ilvl="4" w:tplc="90ACB250" w:tentative="1">
      <w:start w:val="1"/>
      <w:numFmt w:val="bullet"/>
      <w:lvlText w:val="o"/>
      <w:lvlJc w:val="left"/>
      <w:pPr>
        <w:ind w:left="3600" w:hanging="360"/>
      </w:pPr>
      <w:rPr>
        <w:rFonts w:ascii="Courier New" w:hAnsi="Courier New" w:cs="Courier New" w:hint="default"/>
      </w:rPr>
    </w:lvl>
    <w:lvl w:ilvl="5" w:tplc="496ACCFE" w:tentative="1">
      <w:start w:val="1"/>
      <w:numFmt w:val="bullet"/>
      <w:lvlText w:val=""/>
      <w:lvlJc w:val="left"/>
      <w:pPr>
        <w:ind w:left="4320" w:hanging="360"/>
      </w:pPr>
      <w:rPr>
        <w:rFonts w:ascii="Wingdings" w:hAnsi="Wingdings" w:hint="default"/>
      </w:rPr>
    </w:lvl>
    <w:lvl w:ilvl="6" w:tplc="A7DC39EC" w:tentative="1">
      <w:start w:val="1"/>
      <w:numFmt w:val="bullet"/>
      <w:lvlText w:val=""/>
      <w:lvlJc w:val="left"/>
      <w:pPr>
        <w:ind w:left="5040" w:hanging="360"/>
      </w:pPr>
      <w:rPr>
        <w:rFonts w:ascii="Symbol" w:hAnsi="Symbol" w:hint="default"/>
      </w:rPr>
    </w:lvl>
    <w:lvl w:ilvl="7" w:tplc="903CB2D4" w:tentative="1">
      <w:start w:val="1"/>
      <w:numFmt w:val="bullet"/>
      <w:lvlText w:val="o"/>
      <w:lvlJc w:val="left"/>
      <w:pPr>
        <w:ind w:left="5760" w:hanging="360"/>
      </w:pPr>
      <w:rPr>
        <w:rFonts w:ascii="Courier New" w:hAnsi="Courier New" w:cs="Courier New" w:hint="default"/>
      </w:rPr>
    </w:lvl>
    <w:lvl w:ilvl="8" w:tplc="ECE841EE"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570E3808">
      <w:start w:val="1"/>
      <w:numFmt w:val="upperLetter"/>
      <w:lvlText w:val="%1)"/>
      <w:lvlJc w:val="left"/>
      <w:pPr>
        <w:ind w:left="910" w:hanging="360"/>
      </w:pPr>
      <w:rPr>
        <w:rFonts w:hint="default"/>
      </w:rPr>
    </w:lvl>
    <w:lvl w:ilvl="1" w:tplc="E202E406" w:tentative="1">
      <w:start w:val="1"/>
      <w:numFmt w:val="lowerLetter"/>
      <w:lvlText w:val="%2."/>
      <w:lvlJc w:val="left"/>
      <w:pPr>
        <w:ind w:left="1630" w:hanging="360"/>
      </w:pPr>
    </w:lvl>
    <w:lvl w:ilvl="2" w:tplc="5C3844F8" w:tentative="1">
      <w:start w:val="1"/>
      <w:numFmt w:val="lowerRoman"/>
      <w:lvlText w:val="%3."/>
      <w:lvlJc w:val="right"/>
      <w:pPr>
        <w:ind w:left="2350" w:hanging="180"/>
      </w:pPr>
    </w:lvl>
    <w:lvl w:ilvl="3" w:tplc="2F74ED24" w:tentative="1">
      <w:start w:val="1"/>
      <w:numFmt w:val="decimal"/>
      <w:lvlText w:val="%4."/>
      <w:lvlJc w:val="left"/>
      <w:pPr>
        <w:ind w:left="3070" w:hanging="360"/>
      </w:pPr>
    </w:lvl>
    <w:lvl w:ilvl="4" w:tplc="3B06B628" w:tentative="1">
      <w:start w:val="1"/>
      <w:numFmt w:val="lowerLetter"/>
      <w:lvlText w:val="%5."/>
      <w:lvlJc w:val="left"/>
      <w:pPr>
        <w:ind w:left="3790" w:hanging="360"/>
      </w:pPr>
    </w:lvl>
    <w:lvl w:ilvl="5" w:tplc="B9BE5994" w:tentative="1">
      <w:start w:val="1"/>
      <w:numFmt w:val="lowerRoman"/>
      <w:lvlText w:val="%6."/>
      <w:lvlJc w:val="right"/>
      <w:pPr>
        <w:ind w:left="4510" w:hanging="180"/>
      </w:pPr>
    </w:lvl>
    <w:lvl w:ilvl="6" w:tplc="D846A1E0" w:tentative="1">
      <w:start w:val="1"/>
      <w:numFmt w:val="decimal"/>
      <w:lvlText w:val="%7."/>
      <w:lvlJc w:val="left"/>
      <w:pPr>
        <w:ind w:left="5230" w:hanging="360"/>
      </w:pPr>
    </w:lvl>
    <w:lvl w:ilvl="7" w:tplc="AA144048" w:tentative="1">
      <w:start w:val="1"/>
      <w:numFmt w:val="lowerLetter"/>
      <w:lvlText w:val="%8."/>
      <w:lvlJc w:val="left"/>
      <w:pPr>
        <w:ind w:left="5950" w:hanging="360"/>
      </w:pPr>
    </w:lvl>
    <w:lvl w:ilvl="8" w:tplc="85908BC2"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60F62D54">
      <w:start w:val="1"/>
      <w:numFmt w:val="bullet"/>
      <w:lvlText w:val="›"/>
      <w:lvlJc w:val="left"/>
      <w:pPr>
        <w:ind w:left="720" w:hanging="360"/>
      </w:pPr>
      <w:rPr>
        <w:rFonts w:ascii="Calibri" w:hAnsi="Calibri" w:hint="default"/>
      </w:rPr>
    </w:lvl>
    <w:lvl w:ilvl="1" w:tplc="4824E8C2" w:tentative="1">
      <w:start w:val="1"/>
      <w:numFmt w:val="bullet"/>
      <w:lvlText w:val="o"/>
      <w:lvlJc w:val="left"/>
      <w:pPr>
        <w:ind w:left="1440" w:hanging="360"/>
      </w:pPr>
      <w:rPr>
        <w:rFonts w:ascii="Courier New" w:hAnsi="Courier New" w:cs="Courier New" w:hint="default"/>
      </w:rPr>
    </w:lvl>
    <w:lvl w:ilvl="2" w:tplc="E482105C" w:tentative="1">
      <w:start w:val="1"/>
      <w:numFmt w:val="bullet"/>
      <w:lvlText w:val=""/>
      <w:lvlJc w:val="left"/>
      <w:pPr>
        <w:ind w:left="2160" w:hanging="360"/>
      </w:pPr>
      <w:rPr>
        <w:rFonts w:ascii="Wingdings" w:hAnsi="Wingdings" w:hint="default"/>
      </w:rPr>
    </w:lvl>
    <w:lvl w:ilvl="3" w:tplc="EBBC545E" w:tentative="1">
      <w:start w:val="1"/>
      <w:numFmt w:val="bullet"/>
      <w:lvlText w:val=""/>
      <w:lvlJc w:val="left"/>
      <w:pPr>
        <w:ind w:left="2880" w:hanging="360"/>
      </w:pPr>
      <w:rPr>
        <w:rFonts w:ascii="Symbol" w:hAnsi="Symbol" w:hint="default"/>
      </w:rPr>
    </w:lvl>
    <w:lvl w:ilvl="4" w:tplc="1C041724" w:tentative="1">
      <w:start w:val="1"/>
      <w:numFmt w:val="bullet"/>
      <w:lvlText w:val="o"/>
      <w:lvlJc w:val="left"/>
      <w:pPr>
        <w:ind w:left="3600" w:hanging="360"/>
      </w:pPr>
      <w:rPr>
        <w:rFonts w:ascii="Courier New" w:hAnsi="Courier New" w:cs="Courier New" w:hint="default"/>
      </w:rPr>
    </w:lvl>
    <w:lvl w:ilvl="5" w:tplc="0C683AF0" w:tentative="1">
      <w:start w:val="1"/>
      <w:numFmt w:val="bullet"/>
      <w:lvlText w:val=""/>
      <w:lvlJc w:val="left"/>
      <w:pPr>
        <w:ind w:left="4320" w:hanging="360"/>
      </w:pPr>
      <w:rPr>
        <w:rFonts w:ascii="Wingdings" w:hAnsi="Wingdings" w:hint="default"/>
      </w:rPr>
    </w:lvl>
    <w:lvl w:ilvl="6" w:tplc="63ECAE36" w:tentative="1">
      <w:start w:val="1"/>
      <w:numFmt w:val="bullet"/>
      <w:lvlText w:val=""/>
      <w:lvlJc w:val="left"/>
      <w:pPr>
        <w:ind w:left="5040" w:hanging="360"/>
      </w:pPr>
      <w:rPr>
        <w:rFonts w:ascii="Symbol" w:hAnsi="Symbol" w:hint="default"/>
      </w:rPr>
    </w:lvl>
    <w:lvl w:ilvl="7" w:tplc="DA0473D6" w:tentative="1">
      <w:start w:val="1"/>
      <w:numFmt w:val="bullet"/>
      <w:lvlText w:val="o"/>
      <w:lvlJc w:val="left"/>
      <w:pPr>
        <w:ind w:left="5760" w:hanging="360"/>
      </w:pPr>
      <w:rPr>
        <w:rFonts w:ascii="Courier New" w:hAnsi="Courier New" w:cs="Courier New" w:hint="default"/>
      </w:rPr>
    </w:lvl>
    <w:lvl w:ilvl="8" w:tplc="578C1820"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EF"/>
    <w:rsid w:val="000247B2"/>
    <w:rsid w:val="000D4B92"/>
    <w:rsid w:val="000D68EF"/>
    <w:rsid w:val="00D8219A"/>
    <w:rsid w:val="00FE296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24812-EDBF-405F-81D8-0229A5C8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sk-SK"/>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sk-SK" w:eastAsia="sk-SK"/>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sk-SK"/>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sk-SK"/>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sk-SK"/>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sk-SK"/>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sk-SK"/>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sk-SK"/>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sk-SK"/>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sk-SK"/>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sk-SK"/>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sk-SK"/>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S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sk/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k/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ote to the file" ma:contentTypeID="0x010100CA9806D3932DA942ADAA782981EB548D0B00AC28BD8C9445BC4BBF05EC848277838B" ma:contentTypeVersion="95" ma:contentTypeDescription="" ma:contentTypeScope="" ma:versionID="2502ce6848865b7efcca5dfcd1f0df93">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9C574-B57A-4CE0-9402-F718E2706075}"/>
</file>

<file path=customXml/itemProps2.xml><?xml version="1.0" encoding="utf-8"?>
<ds:datastoreItem xmlns:ds="http://schemas.openxmlformats.org/officeDocument/2006/customXml" ds:itemID="{451F742A-3758-4E38-A3BB-678DFFFCBFAF}"/>
</file>

<file path=customXml/itemProps3.xml><?xml version="1.0" encoding="utf-8"?>
<ds:datastoreItem xmlns:ds="http://schemas.openxmlformats.org/officeDocument/2006/customXml" ds:itemID="{115873A8-DB66-46E0-96F1-F498EFFC1C6D}"/>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75B5F430-9D2C-44AE-8E9B-2A5AA3E1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018D50-D456-40F8-B881-F6304328AB49}"/>
</file>

<file path=docProps/app.xml><?xml version="1.0" encoding="utf-8"?>
<Properties xmlns="http://schemas.openxmlformats.org/officeDocument/2006/extended-properties" xmlns:vt="http://schemas.openxmlformats.org/officeDocument/2006/docPropsVTypes">
  <Template>81ECDE6A.htm</Template>
  <TotalTime>1</TotalTime>
  <Pages>8</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2016-12-07T16:16:00Z</cp:lastPrinted>
  <dcterms:created xsi:type="dcterms:W3CDTF">2016-12-07T15:33:00Z</dcterms:created>
  <dcterms:modified xsi:type="dcterms:W3CDTF">2016-12-07T16:16:00Z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