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D8" w:rsidRDefault="00DE4356" w:rsidP="008F1AD8">
      <w:pPr>
        <w:spacing w:before="240"/>
        <w:contextualSpacing/>
        <w:rPr>
          <w:rFonts w:ascii="Calibri" w:eastAsiaTheme="majorEastAsia" w:hAnsi="Calibri" w:cstheme="majorBidi"/>
          <w:spacing w:val="5"/>
          <w:kern w:val="28"/>
          <w:sz w:val="40"/>
          <w:szCs w:val="52"/>
        </w:rPr>
      </w:pPr>
      <w:r>
        <w:rPr>
          <w:rFonts w:ascii="Calibri" w:eastAsiaTheme="majorEastAsia" w:hAnsi="Calibri" w:cstheme="majorBidi"/>
          <w:spacing w:val="5"/>
          <w:kern w:val="28"/>
          <w:sz w:val="40"/>
        </w:rPr>
        <w:t xml:space="preserve">Sejħa għall-Applikazzjonijiet għall-kariġi ta' Uffiċjali tal-Proġetti fl-Unità tas-Sigurtà </w:t>
      </w:r>
    </w:p>
    <w:p w:rsidR="00797555" w:rsidRPr="008F1AD8" w:rsidRDefault="00DE4356" w:rsidP="008F1AD8">
      <w:pPr>
        <w:pStyle w:val="Subtitle"/>
        <w:jc w:val="both"/>
      </w:pPr>
      <w:r>
        <w:t>Aġent Temporanju 2(f) (AD6) - bil-għan ulterjuri li tiġi stabbilita lista ta' riżerva - ERA/AD/2016/003-OPE</w:t>
      </w:r>
    </w:p>
    <w:p w:rsidR="00797555" w:rsidRDefault="00391893" w:rsidP="00797555">
      <w:pPr>
        <w:pStyle w:val="Footnote"/>
        <w:rPr>
          <w:i w:val="0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3246E9" w:rsidTr="008F1AD8">
        <w:trPr>
          <w:trHeight w:val="274"/>
        </w:trPr>
        <w:tc>
          <w:tcPr>
            <w:tcW w:w="5000" w:type="pct"/>
            <w:shd w:val="clear" w:color="auto" w:fill="auto"/>
            <w:vAlign w:val="center"/>
          </w:tcPr>
          <w:p w:rsidR="00797555" w:rsidRPr="00BC4249" w:rsidRDefault="00DE4356" w:rsidP="006420F3">
            <w:pPr>
              <w:pStyle w:val="HeadingTableleft"/>
            </w:pPr>
            <w:r>
              <w:t>KONTENUT TAL-IMPJIEG</w:t>
            </w:r>
          </w:p>
        </w:tc>
      </w:tr>
      <w:tr w:rsidR="003246E9" w:rsidTr="008F1AD8">
        <w:tc>
          <w:tcPr>
            <w:tcW w:w="5000" w:type="pct"/>
          </w:tcPr>
          <w:p w:rsidR="00797555" w:rsidRPr="008F1AD8" w:rsidRDefault="00DE4356" w:rsidP="006420F3">
            <w:pPr>
              <w:rPr>
                <w:color w:val="auto"/>
              </w:rPr>
            </w:pPr>
            <w:r>
              <w:rPr>
                <w:color w:val="auto"/>
              </w:rPr>
              <w:t>Il-persuna li se tintgħażel għall-impjieg se taħdem fl-Unità tas-Sigurtà, taħt ir-responsabbiltà ta' wieħed mill-Kapijiet tas-Settur. Minħabba s-sensittività tal-impjieg, huwa meħtieġ sens għoli ta’ kunfidenzjalità mill-kandidat magħżul.</w:t>
            </w:r>
          </w:p>
          <w:p w:rsidR="00797555" w:rsidRPr="008F1AD8" w:rsidRDefault="00DE4356" w:rsidP="006420F3">
            <w:pPr>
              <w:rPr>
                <w:color w:val="auto"/>
              </w:rPr>
            </w:pPr>
            <w:r>
              <w:rPr>
                <w:color w:val="auto"/>
              </w:rPr>
              <w:t>Kompiti u responsabbiltajiet ewlenin:</w:t>
            </w:r>
          </w:p>
          <w:p w:rsidR="00797555" w:rsidRPr="008F1AD8" w:rsidRDefault="00DE4356" w:rsidP="008F1AD8">
            <w:pPr>
              <w:pStyle w:val="ERAbulletpoint"/>
            </w:pPr>
            <w:r>
              <w:t>Imexxi l-ħidma fl-iżvilupp ta' kwistjonijiet relatati mas-sigurtà, inklużi l-fatturi umani u l-kultura ta' sigurtà; u jikkontribwixxi għarfien espert rilevanti għal proġetti relatati mar-rapportar tal-okkorrenzi, mudelli ta' maturità u l-valutazzjoni tar-riskju;</w:t>
            </w:r>
          </w:p>
          <w:p w:rsidR="00797555" w:rsidRPr="008F1AD8" w:rsidRDefault="00DE4356" w:rsidP="008F1AD8">
            <w:pPr>
              <w:pStyle w:val="ERAbulletpoint"/>
            </w:pPr>
            <w:r>
              <w:t>Jipparteċipa fi żviluppi ulterjuri tal-kunċetti tal-awditjar jew tal-monitoraġġ;</w:t>
            </w:r>
          </w:p>
          <w:p w:rsidR="00797555" w:rsidRPr="008F1AD8" w:rsidRDefault="00DE4356" w:rsidP="008F1AD8">
            <w:pPr>
              <w:pStyle w:val="ERAbulletpoint"/>
            </w:pPr>
            <w:r>
              <w:t>Jassisti fil-promozzjoni u l-monitoraġġ tas-sistemi ta' ġestjoni tas-sigurtà;</w:t>
            </w:r>
          </w:p>
          <w:p w:rsidR="00797555" w:rsidRPr="008F1AD8" w:rsidRDefault="00DE4356" w:rsidP="008F1AD8">
            <w:pPr>
              <w:pStyle w:val="ERAbulletpoint"/>
            </w:pPr>
            <w:r>
              <w:t>Jipparteċipa fi żviluppi ulterjuri u fil-promozzjoni u l-monitoraġġ tal-prinċipji tal-valutazzjoni tal-konformità u s-superviżjoni tas-sistemi ta' ġestjoni tas-sigurtà;</w:t>
            </w:r>
          </w:p>
          <w:p w:rsidR="00797555" w:rsidRPr="008F1AD8" w:rsidRDefault="00DE4356" w:rsidP="008F1AD8">
            <w:pPr>
              <w:pStyle w:val="ERAbulletpoint"/>
            </w:pPr>
            <w:r>
              <w:t>Jipparteċipa fl-armonizzazzjoni u l-monitoraġġ ta' attivitajiet ta' investigazzjoni tal-aċċidenti, klassifikazzjonijiet tal-kawżi tal-aċċidenti u l-inċidenti u attivitajiet oħra ta' rapportar;</w:t>
            </w:r>
          </w:p>
          <w:p w:rsidR="00797555" w:rsidRPr="008F1AD8" w:rsidRDefault="00DE4356" w:rsidP="008F1AD8">
            <w:pPr>
              <w:pStyle w:val="ERAbulletpoint"/>
            </w:pPr>
            <w:r>
              <w:t>Jipprovdi appoġġ fl-organizzazzjoni u l-ġestjoni tan-netwerks tal-partijiet ikkonċernati stabbiliti mill-immudellar tar-riskju tas-Sigurtà;</w:t>
            </w:r>
          </w:p>
          <w:p w:rsidR="00797555" w:rsidRPr="008F1AD8" w:rsidRDefault="00DE4356" w:rsidP="008F1AD8">
            <w:pPr>
              <w:pStyle w:val="ERAbulletpoint"/>
            </w:pPr>
            <w:r>
              <w:t xml:space="preserve">Jipparteċipa fl-evalwazzjoni tal-prestazzjoni tas-sigurtà tal-ferroviji fl-Istati Membri differenti; </w:t>
            </w:r>
          </w:p>
          <w:p w:rsidR="00797555" w:rsidRPr="008F1AD8" w:rsidRDefault="00DE4356" w:rsidP="008F1AD8">
            <w:pPr>
              <w:pStyle w:val="ERAbulletpoint"/>
            </w:pPr>
            <w:r>
              <w:t>Jassisti fit-tħejjija ta' opinjonijiet tekniċi għall-Kummissjoni Ewropea li jikkonċernaw aspetti relatati mas-sigurtà, inkluż l-ikkontrollar tat-traspożizzjoni u l-implimentazzjoni tal-leġiżlazzjoni Ewropea;</w:t>
            </w:r>
          </w:p>
          <w:p w:rsidR="00797555" w:rsidRPr="008F1AD8" w:rsidRDefault="00DE4356" w:rsidP="008F1AD8">
            <w:pPr>
              <w:pStyle w:val="ERAbulletpoint"/>
            </w:pPr>
            <w:r>
              <w:t>Jappoġġja l-maniġment tal-parti kkonċernata tal-Unità tas-Sigurtà kif ukoll komunikazzjoni interna u esterna.</w:t>
            </w:r>
          </w:p>
          <w:p w:rsidR="00797555" w:rsidRPr="00BD501C" w:rsidRDefault="00391893" w:rsidP="006420F3">
            <w:pPr>
              <w:spacing w:before="120" w:after="0"/>
              <w:ind w:left="851"/>
              <w:contextualSpacing/>
              <w:jc w:val="left"/>
              <w:rPr>
                <w:color w:val="auto"/>
                <w:szCs w:val="20"/>
              </w:rPr>
            </w:pPr>
          </w:p>
        </w:tc>
      </w:tr>
    </w:tbl>
    <w:p w:rsidR="00797555" w:rsidRDefault="00391893" w:rsidP="00797555">
      <w:pPr>
        <w:spacing w:after="0"/>
      </w:pPr>
    </w:p>
    <w:p w:rsidR="004E37A9" w:rsidRPr="009B7308" w:rsidRDefault="00391893" w:rsidP="00797555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3246E9" w:rsidTr="008F1AD8">
        <w:trPr>
          <w:trHeight w:val="290"/>
        </w:trPr>
        <w:tc>
          <w:tcPr>
            <w:tcW w:w="5000" w:type="pct"/>
            <w:shd w:val="clear" w:color="auto" w:fill="auto"/>
            <w:vAlign w:val="center"/>
          </w:tcPr>
          <w:p w:rsidR="00797555" w:rsidRPr="00AE3651" w:rsidRDefault="00DE4356" w:rsidP="006420F3">
            <w:pPr>
              <w:spacing w:after="0"/>
              <w:jc w:val="left"/>
              <w:rPr>
                <w:i/>
                <w:color w:val="0C4DA2"/>
              </w:rPr>
            </w:pPr>
            <w:r>
              <w:rPr>
                <w:i/>
                <w:color w:val="0C4DA2"/>
              </w:rPr>
              <w:t>KWALIFIKI PROFESSJONALI U REKWIŻITI OĦRAJN</w:t>
            </w:r>
          </w:p>
        </w:tc>
      </w:tr>
      <w:tr w:rsidR="003246E9" w:rsidTr="008F1AD8">
        <w:tc>
          <w:tcPr>
            <w:tcW w:w="5000" w:type="pct"/>
          </w:tcPr>
          <w:p w:rsidR="00797555" w:rsidRPr="008F1AD8" w:rsidRDefault="00DE4356" w:rsidP="006420F3">
            <w:pPr>
              <w:rPr>
                <w:color w:val="auto"/>
              </w:rPr>
            </w:pPr>
            <w:r>
              <w:rPr>
                <w:color w:val="auto"/>
              </w:rPr>
              <w:t>Biex ikunu kkunsidrati eliġibbli, il-kandidati għandhom jissodisfaw il-kriterji eliġibbli kollha kif speċifikat hawn taħt sad-data tal-għeluq għas-sottomissjoni tal-applikazzjonijiet:</w:t>
            </w:r>
          </w:p>
          <w:p w:rsidR="00797555" w:rsidRPr="008F1AD8" w:rsidRDefault="00391893" w:rsidP="006420F3">
            <w:pPr>
              <w:spacing w:after="0"/>
              <w:rPr>
                <w:b/>
                <w:color w:val="auto"/>
                <w:szCs w:val="20"/>
              </w:rPr>
            </w:pPr>
          </w:p>
          <w:p w:rsidR="00797555" w:rsidRPr="008F1AD8" w:rsidRDefault="00DE4356" w:rsidP="006420F3">
            <w:pPr>
              <w:spacing w:after="0"/>
              <w:jc w:val="center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</w:rPr>
              <w:t>KRITERJI TA' ELIĠIBBILTÀ</w:t>
            </w:r>
          </w:p>
          <w:p w:rsidR="00797555" w:rsidRPr="008F1AD8" w:rsidRDefault="00391893" w:rsidP="006420F3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  <w:p w:rsidR="00797555" w:rsidRPr="008F1AD8" w:rsidRDefault="00DE4356" w:rsidP="006420F3">
            <w:pPr>
              <w:pStyle w:val="ERAbulletpoint"/>
              <w:rPr>
                <w:color w:val="auto"/>
              </w:rPr>
            </w:pPr>
            <w:r>
              <w:rPr>
                <w:color w:val="auto"/>
              </w:rPr>
              <w:lastRenderedPageBreak/>
              <w:t>Ikollhom livell ta' edukazzjoni li jikkorrispondi għal studji universitarji mitmumin, mixhudin b'diploma</w:t>
            </w:r>
            <w:r>
              <w:rPr>
                <w:rStyle w:val="FootnoteReference"/>
                <w:color w:val="auto"/>
              </w:rPr>
              <w:footnoteReference w:id="1"/>
            </w:r>
            <w:r>
              <w:rPr>
                <w:color w:val="auto"/>
              </w:rPr>
              <w:t xml:space="preserve"> meta l-perjodu normali tal-edukazzjoni universitarja jkun ta' 4 snin jew iktar, segwiti minn tal-inqas 3 snin ta' esperjenza professjonali;</w:t>
            </w:r>
          </w:p>
          <w:p w:rsidR="00797555" w:rsidRPr="008F1AD8" w:rsidRDefault="00DE4356" w:rsidP="006420F3">
            <w:pPr>
              <w:pStyle w:val="ERAbulletpoint"/>
              <w:numPr>
                <w:ilvl w:val="0"/>
                <w:numId w:val="0"/>
              </w:numPr>
              <w:ind w:left="851"/>
              <w:rPr>
                <w:b/>
                <w:color w:val="auto"/>
              </w:rPr>
            </w:pPr>
            <w:r>
              <w:rPr>
                <w:b/>
                <w:color w:val="auto"/>
              </w:rPr>
              <w:t>JEW</w:t>
            </w:r>
          </w:p>
          <w:p w:rsidR="00797555" w:rsidRPr="008F1AD8" w:rsidRDefault="00DE4356" w:rsidP="006420F3">
            <w:pPr>
              <w:pStyle w:val="ERAbulletpoint"/>
              <w:rPr>
                <w:color w:val="auto"/>
              </w:rPr>
            </w:pPr>
            <w:r>
              <w:rPr>
                <w:color w:val="auto"/>
              </w:rPr>
              <w:t>Ikollhom livell ta' edukazzjoni li jikkorrispondi għal studji universitarji mitmumin, mixhudin b'diploma meta l-perjodu normali tal-edukazzjoni universitarja jkun 3 snin, segwiti minn tal-inqas 4 snin ta' esperjenza professjonali;</w:t>
            </w:r>
          </w:p>
          <w:p w:rsidR="00797555" w:rsidRPr="008F1AD8" w:rsidRDefault="00DE4356" w:rsidP="006420F3">
            <w:pPr>
              <w:pStyle w:val="ERAbulletpoint"/>
              <w:numPr>
                <w:ilvl w:val="0"/>
                <w:numId w:val="0"/>
              </w:numPr>
              <w:spacing w:after="0"/>
              <w:ind w:left="851"/>
              <w:rPr>
                <w:b/>
                <w:color w:val="auto"/>
              </w:rPr>
            </w:pPr>
            <w:r>
              <w:rPr>
                <w:b/>
                <w:color w:val="auto"/>
              </w:rPr>
              <w:t>JEW</w:t>
            </w:r>
          </w:p>
          <w:p w:rsidR="00797555" w:rsidRPr="008F1AD8" w:rsidRDefault="00DE4356" w:rsidP="006420F3">
            <w:pPr>
              <w:numPr>
                <w:ilvl w:val="0"/>
                <w:numId w:val="15"/>
              </w:numPr>
              <w:ind w:left="851" w:hanging="284"/>
              <w:contextualSpacing/>
              <w:rPr>
                <w:color w:val="auto"/>
              </w:rPr>
            </w:pPr>
            <w:r>
              <w:rPr>
                <w:color w:val="auto"/>
              </w:rPr>
              <w:t>Ikollhom fejn iġġustifikat fl-interessi tas-servizz, taħriġ professjonali ta' livell ekwivalenti.</w:t>
            </w:r>
          </w:p>
          <w:p w:rsidR="00797555" w:rsidRPr="008F1AD8" w:rsidRDefault="00391893" w:rsidP="006420F3">
            <w:pPr>
              <w:ind w:left="851"/>
              <w:contextualSpacing/>
              <w:rPr>
                <w:color w:val="auto"/>
              </w:rPr>
            </w:pPr>
          </w:p>
          <w:p w:rsidR="00797555" w:rsidRPr="008F1AD8" w:rsidRDefault="00DE4356" w:rsidP="006420F3">
            <w:pPr>
              <w:spacing w:after="0"/>
              <w:ind w:left="851"/>
              <w:contextualSpacing/>
              <w:rPr>
                <w:b/>
                <w:color w:val="auto"/>
              </w:rPr>
            </w:pPr>
            <w:r>
              <w:rPr>
                <w:b/>
                <w:color w:val="auto"/>
              </w:rPr>
              <w:t>Importanti:</w:t>
            </w:r>
          </w:p>
          <w:p w:rsidR="00797555" w:rsidRPr="008F1AD8" w:rsidRDefault="00DE4356" w:rsidP="00347D65">
            <w:pPr>
              <w:pStyle w:val="ERAbulletpoint"/>
              <w:numPr>
                <w:ilvl w:val="0"/>
                <w:numId w:val="0"/>
              </w:numPr>
              <w:spacing w:before="0"/>
              <w:ind w:left="850"/>
              <w:rPr>
                <w:color w:val="auto"/>
                <w:szCs w:val="20"/>
              </w:rPr>
            </w:pPr>
            <w:r>
              <w:rPr>
                <w:color w:val="auto"/>
              </w:rPr>
              <w:t>L-istudji universitarji għandhom ikunu fil-qasam tal-fatturi Umani, il-psikoloġija Ergonomika, tax-Xogħol, Organizzazzjonali jew okkupazzjonali jew f'dixxiplina simili;</w:t>
            </w:r>
          </w:p>
          <w:p w:rsidR="00797555" w:rsidRPr="008F1AD8" w:rsidRDefault="00391893" w:rsidP="006420F3">
            <w:pPr>
              <w:spacing w:before="120"/>
              <w:ind w:left="851"/>
              <w:contextualSpacing/>
              <w:rPr>
                <w:color w:val="auto"/>
              </w:rPr>
            </w:pPr>
          </w:p>
          <w:p w:rsidR="00797555" w:rsidRPr="008F1AD8" w:rsidRDefault="00DE4356" w:rsidP="006420F3">
            <w:pPr>
              <w:numPr>
                <w:ilvl w:val="0"/>
                <w:numId w:val="15"/>
              </w:numPr>
              <w:spacing w:before="120"/>
              <w:ind w:left="851" w:hanging="284"/>
              <w:contextualSpacing/>
              <w:rPr>
                <w:color w:val="auto"/>
              </w:rPr>
            </w:pPr>
            <w:r>
              <w:rPr>
                <w:color w:val="auto"/>
              </w:rPr>
              <w:t>Ikollhom għarfien tajjeb ħafna ta' lingwa uffiċjali</w:t>
            </w:r>
            <w:r>
              <w:rPr>
                <w:color w:val="auto"/>
                <w:vertAlign w:val="superscript"/>
              </w:rPr>
              <w:footnoteReference w:id="2"/>
            </w:r>
            <w:r>
              <w:rPr>
                <w:color w:val="auto"/>
              </w:rPr>
              <w:t xml:space="preserve"> tal-Unjoni Ewropea u għarfien sodisfaċenti ta' lingwa oħra uffiċjali</w:t>
            </w:r>
            <w:r>
              <w:rPr>
                <w:color w:val="auto"/>
                <w:vertAlign w:val="superscript"/>
              </w:rPr>
              <w:footnoteReference w:id="3"/>
            </w:r>
            <w:r>
              <w:rPr>
                <w:color w:val="auto"/>
              </w:rPr>
              <w:t xml:space="preserve"> tal-Unjoni Ewropea sa fejn dan hu meħtieġ għat-twettiq tad-dmirijiet relatati mal-kariga;</w:t>
            </w:r>
          </w:p>
          <w:p w:rsidR="00797555" w:rsidRPr="008F1AD8" w:rsidRDefault="00DE4356" w:rsidP="006420F3">
            <w:pPr>
              <w:numPr>
                <w:ilvl w:val="0"/>
                <w:numId w:val="15"/>
              </w:numPr>
              <w:spacing w:before="120"/>
              <w:ind w:left="851" w:hanging="284"/>
              <w:contextualSpacing/>
              <w:rPr>
                <w:color w:val="auto"/>
              </w:rPr>
            </w:pPr>
            <w:r>
              <w:rPr>
                <w:color w:val="auto"/>
              </w:rPr>
              <w:t>Ikunu ċittadini ta' Stat Membru tal-Unjoni Ewropea jew tal-Istati li huma partijiet għall-Ftehim taż-ŻEE (l-Iżlanda, il-Liechtenstein u n-Norveġja);</w:t>
            </w:r>
          </w:p>
          <w:p w:rsidR="00797555" w:rsidRPr="008F1AD8" w:rsidRDefault="00DE4356" w:rsidP="006420F3">
            <w:pPr>
              <w:numPr>
                <w:ilvl w:val="0"/>
                <w:numId w:val="15"/>
              </w:numPr>
              <w:spacing w:before="120"/>
              <w:ind w:left="851" w:hanging="284"/>
              <w:contextualSpacing/>
              <w:rPr>
                <w:color w:val="auto"/>
              </w:rPr>
            </w:pPr>
            <w:r>
              <w:rPr>
                <w:color w:val="auto"/>
              </w:rPr>
              <w:t>Igawdu minn drittijiet sħaħ bħala ċittadin;</w:t>
            </w:r>
          </w:p>
          <w:p w:rsidR="00797555" w:rsidRPr="008F1AD8" w:rsidRDefault="00DE4356" w:rsidP="006420F3">
            <w:pPr>
              <w:numPr>
                <w:ilvl w:val="0"/>
                <w:numId w:val="15"/>
              </w:numPr>
              <w:spacing w:before="120"/>
              <w:ind w:left="851" w:hanging="284"/>
              <w:contextualSpacing/>
              <w:rPr>
                <w:color w:val="auto"/>
              </w:rPr>
            </w:pPr>
            <w:r>
              <w:rPr>
                <w:color w:val="auto"/>
              </w:rPr>
              <w:t>Ikunu wettaqu kull obbligu impost mil-liġijiet applikabbli li jikkonċernaw is-servizz militari</w:t>
            </w:r>
            <w:r>
              <w:rPr>
                <w:color w:val="auto"/>
                <w:vertAlign w:val="superscript"/>
              </w:rPr>
              <w:footnoteReference w:id="4"/>
            </w:r>
            <w:r>
              <w:rPr>
                <w:color w:val="auto"/>
              </w:rPr>
              <w:t>;</w:t>
            </w:r>
          </w:p>
          <w:p w:rsidR="00797555" w:rsidRPr="008F1AD8" w:rsidRDefault="00DE4356" w:rsidP="006420F3">
            <w:pPr>
              <w:numPr>
                <w:ilvl w:val="0"/>
                <w:numId w:val="15"/>
              </w:numPr>
              <w:spacing w:before="120"/>
              <w:ind w:left="851" w:hanging="284"/>
              <w:contextualSpacing/>
              <w:rPr>
                <w:color w:val="auto"/>
              </w:rPr>
            </w:pPr>
            <w:r>
              <w:rPr>
                <w:color w:val="auto"/>
              </w:rPr>
              <w:t>Jissodisfaw ir-rekwiżiti tal-karattru għad-dmirijiet involuti</w:t>
            </w:r>
            <w:r>
              <w:rPr>
                <w:rStyle w:val="FootnoteReference"/>
                <w:color w:val="auto"/>
              </w:rPr>
              <w:footnoteReference w:id="5"/>
            </w:r>
            <w:r>
              <w:rPr>
                <w:color w:val="auto"/>
              </w:rPr>
              <w:t>;</w:t>
            </w:r>
          </w:p>
          <w:p w:rsidR="00797555" w:rsidRPr="008F1AD8" w:rsidRDefault="00DE4356" w:rsidP="006420F3">
            <w:pPr>
              <w:numPr>
                <w:ilvl w:val="0"/>
                <w:numId w:val="15"/>
              </w:numPr>
              <w:spacing w:before="120" w:after="0"/>
              <w:ind w:left="851" w:hanging="284"/>
              <w:contextualSpacing/>
              <w:rPr>
                <w:color w:val="auto"/>
              </w:rPr>
            </w:pPr>
            <w:r>
              <w:rPr>
                <w:color w:val="auto"/>
              </w:rPr>
              <w:t>Ikunu fiżikamentment kapaċi jwettqu d-dmirijiet relatati mal-kariga</w:t>
            </w:r>
            <w:r>
              <w:rPr>
                <w:color w:val="auto"/>
                <w:vertAlign w:val="superscript"/>
              </w:rPr>
              <w:footnoteReference w:id="6"/>
            </w:r>
            <w:r>
              <w:rPr>
                <w:color w:val="auto"/>
              </w:rPr>
              <w:t>.</w:t>
            </w:r>
          </w:p>
          <w:p w:rsidR="00797555" w:rsidRPr="008F1AD8" w:rsidRDefault="00391893" w:rsidP="006420F3">
            <w:pPr>
              <w:spacing w:after="0"/>
              <w:ind w:left="900"/>
              <w:rPr>
                <w:color w:val="auto"/>
                <w:szCs w:val="20"/>
              </w:rPr>
            </w:pPr>
          </w:p>
          <w:p w:rsidR="00797555" w:rsidRPr="008F1AD8" w:rsidRDefault="00DE4356" w:rsidP="006420F3">
            <w:pPr>
              <w:rPr>
                <w:color w:val="auto"/>
              </w:rPr>
            </w:pPr>
            <w:r>
              <w:rPr>
                <w:color w:val="auto"/>
              </w:rPr>
              <w:t>L-applikazzjonijiet kollha eliġibbli se jiġu vvalutati u evalwati skont il-ħtiġijiet elenkati hawn taħt. Jekk jogħġbok innota li n-nuqqas ta' konformità ma' minn tal-inqas wieħed mill-kriterji essenzjali għandu jirriżulta fl-esklużjoni tal-kandidat mill-għażla. Kriterji vantaġġjużi jikkonstitwixxu assi addizzjonali u mhumiex se jirriżultaw f'esklużjoni, jekk ma jiġux issodisfati.</w:t>
            </w:r>
          </w:p>
          <w:p w:rsidR="00797555" w:rsidRPr="008F1AD8" w:rsidRDefault="00DE4356" w:rsidP="006420F3">
            <w:pPr>
              <w:spacing w:after="0"/>
              <w:jc w:val="center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</w:rPr>
              <w:t>KRITERJI TAL-GĦAŻLA</w:t>
            </w:r>
          </w:p>
          <w:p w:rsidR="00797555" w:rsidRPr="008F1AD8" w:rsidRDefault="00391893" w:rsidP="006420F3">
            <w:pPr>
              <w:spacing w:after="0"/>
              <w:rPr>
                <w:b/>
                <w:color w:val="auto"/>
                <w:szCs w:val="20"/>
              </w:rPr>
            </w:pPr>
          </w:p>
          <w:p w:rsidR="008F1AD8" w:rsidRPr="008F1AD8" w:rsidRDefault="00DE4356" w:rsidP="008F1AD8">
            <w:pPr>
              <w:spacing w:after="0"/>
              <w:rPr>
                <w:color w:val="auto"/>
                <w:szCs w:val="20"/>
              </w:rPr>
            </w:pPr>
            <w:r>
              <w:rPr>
                <w:color w:val="auto"/>
              </w:rPr>
              <w:t xml:space="preserve">Sabiex il-Kumitat tal-Għażla jivvaluta l-kompetenzi u l-ħiliet tiegħek, inti mitlub tippreżenta </w:t>
            </w:r>
            <w:r>
              <w:rPr>
                <w:color w:val="auto"/>
                <w:u w:val="single"/>
              </w:rPr>
              <w:t>eżempji konkreti</w:t>
            </w:r>
            <w:r>
              <w:rPr>
                <w:color w:val="auto"/>
              </w:rPr>
              <w:t xml:space="preserve"> mill-kwalifiki edukattivi u l-esperjenza professjonali tiegħek li juru li inti tissodisfa l-kriterji tal-għażla essenzjali u vantaġġużi:</w:t>
            </w:r>
          </w:p>
          <w:p w:rsidR="00797555" w:rsidRPr="006C1DA3" w:rsidRDefault="00391893" w:rsidP="006420F3">
            <w:pPr>
              <w:spacing w:after="0"/>
              <w:rPr>
                <w:b/>
                <w:color w:val="002034" w:themeColor="text1"/>
                <w:szCs w:val="20"/>
              </w:rPr>
            </w:pPr>
          </w:p>
          <w:p w:rsidR="00797555" w:rsidRPr="00BC4249" w:rsidRDefault="00DE4356" w:rsidP="00797555">
            <w:pPr>
              <w:numPr>
                <w:ilvl w:val="0"/>
                <w:numId w:val="17"/>
              </w:numPr>
              <w:spacing w:after="0"/>
              <w:contextualSpacing/>
              <w:jc w:val="left"/>
              <w:rPr>
                <w:i/>
                <w:color w:val="0C4DA2"/>
                <w:sz w:val="24"/>
              </w:rPr>
            </w:pPr>
            <w:r>
              <w:rPr>
                <w:i/>
                <w:color w:val="0C4DA2"/>
                <w:sz w:val="24"/>
              </w:rPr>
              <w:t>Essenzjali</w:t>
            </w:r>
          </w:p>
          <w:p w:rsidR="00797555" w:rsidRPr="008F1AD8" w:rsidRDefault="00DE4356" w:rsidP="006420F3">
            <w:pPr>
              <w:pStyle w:val="ERAbulletpoint"/>
              <w:rPr>
                <w:color w:val="auto"/>
              </w:rPr>
            </w:pPr>
            <w:r>
              <w:rPr>
                <w:color w:val="auto"/>
              </w:rPr>
              <w:t>Esperjenza ta' xogħol u għarfien espert rilevanti fil-qasam tal-prestazzjoni umana u l-kultura ta' sigurtà;</w:t>
            </w:r>
          </w:p>
          <w:p w:rsidR="00797555" w:rsidRPr="008F1AD8" w:rsidRDefault="00DE4356" w:rsidP="006420F3">
            <w:pPr>
              <w:pStyle w:val="ERAbulletpoint"/>
              <w:rPr>
                <w:color w:val="auto"/>
              </w:rPr>
            </w:pPr>
            <w:r>
              <w:rPr>
                <w:color w:val="auto"/>
              </w:rPr>
              <w:t>Il-kapaċità li taħdem mill-qrib mal-esperti tekniċi u l-persunal tal-ferrovija;</w:t>
            </w:r>
          </w:p>
          <w:p w:rsidR="00797555" w:rsidRPr="008F1AD8" w:rsidRDefault="00DE4356" w:rsidP="006420F3">
            <w:pPr>
              <w:pStyle w:val="ERAbulletpoint"/>
              <w:rPr>
                <w:color w:val="auto"/>
              </w:rPr>
            </w:pPr>
            <w:r>
              <w:rPr>
                <w:color w:val="auto"/>
              </w:rPr>
              <w:t>Ħiliet ta' komunikazzjoni miktuba u mitkellma tajbin ħafna</w:t>
            </w:r>
          </w:p>
          <w:p w:rsidR="00797555" w:rsidRDefault="00391893" w:rsidP="00797555">
            <w:pPr>
              <w:pStyle w:val="ERAbulletpoint"/>
              <w:numPr>
                <w:ilvl w:val="0"/>
                <w:numId w:val="0"/>
              </w:numPr>
              <w:ind w:left="851"/>
            </w:pPr>
          </w:p>
          <w:p w:rsidR="00797555" w:rsidRPr="006A7D1B" w:rsidRDefault="00DE4356" w:rsidP="00797555">
            <w:pPr>
              <w:numPr>
                <w:ilvl w:val="0"/>
                <w:numId w:val="17"/>
              </w:numPr>
              <w:spacing w:after="0"/>
              <w:contextualSpacing/>
              <w:jc w:val="left"/>
              <w:rPr>
                <w:i/>
                <w:color w:val="0C4DA2"/>
                <w:sz w:val="24"/>
              </w:rPr>
            </w:pPr>
            <w:r>
              <w:rPr>
                <w:i/>
                <w:color w:val="0C4DA2"/>
                <w:sz w:val="24"/>
              </w:rPr>
              <w:t>Ta' vantaġġ</w:t>
            </w:r>
          </w:p>
          <w:p w:rsidR="00797555" w:rsidRDefault="00DE4356" w:rsidP="006420F3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Esperjenza tal-integrazzjoni ta' fatturi umani f'sistemi ta' ġestjoni tas-sigurtà, b'mod partikolari l-valutazzjoni tar-riskju, il-ġestjoni tad-disinn u l-bidla, il-proċessi ta' monitoraġġ u proċessi oħra relatati ma' prestazzjoni umana;</w:t>
            </w:r>
          </w:p>
          <w:p w:rsidR="00797555" w:rsidRDefault="00DE4356" w:rsidP="006420F3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Esperjenza ta' għoti ta' appoġġ ta' fatturi umani għal proġetti ta' taħriġ tal-iżvilupp tekniku u/jew ta' ħiliet u ta' kompetenzi, inkluż l-iżvilupp ta' sistemi ta' rapportar u investigazzjoni ta' inċidenti/aċċidenti;</w:t>
            </w:r>
          </w:p>
          <w:p w:rsidR="00797555" w:rsidRDefault="00DE4356" w:rsidP="006420F3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Esperjenza ta' kontribut għall-iżvilupp ta' kultura organizzazzjonali u ta' sigurtà , inkluża l-valutazzjoni tal-klima tas-sigurtà u l-ħidma mal-persunal biex jiġi faċilitat l-iżvilupp ta' kultura ta' sigurtà pożttiva fi ħdan organizzazzjoni;</w:t>
            </w:r>
          </w:p>
          <w:p w:rsidR="00797555" w:rsidRDefault="00DE4356" w:rsidP="006420F3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Sħubija (chartered jew ta' grad ta' prattikant) ta' korp professjonali nazzjonali jew internazzjonali fil-qasam tal-fatturi umani, l-ergonomija jew il-psikoloġija;</w:t>
            </w:r>
          </w:p>
          <w:p w:rsidR="00797555" w:rsidRDefault="00DE4356" w:rsidP="006420F3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L-għarfien u l-esperjenza fi kwistjonijiet operazzjonali u/jew ta' manutenzjoni tal-ferrovija;</w:t>
            </w:r>
          </w:p>
          <w:p w:rsidR="00797555" w:rsidRPr="00AA1C1F" w:rsidRDefault="00DE4356" w:rsidP="006420F3">
            <w:pPr>
              <w:pStyle w:val="ERAbulletpoint"/>
              <w:rPr>
                <w:color w:val="002034" w:themeColor="text1"/>
              </w:rPr>
            </w:pPr>
            <w:r>
              <w:rPr>
                <w:color w:val="002034" w:themeColor="text1"/>
              </w:rPr>
              <w:t>Għarfien fiċ-ċertifikazzjoni u s-superviżjoni/sorveljanza ta' proċessi ta' sistemi ta' ġestjoni.</w:t>
            </w:r>
          </w:p>
          <w:p w:rsidR="00797555" w:rsidRPr="00AE3651" w:rsidRDefault="00391893" w:rsidP="006420F3">
            <w:pPr>
              <w:spacing w:after="0"/>
              <w:jc w:val="left"/>
              <w:rPr>
                <w:color w:val="auto"/>
                <w:szCs w:val="20"/>
              </w:rPr>
            </w:pPr>
          </w:p>
          <w:p w:rsidR="00797555" w:rsidRPr="008F1AD8" w:rsidRDefault="00DE4356" w:rsidP="006420F3">
            <w:pPr>
              <w:rPr>
                <w:color w:val="auto"/>
              </w:rPr>
            </w:pPr>
            <w:r>
              <w:rPr>
                <w:color w:val="auto"/>
              </w:rPr>
              <w:t>Skont in-numru ta' applikazzjonijiet li jaslu, il-Kumitat tal-Għażla jista' japplika rekwiżiti aktar stretti fi ħdan il-kriterji tal-għażla msemmija qabel.</w:t>
            </w:r>
          </w:p>
          <w:p w:rsidR="00797555" w:rsidRPr="00AE3651" w:rsidRDefault="00391893" w:rsidP="006420F3">
            <w:pPr>
              <w:spacing w:after="0"/>
              <w:jc w:val="left"/>
              <w:rPr>
                <w:color w:val="auto"/>
                <w:szCs w:val="20"/>
              </w:rPr>
            </w:pPr>
          </w:p>
        </w:tc>
      </w:tr>
    </w:tbl>
    <w:p w:rsidR="00797555" w:rsidRDefault="00391893" w:rsidP="00797555">
      <w:pPr>
        <w:spacing w:after="0"/>
        <w:rPr>
          <w:sz w:val="16"/>
          <w:szCs w:val="16"/>
        </w:rPr>
      </w:pPr>
    </w:p>
    <w:p w:rsidR="00887E37" w:rsidRDefault="00DE4356" w:rsidP="00887E37">
      <w:pPr>
        <w:spacing w:after="200" w:line="276" w:lineRule="auto"/>
        <w:jc w:val="left"/>
      </w:pPr>
      <w:r>
        <w:br w:type="page"/>
      </w:r>
    </w:p>
    <w:p w:rsidR="008F1AD8" w:rsidRDefault="00DE4356" w:rsidP="008F1AD8">
      <w:pPr>
        <w:tabs>
          <w:tab w:val="left" w:pos="4962"/>
        </w:tabs>
        <w:spacing w:before="240" w:line="276" w:lineRule="auto"/>
        <w:contextualSpacing/>
        <w:rPr>
          <w:rFonts w:ascii="Calibri" w:eastAsiaTheme="majorEastAsia" w:hAnsi="Calibri" w:cstheme="majorBidi"/>
          <w:spacing w:val="5"/>
          <w:kern w:val="28"/>
          <w:sz w:val="40"/>
          <w:szCs w:val="52"/>
        </w:rPr>
      </w:pPr>
      <w:r>
        <w:rPr>
          <w:rFonts w:ascii="Calibri" w:eastAsiaTheme="majorEastAsia" w:hAnsi="Calibri" w:cstheme="majorBidi"/>
          <w:spacing w:val="5"/>
          <w:kern w:val="28"/>
          <w:sz w:val="40"/>
        </w:rPr>
        <w:lastRenderedPageBreak/>
        <w:t>Sejħa għall-Applikazzjonijiet għall-kariġi ta' Uffiċjali tal-Proġetti fl-Unità tas-Sigurtà</w:t>
      </w:r>
    </w:p>
    <w:p w:rsidR="00797555" w:rsidRPr="008F1AD8" w:rsidRDefault="00DE4356" w:rsidP="008F1AD8">
      <w:pPr>
        <w:pStyle w:val="Subtitle"/>
        <w:jc w:val="both"/>
      </w:pPr>
      <w:r>
        <w:t>Aġent Temporanju 2(f) (AD6) - bil-għan ulterjuri li tiġi stabbilita lista ta' riżerva - ERA/AD/2016/003-OPE</w:t>
      </w:r>
    </w:p>
    <w:p w:rsidR="00797555" w:rsidRPr="008F1AD8" w:rsidRDefault="00391893" w:rsidP="0079755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6"/>
        <w:gridCol w:w="4763"/>
      </w:tblGrid>
      <w:tr w:rsidR="003246E9" w:rsidTr="008F1AD8">
        <w:tc>
          <w:tcPr>
            <w:tcW w:w="2527" w:type="pct"/>
          </w:tcPr>
          <w:p w:rsidR="00797555" w:rsidRPr="009C390E" w:rsidRDefault="00DE4356" w:rsidP="00957587">
            <w:pPr>
              <w:spacing w:after="0"/>
              <w:jc w:val="left"/>
              <w:rPr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color w:val="0C4DA2"/>
              </w:rPr>
              <w:t>Data tal-Pubblikazzjoni:</w:t>
            </w:r>
            <w:r>
              <w:rPr>
                <w:color w:val="auto"/>
              </w:rPr>
              <w:t xml:space="preserve"> </w:t>
            </w:r>
            <w:r w:rsidR="00957587">
              <w:rPr>
                <w:color w:val="auto"/>
                <w:lang w:val="fr-BE"/>
              </w:rPr>
              <w:t>12</w:t>
            </w:r>
            <w:r>
              <w:rPr>
                <w:color w:val="auto"/>
              </w:rPr>
              <w:t>/1</w:t>
            </w:r>
            <w:r w:rsidR="00957587">
              <w:rPr>
                <w:color w:val="auto"/>
                <w:lang w:val="fr-BE"/>
              </w:rPr>
              <w:t>2</w:t>
            </w:r>
            <w:r>
              <w:rPr>
                <w:color w:val="auto"/>
              </w:rPr>
              <w:t>/2016</w:t>
            </w:r>
          </w:p>
        </w:tc>
        <w:tc>
          <w:tcPr>
            <w:tcW w:w="2473" w:type="pct"/>
          </w:tcPr>
          <w:p w:rsidR="00797555" w:rsidRPr="009C390E" w:rsidRDefault="00DE4356" w:rsidP="00957587">
            <w:pPr>
              <w:spacing w:after="0"/>
              <w:jc w:val="left"/>
              <w:rPr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color w:val="0C4DA2"/>
              </w:rPr>
              <w:t>Data tal-għeluq għall-applikazzjonijiet:</w:t>
            </w:r>
            <w:r>
              <w:rPr>
                <w:color w:val="auto"/>
              </w:rPr>
              <w:t xml:space="preserve"> </w:t>
            </w:r>
            <w:r w:rsidR="00957587" w:rsidRPr="00957587">
              <w:rPr>
                <w:color w:val="auto"/>
                <w:lang w:val="sv-SE"/>
              </w:rPr>
              <w:t>12</w:t>
            </w:r>
            <w:r>
              <w:rPr>
                <w:color w:val="auto"/>
              </w:rPr>
              <w:t>/</w:t>
            </w:r>
            <w:r w:rsidR="00957587" w:rsidRPr="00957587">
              <w:rPr>
                <w:color w:val="auto"/>
                <w:lang w:val="sv-SE"/>
              </w:rPr>
              <w:t>01</w:t>
            </w:r>
            <w:r>
              <w:rPr>
                <w:color w:val="auto"/>
              </w:rPr>
              <w:t>/201</w:t>
            </w:r>
            <w:r w:rsidR="00957587" w:rsidRPr="00957587">
              <w:rPr>
                <w:color w:val="auto"/>
                <w:lang w:val="sv-SE"/>
              </w:rPr>
              <w:t>7</w:t>
            </w:r>
            <w:r>
              <w:rPr>
                <w:color w:val="auto"/>
              </w:rPr>
              <w:t xml:space="preserve"> (23.59 CET, Ħin lokali ta' Valenciennes)</w:t>
            </w:r>
          </w:p>
        </w:tc>
      </w:tr>
      <w:tr w:rsidR="003246E9" w:rsidTr="008F1AD8">
        <w:tc>
          <w:tcPr>
            <w:tcW w:w="2527" w:type="pct"/>
          </w:tcPr>
          <w:p w:rsidR="00797555" w:rsidRPr="009C390E" w:rsidRDefault="00DE4356" w:rsidP="006420F3">
            <w:pPr>
              <w:spacing w:after="0"/>
              <w:jc w:val="left"/>
              <w:rPr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color w:val="0C4DA2"/>
              </w:rPr>
              <w:t>Tip ta' kuntratt:</w:t>
            </w:r>
            <w:r>
              <w:rPr>
                <w:color w:val="auto"/>
              </w:rPr>
              <w:t xml:space="preserve"> Aġent Temporanju 2(f)</w:t>
            </w:r>
          </w:p>
          <w:p w:rsidR="00797555" w:rsidRPr="009C390E" w:rsidRDefault="00DE4356" w:rsidP="006420F3">
            <w:pPr>
              <w:spacing w:after="0"/>
              <w:jc w:val="left"/>
              <w:rPr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color w:val="0C4DA2"/>
              </w:rPr>
              <w:t>Gruppi ta' funzjoni u grad:</w:t>
            </w:r>
            <w:r>
              <w:rPr>
                <w:color w:val="auto"/>
              </w:rPr>
              <w:t xml:space="preserve"> AD6</w:t>
            </w:r>
          </w:p>
        </w:tc>
        <w:tc>
          <w:tcPr>
            <w:tcW w:w="2473" w:type="pct"/>
          </w:tcPr>
          <w:p w:rsidR="00797555" w:rsidRPr="009C390E" w:rsidRDefault="00DE4356" w:rsidP="006420F3">
            <w:pPr>
              <w:spacing w:after="0"/>
              <w:jc w:val="left"/>
              <w:rPr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color w:val="0C4DA2"/>
              </w:rPr>
              <w:t>Post tal-impjieg:</w:t>
            </w:r>
            <w:r>
              <w:rPr>
                <w:color w:val="auto"/>
              </w:rPr>
              <w:t xml:space="preserve"> Valenciennes, Franza</w:t>
            </w:r>
          </w:p>
        </w:tc>
      </w:tr>
      <w:tr w:rsidR="003246E9" w:rsidTr="008F1AD8">
        <w:tc>
          <w:tcPr>
            <w:tcW w:w="2527" w:type="pct"/>
          </w:tcPr>
          <w:p w:rsidR="00797555" w:rsidRPr="009C390E" w:rsidRDefault="00DE4356" w:rsidP="006420F3">
            <w:pPr>
              <w:tabs>
                <w:tab w:val="left" w:pos="-720"/>
              </w:tabs>
              <w:suppressAutoHyphens/>
              <w:spacing w:after="0"/>
              <w:rPr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color w:val="0C4DA2"/>
              </w:rPr>
              <w:t>Durata tal-kuntratt:</w:t>
            </w:r>
            <w:r>
              <w:rPr>
                <w:color w:val="auto"/>
              </w:rPr>
              <w:t xml:space="preserve"> 4 snin u jista' jiġġedded għal perjodu definit ta' mhux iktar minn 4 snin. Jekk jiġġedded għat-tieni darba, il-kuntratt isir indefinit</w:t>
            </w:r>
          </w:p>
        </w:tc>
        <w:tc>
          <w:tcPr>
            <w:tcW w:w="2473" w:type="pct"/>
          </w:tcPr>
          <w:p w:rsidR="00797555" w:rsidRPr="009C390E" w:rsidRDefault="00DE4356" w:rsidP="008F1AD8">
            <w:pPr>
              <w:spacing w:after="0"/>
              <w:jc w:val="left"/>
              <w:rPr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color w:val="0C4DA2"/>
              </w:rPr>
              <w:t>Salarju bażiku fix-xahar:</w:t>
            </w:r>
            <w:r>
              <w:rPr>
                <w:color w:val="auto"/>
              </w:rPr>
              <w:t xml:space="preserve"> EUR 5.079,70 fl-ewwel skala b'fattur ta' ponderazzjoni ta' 13.8 % (mill-01/07/2016) flimkien ma' benefiċċji speċifiċi fejn applikabbli</w:t>
            </w:r>
          </w:p>
        </w:tc>
      </w:tr>
      <w:tr w:rsidR="003246E9" w:rsidTr="008F1AD8">
        <w:tc>
          <w:tcPr>
            <w:tcW w:w="5000" w:type="pct"/>
            <w:gridSpan w:val="2"/>
          </w:tcPr>
          <w:p w:rsidR="00797555" w:rsidRPr="009C390E" w:rsidRDefault="00DE4356" w:rsidP="006420F3">
            <w:pPr>
              <w:spacing w:after="0"/>
              <w:jc w:val="left"/>
              <w:rPr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color w:val="0C4DA2"/>
              </w:rPr>
              <w:t>Unità:</w:t>
            </w:r>
            <w:r>
              <w:rPr>
                <w:color w:val="auto"/>
              </w:rPr>
              <w:t xml:space="preserve"> </w:t>
            </w:r>
            <w:r>
              <w:rPr>
                <w:color w:val="002034" w:themeColor="text1"/>
              </w:rPr>
              <w:t>ara taħt</w:t>
            </w:r>
          </w:p>
        </w:tc>
      </w:tr>
      <w:tr w:rsidR="003246E9" w:rsidTr="008F1AD8">
        <w:tc>
          <w:tcPr>
            <w:tcW w:w="2527" w:type="pct"/>
          </w:tcPr>
          <w:p w:rsidR="00797555" w:rsidRPr="009C390E" w:rsidRDefault="00DE4356" w:rsidP="006420F3">
            <w:pPr>
              <w:spacing w:after="0"/>
              <w:jc w:val="left"/>
              <w:rPr>
                <w:b/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color w:val="0C4DA2"/>
              </w:rPr>
              <w:t xml:space="preserve">L-applikazzjonijiet għandhom jintbagħtu b'posta elettronika biss lil mailbox: </w:t>
            </w:r>
            <w:r>
              <w:rPr>
                <w:color w:val="002034" w:themeColor="text1"/>
              </w:rPr>
              <w:t>jobs@era.europa.eu</w:t>
            </w:r>
          </w:p>
        </w:tc>
        <w:tc>
          <w:tcPr>
            <w:tcW w:w="2473" w:type="pct"/>
          </w:tcPr>
          <w:p w:rsidR="00797555" w:rsidRPr="009C390E" w:rsidRDefault="00DE4356" w:rsidP="00797555">
            <w:pPr>
              <w:spacing w:after="0"/>
              <w:jc w:val="left"/>
              <w:rPr>
                <w:b/>
                <w:color w:val="auto"/>
                <w:szCs w:val="20"/>
              </w:rPr>
            </w:pPr>
            <w:r>
              <w:rPr>
                <w:rFonts w:ascii="Calibri" w:eastAsiaTheme="majorEastAsia" w:hAnsi="Calibri" w:cstheme="majorBidi"/>
                <w:i/>
                <w:color w:val="0C4DA2"/>
              </w:rPr>
              <w:t>Lista ta' riżerva valida sa:</w:t>
            </w:r>
            <w:r>
              <w:rPr>
                <w:color w:val="auto"/>
              </w:rPr>
              <w:t xml:space="preserve"> 31/12/2017 (il-validità tal-lista ta' riżerva tista' tiġi estiża)</w:t>
            </w:r>
          </w:p>
        </w:tc>
      </w:tr>
    </w:tbl>
    <w:p w:rsidR="00797555" w:rsidRPr="009C390E" w:rsidRDefault="00391893" w:rsidP="00797555">
      <w:pPr>
        <w:tabs>
          <w:tab w:val="left" w:pos="5355"/>
        </w:tabs>
        <w:spacing w:after="0"/>
        <w:jc w:val="left"/>
        <w:rPr>
          <w:color w:val="auto"/>
        </w:rPr>
      </w:pPr>
    </w:p>
    <w:p w:rsidR="00797555" w:rsidRPr="009C390E" w:rsidRDefault="00391893" w:rsidP="00797555">
      <w:pPr>
        <w:spacing w:after="0"/>
        <w:jc w:val="left"/>
        <w:rPr>
          <w:color w:val="aut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3246E9" w:rsidTr="008F1AD8">
        <w:trPr>
          <w:trHeight w:val="247"/>
        </w:trPr>
        <w:tc>
          <w:tcPr>
            <w:tcW w:w="5000" w:type="pct"/>
            <w:shd w:val="clear" w:color="auto" w:fill="auto"/>
            <w:vAlign w:val="center"/>
          </w:tcPr>
          <w:p w:rsidR="00797555" w:rsidRPr="009C390E" w:rsidRDefault="00DE4356" w:rsidP="006420F3">
            <w:pPr>
              <w:spacing w:after="0"/>
              <w:jc w:val="left"/>
              <w:rPr>
                <w:i/>
                <w:color w:val="auto"/>
              </w:rPr>
            </w:pPr>
            <w:r>
              <w:rPr>
                <w:i/>
                <w:color w:val="0C4DA2"/>
              </w:rPr>
              <w:t>L-AĠENZIJA</w:t>
            </w:r>
          </w:p>
        </w:tc>
      </w:tr>
      <w:tr w:rsidR="003246E9" w:rsidTr="008F1AD8">
        <w:trPr>
          <w:trHeight w:val="2235"/>
        </w:trPr>
        <w:tc>
          <w:tcPr>
            <w:tcW w:w="5000" w:type="pct"/>
          </w:tcPr>
          <w:p w:rsidR="00797555" w:rsidRPr="008F1AD8" w:rsidRDefault="00DE4356" w:rsidP="006420F3">
            <w:pPr>
              <w:rPr>
                <w:color w:val="auto"/>
              </w:rPr>
            </w:pPr>
            <w:r>
              <w:rPr>
                <w:color w:val="auto"/>
              </w:rPr>
              <w:t>L-Aġenzija tal-Unjoni Ewropea għall-Ferroviji (minn hawn 'il quddiem "l-Aġenzija") ġiet stabbilita permezz tar-Regolament (UE) 2016/796 tal-Parlament Ewropew u tal-Kunsill tal-11 ta' Mejju 2016. Il-missjoni tagħna hija li nagħmlu s-sistema ferrovjarja taħdem aħjar għas-soċjetà u aħna nagħmlu dan billi nikkontribwixxu għall-ħolqien ta' Żona Ferrovjarja Unika Ewropea mingħajr fruntieri, li tiggarantixxi livell għoli ta' sigurtà, billi niżviluppaw approċċ komuni għas-sigurtà dwar is-Sistema Ewropea tal-Ġestjoni tat-Traffiku Ferrovjarju (ERTMS, European Train Control Communication System) u billi nippromwovu aċċess issimplifikat għall-klijenti għas-settur ferrovjarju Ewropew. Barra minn hekk, l-Aġenżija se ssir, mill-2019 'il quddiem, l-Awtorità Ewropea li toħroġ ċertifikati uniċi ta' sigurtà madwar l-UE lill-impriżi ferrovjarji, li toħroġ awtorizzazzjonijiet tal-vetturi għal operat f'aktar minn pajjiż wieħed u li tagħti approvazzjoni minn qabel għal infrastruttura ERTMS. L-Aġenzija hija bbażata f'Valenciennes (kwartieri ġenerali) u f'Lille (ċentru tal-laqgħat), Franza, u bħalissa tħaddem 160 persunal.</w:t>
            </w:r>
          </w:p>
          <w:p w:rsidR="00797555" w:rsidRPr="008F1AD8" w:rsidRDefault="00DE4356" w:rsidP="006420F3">
            <w:pPr>
              <w:spacing w:after="0"/>
              <w:rPr>
                <w:rStyle w:val="Hyperlink"/>
                <w:color w:val="auto"/>
              </w:rPr>
            </w:pPr>
            <w:r>
              <w:rPr>
                <w:color w:val="auto"/>
              </w:rPr>
              <w:t xml:space="preserve">Għal aktar informazzjoni dwar l-Aġenzija, jekk jogħġbok żur is-sit web tagħna: </w:t>
            </w:r>
            <w:hyperlink r:id="rId13" w:history="1">
              <w:r>
                <w:rPr>
                  <w:rStyle w:val="Hyperlink"/>
                  <w:color w:val="auto"/>
                </w:rPr>
                <w:t>http://www.era.europa.eu</w:t>
              </w:r>
            </w:hyperlink>
          </w:p>
          <w:p w:rsidR="00797555" w:rsidRPr="009C390E" w:rsidRDefault="00391893" w:rsidP="006420F3">
            <w:pPr>
              <w:spacing w:after="0"/>
              <w:rPr>
                <w:color w:val="auto"/>
              </w:rPr>
            </w:pPr>
          </w:p>
        </w:tc>
      </w:tr>
    </w:tbl>
    <w:p w:rsidR="00797555" w:rsidRPr="009C390E" w:rsidRDefault="00391893" w:rsidP="00797555">
      <w:pPr>
        <w:spacing w:after="0"/>
        <w:jc w:val="left"/>
        <w:rPr>
          <w:color w:val="auto"/>
        </w:rPr>
      </w:pPr>
    </w:p>
    <w:p w:rsidR="0040145B" w:rsidRPr="00BC4249" w:rsidRDefault="00391893" w:rsidP="0040145B">
      <w:pPr>
        <w:spacing w:after="0"/>
        <w:jc w:val="left"/>
        <w:rPr>
          <w:color w:val="aut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3246E9" w:rsidTr="008F1AD8">
        <w:trPr>
          <w:trHeight w:val="274"/>
        </w:trPr>
        <w:tc>
          <w:tcPr>
            <w:tcW w:w="5000" w:type="pct"/>
            <w:shd w:val="clear" w:color="auto" w:fill="auto"/>
            <w:vAlign w:val="center"/>
          </w:tcPr>
          <w:p w:rsidR="0040145B" w:rsidRPr="00BC4249" w:rsidRDefault="00DE4356" w:rsidP="006420F3">
            <w:pPr>
              <w:pStyle w:val="HeadingTableleft"/>
            </w:pPr>
            <w:r>
              <w:t>L-UNITÀ TA' SIGURTÀ:</w:t>
            </w:r>
          </w:p>
        </w:tc>
      </w:tr>
      <w:tr w:rsidR="003246E9" w:rsidTr="008F1AD8">
        <w:tc>
          <w:tcPr>
            <w:tcW w:w="5000" w:type="pct"/>
          </w:tcPr>
          <w:p w:rsidR="0040145B" w:rsidRPr="00086C19" w:rsidRDefault="00DE4356" w:rsidP="006420F3">
            <w:r>
              <w:rPr>
                <w:color w:val="auto"/>
              </w:rPr>
              <w:t>Permezz tal-ħidma tagħha fi dan il-qafas leġiżlattiv stabbilit fid-Direttiva tas-Sigurtà tal-Linji tal-Ferrovija u r-Regolament dwar l-Aġenzija, l-Aġenzija stabbilixxiet tim ta' sigurtà dinamiku, impenjat biex jappoġġja l-ilħuq ta' objettivi ta' sigurtà ambizzjużi, inkluż li s-sistema ferrovjarja Ewropea tkun ta' quddiem nett fid-dinja fir-rigward tas-sigurtà. Id-Direttiva tas-Sigurtà tal-Linji tal-Ferrovija l-ġdida tagħti b'mod ċar lill-Aġenzija l-kompitu li tiżgura li s-sigurtà madwar l-Ewropa tiġi mtejba u li l-Aġenzija qiegħda timpjega persunal biex tiġi sodisfatta din l-isfida l-ġdida. Il-kontribut tal-Prestazzjoni Umana hija ċentrali għas-Sigurtà u l-Aġenzija qiegħda tfittex individwi b'esperjenza biex jingħaqdu mat-tim tal-Unità biex tissaħħaħ il-prestazzjoni tagħna f'dan il-qasam u jiġu appoġġjati flussi ta' xogħol ġodda bħall-iżvilupp ta' kultura ta' sigurtà pożittiva madwar l-Ewropa.</w:t>
            </w:r>
          </w:p>
        </w:tc>
      </w:tr>
    </w:tbl>
    <w:p w:rsidR="00797555" w:rsidRDefault="00391893" w:rsidP="00797555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3246E9" w:rsidTr="008F1AD8">
        <w:trPr>
          <w:trHeight w:val="239"/>
        </w:trPr>
        <w:tc>
          <w:tcPr>
            <w:tcW w:w="5000" w:type="pct"/>
            <w:shd w:val="clear" w:color="auto" w:fill="auto"/>
            <w:vAlign w:val="center"/>
          </w:tcPr>
          <w:p w:rsidR="00797555" w:rsidRPr="009C390E" w:rsidRDefault="00DE4356" w:rsidP="006420F3">
            <w:pPr>
              <w:spacing w:after="0"/>
              <w:jc w:val="left"/>
              <w:rPr>
                <w:i/>
                <w:color w:val="0C4DA2"/>
              </w:rPr>
            </w:pPr>
            <w:r>
              <w:br w:type="page"/>
            </w:r>
            <w:r>
              <w:rPr>
                <w:i/>
                <w:color w:val="0C4DA2"/>
              </w:rPr>
              <w:t>PROĊEDURA TAL-APPLIKAZZJONI</w:t>
            </w:r>
          </w:p>
        </w:tc>
      </w:tr>
      <w:tr w:rsidR="003246E9" w:rsidTr="008F1AD8">
        <w:tc>
          <w:tcPr>
            <w:tcW w:w="5000" w:type="pct"/>
          </w:tcPr>
          <w:p w:rsidR="00797555" w:rsidRPr="008F1AD8" w:rsidRDefault="00DE4356" w:rsidP="006420F3">
            <w:pPr>
              <w:spacing w:after="0"/>
              <w:rPr>
                <w:color w:val="auto"/>
                <w:szCs w:val="20"/>
              </w:rPr>
            </w:pPr>
            <w:r>
              <w:rPr>
                <w:color w:val="auto"/>
              </w:rPr>
              <w:t xml:space="preserve">Biex l-applikazzjonijiet </w:t>
            </w:r>
            <w:r>
              <w:rPr>
                <w:rFonts w:ascii="Calibri" w:eastAsiaTheme="majorEastAsia" w:hAnsi="Calibri" w:cstheme="majorBidi"/>
                <w:b/>
                <w:color w:val="auto"/>
                <w:sz w:val="24"/>
              </w:rPr>
              <w:t>ikunu validi</w:t>
            </w:r>
            <w:r>
              <w:rPr>
                <w:color w:val="auto"/>
              </w:rPr>
              <w:t>, il-kandidati għandhom jissottomettu d-dokumenti li ġejjin:</w:t>
            </w:r>
          </w:p>
          <w:p w:rsidR="00797555" w:rsidRPr="008F1AD8" w:rsidRDefault="00DE4356" w:rsidP="008F1AD8">
            <w:pPr>
              <w:pStyle w:val="ERAbulletpoint"/>
              <w:rPr>
                <w:color w:val="auto"/>
              </w:rPr>
            </w:pPr>
            <w:r>
              <w:rPr>
                <w:color w:val="auto"/>
              </w:rPr>
              <w:t>Curriculum vitae dettaljat (Format tas-CV tal-UE biss). Jekk jogħġbok ikkonsulta l-link t'hawn taħt:</w:t>
            </w:r>
          </w:p>
          <w:p w:rsidR="00797555" w:rsidRPr="008F1AD8" w:rsidRDefault="00391893" w:rsidP="008F1AD8">
            <w:pPr>
              <w:pStyle w:val="ERAbulletpoint"/>
              <w:numPr>
                <w:ilvl w:val="0"/>
                <w:numId w:val="0"/>
              </w:numPr>
              <w:ind w:left="851"/>
              <w:rPr>
                <w:color w:val="auto"/>
                <w:sz w:val="20"/>
              </w:rPr>
            </w:pPr>
            <w:hyperlink r:id="rId14" w:history="1">
              <w:r w:rsidR="00DE4356">
                <w:rPr>
                  <w:color w:val="auto"/>
                  <w:sz w:val="20"/>
                  <w:u w:val="single"/>
                </w:rPr>
                <w:t>http://europass.cedefop.europa.eu/mt/documents/curriculum-vitae/templates-instructions</w:t>
              </w:r>
            </w:hyperlink>
          </w:p>
          <w:p w:rsidR="00797555" w:rsidRPr="008F1AD8" w:rsidRDefault="00DE4356" w:rsidP="008F1AD8">
            <w:pPr>
              <w:pStyle w:val="ERAbulletpoint"/>
              <w:rPr>
                <w:color w:val="auto"/>
              </w:rPr>
            </w:pPr>
            <w:r>
              <w:rPr>
                <w:color w:val="auto"/>
              </w:rPr>
              <w:t>Ittra ta' motivazzjoni ta' mhux aktar minn 2 paġni, li tispjega għaliex il-kandidat huwa interessat fil-kariga u xi jkun il-valur miżjud tiegħu/tagħha għall-Aġenzija, jekk jintgħażel;</w:t>
            </w:r>
          </w:p>
          <w:p w:rsidR="00797555" w:rsidRPr="008F1AD8" w:rsidRDefault="00DE4356" w:rsidP="008F1AD8">
            <w:pPr>
              <w:pStyle w:val="ERAbulletpoint"/>
              <w:rPr>
                <w:color w:val="auto"/>
              </w:rPr>
            </w:pPr>
            <w:r>
              <w:rPr>
                <w:color w:val="auto"/>
              </w:rPr>
              <w:t>Il-grilja tal-eliġibbilità (ara l-anness).</w:t>
            </w:r>
          </w:p>
          <w:p w:rsidR="00797555" w:rsidRPr="008F1AD8" w:rsidRDefault="00391893" w:rsidP="006420F3">
            <w:pPr>
              <w:spacing w:before="120" w:after="0"/>
              <w:contextualSpacing/>
              <w:jc w:val="left"/>
              <w:rPr>
                <w:color w:val="auto"/>
                <w:szCs w:val="20"/>
              </w:rPr>
            </w:pPr>
          </w:p>
          <w:p w:rsidR="00797555" w:rsidRPr="008F1AD8" w:rsidRDefault="00DE4356" w:rsidP="006420F3">
            <w:pPr>
              <w:spacing w:after="0"/>
              <w:rPr>
                <w:rFonts w:eastAsiaTheme="majorEastAsia" w:cstheme="majorBidi"/>
                <w:b/>
                <w:bCs/>
                <w:color w:val="auto"/>
              </w:rPr>
            </w:pPr>
            <w:r>
              <w:rPr>
                <w:rFonts w:eastAsiaTheme="majorEastAsia" w:cstheme="majorBidi"/>
                <w:b/>
                <w:color w:val="auto"/>
              </w:rPr>
              <w:t>Nuqqas ta' konformità mal-istruzzjonijiet ta' hawn fuq jirriżulta fl-esklużjoni mill-proċedura tal-għażla.</w:t>
            </w:r>
          </w:p>
          <w:p w:rsidR="00797555" w:rsidRPr="008F1AD8" w:rsidRDefault="00391893" w:rsidP="006420F3">
            <w:pPr>
              <w:spacing w:after="0"/>
              <w:rPr>
                <w:b/>
                <w:color w:val="auto"/>
                <w:szCs w:val="20"/>
              </w:rPr>
            </w:pPr>
          </w:p>
          <w:p w:rsidR="00797555" w:rsidRPr="008F1AD8" w:rsidRDefault="00DE4356" w:rsidP="006420F3">
            <w:pPr>
              <w:spacing w:after="0"/>
              <w:rPr>
                <w:color w:val="auto"/>
                <w:szCs w:val="20"/>
              </w:rPr>
            </w:pPr>
            <w:r>
              <w:rPr>
                <w:color w:val="auto"/>
              </w:rPr>
              <w:t>Minħabba li l-lingwa ta' ħidma tal-Aġenzija hija l-Ingliż, il-kandidati huma mħeġġin biex japplikaw bl-Ingliż biex jiffaċilitaw il-proċess tal-għażla.</w:t>
            </w:r>
          </w:p>
          <w:p w:rsidR="00797555" w:rsidRPr="008F1AD8" w:rsidRDefault="00391893" w:rsidP="006420F3">
            <w:pPr>
              <w:spacing w:after="0"/>
              <w:rPr>
                <w:color w:val="auto"/>
                <w:szCs w:val="20"/>
              </w:rPr>
            </w:pPr>
          </w:p>
          <w:p w:rsidR="00797555" w:rsidRPr="008F1AD8" w:rsidRDefault="00DE4356" w:rsidP="006420F3">
            <w:pPr>
              <w:spacing w:after="0"/>
              <w:rPr>
                <w:color w:val="auto"/>
                <w:szCs w:val="20"/>
              </w:rPr>
            </w:pPr>
            <w:r>
              <w:rPr>
                <w:color w:val="auto"/>
              </w:rPr>
              <w:t xml:space="preserve">L-applikazzjonijiet għandhom jintbagħtu permezz ta' ittra elettronika lil mailbox </w:t>
            </w:r>
            <w:hyperlink r:id="rId15" w:history="1">
              <w:r>
                <w:rPr>
                  <w:b/>
                  <w:color w:val="auto"/>
                  <w:u w:val="single"/>
                </w:rPr>
                <w:t>jobs@era.europa.eu</w:t>
              </w:r>
            </w:hyperlink>
            <w:r>
              <w:rPr>
                <w:color w:val="auto"/>
              </w:rPr>
              <w:t xml:space="preserve"> mhux iktar tard minn </w:t>
            </w:r>
            <w:r w:rsidR="00957587" w:rsidRPr="00957587">
              <w:rPr>
                <w:b/>
                <w:color w:val="auto"/>
              </w:rPr>
              <w:t>12/01</w:t>
            </w:r>
            <w:r>
              <w:rPr>
                <w:b/>
                <w:color w:val="auto"/>
              </w:rPr>
              <w:t>/201</w:t>
            </w:r>
            <w:r w:rsidR="00957587">
              <w:rPr>
                <w:b/>
                <w:color w:val="auto"/>
                <w:lang w:val="fr-BE"/>
              </w:rPr>
              <w:t>7</w:t>
            </w:r>
            <w:bookmarkStart w:id="0" w:name="_GoBack"/>
            <w:bookmarkEnd w:id="0"/>
            <w:r>
              <w:rPr>
                <w:color w:val="auto"/>
              </w:rPr>
              <w:t xml:space="preserve"> f'23.59 CET (ħin lokali ta' Valenciennes), </w:t>
            </w:r>
            <w:r>
              <w:rPr>
                <w:b/>
                <w:color w:val="auto"/>
              </w:rPr>
              <w:t>filwaqt li jindikaw b'mod ċar in-numru ta' referenza tas-sejħa għall-applikazzjonijet fil-linja tas-suġġett.</w:t>
            </w:r>
          </w:p>
          <w:p w:rsidR="00797555" w:rsidRPr="008F1AD8" w:rsidRDefault="00391893" w:rsidP="006420F3">
            <w:pPr>
              <w:spacing w:after="0"/>
              <w:rPr>
                <w:color w:val="auto"/>
                <w:szCs w:val="20"/>
              </w:rPr>
            </w:pP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Jekk jogħġbok innota li l-applikazzjonijiet sottomessi b'faks jew bil-posta mhumiex se jiġu kkunsidrati.</w:t>
            </w:r>
          </w:p>
          <w:p w:rsidR="00797555" w:rsidRPr="008F1AD8" w:rsidRDefault="00391893" w:rsidP="006420F3">
            <w:pPr>
              <w:spacing w:after="0"/>
              <w:rPr>
                <w:color w:val="auto"/>
              </w:rPr>
            </w:pP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Jekk fi kwalunkwe stadju fil-proċedura, jiġi stabbilit li l-informazzjoni pprovduta mill-kandidat hija żbaljata, il-kandidat inkwistjoni jista' jiġi skwalifikat.</w:t>
            </w:r>
          </w:p>
          <w:p w:rsidR="00797555" w:rsidRPr="008F1AD8" w:rsidRDefault="00391893" w:rsidP="006420F3">
            <w:pPr>
              <w:spacing w:after="0"/>
              <w:rPr>
                <w:color w:val="auto"/>
              </w:rPr>
            </w:pP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Huwa pprojbit li kandidati jagħmlu kuntatt dirett jew indirett mal-membri tal-Kumitat tal-Għażla, jew li xi ħadd jagħmel dan f'isimhom. L-Awtorità Awtorizzata biex Tikkonkludi l-Kuntratti (minn hawn 'l quddiem AACC) tirriżerva d-dritt li tiskwalifika lil kwalunkwe kandidat li ma jagħtix kas din l-istruzzjoni.</w:t>
            </w:r>
          </w:p>
          <w:p w:rsidR="00797555" w:rsidRPr="008F1AD8" w:rsidRDefault="00391893" w:rsidP="006420F3">
            <w:pPr>
              <w:spacing w:after="0"/>
              <w:rPr>
                <w:color w:val="auto"/>
              </w:rPr>
            </w:pPr>
          </w:p>
          <w:p w:rsidR="00797555" w:rsidRPr="008F1AD8" w:rsidRDefault="00DE4356" w:rsidP="006420F3">
            <w:pPr>
              <w:spacing w:after="0"/>
              <w:rPr>
                <w:color w:val="auto"/>
                <w:szCs w:val="20"/>
              </w:rPr>
            </w:pPr>
            <w:r>
              <w:rPr>
                <w:color w:val="auto"/>
              </w:rPr>
              <w:t>Se tiġi stabbilita lista ta' riserva, valida sal-</w:t>
            </w:r>
            <w:r>
              <w:rPr>
                <w:b/>
                <w:color w:val="auto"/>
              </w:rPr>
              <w:t>31/12/2017</w:t>
            </w:r>
            <w:r>
              <w:rPr>
                <w:color w:val="auto"/>
              </w:rPr>
              <w:t>. Il-validità tal-lista ta' riżerva tista' tiġi estiża jekk l-AACC tiddeċiedi dan. Il-lista ta' riżerva tista' tintuża għall-inkarigu għal karigi oħrajn li għandhom l-istess profil bħal dak deskritt hawn fuq.</w:t>
            </w:r>
          </w:p>
          <w:p w:rsidR="00797555" w:rsidRPr="008F1AD8" w:rsidRDefault="00391893" w:rsidP="006420F3">
            <w:pPr>
              <w:spacing w:after="0"/>
              <w:rPr>
                <w:color w:val="auto"/>
                <w:szCs w:val="20"/>
              </w:rPr>
            </w:pPr>
          </w:p>
          <w:p w:rsidR="00797555" w:rsidRPr="008F1AD8" w:rsidRDefault="00DE4356" w:rsidP="006420F3">
            <w:pPr>
              <w:keepNext/>
              <w:keepLines/>
              <w:spacing w:after="0"/>
              <w:outlineLvl w:val="3"/>
              <w:rPr>
                <w:rFonts w:eastAsiaTheme="majorEastAsia" w:cstheme="majorBidi"/>
                <w:b/>
                <w:bCs/>
                <w:iCs/>
                <w:color w:val="auto"/>
              </w:rPr>
            </w:pPr>
            <w:r>
              <w:rPr>
                <w:rFonts w:eastAsiaTheme="majorEastAsia" w:cstheme="majorBidi"/>
                <w:b/>
                <w:color w:val="auto"/>
              </w:rPr>
              <w:t>Jekk jogħġbok innota li minħabba n-numru kbir ta' applikazzjonijiet li aħna nistgħu nirċievu sad-data ta' għeluq għas-sottomissjonijiet, jista' jkun li s-sistema tiffaċċja problemi biex tipproċessa ammonti kbar ta' data. Għalhekk, l-applikanti huma rrakkomandati li jibagħtu l-applikazzjoni tagħhom ferm aktar qabel mid-data tal-iskadenza.</w:t>
            </w:r>
          </w:p>
          <w:p w:rsidR="00797555" w:rsidRPr="008F1AD8" w:rsidRDefault="00391893" w:rsidP="006420F3">
            <w:pPr>
              <w:spacing w:after="0"/>
              <w:rPr>
                <w:b/>
                <w:color w:val="auto"/>
                <w:szCs w:val="20"/>
              </w:rPr>
            </w:pP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b/>
              </w:rPr>
              <w:t>Importanti:</w:t>
            </w:r>
            <w:r>
              <w:rPr>
                <w:color w:val="auto"/>
              </w:rPr>
              <w:t xml:space="preserve"> Id-dokumenti ta' sostenn (eż. kopji ċċertifikati ta' lawrji/diplomi, provi ta' esperjenza, eċċ.) ma għandhomx jintbagħtu għalissa iżda jistgħu jintalbu fi stadju aktar tard tal-proċedura. L-ebda dokument mhu se jintabgħat lura lill-kandidati</w:t>
            </w:r>
          </w:p>
          <w:p w:rsidR="00797555" w:rsidRPr="009C390E" w:rsidRDefault="00391893" w:rsidP="006420F3">
            <w:pPr>
              <w:spacing w:after="0"/>
              <w:rPr>
                <w:color w:val="auto"/>
                <w:szCs w:val="20"/>
              </w:rPr>
            </w:pPr>
          </w:p>
        </w:tc>
      </w:tr>
    </w:tbl>
    <w:p w:rsidR="00797555" w:rsidRPr="009C390E" w:rsidRDefault="00391893" w:rsidP="00797555">
      <w:pPr>
        <w:spacing w:after="0"/>
        <w:jc w:val="left"/>
        <w:rPr>
          <w:color w:val="auto"/>
          <w:szCs w:val="20"/>
        </w:rPr>
      </w:pPr>
    </w:p>
    <w:p w:rsidR="00797555" w:rsidRPr="009C390E" w:rsidRDefault="00391893" w:rsidP="00797555">
      <w:pPr>
        <w:spacing w:after="0"/>
        <w:jc w:val="left"/>
        <w:rPr>
          <w:color w:val="auto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3246E9" w:rsidTr="008F1AD8">
        <w:trPr>
          <w:trHeight w:val="235"/>
        </w:trPr>
        <w:tc>
          <w:tcPr>
            <w:tcW w:w="5000" w:type="pct"/>
            <w:shd w:val="clear" w:color="auto" w:fill="auto"/>
            <w:vAlign w:val="center"/>
          </w:tcPr>
          <w:p w:rsidR="00797555" w:rsidRPr="009C390E" w:rsidRDefault="00DE4356" w:rsidP="006420F3">
            <w:pPr>
              <w:spacing w:after="0"/>
              <w:jc w:val="left"/>
              <w:rPr>
                <w:i/>
                <w:color w:val="0C4DA2"/>
              </w:rPr>
            </w:pPr>
            <w:r>
              <w:rPr>
                <w:i/>
                <w:color w:val="0C4DA2"/>
              </w:rPr>
              <w:t>PROĊEDURA TAL-GĦAŻLA</w:t>
            </w:r>
          </w:p>
        </w:tc>
      </w:tr>
      <w:tr w:rsidR="003246E9" w:rsidTr="008F1AD8">
        <w:trPr>
          <w:trHeight w:val="1125"/>
        </w:trPr>
        <w:tc>
          <w:tcPr>
            <w:tcW w:w="5000" w:type="pct"/>
          </w:tcPr>
          <w:p w:rsidR="00797555" w:rsidRPr="008F1AD8" w:rsidRDefault="00DE4356" w:rsidP="006420F3">
            <w:pPr>
              <w:rPr>
                <w:color w:val="auto"/>
              </w:rPr>
            </w:pPr>
            <w:r>
              <w:rPr>
                <w:color w:val="auto"/>
              </w:rPr>
              <w:t>L-għażla se tkun organizzata kif ġej:</w:t>
            </w:r>
          </w:p>
          <w:p w:rsidR="00797555" w:rsidRPr="008F1AD8" w:rsidRDefault="00DE4356" w:rsidP="00797555">
            <w:pPr>
              <w:numPr>
                <w:ilvl w:val="0"/>
                <w:numId w:val="16"/>
              </w:numPr>
              <w:spacing w:after="0" w:line="240" w:lineRule="exact"/>
              <w:ind w:left="896" w:hanging="357"/>
              <w:rPr>
                <w:color w:val="auto"/>
              </w:rPr>
            </w:pPr>
            <w:r>
              <w:rPr>
                <w:color w:val="auto"/>
              </w:rPr>
              <w:t>Il-Kumitat għall-Għażla jikkontrolla l-kriterji tal-validità u tal-eliġibilità tal-applikazzjonijiet kollha,</w:t>
            </w:r>
          </w:p>
          <w:p w:rsidR="00797555" w:rsidRPr="008F1AD8" w:rsidRDefault="00DE4356" w:rsidP="00797555">
            <w:pPr>
              <w:numPr>
                <w:ilvl w:val="0"/>
                <w:numId w:val="16"/>
              </w:numPr>
              <w:spacing w:after="0" w:line="240" w:lineRule="exact"/>
              <w:ind w:left="896" w:hanging="357"/>
              <w:rPr>
                <w:color w:val="auto"/>
              </w:rPr>
            </w:pPr>
            <w:r>
              <w:rPr>
                <w:color w:val="auto"/>
              </w:rPr>
              <w:t>Il-kandidati li jissodisfaw il-kriterji tal-eliġibilità għandhom jiġu evalwati skont il-kriterji tal-għażla,</w:t>
            </w:r>
          </w:p>
          <w:p w:rsidR="00797555" w:rsidRPr="008F1AD8" w:rsidRDefault="00DE4356" w:rsidP="00797555">
            <w:pPr>
              <w:numPr>
                <w:ilvl w:val="0"/>
                <w:numId w:val="16"/>
              </w:numPr>
              <w:spacing w:after="0" w:line="240" w:lineRule="exact"/>
              <w:ind w:left="896" w:hanging="357"/>
              <w:rPr>
                <w:color w:val="auto"/>
              </w:rPr>
            </w:pPr>
            <w:r>
              <w:rPr>
                <w:color w:val="auto"/>
              </w:rPr>
              <w:t>Il-Kumitat tal-Għażla jevalwa l-ittri ta' motivazzjoni u s-CVs ta' kandidati eliġibbli u jistabbilixxi lista qasira tal-kandidati li ssodisfaw l-aħjar il-kriterji tal-għażla kif stipulat fis-sejħa għall-applikazzjonijiet,</w:t>
            </w:r>
          </w:p>
          <w:p w:rsidR="00797555" w:rsidRPr="008F1AD8" w:rsidRDefault="00DE4356" w:rsidP="00797555">
            <w:pPr>
              <w:numPr>
                <w:ilvl w:val="0"/>
                <w:numId w:val="16"/>
              </w:numPr>
              <w:spacing w:after="0" w:line="240" w:lineRule="exact"/>
              <w:ind w:left="896" w:hanging="357"/>
              <w:rPr>
                <w:color w:val="auto"/>
              </w:rPr>
            </w:pPr>
            <w:r>
              <w:rPr>
                <w:color w:val="auto"/>
              </w:rPr>
              <w:lastRenderedPageBreak/>
              <w:t>L-istedina għandha tkun ibbażata fuq l-ogħla punteġġi fl-iskrinjar ta' qabel l-għażla tal-kriterji tal-għażla.</w:t>
            </w:r>
          </w:p>
          <w:p w:rsidR="00797555" w:rsidRPr="008F1AD8" w:rsidRDefault="00DE4356" w:rsidP="00797555">
            <w:pPr>
              <w:numPr>
                <w:ilvl w:val="0"/>
                <w:numId w:val="16"/>
              </w:numPr>
              <w:spacing w:after="0" w:line="240" w:lineRule="exact"/>
              <w:ind w:left="896" w:hanging="357"/>
              <w:rPr>
                <w:color w:val="auto"/>
              </w:rPr>
            </w:pPr>
            <w:r>
              <w:rPr>
                <w:color w:val="auto"/>
              </w:rPr>
              <w:t>Il-Kumitat tal-Għażla jagħmel intervisti u testijiet lill-applikanti fil-lista l-qasira,</w:t>
            </w:r>
          </w:p>
          <w:p w:rsidR="00797555" w:rsidRPr="008F1AD8" w:rsidRDefault="00DE4356" w:rsidP="00797555">
            <w:pPr>
              <w:numPr>
                <w:ilvl w:val="0"/>
                <w:numId w:val="16"/>
              </w:numPr>
              <w:spacing w:after="0" w:line="240" w:lineRule="exact"/>
              <w:ind w:left="896" w:hanging="357"/>
              <w:rPr>
                <w:color w:val="auto"/>
              </w:rPr>
            </w:pPr>
            <w:r>
              <w:rPr>
                <w:color w:val="auto"/>
              </w:rPr>
              <w:t>It-test bil-miktub għandu jsir bl-Ingliż,</w:t>
            </w:r>
          </w:p>
          <w:p w:rsidR="00797555" w:rsidRPr="008F1AD8" w:rsidRDefault="00DE4356" w:rsidP="00797555">
            <w:pPr>
              <w:numPr>
                <w:ilvl w:val="0"/>
                <w:numId w:val="16"/>
              </w:numPr>
              <w:spacing w:after="0" w:line="240" w:lineRule="exact"/>
              <w:ind w:left="896" w:hanging="357"/>
              <w:rPr>
                <w:color w:val="auto"/>
              </w:rPr>
            </w:pPr>
            <w:r>
              <w:rPr>
                <w:color w:val="auto"/>
              </w:rPr>
              <w:t>L-intervista għandha ssir bl-Ingliż. Jekk il-lingwa materna hija l-Ingliż, waqt l-intervista se tiġi ttestjata t-tieni lingwa indikata fis-CV,</w:t>
            </w:r>
          </w:p>
          <w:p w:rsidR="00797555" w:rsidRPr="008F1AD8" w:rsidRDefault="00DE4356" w:rsidP="00797555">
            <w:pPr>
              <w:numPr>
                <w:ilvl w:val="0"/>
                <w:numId w:val="16"/>
              </w:numPr>
              <w:spacing w:after="0" w:line="240" w:lineRule="exact"/>
              <w:ind w:left="896" w:hanging="357"/>
              <w:rPr>
                <w:color w:val="auto"/>
              </w:rPr>
            </w:pPr>
            <w:r>
              <w:rPr>
                <w:color w:val="auto"/>
              </w:rPr>
              <w:t>Wara r-riżultati tal-intervisti u tat-testijiet bil-miktub, il-Kumitat għall-Għażla jipproponi lista tal-kandidati xierqa</w:t>
            </w:r>
            <w:r>
              <w:rPr>
                <w:color w:val="auto"/>
                <w:vertAlign w:val="superscript"/>
              </w:rPr>
              <w:footnoteReference w:id="7"/>
            </w:r>
            <w:r>
              <w:rPr>
                <w:color w:val="auto"/>
              </w:rPr>
              <w:t xml:space="preserve"> lill-AACC. Din il-lista għandha tkun f'ordni alfabetika akkumpanjata mil-lista dettaljata tal-punteġġi miksuba wara l-intervista u t-test bil-miktub (jekk ikun applikabbli). Il-Kandidati li jiksbu l-marki kwalifikattivi fl-intervista u fit-test bil-miktub (jekk ikun applikabbli) għandhom jitpoġġew fil-lista' ta' riżerva (jekk ikun applikabbli). Il-kandidati għandhom jinnotaw li l-inklużjoni fil-lista ta' riżerva ma tiggarantix inkarigu,</w:t>
            </w:r>
          </w:p>
          <w:p w:rsidR="00797555" w:rsidRPr="008F1AD8" w:rsidRDefault="00DE4356" w:rsidP="00797555">
            <w:pPr>
              <w:numPr>
                <w:ilvl w:val="0"/>
                <w:numId w:val="16"/>
              </w:numPr>
              <w:spacing w:after="0" w:line="240" w:lineRule="exact"/>
              <w:ind w:left="896" w:hanging="357"/>
              <w:rPr>
                <w:color w:val="auto"/>
              </w:rPr>
            </w:pPr>
            <w:r>
              <w:rPr>
                <w:color w:val="auto"/>
              </w:rPr>
              <w:t>Qabel ma tirrekluta aġent temporanju, l-AACC teżamina jekk il-kandidat ikollux xi interess personali bħal pereżempju li jfixkel l-indipendenza tiegħu/tagħha jew kwalunkwe kunflitt ta’ interess ieħor. Il-kandidat għandu jinforma lill-AACC, permezz ta' formola speċifika dwar kunflitt ta' interess attwali jew potenzjali. Jekk ikun meħtieġ, l-AACC għandha tieħu kull miżura xierqa,</w:t>
            </w:r>
          </w:p>
          <w:p w:rsidR="00797555" w:rsidRPr="008F1AD8" w:rsidRDefault="00DE4356" w:rsidP="00797555">
            <w:pPr>
              <w:numPr>
                <w:ilvl w:val="0"/>
                <w:numId w:val="16"/>
              </w:numPr>
              <w:spacing w:after="0" w:line="240" w:lineRule="exact"/>
              <w:ind w:left="896" w:hanging="357"/>
              <w:rPr>
                <w:color w:val="auto"/>
              </w:rPr>
            </w:pPr>
            <w:r>
              <w:rPr>
                <w:color w:val="auto"/>
              </w:rPr>
              <w:t>Il-lista ta' riżerva għandha tkun valida sal-31/12/2017. Tista' tkun estiża permezz ta' deċiżjoni tal-AACC,</w:t>
            </w:r>
          </w:p>
          <w:p w:rsidR="00797555" w:rsidRPr="008F1AD8" w:rsidRDefault="00DE4356" w:rsidP="00797555">
            <w:pPr>
              <w:numPr>
                <w:ilvl w:val="0"/>
                <w:numId w:val="16"/>
              </w:numPr>
              <w:spacing w:after="0" w:line="240" w:lineRule="exact"/>
              <w:ind w:left="896" w:hanging="357"/>
              <w:rPr>
                <w:color w:val="auto"/>
              </w:rPr>
            </w:pPr>
            <w:r>
              <w:rPr>
                <w:color w:val="auto"/>
              </w:rPr>
              <w:t>Il-kandidati xierqa għandhom ikunu involuti wara d-deċiżjoni tal-AACC. Qabel ma jiġu offruti l-kariga, il-kandidati fuq il-lista ta' riżerva jistgħu jintalbu li ssirilhom intervista mad-Direttur Eżekuttiv.</w:t>
            </w:r>
          </w:p>
          <w:p w:rsidR="00797555" w:rsidRPr="009C390E" w:rsidRDefault="00391893" w:rsidP="006420F3">
            <w:pPr>
              <w:spacing w:after="0" w:line="240" w:lineRule="exact"/>
              <w:jc w:val="left"/>
              <w:rPr>
                <w:color w:val="auto"/>
                <w:szCs w:val="20"/>
              </w:rPr>
            </w:pPr>
          </w:p>
        </w:tc>
      </w:tr>
    </w:tbl>
    <w:p w:rsidR="00797555" w:rsidRPr="009C390E" w:rsidRDefault="00391893" w:rsidP="00797555">
      <w:pPr>
        <w:spacing w:after="0"/>
        <w:jc w:val="left"/>
        <w:rPr>
          <w:color w:val="auto"/>
        </w:rPr>
      </w:pPr>
    </w:p>
    <w:p w:rsidR="00797555" w:rsidRDefault="00391893" w:rsidP="0040145B">
      <w:pPr>
        <w:spacing w:after="0" w:line="276" w:lineRule="auto"/>
        <w:jc w:val="left"/>
        <w:rPr>
          <w:color w:val="auto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957"/>
        <w:gridCol w:w="4672"/>
      </w:tblGrid>
      <w:tr w:rsidR="003246E9" w:rsidTr="008F1AD8">
        <w:trPr>
          <w:trHeight w:val="23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97555" w:rsidRPr="009C390E" w:rsidRDefault="00DE4356" w:rsidP="006420F3">
            <w:pPr>
              <w:spacing w:after="0"/>
              <w:jc w:val="left"/>
              <w:rPr>
                <w:i/>
                <w:color w:val="0C4DA2"/>
              </w:rPr>
            </w:pPr>
            <w:r>
              <w:rPr>
                <w:i/>
                <w:color w:val="0C4DA2"/>
              </w:rPr>
              <w:t>SOMMARJU TAL-KONDIZZJONIJIET TAL-IMPJIEG</w:t>
            </w:r>
          </w:p>
        </w:tc>
      </w:tr>
      <w:tr w:rsidR="003246E9" w:rsidTr="008F1AD8">
        <w:tc>
          <w:tcPr>
            <w:tcW w:w="2574" w:type="pct"/>
          </w:tcPr>
          <w:p w:rsidR="00797555" w:rsidRPr="00C605EA" w:rsidRDefault="00DE4356" w:rsidP="00347D65">
            <w:pPr>
              <w:pStyle w:val="ListParagraph"/>
              <w:numPr>
                <w:ilvl w:val="0"/>
                <w:numId w:val="18"/>
              </w:numPr>
              <w:tabs>
                <w:tab w:val="left" w:pos="338"/>
              </w:tabs>
              <w:ind w:left="0" w:firstLine="0"/>
              <w:contextualSpacing w:val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Is-salarji huma eżentati mit-taxxa nazzjonali, minflok titnaqqas taxxa għall-benefiċċju tal-Unjoni Ewropea f'ras il-għajn;</w:t>
            </w:r>
          </w:p>
          <w:p w:rsidR="00797555" w:rsidRPr="00C605EA" w:rsidRDefault="00DE4356" w:rsidP="00347D65">
            <w:pPr>
              <w:pStyle w:val="ListParagraph"/>
              <w:numPr>
                <w:ilvl w:val="0"/>
                <w:numId w:val="18"/>
              </w:numPr>
              <w:tabs>
                <w:tab w:val="left" w:pos="338"/>
              </w:tabs>
              <w:ind w:left="0" w:firstLine="0"/>
              <w:contextualSpacing w:val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Intitolament għal liv annwali ta' jumejn għal kull xahar kalendarju flimkien ma' jiem addizzjonali għall-età u għall-grad, flimkien ma' 2 ½ ijiem għall-persunal espatrijat u minbarra dan medja ta' 16-il vaganza pubblika kull sena;</w:t>
            </w:r>
          </w:p>
          <w:p w:rsidR="00797555" w:rsidRPr="00C605EA" w:rsidRDefault="00DE4356" w:rsidP="00347D65">
            <w:pPr>
              <w:pStyle w:val="ListParagraph"/>
              <w:numPr>
                <w:ilvl w:val="0"/>
                <w:numId w:val="18"/>
              </w:numPr>
              <w:tabs>
                <w:tab w:val="left" w:pos="338"/>
              </w:tabs>
              <w:ind w:left="0" w:firstLine="0"/>
              <w:contextualSpacing w:val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Taħriġ tekniku ġenerali u applikabbli flimkien ma' opportunitajiet ta' żvilupp professjonali;</w:t>
            </w:r>
          </w:p>
          <w:p w:rsidR="00797555" w:rsidRPr="00C605EA" w:rsidRDefault="00DE4356" w:rsidP="00347D65">
            <w:pPr>
              <w:pStyle w:val="ListParagraph"/>
              <w:numPr>
                <w:ilvl w:val="0"/>
                <w:numId w:val="18"/>
              </w:numPr>
              <w:tabs>
                <w:tab w:val="left" w:pos="338"/>
              </w:tabs>
              <w:ind w:left="0" w:firstLine="0"/>
              <w:contextualSpacing w:val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Skema tal-Pensjoni tal-UE (wara 10 snin ta' servizz);</w:t>
            </w:r>
          </w:p>
          <w:p w:rsidR="00797555" w:rsidRPr="008F1AD8" w:rsidRDefault="00DE4356" w:rsidP="00347D65">
            <w:pPr>
              <w:pStyle w:val="ListParagraph"/>
              <w:numPr>
                <w:ilvl w:val="0"/>
                <w:numId w:val="18"/>
              </w:numPr>
              <w:tabs>
                <w:tab w:val="left" w:pos="338"/>
              </w:tabs>
              <w:ind w:left="0" w:firstLine="0"/>
              <w:contextualSpacing w:val="0"/>
              <w:rPr>
                <w:color w:val="auto"/>
              </w:rPr>
            </w:pPr>
            <w:r>
              <w:t>Reġim Komuni tal-Assigurazzjoni tal-Mard tal-UE u kopertura tal-assigurazzjoni kontra l-mard u aċċidenti kkaġunati mix-xogħol, il-qgħad u benefiċċju għal invalidità u assigurazzjoni tal-ivvjaġġar;</w:t>
            </w:r>
          </w:p>
        </w:tc>
        <w:tc>
          <w:tcPr>
            <w:tcW w:w="2426" w:type="pct"/>
          </w:tcPr>
          <w:p w:rsidR="00797555" w:rsidRPr="008F1AD8" w:rsidRDefault="00DE4356" w:rsidP="006420F3">
            <w:pPr>
              <w:spacing w:after="0"/>
              <w:jc w:val="left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</w:rPr>
              <w:t>Skont is-sitwazzjoni personali tal-individwu u l-post ta' oriġini, il-membri tal-persunal jistgħu wkoll ikunu intitolati għal:</w:t>
            </w:r>
          </w:p>
          <w:p w:rsidR="00797555" w:rsidRPr="00C605EA" w:rsidRDefault="00391893" w:rsidP="006420F3">
            <w:pPr>
              <w:spacing w:after="0"/>
              <w:jc w:val="left"/>
              <w:rPr>
                <w:color w:val="auto"/>
              </w:rPr>
            </w:pPr>
          </w:p>
          <w:p w:rsidR="00797555" w:rsidRPr="00C605EA" w:rsidRDefault="00DE4356" w:rsidP="00347D65">
            <w:pPr>
              <w:pStyle w:val="ListParagraph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contextualSpacing w:val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Gratifika għall-espatrijazzjoni u għal residenza barranija;</w:t>
            </w:r>
          </w:p>
          <w:p w:rsidR="00797555" w:rsidRPr="00C605EA" w:rsidRDefault="00DE4356" w:rsidP="00347D65">
            <w:pPr>
              <w:pStyle w:val="ListParagraph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contextualSpacing w:val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Gratifika għall-familja;</w:t>
            </w:r>
          </w:p>
          <w:p w:rsidR="00797555" w:rsidRPr="00C605EA" w:rsidRDefault="00DE4356" w:rsidP="00347D65">
            <w:pPr>
              <w:pStyle w:val="ListParagraph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contextualSpacing w:val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Gratifika għat-tfal dipendenti;</w:t>
            </w:r>
          </w:p>
          <w:p w:rsidR="00797555" w:rsidRPr="00C605EA" w:rsidRDefault="00DE4356" w:rsidP="00347D65">
            <w:pPr>
              <w:pStyle w:val="ListParagraph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contextualSpacing w:val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Gratifika għall-edukazzjoni;</w:t>
            </w:r>
          </w:p>
          <w:p w:rsidR="00797555" w:rsidRPr="00C605EA" w:rsidRDefault="00DE4356" w:rsidP="00347D65">
            <w:pPr>
              <w:pStyle w:val="ListParagraph"/>
              <w:numPr>
                <w:ilvl w:val="0"/>
                <w:numId w:val="18"/>
              </w:numPr>
              <w:tabs>
                <w:tab w:val="left" w:pos="377"/>
              </w:tabs>
              <w:ind w:left="0" w:firstLine="0"/>
              <w:contextualSpacing w:val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Gratifika ta' insedjament u rimborż tal-ispejjeż biex tiċċaqlaq;</w:t>
            </w:r>
          </w:p>
          <w:p w:rsidR="00797555" w:rsidRPr="00C605EA" w:rsidRDefault="00DE4356" w:rsidP="00347D65">
            <w:pPr>
              <w:pStyle w:val="ListParagraph"/>
              <w:numPr>
                <w:ilvl w:val="0"/>
                <w:numId w:val="18"/>
              </w:numPr>
              <w:tabs>
                <w:tab w:val="left" w:pos="175"/>
                <w:tab w:val="left" w:pos="377"/>
              </w:tabs>
              <w:ind w:left="0" w:firstLine="0"/>
              <w:contextualSpacing w:val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Gratifika temporanja ta' sussistenza ta' kuljum;</w:t>
            </w:r>
          </w:p>
          <w:p w:rsidR="00797555" w:rsidRPr="00C605EA" w:rsidRDefault="00DE4356" w:rsidP="00347D65">
            <w:pPr>
              <w:pStyle w:val="ListParagraph"/>
              <w:numPr>
                <w:ilvl w:val="0"/>
                <w:numId w:val="18"/>
              </w:numPr>
              <w:tabs>
                <w:tab w:val="left" w:pos="175"/>
                <w:tab w:val="left" w:pos="377"/>
              </w:tabs>
              <w:ind w:left="0" w:firstLine="0"/>
              <w:contextualSpacing w:val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Benefiċċji oħrajn (rimborż tal-ispejjeż tal-ivjaġġar malli tidħol għall-kariga, eċċ.)</w:t>
            </w:r>
          </w:p>
          <w:p w:rsidR="00797555" w:rsidRPr="008F1AD8" w:rsidRDefault="00391893" w:rsidP="006420F3">
            <w:pPr>
              <w:spacing w:after="0"/>
              <w:jc w:val="left"/>
              <w:rPr>
                <w:color w:val="auto"/>
                <w:szCs w:val="20"/>
              </w:rPr>
            </w:pPr>
          </w:p>
          <w:p w:rsidR="00797555" w:rsidRPr="008F1AD8" w:rsidRDefault="00DE4356" w:rsidP="006420F3">
            <w:pPr>
              <w:spacing w:after="0"/>
              <w:jc w:val="left"/>
              <w:rPr>
                <w:color w:val="auto"/>
              </w:rPr>
            </w:pPr>
            <w:r>
              <w:t>Għal aktar informazzjoni dwar il-kundizzjonijiet rispettivi, jekk jogħġbok ikkonsulta</w:t>
            </w:r>
            <w:r>
              <w:rPr>
                <w:b/>
              </w:rPr>
              <w:t xml:space="preserve"> l-Anness VII</w:t>
            </w:r>
            <w:r>
              <w:t xml:space="preserve"> tar-Regolamenti tal-Persunal (minn paġna 96 sa 110):</w:t>
            </w:r>
          </w:p>
          <w:p w:rsidR="00797555" w:rsidRPr="008F1AD8" w:rsidRDefault="00391893" w:rsidP="006420F3">
            <w:pPr>
              <w:spacing w:after="0"/>
              <w:jc w:val="left"/>
              <w:rPr>
                <w:b/>
                <w:color w:val="auto"/>
                <w:sz w:val="20"/>
                <w:szCs w:val="20"/>
              </w:rPr>
            </w:pPr>
            <w:hyperlink r:id="rId16" w:history="1">
              <w:r w:rsidR="00DE4356">
                <w:rPr>
                  <w:rFonts w:ascii="Calibri" w:hAnsi="Calibri"/>
                  <w:color w:val="auto"/>
                  <w:sz w:val="20"/>
                  <w:u w:val="single"/>
                </w:rPr>
                <w:t>http://eur-lex.europa.eu/LexUriServ/LexUriServ.do?uri=CONSLEG:1962R0031:20140101:MT:PDF</w:t>
              </w:r>
            </w:hyperlink>
          </w:p>
        </w:tc>
      </w:tr>
    </w:tbl>
    <w:p w:rsidR="0040145B" w:rsidRDefault="00391893" w:rsidP="002856DA">
      <w:pPr>
        <w:spacing w:after="200" w:line="276" w:lineRule="auto"/>
        <w:jc w:val="left"/>
        <w:rPr>
          <w:color w:val="aut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6"/>
        <w:gridCol w:w="4763"/>
      </w:tblGrid>
      <w:tr w:rsidR="003246E9" w:rsidTr="008F1AD8">
        <w:trPr>
          <w:trHeight w:val="30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97555" w:rsidRPr="009C390E" w:rsidRDefault="00DE4356" w:rsidP="006420F3">
            <w:pPr>
              <w:spacing w:after="0"/>
              <w:jc w:val="left"/>
              <w:rPr>
                <w:i/>
                <w:color w:val="0C4DA2"/>
              </w:rPr>
            </w:pPr>
            <w:r>
              <w:rPr>
                <w:i/>
                <w:color w:val="0C4DA2"/>
              </w:rPr>
              <w:t>IMPENJI</w:t>
            </w:r>
          </w:p>
        </w:tc>
      </w:tr>
      <w:tr w:rsidR="003246E9" w:rsidTr="008F1AD8">
        <w:tc>
          <w:tcPr>
            <w:tcW w:w="2527" w:type="pct"/>
          </w:tcPr>
          <w:p w:rsidR="00797555" w:rsidRPr="008F1AD8" w:rsidRDefault="00DE4356" w:rsidP="006420F3">
            <w:pPr>
              <w:spacing w:after="0"/>
              <w:jc w:val="left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</w:rPr>
              <w:t>Impenn biex ikunu promossi opportunitajiet ugwali:</w:t>
            </w:r>
          </w:p>
          <w:p w:rsidR="00797555" w:rsidRPr="008F1AD8" w:rsidRDefault="00DE4356" w:rsidP="006420F3">
            <w:pPr>
              <w:rPr>
                <w:color w:val="auto"/>
              </w:rPr>
            </w:pPr>
            <w:r>
              <w:rPr>
                <w:color w:val="auto"/>
              </w:rPr>
              <w:t>L-Aġenzija hija impjegatur ta' opportunitajiet ugwali u tħeġġeġ ħafna applikazzjonijiet mill-kandidati kollha li jissodisfaw il-kriterji tal-eliġibbiltà u tal-għażla mingħajr l-ebda distinzjoni, tkun xi tkun, fuq il-bażi ta' nazzjonalità, età, razza, konvinzjoni politika, filosofika jew reliġjuża, sess jew orjentazzjoni sesswali u irrispettivament mid-diżabilitajiet, l-istat taż-żwieġ jew is-sitwazzjoni oħra tal-familja.</w:t>
            </w:r>
          </w:p>
        </w:tc>
        <w:tc>
          <w:tcPr>
            <w:tcW w:w="2473" w:type="pct"/>
          </w:tcPr>
          <w:p w:rsidR="00797555" w:rsidRPr="008F1AD8" w:rsidRDefault="00DE4356" w:rsidP="006420F3">
            <w:pPr>
              <w:spacing w:after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</w:rPr>
              <w:t>Proċedura ta' appell:</w:t>
            </w:r>
          </w:p>
          <w:p w:rsidR="00797555" w:rsidRPr="008F1AD8" w:rsidRDefault="00DE4356" w:rsidP="006420F3">
            <w:pPr>
              <w:rPr>
                <w:color w:val="auto"/>
              </w:rPr>
            </w:pPr>
            <w:r>
              <w:rPr>
                <w:color w:val="auto"/>
              </w:rPr>
              <w:t>Kandidat li jaħseb li sar żball fir-rigward tal-eliġibilità tal-applikazzjoni tiegħu/tagħha jista' jitlob li ssir reviżjoni. Għal dan il-għan, talba għal reviżjoni tista' tiġi sottomessa, fi żmien 20 jum kalendarju mill-email li tkun infurmatu bir-rifjut tal-applikazzjoni tiegħu/tagħha. It-talba għar-reviżjoni għandha tikkwota r-referenza tal-proċedura tal-għażla kkonċernata u għandha ssemmi b'mod ċar il-kriterju/kriterji tal-eliġibilità mitlubin sabiex jerġgħu jiġu kkunsidrati kif ukoll ir-raġunijiet tat-talba għal reviżjoni. Din it-talba għandha tkun indirizzata lill-mailbox dedikat tal-Aġenzija (jobs@era.europa.eu).</w:t>
            </w:r>
          </w:p>
          <w:p w:rsidR="00797555" w:rsidRPr="008F1AD8" w:rsidRDefault="00DE4356" w:rsidP="006420F3">
            <w:pPr>
              <w:rPr>
                <w:color w:val="auto"/>
              </w:rPr>
            </w:pPr>
            <w:r>
              <w:rPr>
                <w:color w:val="auto"/>
              </w:rPr>
              <w:t>Il-kandidat għandu jiġi infurmat, fi 15-il jum kalendarju wara l-wasla tat-talba tiegħu/tagħha, bid-deċiżjoni tal-Kumitat tal-Għażla dwar il-kwistjoni.</w:t>
            </w:r>
          </w:p>
        </w:tc>
      </w:tr>
    </w:tbl>
    <w:p w:rsidR="00797555" w:rsidRDefault="00391893" w:rsidP="0040145B">
      <w:pPr>
        <w:spacing w:after="0" w:line="276" w:lineRule="auto"/>
        <w:jc w:val="left"/>
        <w:rPr>
          <w:color w:val="auto"/>
        </w:rPr>
      </w:pPr>
    </w:p>
    <w:p w:rsidR="0040145B" w:rsidRDefault="00DE4356">
      <w:pPr>
        <w:spacing w:after="200" w:line="276" w:lineRule="auto"/>
        <w:jc w:val="left"/>
        <w:rPr>
          <w:color w:val="auto"/>
        </w:rPr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6"/>
        <w:gridCol w:w="4763"/>
      </w:tblGrid>
      <w:tr w:rsidR="003246E9" w:rsidTr="008F1AD8">
        <w:trPr>
          <w:trHeight w:val="26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97555" w:rsidRPr="009C390E" w:rsidRDefault="00DE4356" w:rsidP="006420F3">
            <w:pPr>
              <w:spacing w:after="0"/>
              <w:jc w:val="left"/>
              <w:rPr>
                <w:i/>
                <w:color w:val="0C4DA2"/>
              </w:rPr>
            </w:pPr>
            <w:r>
              <w:rPr>
                <w:i/>
                <w:color w:val="0C4DA2"/>
              </w:rPr>
              <w:lastRenderedPageBreak/>
              <w:t>PROĊEDURI TA' APPELL U TA' LMENTI</w:t>
            </w:r>
          </w:p>
        </w:tc>
      </w:tr>
      <w:tr w:rsidR="003246E9" w:rsidTr="008F1AD8">
        <w:trPr>
          <w:trHeight w:val="9204"/>
        </w:trPr>
        <w:tc>
          <w:tcPr>
            <w:tcW w:w="2527" w:type="pct"/>
          </w:tcPr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Jekk kandidat jikkunsidra li hu/hi ġie/ġiet affettwat/affettwata b'mod negattiv minn deċiżjoni partikolari, hu/hi jista'/tista' jippreżenta/tippreżenta ilment amministrattiv skont l-Artikolu 90(2) tar-Regolamenti tal-Persunal għall-Uffiċjali u l-Kondizzjonijiet tal-impjieg applikabbli għall-aġenti l-oħra tal-Unjoni Ewropea, fl-indirizz li ġej:</w:t>
            </w:r>
          </w:p>
          <w:p w:rsidR="00797555" w:rsidRPr="008F1AD8" w:rsidRDefault="00391893" w:rsidP="006420F3">
            <w:pPr>
              <w:spacing w:after="0"/>
              <w:rPr>
                <w:color w:val="auto"/>
              </w:rPr>
            </w:pP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Direttur Eżekuttiv</w:t>
            </w: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Aġenzija tal-Unjoni Ewropea għall-Ferroviji (European Union Agency for Railways)</w:t>
            </w: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120, rue Marc Lefrancq</w:t>
            </w: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FR - 59300 Valenciennes</w:t>
            </w:r>
          </w:p>
          <w:p w:rsidR="00797555" w:rsidRPr="008F1AD8" w:rsidRDefault="00391893" w:rsidP="006420F3">
            <w:pPr>
              <w:spacing w:after="0"/>
              <w:rPr>
                <w:color w:val="auto"/>
              </w:rPr>
            </w:pP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L-ilment għandu jiġi ppreżentat fi żmien 3 xhur minn meta l-kandidat jiġi nnotifikat bl-att li affettwa lilu/lilha b'mod negattiv.</w:t>
            </w:r>
          </w:p>
          <w:p w:rsidR="00797555" w:rsidRPr="008F1AD8" w:rsidRDefault="00391893" w:rsidP="006420F3">
            <w:pPr>
              <w:spacing w:after="0"/>
              <w:rPr>
                <w:color w:val="auto"/>
              </w:rPr>
            </w:pP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Jekk l-ilment jiġi rifjutat, il-kandidat jista' jiftaħ kawża skont l-Artikolu 270 tat-Trattat dwar il-Funzjonament tal-Unjoni Ewropea u l-Artikolu 91 tar-Regolamenti tal-Persunal għall-Uffiċjali u l-Kondizzjonijiet tal-Impjieg Applikabbli għall-Aġenti l-Oħra tal-Komunitajiet Ewropej quddiem:</w:t>
            </w:r>
          </w:p>
          <w:p w:rsidR="00797555" w:rsidRPr="008F1AD8" w:rsidRDefault="00391893" w:rsidP="006420F3">
            <w:pPr>
              <w:spacing w:after="0"/>
              <w:rPr>
                <w:color w:val="auto"/>
              </w:rPr>
            </w:pP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It-Tribunal għas-Servizz Pubbliku tal-Unjoni Ewropea (The European Union Civil Service Tribunal)</w:t>
            </w: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Indirizz postali</w:t>
            </w: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L-2925 Luxembourg</w:t>
            </w:r>
          </w:p>
          <w:p w:rsidR="00797555" w:rsidRPr="008F1AD8" w:rsidRDefault="00391893" w:rsidP="006420F3">
            <w:pPr>
              <w:spacing w:after="0"/>
              <w:rPr>
                <w:color w:val="auto"/>
              </w:rPr>
            </w:pPr>
            <w:hyperlink r:id="rId17" w:history="1">
              <w:r w:rsidR="00DE4356">
                <w:rPr>
                  <w:color w:val="auto"/>
                  <w:u w:val="single"/>
                </w:rPr>
                <w:t>http://curia.europa.eu/</w:t>
              </w:r>
            </w:hyperlink>
          </w:p>
          <w:p w:rsidR="00797555" w:rsidRPr="008F1AD8" w:rsidRDefault="00391893" w:rsidP="006420F3">
            <w:pPr>
              <w:spacing w:after="0"/>
              <w:rPr>
                <w:color w:val="auto"/>
              </w:rPr>
            </w:pP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Jekk jogħġbok innota li l-AACC ma għandhiex il-poter li temenda d-deċiżjonijiet tal-Kumitat tal-Għażla. Il-Qorti affermat b'konsistenza li d-diskrezzjoni wiesgħa li jgawdi minnha l-Kumitat tal-Għażla mhijiex soġġetta għal reviżjoni mill-Qorti sakemm regoli li jirregolaw il-proċeduri tal-Kumitat tal-Għażla ma jkunux inkisru.</w:t>
            </w:r>
          </w:p>
        </w:tc>
        <w:tc>
          <w:tcPr>
            <w:tcW w:w="2473" w:type="pct"/>
          </w:tcPr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Huwa wkoll possibbli li wieħed jippreżenta ilment quddiem l-Ombudsman Ewropew skont l-Artikolu 228(1) tat-Trattat dwar il-Funzjonament tal-Unjoni Ewropea u skont il-kondizzjonijiet stipulati fid-Deċiżjoni tal-Parlament Ewropew tad-9 ta' Marzu 1994 dwar ir-regolamenti u l-kondizzjonijiet ġenerali li jirregolaw il-qadi tad-dmirijiet tal-Ombudsman, ippubblikata f'Il-Ġurnal Uffiċjali tal-Unjoni Ewropea L 113 tal-4 ta' Mejju 1994:</w:t>
            </w:r>
          </w:p>
          <w:p w:rsidR="00797555" w:rsidRPr="008F1AD8" w:rsidRDefault="00391893" w:rsidP="006420F3">
            <w:pPr>
              <w:spacing w:after="0"/>
              <w:rPr>
                <w:color w:val="auto"/>
              </w:rPr>
            </w:pP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Ombudsman Ewropew (European Ombudsman)</w:t>
            </w: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1, Avenue du Président Robert Schuman – CS 30403</w:t>
            </w: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FR - 67001 Strasbourg Cedex</w:t>
            </w:r>
          </w:p>
          <w:p w:rsidR="00797555" w:rsidRPr="008F1AD8" w:rsidRDefault="00391893" w:rsidP="006420F3">
            <w:pPr>
              <w:spacing w:after="0"/>
              <w:rPr>
                <w:color w:val="auto"/>
                <w:u w:val="single"/>
              </w:rPr>
            </w:pPr>
            <w:hyperlink r:id="rId18" w:history="1">
              <w:r w:rsidR="00DE4356">
                <w:rPr>
                  <w:color w:val="auto"/>
                  <w:u w:val="single"/>
                </w:rPr>
                <w:t>http://www.ombudsman.europa.eu</w:t>
              </w:r>
            </w:hyperlink>
          </w:p>
          <w:p w:rsidR="00797555" w:rsidRPr="008F1AD8" w:rsidRDefault="00391893" w:rsidP="006420F3">
            <w:pPr>
              <w:spacing w:after="0"/>
              <w:rPr>
                <w:color w:val="auto"/>
                <w:u w:val="single"/>
              </w:rPr>
            </w:pPr>
          </w:p>
          <w:p w:rsidR="00797555" w:rsidRPr="008F1AD8" w:rsidRDefault="00DE4356" w:rsidP="006420F3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Jekk jogħġbok innota li l-ilmenti magħmula lill-Ombudsman m'għandhom l-ebda effett ta' sospensjoni fuq il-perjodu stabbilit fl-Artikoli 90(2) u 91 tar-Regolamenti tal-Persunal għall-Uffiċjali tal-Unjoni Ewropea għall-preżentazzjoni, rispettivament, ta' ilment jew appell quddiem it-Tribunal għas-Servizz Pubbliku tal-Unjoni Ewropea skont l-Artikolu 270 tat-Trattat dwar il-Funzjonament tal-Unjoni Ewropea</w:t>
            </w:r>
          </w:p>
        </w:tc>
      </w:tr>
    </w:tbl>
    <w:p w:rsidR="00797555" w:rsidRDefault="00391893" w:rsidP="00797555">
      <w:pPr>
        <w:spacing w:after="0"/>
        <w:jc w:val="left"/>
        <w:rPr>
          <w:color w:val="auto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6"/>
        <w:gridCol w:w="4763"/>
      </w:tblGrid>
      <w:tr w:rsidR="003246E9" w:rsidTr="008F1AD8">
        <w:trPr>
          <w:trHeight w:val="26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97555" w:rsidRPr="009C390E" w:rsidRDefault="00DE4356" w:rsidP="006420F3">
            <w:pPr>
              <w:spacing w:after="0"/>
              <w:jc w:val="left"/>
              <w:rPr>
                <w:i/>
                <w:color w:val="0C4DA2"/>
              </w:rPr>
            </w:pPr>
            <w:r>
              <w:rPr>
                <w:i/>
                <w:color w:val="0C4DA2"/>
              </w:rPr>
              <w:t>PROTEZZJONI TAD-DATA</w:t>
            </w:r>
          </w:p>
        </w:tc>
      </w:tr>
      <w:tr w:rsidR="003246E9" w:rsidTr="008F1AD8">
        <w:tc>
          <w:tcPr>
            <w:tcW w:w="2527" w:type="pct"/>
          </w:tcPr>
          <w:p w:rsidR="00797555" w:rsidRPr="008F1AD8" w:rsidRDefault="00DE4356" w:rsidP="006420F3">
            <w:pPr>
              <w:rPr>
                <w:color w:val="auto"/>
              </w:rPr>
            </w:pPr>
            <w:r>
              <w:rPr>
                <w:color w:val="auto"/>
              </w:rPr>
              <w:t>L-għan tal-ipproċessar tad-data li inti tissottometti huwa li timmaniġġja l-applikazzjoni tiegħek fid-dawl tal-possibilità ta' selezzjoni minn qabel jew inkarigu fl-Aġenzija.</w:t>
            </w:r>
          </w:p>
          <w:p w:rsidR="00797555" w:rsidRPr="008F1AD8" w:rsidRDefault="00DE4356" w:rsidP="006420F3">
            <w:pPr>
              <w:rPr>
                <w:color w:val="auto"/>
                <w:sz w:val="20"/>
              </w:rPr>
            </w:pPr>
            <w:r>
              <w:rPr>
                <w:color w:val="auto"/>
              </w:rPr>
              <w:t>L-informazzjoni personali li aħna nitolbu mingħandek se tiġi pproċessata f'konformità mar-Regolament (KE) Nru 45/2001 tal-Parlament Ewropew u tal-Kunsill tat-18 ta' Diċembru 2000 dwar il-protezzjoni ta' individwu fir-rigward tal-</w:t>
            </w:r>
            <w:r>
              <w:rPr>
                <w:color w:val="auto"/>
              </w:rPr>
              <w:lastRenderedPageBreak/>
              <w:t>ipproċessar ta' data personali mill-istituzzjonijiet u l-korpi tal-Komunità u dwar il-moviment liberu ta' dik id-data.</w:t>
            </w:r>
          </w:p>
        </w:tc>
        <w:tc>
          <w:tcPr>
            <w:tcW w:w="2473" w:type="pct"/>
          </w:tcPr>
          <w:p w:rsidR="00797555" w:rsidRPr="008F1AD8" w:rsidRDefault="00DE4356" w:rsidP="006420F3">
            <w:pPr>
              <w:spacing w:after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Ara l-link:</w:t>
            </w:r>
          </w:p>
          <w:p w:rsidR="00797555" w:rsidRPr="008F1AD8" w:rsidRDefault="00391893" w:rsidP="006420F3">
            <w:pPr>
              <w:spacing w:after="0"/>
              <w:jc w:val="left"/>
              <w:rPr>
                <w:color w:val="auto"/>
                <w:sz w:val="20"/>
                <w:szCs w:val="20"/>
              </w:rPr>
            </w:pPr>
            <w:hyperlink r:id="rId19" w:history="1">
              <w:r w:rsidR="00DE4356">
                <w:rPr>
                  <w:color w:val="auto"/>
                  <w:sz w:val="20"/>
                  <w:u w:val="single"/>
                </w:rPr>
                <w:t>http://www.era.europa.eu/The-Agency/Jobs/Pages/HR-Privacy-Statement.aspx</w:t>
              </w:r>
            </w:hyperlink>
          </w:p>
          <w:p w:rsidR="00797555" w:rsidRPr="008F1AD8" w:rsidRDefault="00391893" w:rsidP="006420F3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797555" w:rsidRPr="009C390E" w:rsidRDefault="00391893" w:rsidP="00797555">
      <w:pPr>
        <w:spacing w:after="200" w:line="276" w:lineRule="auto"/>
        <w:jc w:val="left"/>
        <w:rPr>
          <w:b/>
          <w:color w:val="auto"/>
          <w:sz w:val="20"/>
          <w:szCs w:val="20"/>
        </w:rPr>
      </w:pPr>
    </w:p>
    <w:sectPr w:rsidR="00797555" w:rsidRPr="009C390E" w:rsidSect="00A050DB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A1A" w:rsidRDefault="00DE4356">
      <w:pPr>
        <w:spacing w:after="0"/>
      </w:pPr>
      <w:r>
        <w:separator/>
      </w:r>
    </w:p>
  </w:endnote>
  <w:endnote w:type="continuationSeparator" w:id="0">
    <w:p w:rsidR="00204A1A" w:rsidRDefault="00DE43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DE4356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 w:rsidR="00391893">
      <w:t>9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2856DA" w:rsidRDefault="00DE4356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2856DA">
      <w:rPr>
        <w:color w:val="004494"/>
        <w:sz w:val="16"/>
      </w:rPr>
      <w:t>120 Rue Marc Lefrancq  |  BP 20392  |  FR-59307 Valenciennes Cedex</w:t>
    </w:r>
    <w:r w:rsidRPr="002856DA">
      <w:tab/>
    </w:r>
    <w:r w:rsidRPr="002856DA">
      <w:rPr>
        <w:color w:val="004494"/>
        <w:sz w:val="16"/>
        <w:szCs w:val="16"/>
      </w:rPr>
      <w:fldChar w:fldCharType="begin"/>
    </w:r>
    <w:r w:rsidRPr="002856DA">
      <w:rPr>
        <w:color w:val="004494"/>
        <w:sz w:val="16"/>
        <w:szCs w:val="16"/>
      </w:rPr>
      <w:instrText xml:space="preserve"> PAGE </w:instrText>
    </w:r>
    <w:r w:rsidRPr="002856DA">
      <w:rPr>
        <w:color w:val="004494"/>
        <w:sz w:val="16"/>
        <w:szCs w:val="16"/>
      </w:rPr>
      <w:fldChar w:fldCharType="separate"/>
    </w:r>
    <w:r w:rsidR="00391893">
      <w:rPr>
        <w:noProof/>
        <w:color w:val="004494"/>
        <w:sz w:val="16"/>
        <w:szCs w:val="16"/>
      </w:rPr>
      <w:t>9</w:t>
    </w:r>
    <w:r w:rsidRPr="002856DA">
      <w:rPr>
        <w:color w:val="004494"/>
        <w:sz w:val="16"/>
        <w:szCs w:val="16"/>
      </w:rPr>
      <w:fldChar w:fldCharType="end"/>
    </w:r>
    <w:r w:rsidRPr="002856DA">
      <w:rPr>
        <w:color w:val="004494"/>
        <w:sz w:val="16"/>
      </w:rPr>
      <w:t xml:space="preserve"> / </w:t>
    </w:r>
    <w:r w:rsidRPr="002856DA">
      <w:rPr>
        <w:color w:val="004494"/>
        <w:sz w:val="16"/>
        <w:szCs w:val="16"/>
      </w:rPr>
      <w:fldChar w:fldCharType="begin"/>
    </w:r>
    <w:r w:rsidRPr="002856DA">
      <w:rPr>
        <w:color w:val="004494"/>
        <w:sz w:val="16"/>
        <w:szCs w:val="16"/>
      </w:rPr>
      <w:instrText xml:space="preserve"> NUMPAGES </w:instrText>
    </w:r>
    <w:r w:rsidRPr="002856DA">
      <w:rPr>
        <w:color w:val="004494"/>
        <w:sz w:val="16"/>
        <w:szCs w:val="16"/>
      </w:rPr>
      <w:fldChar w:fldCharType="separate"/>
    </w:r>
    <w:r w:rsidR="00391893">
      <w:rPr>
        <w:noProof/>
        <w:color w:val="004494"/>
        <w:sz w:val="16"/>
        <w:szCs w:val="16"/>
      </w:rPr>
      <w:t>9</w:t>
    </w:r>
    <w:r w:rsidRPr="002856DA">
      <w:rPr>
        <w:color w:val="004494"/>
        <w:sz w:val="16"/>
        <w:szCs w:val="16"/>
      </w:rPr>
      <w:fldChar w:fldCharType="end"/>
    </w:r>
  </w:p>
  <w:p w:rsidR="00E7154A" w:rsidRPr="002856DA" w:rsidRDefault="00DE4356" w:rsidP="00D2337E">
    <w:pPr>
      <w:tabs>
        <w:tab w:val="right" w:pos="9360"/>
      </w:tabs>
      <w:spacing w:after="0"/>
      <w:ind w:right="-108"/>
    </w:pPr>
    <w:r w:rsidRPr="002856DA">
      <w:rPr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2856DA" w:rsidRDefault="00DE4356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2856DA">
      <w:rPr>
        <w:color w:val="004494"/>
        <w:sz w:val="16"/>
      </w:rPr>
      <w:t xml:space="preserve">120 </w:t>
    </w:r>
    <w:r w:rsidRPr="002856DA">
      <w:rPr>
        <w:color w:val="004494"/>
        <w:sz w:val="16"/>
      </w:rPr>
      <w:t>Rue Marc Lefrancq  |  BP 20392  |  FR-59307 Valenciennes Cedex</w:t>
    </w:r>
    <w:r w:rsidRPr="002856DA">
      <w:tab/>
    </w:r>
    <w:r w:rsidRPr="002856DA">
      <w:rPr>
        <w:color w:val="004494"/>
        <w:sz w:val="16"/>
        <w:szCs w:val="16"/>
      </w:rPr>
      <w:fldChar w:fldCharType="begin"/>
    </w:r>
    <w:r w:rsidRPr="002856DA">
      <w:rPr>
        <w:color w:val="004494"/>
        <w:sz w:val="16"/>
        <w:szCs w:val="16"/>
      </w:rPr>
      <w:instrText xml:space="preserve"> PAGE </w:instrText>
    </w:r>
    <w:r w:rsidRPr="002856DA">
      <w:rPr>
        <w:color w:val="004494"/>
        <w:sz w:val="16"/>
        <w:szCs w:val="16"/>
      </w:rPr>
      <w:fldChar w:fldCharType="separate"/>
    </w:r>
    <w:r w:rsidR="00391893">
      <w:rPr>
        <w:noProof/>
        <w:color w:val="004494"/>
        <w:sz w:val="16"/>
        <w:szCs w:val="16"/>
      </w:rPr>
      <w:t>1</w:t>
    </w:r>
    <w:r w:rsidRPr="002856DA">
      <w:rPr>
        <w:color w:val="004494"/>
        <w:sz w:val="16"/>
        <w:szCs w:val="16"/>
      </w:rPr>
      <w:fldChar w:fldCharType="end"/>
    </w:r>
    <w:r w:rsidRPr="002856DA">
      <w:rPr>
        <w:color w:val="004494"/>
        <w:sz w:val="16"/>
      </w:rPr>
      <w:t xml:space="preserve"> / </w:t>
    </w:r>
    <w:r w:rsidRPr="002856DA">
      <w:rPr>
        <w:color w:val="004494"/>
        <w:sz w:val="16"/>
        <w:szCs w:val="16"/>
      </w:rPr>
      <w:fldChar w:fldCharType="begin"/>
    </w:r>
    <w:r w:rsidRPr="002856DA">
      <w:rPr>
        <w:color w:val="004494"/>
        <w:sz w:val="16"/>
        <w:szCs w:val="16"/>
      </w:rPr>
      <w:instrText xml:space="preserve"> NUMPAGES </w:instrText>
    </w:r>
    <w:r w:rsidRPr="002856DA">
      <w:rPr>
        <w:color w:val="004494"/>
        <w:sz w:val="16"/>
        <w:szCs w:val="16"/>
      </w:rPr>
      <w:fldChar w:fldCharType="separate"/>
    </w:r>
    <w:r w:rsidR="00391893">
      <w:rPr>
        <w:noProof/>
        <w:color w:val="004494"/>
        <w:sz w:val="16"/>
        <w:szCs w:val="16"/>
      </w:rPr>
      <w:t>9</w:t>
    </w:r>
    <w:r w:rsidRPr="002856DA">
      <w:rPr>
        <w:color w:val="004494"/>
        <w:sz w:val="16"/>
        <w:szCs w:val="16"/>
      </w:rPr>
      <w:fldChar w:fldCharType="end"/>
    </w:r>
  </w:p>
  <w:p w:rsidR="00C108F3" w:rsidRPr="002856DA" w:rsidRDefault="00DE4356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2856DA">
      <w:rPr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DE4356" w:rsidP="008B38C0">
      <w:r>
        <w:separator/>
      </w:r>
    </w:p>
  </w:footnote>
  <w:footnote w:type="continuationSeparator" w:id="0">
    <w:p w:rsidR="00DE1316" w:rsidRDefault="00DE4356" w:rsidP="008B38C0">
      <w:r>
        <w:continuationSeparator/>
      </w:r>
    </w:p>
  </w:footnote>
  <w:footnote w:id="1">
    <w:p w:rsidR="00797555" w:rsidRPr="00641BEC" w:rsidRDefault="00DE4356" w:rsidP="008F1AD8">
      <w:pPr>
        <w:pStyle w:val="Footnote"/>
      </w:pPr>
      <w:r>
        <w:rPr>
          <w:rStyle w:val="FootnoteReference"/>
        </w:rPr>
        <w:footnoteRef/>
      </w:r>
      <w:r>
        <w:t xml:space="preserve"> Titoli ta' studji li ngħataw fl-Istati Membri tal-UE jew li huma soġġetti għaċ-ċertifikati ta' ekwivalenza maħruġin mill-awtoritajiet fl-Istati Membri msemmija biss se jiġu kkunsidrati</w:t>
      </w:r>
    </w:p>
  </w:footnote>
  <w:footnote w:id="2">
    <w:p w:rsidR="00797555" w:rsidRPr="00D7407B" w:rsidRDefault="00DE4356" w:rsidP="008F1AD8">
      <w:pPr>
        <w:pStyle w:val="Footnote"/>
      </w:pPr>
      <w:r>
        <w:rPr>
          <w:rStyle w:val="FootnoteReference"/>
        </w:rPr>
        <w:footnoteRef/>
      </w:r>
      <w:r>
        <w:t xml:space="preserve"> </w:t>
      </w:r>
      <w:r>
        <w:t xml:space="preserve">Il-lingwa </w:t>
      </w:r>
      <w:r>
        <w:t xml:space="preserve">materna tiegħek jew lingwa oħra uffiċjali tal-UE li inti għandek għarfien tajjeb tagħha, f'livell li jikkorrispondi għal C1 kif definit fil-Qafas Komuni Ewropew ta' Referenza għal-Lingwi (QKERL) </w:t>
      </w:r>
      <w:hyperlink r:id="rId1" w:history="1">
        <w:r>
          <w:rPr>
            <w:rStyle w:val="Hyperlink"/>
          </w:rPr>
          <w:t>http://europass.cedefop.europa.eu/mt/resources/european-language-levels-cefr</w:t>
        </w:r>
      </w:hyperlink>
    </w:p>
  </w:footnote>
  <w:footnote w:id="3">
    <w:p w:rsidR="00797555" w:rsidRPr="00D7407B" w:rsidRDefault="00DE4356" w:rsidP="008F1AD8">
      <w:pPr>
        <w:pStyle w:val="Footnote"/>
      </w:pPr>
      <w:r>
        <w:rPr>
          <w:rStyle w:val="FootnoteReference"/>
        </w:rPr>
        <w:footnoteRef/>
      </w:r>
      <w:r>
        <w:t xml:space="preserve"> </w:t>
      </w:r>
      <w:r>
        <w:t xml:space="preserve">Għarfien </w:t>
      </w:r>
      <w:r>
        <w:t>tat-tieni lingwa uffiċjali tal-UE tiegħek li jikkorrispondi ma' minn tal-inqas livell B2 kif definit fil-Qafas Komuni Ewropew ta' Referenza għal-Lingwi (QKERL)</w:t>
      </w:r>
    </w:p>
  </w:footnote>
  <w:footnote w:id="4">
    <w:p w:rsidR="00797555" w:rsidRPr="009F726B" w:rsidRDefault="00DE4356" w:rsidP="008F1AD8">
      <w:pPr>
        <w:pStyle w:val="Footnote"/>
      </w:pPr>
      <w:r>
        <w:rPr>
          <w:rStyle w:val="FootnoteReference"/>
        </w:rPr>
        <w:footnoteRef/>
      </w:r>
      <w:r>
        <w:t xml:space="preserve"> </w:t>
      </w:r>
      <w:r>
        <w:t xml:space="preserve">Jekk </w:t>
      </w:r>
      <w:r>
        <w:t>applikabbli</w:t>
      </w:r>
    </w:p>
  </w:footnote>
  <w:footnote w:id="5">
    <w:p w:rsidR="00797555" w:rsidRPr="006116E6" w:rsidRDefault="00DE4356" w:rsidP="008F1AD8">
      <w:pPr>
        <w:pStyle w:val="Footnote"/>
      </w:pPr>
      <w:r>
        <w:rPr>
          <w:rStyle w:val="FootnoteReference"/>
        </w:rPr>
        <w:footnoteRef/>
      </w:r>
      <w:r>
        <w:t xml:space="preserve"> </w:t>
      </w:r>
      <w:r>
        <w:t xml:space="preserve">Qabel </w:t>
      </w:r>
      <w:r>
        <w:t>l-impenn, il-kandidat li jintgħażel se jintalab jipprovdi ċertifikat li jikkonferma n-nuqqas ta' kwalunkwe rekord kriminali</w:t>
      </w:r>
    </w:p>
  </w:footnote>
  <w:footnote w:id="6">
    <w:p w:rsidR="00797555" w:rsidRPr="003B50A5" w:rsidRDefault="00DE4356" w:rsidP="008F1AD8">
      <w:pPr>
        <w:pStyle w:val="Footnote"/>
        <w:rPr>
          <w:color w:val="auto"/>
        </w:rPr>
      </w:pPr>
      <w:r>
        <w:rPr>
          <w:rStyle w:val="FootnoteReference"/>
        </w:rPr>
        <w:footnoteRef/>
      </w:r>
      <w:r>
        <w:t xml:space="preserve"> </w:t>
      </w:r>
      <w:r>
        <w:rPr>
          <w:color w:val="auto"/>
        </w:rPr>
        <w:t xml:space="preserve">Qabel </w:t>
      </w:r>
      <w:r>
        <w:rPr>
          <w:color w:val="auto"/>
        </w:rPr>
        <w:t>l-impenn, il-kandidat magħżul għandu jiġi eżaminat f'ċentru mediku indikat mill-Aġenzija sabiex jiġi kkonfermat li r-rekwiżiti tal-Artikolu 28 (e) tar-Regolament tal-Persunal tal-Uffiċjali u tas-CEOS tal-UE huma ssodisfati</w:t>
      </w:r>
    </w:p>
  </w:footnote>
  <w:footnote w:id="7">
    <w:p w:rsidR="00797555" w:rsidRPr="008F1AD8" w:rsidRDefault="00DE4356" w:rsidP="008F1AD8">
      <w:pPr>
        <w:pStyle w:val="Footnote"/>
      </w:pPr>
      <w:r>
        <w:rPr>
          <w:rStyle w:val="FootnoteReference"/>
        </w:rPr>
        <w:footnoteRef/>
      </w:r>
      <w:r>
        <w:rPr>
          <w:vertAlign w:val="superscript"/>
        </w:rPr>
        <w:t xml:space="preserve"> </w:t>
      </w:r>
      <w:r>
        <w:t xml:space="preserve">Dawk </w:t>
      </w:r>
      <w:r>
        <w:t>il-kandidati li jiksbu punteġġ globali ta’ minn tal-inqas 50 % biss jiġu kkunsidrati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3246E9" w:rsidTr="006C42E9">
      <w:tc>
        <w:tcPr>
          <w:tcW w:w="2132" w:type="pct"/>
          <w:shd w:val="clear" w:color="auto" w:fill="auto"/>
        </w:tcPr>
        <w:p w:rsidR="00A050DB" w:rsidRPr="008803A1" w:rsidRDefault="00DE4356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AĠENZIJA TAL-UNJONI EWROPEA GĦALL-FERROVIJI</w:t>
          </w:r>
        </w:p>
        <w:p w:rsidR="00A050DB" w:rsidRPr="008803A1" w:rsidRDefault="00391893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050DB" w:rsidRPr="002856DA" w:rsidRDefault="00DE4356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2856DA">
            <w:rPr>
              <w:color w:val="004494"/>
              <w:sz w:val="16"/>
            </w:rPr>
            <w:t>Sejħa għall-Applikazzjonijiet TA 2(f)</w:t>
          </w:r>
        </w:p>
        <w:p w:rsidR="00242228" w:rsidRPr="002856DA" w:rsidRDefault="00DE4356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2856DA">
            <w:rPr>
              <w:color w:val="004494"/>
              <w:sz w:val="16"/>
            </w:rPr>
            <w:t>ERA/AD/2016/003-OPE</w:t>
          </w:r>
        </w:p>
        <w:p w:rsidR="00A050DB" w:rsidRPr="002856DA" w:rsidRDefault="00391893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A050DB" w:rsidRDefault="00391893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3246E9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DE4356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arto="http://schemas.microsoft.com/office/word/2006/arto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A050DB" w:rsidRPr="002856DA" w:rsidRDefault="00DE4356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2856DA">
            <w:rPr>
              <w:color w:val="004494"/>
              <w:sz w:val="16"/>
            </w:rPr>
            <w:t xml:space="preserve">Sejħa </w:t>
          </w:r>
          <w:r w:rsidRPr="002856DA">
            <w:rPr>
              <w:color w:val="004494"/>
              <w:sz w:val="16"/>
            </w:rPr>
            <w:t>għall-Applikazzjonijiet TA 2(f)</w:t>
          </w:r>
        </w:p>
        <w:p w:rsidR="00A050DB" w:rsidRPr="002856DA" w:rsidRDefault="00DE4356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2856DA">
            <w:rPr>
              <w:color w:val="004494"/>
              <w:sz w:val="16"/>
            </w:rPr>
            <w:t>ERA/AD/2016/003-OPE</w:t>
          </w:r>
        </w:p>
        <w:p w:rsidR="00A050DB" w:rsidRPr="002856DA" w:rsidRDefault="00391893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2856DA" w:rsidRDefault="00391893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3246E9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DE4356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Nagħmlu s-sistema ferrovjarja </w:t>
          </w:r>
        </w:p>
        <w:p w:rsidR="00A050DB" w:rsidRPr="00A050DB" w:rsidRDefault="00DE4356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taħdem aħjar għas-soċjetà.</w:t>
          </w:r>
        </w:p>
        <w:p w:rsidR="00A050DB" w:rsidRPr="00A050DB" w:rsidRDefault="00391893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391893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391893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90188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E3494" w:tentative="1">
      <w:start w:val="1"/>
      <w:numFmt w:val="lowerLetter"/>
      <w:lvlText w:val="%2."/>
      <w:lvlJc w:val="left"/>
      <w:pPr>
        <w:ind w:left="1440" w:hanging="360"/>
      </w:pPr>
    </w:lvl>
    <w:lvl w:ilvl="2" w:tplc="6CC2B866" w:tentative="1">
      <w:start w:val="1"/>
      <w:numFmt w:val="lowerRoman"/>
      <w:lvlText w:val="%3."/>
      <w:lvlJc w:val="right"/>
      <w:pPr>
        <w:ind w:left="2160" w:hanging="180"/>
      </w:pPr>
    </w:lvl>
    <w:lvl w:ilvl="3" w:tplc="9450373C" w:tentative="1">
      <w:start w:val="1"/>
      <w:numFmt w:val="decimal"/>
      <w:lvlText w:val="%4."/>
      <w:lvlJc w:val="left"/>
      <w:pPr>
        <w:ind w:left="2880" w:hanging="360"/>
      </w:pPr>
    </w:lvl>
    <w:lvl w:ilvl="4" w:tplc="483A5E38" w:tentative="1">
      <w:start w:val="1"/>
      <w:numFmt w:val="lowerLetter"/>
      <w:lvlText w:val="%5."/>
      <w:lvlJc w:val="left"/>
      <w:pPr>
        <w:ind w:left="3600" w:hanging="360"/>
      </w:pPr>
    </w:lvl>
    <w:lvl w:ilvl="5" w:tplc="1944AB4C" w:tentative="1">
      <w:start w:val="1"/>
      <w:numFmt w:val="lowerRoman"/>
      <w:lvlText w:val="%6."/>
      <w:lvlJc w:val="right"/>
      <w:pPr>
        <w:ind w:left="4320" w:hanging="180"/>
      </w:pPr>
    </w:lvl>
    <w:lvl w:ilvl="6" w:tplc="283AC7AC" w:tentative="1">
      <w:start w:val="1"/>
      <w:numFmt w:val="decimal"/>
      <w:lvlText w:val="%7."/>
      <w:lvlJc w:val="left"/>
      <w:pPr>
        <w:ind w:left="5040" w:hanging="360"/>
      </w:pPr>
    </w:lvl>
    <w:lvl w:ilvl="7" w:tplc="A89C1056" w:tentative="1">
      <w:start w:val="1"/>
      <w:numFmt w:val="lowerLetter"/>
      <w:lvlText w:val="%8."/>
      <w:lvlJc w:val="left"/>
      <w:pPr>
        <w:ind w:left="5760" w:hanging="360"/>
      </w:pPr>
    </w:lvl>
    <w:lvl w:ilvl="8" w:tplc="F6907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837"/>
    <w:multiLevelType w:val="hybridMultilevel"/>
    <w:tmpl w:val="02F01E9E"/>
    <w:lvl w:ilvl="0" w:tplc="DC10E3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AB8A5C6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4446BF46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86AE2BFC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C9C28E9A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39B08F1A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78E8D382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D0F60388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C0645BB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203292F"/>
    <w:multiLevelType w:val="hybridMultilevel"/>
    <w:tmpl w:val="F3968950"/>
    <w:lvl w:ilvl="0" w:tplc="F490EF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630E40C" w:tentative="1">
      <w:start w:val="1"/>
      <w:numFmt w:val="lowerLetter"/>
      <w:lvlText w:val="%2."/>
      <w:lvlJc w:val="left"/>
      <w:pPr>
        <w:ind w:left="1440" w:hanging="360"/>
      </w:pPr>
    </w:lvl>
    <w:lvl w:ilvl="2" w:tplc="639EF9FC" w:tentative="1">
      <w:start w:val="1"/>
      <w:numFmt w:val="lowerRoman"/>
      <w:lvlText w:val="%3."/>
      <w:lvlJc w:val="right"/>
      <w:pPr>
        <w:ind w:left="2160" w:hanging="180"/>
      </w:pPr>
    </w:lvl>
    <w:lvl w:ilvl="3" w:tplc="FB849AF8" w:tentative="1">
      <w:start w:val="1"/>
      <w:numFmt w:val="decimal"/>
      <w:lvlText w:val="%4."/>
      <w:lvlJc w:val="left"/>
      <w:pPr>
        <w:ind w:left="2880" w:hanging="360"/>
      </w:pPr>
    </w:lvl>
    <w:lvl w:ilvl="4" w:tplc="A61878B2" w:tentative="1">
      <w:start w:val="1"/>
      <w:numFmt w:val="lowerLetter"/>
      <w:lvlText w:val="%5."/>
      <w:lvlJc w:val="left"/>
      <w:pPr>
        <w:ind w:left="3600" w:hanging="360"/>
      </w:pPr>
    </w:lvl>
    <w:lvl w:ilvl="5" w:tplc="CDCA743A" w:tentative="1">
      <w:start w:val="1"/>
      <w:numFmt w:val="lowerRoman"/>
      <w:lvlText w:val="%6."/>
      <w:lvlJc w:val="right"/>
      <w:pPr>
        <w:ind w:left="4320" w:hanging="180"/>
      </w:pPr>
    </w:lvl>
    <w:lvl w:ilvl="6" w:tplc="71BCB6D4" w:tentative="1">
      <w:start w:val="1"/>
      <w:numFmt w:val="decimal"/>
      <w:lvlText w:val="%7."/>
      <w:lvlJc w:val="left"/>
      <w:pPr>
        <w:ind w:left="5040" w:hanging="360"/>
      </w:pPr>
    </w:lvl>
    <w:lvl w:ilvl="7" w:tplc="96E2E926" w:tentative="1">
      <w:start w:val="1"/>
      <w:numFmt w:val="lowerLetter"/>
      <w:lvlText w:val="%8."/>
      <w:lvlJc w:val="left"/>
      <w:pPr>
        <w:ind w:left="5760" w:hanging="360"/>
      </w:pPr>
    </w:lvl>
    <w:lvl w:ilvl="8" w:tplc="19A07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0762"/>
    <w:multiLevelType w:val="hybridMultilevel"/>
    <w:tmpl w:val="F3220FF4"/>
    <w:lvl w:ilvl="0" w:tplc="A8D2F7B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B5806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0B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24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C5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1A2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1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E5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AA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C627B"/>
    <w:multiLevelType w:val="hybridMultilevel"/>
    <w:tmpl w:val="B692A312"/>
    <w:lvl w:ilvl="0" w:tplc="87148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4CB602" w:tentative="1">
      <w:start w:val="1"/>
      <w:numFmt w:val="lowerLetter"/>
      <w:lvlText w:val="%2."/>
      <w:lvlJc w:val="left"/>
      <w:pPr>
        <w:ind w:left="1440" w:hanging="360"/>
      </w:pPr>
    </w:lvl>
    <w:lvl w:ilvl="2" w:tplc="0F6CFA8E" w:tentative="1">
      <w:start w:val="1"/>
      <w:numFmt w:val="lowerRoman"/>
      <w:lvlText w:val="%3."/>
      <w:lvlJc w:val="right"/>
      <w:pPr>
        <w:ind w:left="2160" w:hanging="180"/>
      </w:pPr>
    </w:lvl>
    <w:lvl w:ilvl="3" w:tplc="A82ACD7A" w:tentative="1">
      <w:start w:val="1"/>
      <w:numFmt w:val="decimal"/>
      <w:lvlText w:val="%4."/>
      <w:lvlJc w:val="left"/>
      <w:pPr>
        <w:ind w:left="2880" w:hanging="360"/>
      </w:pPr>
    </w:lvl>
    <w:lvl w:ilvl="4" w:tplc="656A115E" w:tentative="1">
      <w:start w:val="1"/>
      <w:numFmt w:val="lowerLetter"/>
      <w:lvlText w:val="%5."/>
      <w:lvlJc w:val="left"/>
      <w:pPr>
        <w:ind w:left="3600" w:hanging="360"/>
      </w:pPr>
    </w:lvl>
    <w:lvl w:ilvl="5" w:tplc="7FD0BA38" w:tentative="1">
      <w:start w:val="1"/>
      <w:numFmt w:val="lowerRoman"/>
      <w:lvlText w:val="%6."/>
      <w:lvlJc w:val="right"/>
      <w:pPr>
        <w:ind w:left="4320" w:hanging="180"/>
      </w:pPr>
    </w:lvl>
    <w:lvl w:ilvl="6" w:tplc="AEA0C514" w:tentative="1">
      <w:start w:val="1"/>
      <w:numFmt w:val="decimal"/>
      <w:lvlText w:val="%7."/>
      <w:lvlJc w:val="left"/>
      <w:pPr>
        <w:ind w:left="5040" w:hanging="360"/>
      </w:pPr>
    </w:lvl>
    <w:lvl w:ilvl="7" w:tplc="1A4E784E" w:tentative="1">
      <w:start w:val="1"/>
      <w:numFmt w:val="lowerLetter"/>
      <w:lvlText w:val="%8."/>
      <w:lvlJc w:val="left"/>
      <w:pPr>
        <w:ind w:left="5760" w:hanging="360"/>
      </w:pPr>
    </w:lvl>
    <w:lvl w:ilvl="8" w:tplc="EBEC6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38E5"/>
    <w:multiLevelType w:val="hybridMultilevel"/>
    <w:tmpl w:val="56E0577E"/>
    <w:lvl w:ilvl="0" w:tplc="BDF4E2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1861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E6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44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AF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F05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A9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4B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81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D4C9C"/>
    <w:multiLevelType w:val="hybridMultilevel"/>
    <w:tmpl w:val="149610BC"/>
    <w:lvl w:ilvl="0" w:tplc="C8B67D00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F202E2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E6D2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345A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3C925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9655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812B5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5088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9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9015B1"/>
    <w:multiLevelType w:val="hybridMultilevel"/>
    <w:tmpl w:val="53041D7A"/>
    <w:lvl w:ilvl="0" w:tplc="0DE8D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B082DE" w:tentative="1">
      <w:start w:val="1"/>
      <w:numFmt w:val="lowerLetter"/>
      <w:lvlText w:val="%2."/>
      <w:lvlJc w:val="left"/>
      <w:pPr>
        <w:ind w:left="1440" w:hanging="360"/>
      </w:pPr>
    </w:lvl>
    <w:lvl w:ilvl="2" w:tplc="E198159E" w:tentative="1">
      <w:start w:val="1"/>
      <w:numFmt w:val="lowerRoman"/>
      <w:lvlText w:val="%3."/>
      <w:lvlJc w:val="right"/>
      <w:pPr>
        <w:ind w:left="2160" w:hanging="180"/>
      </w:pPr>
    </w:lvl>
    <w:lvl w:ilvl="3" w:tplc="BBCE480A" w:tentative="1">
      <w:start w:val="1"/>
      <w:numFmt w:val="decimal"/>
      <w:lvlText w:val="%4."/>
      <w:lvlJc w:val="left"/>
      <w:pPr>
        <w:ind w:left="2880" w:hanging="360"/>
      </w:pPr>
    </w:lvl>
    <w:lvl w:ilvl="4" w:tplc="180A8E56" w:tentative="1">
      <w:start w:val="1"/>
      <w:numFmt w:val="lowerLetter"/>
      <w:lvlText w:val="%5."/>
      <w:lvlJc w:val="left"/>
      <w:pPr>
        <w:ind w:left="3600" w:hanging="360"/>
      </w:pPr>
    </w:lvl>
    <w:lvl w:ilvl="5" w:tplc="24704E44" w:tentative="1">
      <w:start w:val="1"/>
      <w:numFmt w:val="lowerRoman"/>
      <w:lvlText w:val="%6."/>
      <w:lvlJc w:val="right"/>
      <w:pPr>
        <w:ind w:left="4320" w:hanging="180"/>
      </w:pPr>
    </w:lvl>
    <w:lvl w:ilvl="6" w:tplc="E7880AA0" w:tentative="1">
      <w:start w:val="1"/>
      <w:numFmt w:val="decimal"/>
      <w:lvlText w:val="%7."/>
      <w:lvlJc w:val="left"/>
      <w:pPr>
        <w:ind w:left="5040" w:hanging="360"/>
      </w:pPr>
    </w:lvl>
    <w:lvl w:ilvl="7" w:tplc="EBB8B98A" w:tentative="1">
      <w:start w:val="1"/>
      <w:numFmt w:val="lowerLetter"/>
      <w:lvlText w:val="%8."/>
      <w:lvlJc w:val="left"/>
      <w:pPr>
        <w:ind w:left="5760" w:hanging="360"/>
      </w:pPr>
    </w:lvl>
    <w:lvl w:ilvl="8" w:tplc="85C68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B4D73"/>
    <w:multiLevelType w:val="hybridMultilevel"/>
    <w:tmpl w:val="00A2921C"/>
    <w:lvl w:ilvl="0" w:tplc="D632D1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C9E880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E0374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32A7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FC0A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6A06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C27A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8086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24E5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572933"/>
    <w:multiLevelType w:val="hybridMultilevel"/>
    <w:tmpl w:val="A85EC4C2"/>
    <w:lvl w:ilvl="0" w:tplc="DDC449A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BE181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4A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6A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29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E2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ED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C2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21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4915"/>
    <w:multiLevelType w:val="hybridMultilevel"/>
    <w:tmpl w:val="E912EF42"/>
    <w:lvl w:ilvl="0" w:tplc="9204179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E444B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8E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A5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0A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02D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CB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25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09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92CF8"/>
    <w:multiLevelType w:val="hybridMultilevel"/>
    <w:tmpl w:val="A4EEF048"/>
    <w:lvl w:ilvl="0" w:tplc="82682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E2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764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E4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ED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CD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67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ED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8A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B167B"/>
    <w:multiLevelType w:val="hybridMultilevel"/>
    <w:tmpl w:val="2722BDA0"/>
    <w:lvl w:ilvl="0" w:tplc="AC34D38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BBCAD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E5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2E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88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08E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A1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61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2F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92361"/>
    <w:multiLevelType w:val="hybridMultilevel"/>
    <w:tmpl w:val="1034DF7A"/>
    <w:lvl w:ilvl="0" w:tplc="84B0FA7A">
      <w:start w:val="1"/>
      <w:numFmt w:val="decimal"/>
      <w:lvlText w:val="%1."/>
      <w:lvlJc w:val="left"/>
      <w:pPr>
        <w:ind w:left="720" w:hanging="360"/>
      </w:pPr>
    </w:lvl>
    <w:lvl w:ilvl="1" w:tplc="A0D21D60">
      <w:start w:val="1"/>
      <w:numFmt w:val="lowerLetter"/>
      <w:lvlText w:val="%2."/>
      <w:lvlJc w:val="left"/>
      <w:pPr>
        <w:ind w:left="1440" w:hanging="360"/>
      </w:pPr>
    </w:lvl>
    <w:lvl w:ilvl="2" w:tplc="6E2CF10C">
      <w:start w:val="1"/>
      <w:numFmt w:val="lowerRoman"/>
      <w:lvlText w:val="%3."/>
      <w:lvlJc w:val="right"/>
      <w:pPr>
        <w:ind w:left="2160" w:hanging="180"/>
      </w:pPr>
    </w:lvl>
    <w:lvl w:ilvl="3" w:tplc="E362EC4C">
      <w:start w:val="1"/>
      <w:numFmt w:val="decimal"/>
      <w:lvlText w:val="%4."/>
      <w:lvlJc w:val="left"/>
      <w:pPr>
        <w:ind w:left="2880" w:hanging="360"/>
      </w:pPr>
    </w:lvl>
    <w:lvl w:ilvl="4" w:tplc="D1AC38A6">
      <w:start w:val="1"/>
      <w:numFmt w:val="lowerLetter"/>
      <w:lvlText w:val="%5."/>
      <w:lvlJc w:val="left"/>
      <w:pPr>
        <w:ind w:left="3600" w:hanging="360"/>
      </w:pPr>
    </w:lvl>
    <w:lvl w:ilvl="5" w:tplc="B8947EBC">
      <w:start w:val="1"/>
      <w:numFmt w:val="lowerRoman"/>
      <w:lvlText w:val="%6."/>
      <w:lvlJc w:val="right"/>
      <w:pPr>
        <w:ind w:left="4320" w:hanging="180"/>
      </w:pPr>
    </w:lvl>
    <w:lvl w:ilvl="6" w:tplc="7F66D116">
      <w:start w:val="1"/>
      <w:numFmt w:val="decimal"/>
      <w:lvlText w:val="%7."/>
      <w:lvlJc w:val="left"/>
      <w:pPr>
        <w:ind w:left="5040" w:hanging="360"/>
      </w:pPr>
    </w:lvl>
    <w:lvl w:ilvl="7" w:tplc="CEDAFCB4">
      <w:start w:val="1"/>
      <w:numFmt w:val="lowerLetter"/>
      <w:lvlText w:val="%8."/>
      <w:lvlJc w:val="left"/>
      <w:pPr>
        <w:ind w:left="5760" w:hanging="360"/>
      </w:pPr>
    </w:lvl>
    <w:lvl w:ilvl="8" w:tplc="3A38C1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23D9A"/>
    <w:multiLevelType w:val="hybridMultilevel"/>
    <w:tmpl w:val="1C46E95A"/>
    <w:lvl w:ilvl="0" w:tplc="5594905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505AE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64D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EE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2C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65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6B9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29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6B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F7103"/>
    <w:multiLevelType w:val="hybridMultilevel"/>
    <w:tmpl w:val="87AEBF2A"/>
    <w:lvl w:ilvl="0" w:tplc="B568D05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25603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66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63E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C5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56C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A7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EC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AB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D5622"/>
    <w:multiLevelType w:val="hybridMultilevel"/>
    <w:tmpl w:val="AD76198A"/>
    <w:lvl w:ilvl="0" w:tplc="3EE42EC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5BF2EF8A" w:tentative="1">
      <w:start w:val="1"/>
      <w:numFmt w:val="lowerLetter"/>
      <w:lvlText w:val="%2."/>
      <w:lvlJc w:val="left"/>
      <w:pPr>
        <w:ind w:left="1630" w:hanging="360"/>
      </w:pPr>
    </w:lvl>
    <w:lvl w:ilvl="2" w:tplc="389C2F48" w:tentative="1">
      <w:start w:val="1"/>
      <w:numFmt w:val="lowerRoman"/>
      <w:lvlText w:val="%3."/>
      <w:lvlJc w:val="right"/>
      <w:pPr>
        <w:ind w:left="2350" w:hanging="180"/>
      </w:pPr>
    </w:lvl>
    <w:lvl w:ilvl="3" w:tplc="6DBE9772" w:tentative="1">
      <w:start w:val="1"/>
      <w:numFmt w:val="decimal"/>
      <w:lvlText w:val="%4."/>
      <w:lvlJc w:val="left"/>
      <w:pPr>
        <w:ind w:left="3070" w:hanging="360"/>
      </w:pPr>
    </w:lvl>
    <w:lvl w:ilvl="4" w:tplc="715E8B00" w:tentative="1">
      <w:start w:val="1"/>
      <w:numFmt w:val="lowerLetter"/>
      <w:lvlText w:val="%5."/>
      <w:lvlJc w:val="left"/>
      <w:pPr>
        <w:ind w:left="3790" w:hanging="360"/>
      </w:pPr>
    </w:lvl>
    <w:lvl w:ilvl="5" w:tplc="0A128F7E" w:tentative="1">
      <w:start w:val="1"/>
      <w:numFmt w:val="lowerRoman"/>
      <w:lvlText w:val="%6."/>
      <w:lvlJc w:val="right"/>
      <w:pPr>
        <w:ind w:left="4510" w:hanging="180"/>
      </w:pPr>
    </w:lvl>
    <w:lvl w:ilvl="6" w:tplc="40DA5F16" w:tentative="1">
      <w:start w:val="1"/>
      <w:numFmt w:val="decimal"/>
      <w:lvlText w:val="%7."/>
      <w:lvlJc w:val="left"/>
      <w:pPr>
        <w:ind w:left="5230" w:hanging="360"/>
      </w:pPr>
    </w:lvl>
    <w:lvl w:ilvl="7" w:tplc="60DC4002" w:tentative="1">
      <w:start w:val="1"/>
      <w:numFmt w:val="lowerLetter"/>
      <w:lvlText w:val="%8."/>
      <w:lvlJc w:val="left"/>
      <w:pPr>
        <w:ind w:left="5950" w:hanging="360"/>
      </w:pPr>
    </w:lvl>
    <w:lvl w:ilvl="8" w:tplc="EEBC482E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7" w15:restartNumberingAfterBreak="0">
    <w:nsid w:val="7FA00296"/>
    <w:multiLevelType w:val="hybridMultilevel"/>
    <w:tmpl w:val="BB645A52"/>
    <w:lvl w:ilvl="0" w:tplc="0BAC21F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66C2A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0AF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4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831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08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4A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C1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22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8"/>
  </w:num>
  <w:num w:numId="5">
    <w:abstractNumId w:val="17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0"/>
  </w:num>
  <w:num w:numId="11">
    <w:abstractNumId w:val="9"/>
  </w:num>
  <w:num w:numId="12">
    <w:abstractNumId w:val="14"/>
  </w:num>
  <w:num w:numId="13">
    <w:abstractNumId w:val="3"/>
  </w:num>
  <w:num w:numId="14">
    <w:abstractNumId w:val="15"/>
  </w:num>
  <w:num w:numId="15">
    <w:abstractNumId w:val="6"/>
  </w:num>
  <w:num w:numId="16">
    <w:abstractNumId w:val="1"/>
  </w:num>
  <w:num w:numId="17">
    <w:abstractNumId w:val="1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E9"/>
    <w:rsid w:val="00204A1A"/>
    <w:rsid w:val="003246E9"/>
    <w:rsid w:val="00391893"/>
    <w:rsid w:val="00957587"/>
    <w:rsid w:val="00D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34777-62B9-4C05-B486-41B343B1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E37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mt-MT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mt-MT" w:eastAsia="mt-MT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mt-MT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mt-MT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mt-MT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mt-MT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mt-MT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mt-MT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mt-MT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mt-M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mt-MT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mt-MT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ra.europa.eu/" TargetMode="External"/><Relationship Id="rId18" Type="http://schemas.openxmlformats.org/officeDocument/2006/relationships/hyperlink" Target="http://www.ombudsman.europa.e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curia.europa.e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eur-lex.europa.eu/LexUriServ/LexUriServ.do?uri=CONSLEG:1962R0031:20140101:MT: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23" Type="http://schemas.openxmlformats.org/officeDocument/2006/relationships/header" Target="header2.xml"/><Relationship Id="rId15" Type="http://schemas.openxmlformats.org/officeDocument/2006/relationships/hyperlink" Target="mailto:jobs@era.europa.eu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era.europa.eu/The-Agency/Jobs/Pages/HR-Privacy-Statement.aspx" TargetMode="External"/><Relationship Id="rId22" Type="http://schemas.openxmlformats.org/officeDocument/2006/relationships/footer" Target="footer2.xml"/><Relationship Id="rId9" Type="http://schemas.openxmlformats.org/officeDocument/2006/relationships/settings" Target="settings.xml"/><Relationship Id="rId14" Type="http://schemas.openxmlformats.org/officeDocument/2006/relationships/hyperlink" Target="http://europass.cedefop.europa.eu/mt/documents/curriculum-vitae/templates-instruc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mt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81ECDE6A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6B0C6-234E-4778-AB0C-39EC7ADD6D76}"/>
</file>

<file path=customXml/itemProps2.xml><?xml version="1.0" encoding="utf-8"?>
<ds:datastoreItem xmlns:ds="http://schemas.openxmlformats.org/officeDocument/2006/customXml" ds:itemID="{451F742A-3758-4E38-A3BB-678DFFFCBFAF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677400-A8C5-49CD-B6C1-63D9D7CF17CD}"/>
</file>

<file path=docProps/app.xml><?xml version="1.0" encoding="utf-8"?>
<Properties xmlns="http://schemas.openxmlformats.org/officeDocument/2006/extended-properties" xmlns:vt="http://schemas.openxmlformats.org/officeDocument/2006/docPropsVTypes">
  <Template>81ECDE6A.htm</Template>
  <TotalTime>2</TotalTime>
  <Pages>9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19709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4</cp:revision>
  <cp:lastPrinted>2016-12-07T16:11:00Z</cp:lastPrinted>
  <dcterms:created xsi:type="dcterms:W3CDTF">2016-12-07T15:31:00Z</dcterms:created>
  <dcterms:modified xsi:type="dcterms:W3CDTF">2016-12-07T16:11:00Z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