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colors1.xml" ContentType="application/vnd.ms-office.chartcolorstyle+xml"/>
  <Override PartName="/word/charts/chart/colors2.xml" ContentType="application/vnd.ms-office.chartcolorstyle+xml"/>
  <Override PartName="/word/charts/chart/colors3.xml" ContentType="application/vnd.ms-office.chartcolorstyle+xml"/>
  <Override PartName="/word/charts/chart/colors4.xml" ContentType="application/vnd.ms-office.chartcolorstyle+xml"/>
  <Override PartName="/word/charts/chart/colors5.xml" ContentType="application/vnd.ms-office.chartcolorstyle+xml"/>
  <Override PartName="/word/charts/chart/colors6.xml" ContentType="application/vnd.ms-office.chartcolorstyle+xml"/>
  <Override PartName="/word/charts/chart/colors7.xml" ContentType="application/vnd.ms-office.chartcolorstyle+xml"/>
  <Override PartName="/word/charts/chart/style1.xml" ContentType="application/vnd.ms-office.chartstyle+xml"/>
  <Override PartName="/word/charts/chart/style2.xml" ContentType="application/vnd.ms-office.chartstyle+xml"/>
  <Override PartName="/word/charts/chart/style3.xml" ContentType="application/vnd.ms-office.chartstyle+xml"/>
  <Override PartName="/word/charts/chart/style4.xml" ContentType="application/vnd.ms-office.chartstyle+xml"/>
  <Override PartName="/word/charts/chart/style5.xml" ContentType="application/vnd.ms-office.chartstyle+xml"/>
  <Override PartName="/word/charts/chart/style6.xml" ContentType="application/vnd.ms-office.chartstyle+xml"/>
  <Override PartName="/word/charts/chart/style7.xml" ContentType="application/vnd.ms-office.chartstyle+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sdt>
      <w:sdtPr>
        <w:id w:val="197600580"/>
        <w:docPartObj>
          <w:docPartGallery w:val="Cover Pages"/>
          <w:docPartUnique/>
        </w:docPartObj>
      </w:sdtPr>
      <w:sdtContent>
        <w:p w:rsidR="000517C6" w:rsidRPr="006547D7" w14:paraId="685BFEBD" w14:textId="77777777">
          <w:r w:rsidRPr="006547D7">
            <w:rPr>
              <w:noProof/>
              <w:lang w:val="en-US" w:eastAsia="zh-CN" w:bidi="mn-Mong-CN"/>
            </w:rPr>
            <mc:AlternateContent>
              <mc:Choice Requires="wpg">
                <w:drawing>
                  <wp:anchor distT="0" distB="0" distL="114300" distR="114300" simplePos="0" relativeHeight="251664384" behindDoc="0" locked="0" layoutInCell="1" allowOverlap="1">
                    <wp:simplePos x="0" y="0"/>
                    <wp:positionH relativeFrom="page">
                      <wp:align>center</wp:align>
                    </wp:positionH>
                    <mc:AlternateContent xmlns:mc="http://schemas.openxmlformats.org/markup-compatibility/2006">
                      <mc:Choice xmlns:c14="http://schemas.microsoft.com/office/drawing/2007/8/2/chart" Requires="c14">
                        <wp:positionV relativeFrom="page">
                          <wp14:pctPosVOffset>2300</wp14:pctPosVOffset>
                        </wp:positionV>
                      </mc:Choice>
                      <mc:Fallback>
                        <wp:positionV relativeFrom="page">
                          <wp:posOffset>245919</wp:posOffset>
                        </wp:positionV>
                      </mc:Fallback>
                    </mc:AlternateContent>
                    <wp:extent cx="7112982" cy="1291843"/>
                    <wp:effectExtent l="0" t="0" r="1270" b="1905"/>
                    <wp:wrapNone/>
                    <wp:docPr id="149" name="Skupina 149"/>
                    <wp:cNvGraphicFramePr/>
                    <a:graphic xmlns:a="http://schemas.openxmlformats.org/drawingml/2006/main">
                      <a:graphicData uri="http://schemas.microsoft.com/office/word/2010/wordprocessingGroup">
                        <wpg:wgp xmlns:wpg="http://schemas.microsoft.com/office/word/2010/wordprocessingGroup">
                          <wpg:cNvGrpSpPr/>
                          <wpg:grpSpPr>
                            <a:xfrm>
                              <a:off x="0" y="0"/>
                              <a:ext cx="7112982" cy="1291843"/>
                              <a:chOff x="0" y="-1"/>
                              <a:chExt cx="7315200" cy="1216153"/>
                            </a:xfrm>
                          </wpg:grpSpPr>
                          <wps:wsp xmlns:wps="http://schemas.microsoft.com/office/word/2010/wordprocessingShape">
                            <wps:cNvPr id="150" name="Pravokotni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fill="norm" h="1129665" w="7312660" stroke="1">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xmlns:wps="http://schemas.microsoft.com/office/word/2010/wordprocessingShape">
                            <wps:cNvPr id="151" name="Pravokotnik 151"/>
                            <wps:cNvSpPr/>
                            <wps:spPr>
                              <a:xfrm>
                                <a:off x="0" y="0"/>
                                <a:ext cx="7315200" cy="1216152"/>
                              </a:xfrm>
                              <a:prstGeom prst="rect">
                                <a:avLst/>
                              </a:prstGeom>
                              <a:blipFill>
                                <a:blip xmlns:r="http://schemas.openxmlformats.org/officeDocument/2006/relationships" r:embed="rId6"/>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wgp>
                      </a:graphicData>
                    </a:graphic>
                    <wp14:sizeRelH relativeFrom="page">
                      <wp14:pctWidth>94100</wp14:pctWidth>
                    </wp14:sizeRelH>
                    <wp14:sizeRelV relativeFrom="page">
                      <wp14:pctHeight>12100</wp14:pctHeight>
                    </wp14:sizeRelV>
                  </wp:anchor>
                </w:drawing>
              </mc:Choice>
              <mc:Fallback>
                <w:pict>
                  <v:group id="Skupina 149" o:spid="_x0000_s1025" style="width:8in;height:95.7pt;margin-top:0;margin-left:0;mso-height-percent:121;mso-position-horizontal:center;mso-position-horizontal-relative:page;mso-position-vertical-relative:page;mso-top-percent:23;mso-width-percent:941;position:absolute;z-index:251665408" coordsize="73152,12161">
                    <v:shape id="Pravokotnik 51" o:spid="_x0000_s1026" style="width:73152;height:11303;mso-wrap-style:square;position:absolute;visibility:visible;v-text-anchor:middle" coordsize="7312660,1129665" path="m,l7312660,l7312660,1129665l3619500,733425,,1091565,,xe" fillcolor="#5b9bd5" stroked="f" strokeweight="1pt">
                      <v:stroke joinstyle="miter"/>
                      <v:path arrowok="t" o:connecttype="custom" o:connectlocs="0,0;7315200,0;7315200,1130373;3620757,733885;0,1092249;0,0" o:connectangles="0,0,0,0,0,0"/>
                    </v:shape>
                    <v:rect id="Pravokotnik 151" o:spid="_x0000_s1027" style="width:73152;height:12161;mso-wrap-style:square;position:absolute;visibility:visible;v-text-anchor:middle" stroked="f" strokeweight="1pt">
                      <v:fill r:id="rId6" o:title="" recolor="t" rotate="t" type="frame"/>
                    </v:rect>
                  </v:group>
                </w:pict>
              </mc:Fallback>
            </mc:AlternateContent>
          </w:r>
          <w:r w:rsidRPr="006547D7">
            <w:rPr>
              <w:noProof/>
              <w:lang w:val="en-US" w:eastAsia="zh-CN" w:bidi="mn-Mong-CN"/>
            </w:rPr>
            <mc:AlternateContent>
              <mc:Choice Requires="wps">
                <w:drawing>
                  <wp:anchor distT="0" distB="0" distL="114300" distR="114300" simplePos="0" relativeHeight="251662336" behindDoc="0" locked="0" layoutInCell="1" allowOverlap="1">
                    <wp:simplePos x="0" y="0"/>
                    <wp:positionH relativeFrom="page">
                      <wp:align>center</wp:align>
                    </wp:positionH>
                    <mc:AlternateContent xmlns:mc="http://schemas.openxmlformats.org/markup-compatibility/2006">
                      <mc:Choice xmlns:c14="http://schemas.microsoft.com/office/drawing/2007/8/2/chart" Requires="c14">
                        <wp:positionV relativeFrom="page">
                          <wp14:pctPosVOffset>70000</wp14:pctPosVOffset>
                        </wp:positionV>
                      </mc:Choice>
                      <mc:Fallback>
                        <wp:positionV relativeFrom="page">
                          <wp:posOffset>7484491</wp:posOffset>
                        </wp:positionV>
                      </mc:Fallback>
                    </mc:AlternateContent>
                    <wp:extent cx="7114252" cy="1069213"/>
                    <wp:effectExtent l="0" t="0" r="0" b="0"/>
                    <wp:wrapSquare wrapText="bothSides"/>
                    <wp:docPr id="153" name="Polje z besedilom 153"/>
                    <wp:cNvGraphicFramePr/>
                    <a:graphic xmlns:a="http://schemas.openxmlformats.org/drawingml/2006/main">
                      <a:graphicData uri="http://schemas.microsoft.com/office/word/2010/wordprocessingShape">
                        <wps:wsp xmlns:wps="http://schemas.microsoft.com/office/word/2010/wordprocessingShape">
                          <wps:cNvSpPr txBox="1"/>
                          <wps:spPr>
                            <a:xfrm>
                              <a:off x="0" y="0"/>
                              <a:ext cx="7114252" cy="10692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6A9B" w:rsidRPr="006547D7" w:rsidP="00506242" w14:textId="77777777">
                                <w:pPr>
                                  <w:pStyle w:val="Heading2"/>
                                  <w:jc w:val="right"/>
                                </w:pPr>
                                <w:r w:rsidRPr="006547D7">
                                  <w:t>Public Agency of the Republic of Slovenia for Railway Transport</w:t>
                                </w:r>
                              </w:p>
                              <w:p w:rsidR="002C6A9B" w:rsidRPr="006547D7" w:rsidP="00506242" w14:textId="77777777">
                                <w:pPr>
                                  <w:pStyle w:val="Heading2"/>
                                  <w:jc w:val="right"/>
                                  <w:rPr>
                                    <w:lang w:val="es-ES_tradnl"/>
                                  </w:rPr>
                                </w:pPr>
                                <w:r w:rsidRPr="006547D7">
                                  <w:rPr>
                                    <w:lang w:val="es-ES_tradnl"/>
                                  </w:rPr>
                                  <w:t>Kopitarjeva</w:t>
                                </w:r>
                                <w:r w:rsidRPr="006547D7">
                                  <w:rPr>
                                    <w:lang w:val="es-ES_tradnl"/>
                                  </w:rPr>
                                  <w:t xml:space="preserve"> </w:t>
                                </w:r>
                                <w:r w:rsidRPr="006547D7">
                                  <w:rPr>
                                    <w:lang w:val="es-ES_tradnl"/>
                                  </w:rPr>
                                  <w:t>ulica</w:t>
                                </w:r>
                                <w:r w:rsidRPr="006547D7">
                                  <w:rPr>
                                    <w:lang w:val="es-ES_tradnl"/>
                                  </w:rPr>
                                  <w:t xml:space="preserve"> 5, 2000 </w:t>
                                </w:r>
                                <w:r w:rsidRPr="006547D7">
                                  <w:rPr>
                                    <w:lang w:val="es-ES_tradnl"/>
                                  </w:rPr>
                                  <w:t>Maribor</w:t>
                                </w:r>
                              </w:p>
                              <w:p w:rsidR="002C6A9B" w:rsidRPr="006547D7" w:rsidP="00506242" w14:textId="77777777">
                                <w:pPr>
                                  <w:pStyle w:val="Heading2"/>
                                  <w:jc w:val="right"/>
                                  <w:rPr>
                                    <w:lang w:val="es-ES_tradnl"/>
                                  </w:rPr>
                                </w:pPr>
                                <w:r w:rsidRPr="006547D7">
                                  <w:rPr>
                                    <w:lang w:val="es-ES_tradnl"/>
                                  </w:rPr>
                                  <w:t>Phone</w:t>
                                </w:r>
                                <w:r w:rsidRPr="006547D7">
                                  <w:rPr>
                                    <w:lang w:val="es-ES_tradnl"/>
                                  </w:rPr>
                                  <w:t>: +386 (0)2 234 14 27</w:t>
                                </w:r>
                              </w:p>
                              <w:p w:rsidR="002C6A9B" w:rsidRPr="006547D7" w:rsidP="00506242" w14:textId="77777777">
                                <w:pPr>
                                  <w:pStyle w:val="Heading2"/>
                                  <w:jc w:val="right"/>
                                  <w:rPr>
                                    <w:lang w:val="es-ES_tradnl"/>
                                  </w:rPr>
                                </w:pPr>
                                <w:r w:rsidRPr="006547D7">
                                  <w:rPr>
                                    <w:lang w:val="es-ES_tradnl"/>
                                  </w:rPr>
                                  <w:t>Fax: +386 (0)2 234 14 52</w:t>
                                </w:r>
                              </w:p>
                              <w:p w:rsidR="002C6A9B" w:rsidRPr="006547D7" w:rsidP="00506242" w14:textId="77777777">
                                <w:pPr>
                                  <w:pStyle w:val="Heading2"/>
                                  <w:jc w:val="right"/>
                                </w:pPr>
                                <w:r w:rsidRPr="006547D7">
                                  <w:t>Email: gp.azp@azp.si</w:t>
                                </w:r>
                              </w:p>
                              <w:p w:rsidR="002C6A9B" w:rsidRPr="006547D7" w:rsidP="00506242" w14:textId="77777777">
                                <w:pPr>
                                  <w:pStyle w:val="Heading2"/>
                                  <w:jc w:val="right"/>
                                </w:pPr>
                                <w:r w:rsidRPr="006547D7">
                                  <w:t>www.azp.si</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id="_x0000_t202" coordsize="21600,21600" o:spt="202" path="m,l,21600r21600,l21600,xe">
                    <v:stroke joinstyle="miter"/>
                    <v:path gradientshapeok="t" o:connecttype="rect"/>
                  </v:shapetype>
                  <v:shape id="Polje z besedilom 153" o:spid="_x0000_s1028" type="#_x0000_t202" style="width:560.2pt;height:84.2pt;margin-top:0;margin-left:0;mso-height-percent:100;mso-height-relative:page;mso-position-horizontal:center;mso-position-horizontal-relative:page;mso-position-vertical-relative:page;mso-top-percent:700;mso-width-percent:941;mso-width-relative:page;mso-wrap-distance-bottom:0;mso-wrap-distance-left:9pt;mso-wrap-distance-right:9pt;mso-wrap-distance-top:0;mso-wrap-style:square;position:absolute;visibility:visible;v-text-anchor:top;z-index:251663360" filled="f" stroked="f" strokeweight="0.5pt">
                    <v:textbox style="mso-fit-shape-to-text:t" inset="126pt,0,54pt,0">
                      <w:txbxContent>
                        <w:p w:rsidR="002C6A9B" w:rsidRPr="006547D7" w:rsidP="00506242" w14:paraId="73726A4E" w14:textId="77777777">
                          <w:pPr>
                            <w:pStyle w:val="Heading2"/>
                            <w:jc w:val="right"/>
                          </w:pPr>
                          <w:r w:rsidRPr="006547D7">
                            <w:t>Public Agency of the Republic of Slovenia for Railway Transport</w:t>
                          </w:r>
                        </w:p>
                        <w:p w:rsidR="002C6A9B" w:rsidRPr="006547D7" w:rsidP="00506242" w14:paraId="07652FC5" w14:textId="77777777">
                          <w:pPr>
                            <w:pStyle w:val="Heading2"/>
                            <w:jc w:val="right"/>
                            <w:rPr>
                              <w:lang w:val="es-ES_tradnl"/>
                            </w:rPr>
                          </w:pPr>
                          <w:r w:rsidRPr="006547D7">
                            <w:rPr>
                              <w:lang w:val="es-ES_tradnl"/>
                            </w:rPr>
                            <w:t>Kopitarjeva</w:t>
                          </w:r>
                          <w:r w:rsidRPr="006547D7">
                            <w:rPr>
                              <w:lang w:val="es-ES_tradnl"/>
                            </w:rPr>
                            <w:t xml:space="preserve"> </w:t>
                          </w:r>
                          <w:r w:rsidRPr="006547D7">
                            <w:rPr>
                              <w:lang w:val="es-ES_tradnl"/>
                            </w:rPr>
                            <w:t>ulica</w:t>
                          </w:r>
                          <w:r w:rsidRPr="006547D7">
                            <w:rPr>
                              <w:lang w:val="es-ES_tradnl"/>
                            </w:rPr>
                            <w:t xml:space="preserve"> 5, 2000 </w:t>
                          </w:r>
                          <w:r w:rsidRPr="006547D7">
                            <w:rPr>
                              <w:lang w:val="es-ES_tradnl"/>
                            </w:rPr>
                            <w:t>Maribor</w:t>
                          </w:r>
                        </w:p>
                        <w:p w:rsidR="002C6A9B" w:rsidRPr="006547D7" w:rsidP="00506242" w14:paraId="4FE64EBD" w14:textId="77777777">
                          <w:pPr>
                            <w:pStyle w:val="Heading2"/>
                            <w:jc w:val="right"/>
                            <w:rPr>
                              <w:lang w:val="es-ES_tradnl"/>
                            </w:rPr>
                          </w:pPr>
                          <w:r w:rsidRPr="006547D7">
                            <w:rPr>
                              <w:lang w:val="es-ES_tradnl"/>
                            </w:rPr>
                            <w:t>Phone</w:t>
                          </w:r>
                          <w:r w:rsidRPr="006547D7">
                            <w:rPr>
                              <w:lang w:val="es-ES_tradnl"/>
                            </w:rPr>
                            <w:t>: +386 (0)2 234 14 27</w:t>
                          </w:r>
                        </w:p>
                        <w:p w:rsidR="002C6A9B" w:rsidRPr="006547D7" w:rsidP="00506242" w14:paraId="51678F03" w14:textId="77777777">
                          <w:pPr>
                            <w:pStyle w:val="Heading2"/>
                            <w:jc w:val="right"/>
                            <w:rPr>
                              <w:lang w:val="es-ES_tradnl"/>
                            </w:rPr>
                          </w:pPr>
                          <w:r w:rsidRPr="006547D7">
                            <w:rPr>
                              <w:lang w:val="es-ES_tradnl"/>
                            </w:rPr>
                            <w:t>Fax: +386 (0)2 234 14 52</w:t>
                          </w:r>
                        </w:p>
                        <w:p w:rsidR="002C6A9B" w:rsidRPr="006547D7" w:rsidP="00506242" w14:paraId="0CE64494" w14:textId="77777777">
                          <w:pPr>
                            <w:pStyle w:val="Heading2"/>
                            <w:jc w:val="right"/>
                          </w:pPr>
                          <w:r w:rsidRPr="006547D7">
                            <w:t>Email: gp.azp@azp.si</w:t>
                          </w:r>
                        </w:p>
                        <w:p w:rsidR="002C6A9B" w:rsidRPr="006547D7" w:rsidP="00506242" w14:paraId="78E1971D" w14:textId="77777777">
                          <w:pPr>
                            <w:pStyle w:val="Heading2"/>
                            <w:jc w:val="right"/>
                          </w:pPr>
                          <w:r w:rsidRPr="006547D7">
                            <w:t>www.azp.si</w:t>
                          </w:r>
                        </w:p>
                      </w:txbxContent>
                    </v:textbox>
                    <w10:wrap type="square"/>
                  </v:shape>
                </w:pict>
              </mc:Fallback>
            </mc:AlternateContent>
          </w:r>
        </w:p>
        <w:p w:rsidR="000517C6" w:rsidRPr="006547D7" w14:paraId="2C488DED" w14:textId="77777777">
          <w:r w:rsidRPr="006547D7">
            <w:rPr>
              <w:noProof/>
              <w:lang w:val="en-US" w:eastAsia="zh-CN" w:bidi="mn-Mong-CN"/>
            </w:rPr>
            <mc:AlternateContent>
              <mc:Choice Requires="wps">
                <w:drawing>
                  <wp:anchor distT="0" distB="0" distL="114300" distR="114300" simplePos="0" relativeHeight="251660288" behindDoc="0" locked="0" layoutInCell="1" allowOverlap="1">
                    <wp:simplePos x="0" y="0"/>
                    <wp:positionH relativeFrom="margin">
                      <wp:posOffset>-605790</wp:posOffset>
                    </wp:positionH>
                    <wp:positionV relativeFrom="margin">
                      <wp:posOffset>7997190</wp:posOffset>
                    </wp:positionV>
                    <wp:extent cx="7048500" cy="1028700"/>
                    <wp:effectExtent l="0" t="0" r="0" b="0"/>
                    <wp:wrapSquare wrapText="bothSides"/>
                    <wp:docPr id="152" name="Polje z besedilom 152"/>
                    <wp:cNvGraphicFramePr/>
                    <a:graphic xmlns:a="http://schemas.openxmlformats.org/drawingml/2006/main">
                      <a:graphicData uri="http://schemas.microsoft.com/office/word/2010/wordprocessingShape">
                        <wps:wsp xmlns:wps="http://schemas.microsoft.com/office/word/2010/wordprocessingShape">
                          <wps:cNvSpPr txBox="1"/>
                          <wps:spPr>
                            <a:xfrm>
                              <a:off x="0" y="0"/>
                              <a:ext cx="7048500" cy="1028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6A9B" w:rsidRPr="006547D7" w:rsidP="00506242" w14:textId="77777777">
                                <w:pPr>
                                  <w:jc w:val="right"/>
                                </w:pPr>
                                <w:r w:rsidRPr="006547D7">
                                  <w:t>CDT</w:t>
                                </w:r>
                              </w:p>
                              <w:p w:rsidR="002C6A9B" w:rsidRPr="006547D7" w:rsidP="00506242" w14:textId="77777777">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Polje z besedilom 152" o:spid="_x0000_s1029" type="#_x0000_t202" style="width:555pt;height:81pt;margin-top:629.7pt;margin-left:-47.7pt;mso-height-percent:0;mso-height-relative:page;mso-position-horizontal-relative:margin;mso-position-vertical-relative:margin;mso-width-percent:0;mso-width-relative:page;mso-wrap-distance-bottom:0;mso-wrap-distance-left:9pt;mso-wrap-distance-right:9pt;mso-wrap-distance-top:0;mso-wrap-style:square;position:absolute;visibility:visible;v-text-anchor:bottom;z-index:251661312" filled="f" stroked="f" strokeweight="0.5pt">
                    <v:textbox inset="126pt,0,54pt,0">
                      <w:txbxContent>
                        <w:p w:rsidR="002C6A9B" w:rsidRPr="006547D7" w:rsidP="00506242" w14:paraId="1E43D7E6" w14:textId="77777777">
                          <w:pPr>
                            <w:jc w:val="right"/>
                          </w:pPr>
                          <w:r w:rsidRPr="006547D7">
                            <w:t>CDT</w:t>
                          </w:r>
                        </w:p>
                        <w:p w:rsidR="002C6A9B" w:rsidRPr="006547D7" w:rsidP="00506242" w14:paraId="2BBE4AC1" w14:textId="77777777">
                          <w:pPr>
                            <w:pStyle w:val="NoSpacing"/>
                            <w:jc w:val="right"/>
                            <w:rPr>
                              <w:color w:val="595959" w:themeColor="text1" w:themeTint="A6"/>
                              <w:sz w:val="18"/>
                              <w:szCs w:val="18"/>
                            </w:rPr>
                          </w:pPr>
                        </w:p>
                      </w:txbxContent>
                    </v:textbox>
                    <w10:wrap type="square"/>
                  </v:shape>
                </w:pict>
              </mc:Fallback>
            </mc:AlternateContent>
          </w:r>
          <w:r w:rsidRPr="006547D7">
            <w:rPr>
              <w:noProof/>
              <w:lang w:val="en-US" w:eastAsia="zh-CN" w:bidi="mn-Mong-C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ge">
                      <wp:posOffset>2673985</wp:posOffset>
                    </wp:positionV>
                    <wp:extent cx="7114252" cy="3876163"/>
                    <wp:effectExtent l="0" t="0" r="0" b="5080"/>
                    <wp:wrapSquare wrapText="bothSides"/>
                    <wp:docPr id="154" name="Polje z besedilom 154"/>
                    <wp:cNvGraphicFramePr/>
                    <a:graphic xmlns:a="http://schemas.openxmlformats.org/drawingml/2006/main">
                      <a:graphicData uri="http://schemas.microsoft.com/office/word/2010/wordprocessingShape">
                        <wps:wsp xmlns:wps="http://schemas.microsoft.com/office/word/2010/wordprocessingShape">
                          <wps:cNvSpPr txBox="1"/>
                          <wps:spPr>
                            <a:xfrm>
                              <a:off x="0" y="0"/>
                              <a:ext cx="7114252" cy="38761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6A9B" w:rsidRPr="006547D7" w14:textId="77777777">
                                <w:pPr>
                                  <w:jc w:val="right"/>
                                  <w:rPr>
                                    <w:color w:val="5B9BD5" w:themeColor="accent1"/>
                                    <w:sz w:val="64"/>
                                    <w:szCs w:val="64"/>
                                  </w:rPr>
                                </w:pPr>
                                <w:r w:rsidRPr="006547D7">
                                  <w:rPr>
                                    <w:caps/>
                                    <w:color w:val="5B9BD5" w:themeColor="accent1"/>
                                    <w:sz w:val="64"/>
                                  </w:rPr>
                                  <w:t>2017 Annual Safety Report</w:t>
                                </w:r>
                              </w:p>
                              <w:p w:rsidR="002C6A9B" w:rsidRPr="006547D7" w14:textId="77777777">
                                <w:pPr>
                                  <w:jc w:val="right"/>
                                  <w:rPr>
                                    <w:smallCaps/>
                                    <w:color w:val="404040" w:themeColor="text1" w:themeTint="BF"/>
                                    <w:sz w:val="36"/>
                                    <w:szCs w:val="36"/>
                                  </w:rPr>
                                </w:pPr>
                                <w:r w:rsidRPr="006547D7">
                                  <w:rPr>
                                    <w:color w:val="404040" w:themeColor="text1" w:themeTint="BF"/>
                                    <w:sz w:val="36"/>
                                  </w:rPr>
                                  <w:t>Annual report on the safety of the public railway infrastructure in the Republic of Slovenia</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wps:bodyPr>
                        </wps:wsp>
                      </a:graphicData>
                    </a:graphic>
                    <wp14:sizeRelH relativeFrom="page">
                      <wp14:pctWidth>94100</wp14:pctWidth>
                    </wp14:sizeRelH>
                    <wp14:sizeRelV relativeFrom="page">
                      <wp14:pctHeight>36300</wp14:pctHeight>
                    </wp14:sizeRelV>
                  </wp:anchor>
                </w:drawing>
              </mc:Choice>
              <mc:Fallback>
                <w:pict>
                  <v:shape id="Polje z besedilom 154" o:spid="_x0000_s1030" type="#_x0000_t202" style="width:560.2pt;height:305.2pt;margin-top:210.55pt;margin-left:0;mso-height-percent:363;mso-height-relative:page;mso-position-horizontal:center;mso-position-horizontal-relative:margin;mso-position-vertical-relative:page;mso-width-percent:941;mso-width-relative:page;mso-wrap-distance-bottom:0;mso-wrap-distance-left:9pt;mso-wrap-distance-right:9pt;mso-wrap-distance-top:0;mso-wrap-style:square;position:absolute;visibility:visible;v-text-anchor:bottom;z-index:251659264" filled="f" stroked="f" strokeweight="0.5pt">
                    <v:textbox inset="126pt,0,54pt,0">
                      <w:txbxContent>
                        <w:p w:rsidR="002C6A9B" w:rsidRPr="006547D7" w14:paraId="34F2BC6B" w14:textId="77777777">
                          <w:pPr>
                            <w:jc w:val="right"/>
                            <w:rPr>
                              <w:color w:val="5B9BD5" w:themeColor="accent1"/>
                              <w:sz w:val="64"/>
                              <w:szCs w:val="64"/>
                            </w:rPr>
                          </w:pPr>
                          <w:r w:rsidRPr="006547D7">
                            <w:rPr>
                              <w:caps/>
                              <w:color w:val="5B9BD5" w:themeColor="accent1"/>
                              <w:sz w:val="64"/>
                            </w:rPr>
                            <w:t>2017 Annual Safety Report</w:t>
                          </w:r>
                        </w:p>
                        <w:p w:rsidR="002C6A9B" w:rsidRPr="006547D7" w14:paraId="5F3314B5" w14:textId="77777777">
                          <w:pPr>
                            <w:jc w:val="right"/>
                            <w:rPr>
                              <w:smallCaps/>
                              <w:color w:val="404040" w:themeColor="text1" w:themeTint="BF"/>
                              <w:sz w:val="36"/>
                              <w:szCs w:val="36"/>
                            </w:rPr>
                          </w:pPr>
                          <w:r w:rsidRPr="006547D7">
                            <w:rPr>
                              <w:color w:val="404040" w:themeColor="text1" w:themeTint="BF"/>
                              <w:sz w:val="36"/>
                            </w:rPr>
                            <w:t>Annual report on the safety of the public railway infrastructure in the Republic of Slovenia</w:t>
                          </w:r>
                        </w:p>
                      </w:txbxContent>
                    </v:textbox>
                    <w10:wrap type="square"/>
                  </v:shape>
                </w:pict>
              </mc:Fallback>
            </mc:AlternateContent>
          </w:r>
          <w:r w:rsidRPr="006547D7">
            <w:br w:type="page"/>
          </w:r>
        </w:p>
      </w:sdtContent>
    </w:sdt>
    <w:sdt>
      <w:sdtPr>
        <w:rPr>
          <w:rFonts w:asciiTheme="minorHAnsi" w:eastAsiaTheme="minorHAnsi" w:hAnsiTheme="minorHAnsi" w:cstheme="minorBidi"/>
          <w:b w:val="0"/>
          <w:bCs w:val="0"/>
          <w:color w:val="595959" w:themeColor="text1" w:themeTint="A6"/>
          <w:kern w:val="20"/>
          <w:sz w:val="20"/>
          <w:szCs w:val="20"/>
        </w:rPr>
        <w:id w:val="-1449082066"/>
        <w:docPartObj>
          <w:docPartGallery w:val="Table of Contents"/>
          <w:docPartUnique/>
        </w:docPartObj>
      </w:sdtPr>
      <w:sdtEndPr>
        <w:rPr>
          <w:color w:val="auto"/>
          <w:kern w:val="0"/>
          <w:sz w:val="22"/>
          <w:szCs w:val="22"/>
        </w:rPr>
      </w:sdtEndPr>
      <w:sdtContent>
        <w:p w:rsidR="0005448D" w:rsidRPr="006547D7" w:rsidP="0005448D" w14:paraId="76797AD6" w14:textId="77777777">
          <w:pPr>
            <w:pStyle w:val="TOCHeading"/>
            <w:spacing w:before="0" w:after="360" w:line="240" w:lineRule="auto"/>
            <w:ind w:hanging="284"/>
            <w:rPr>
              <w:rStyle w:val="Heading1Char"/>
            </w:rPr>
          </w:pPr>
          <w:r w:rsidRPr="006547D7">
            <w:rPr>
              <w:rStyle w:val="Heading1Char"/>
            </w:rPr>
            <w:t>Table of contents</w:t>
          </w:r>
        </w:p>
        <w:p w:rsidR="006E0475" w14:paraId="23C1DF84" w14:textId="77777777">
          <w:pPr>
            <w:pStyle w:val="TOC1"/>
            <w:tabs>
              <w:tab w:val="left" w:pos="440"/>
              <w:tab w:val="right" w:leader="underscore" w:pos="9062"/>
            </w:tabs>
            <w:rPr>
              <w:rFonts w:eastAsiaTheme="minorEastAsia"/>
              <w:noProof/>
              <w:color w:val="auto"/>
              <w:kern w:val="0"/>
              <w:sz w:val="22"/>
              <w:szCs w:val="28"/>
              <w:lang w:val="en-US" w:eastAsia="zh-CN" w:bidi="mn-Mong-CN"/>
            </w:rPr>
          </w:pPr>
          <w:bookmarkStart w:id="0" w:name="_GoBack"/>
          <w:bookmarkEnd w:id="0"/>
          <w:r w:rsidRPr="006547D7">
            <w:rPr>
              <w:sz w:val="22"/>
              <w:szCs w:val="22"/>
            </w:rPr>
            <w:fldChar w:fldCharType="begin"/>
          </w:r>
          <w:r w:rsidRPr="006547D7">
            <w:rPr>
              <w:sz w:val="22"/>
              <w:szCs w:val="22"/>
            </w:rPr>
            <w:instrText xml:space="preserve"> TOC \o "1-1" \h \z \u </w:instrText>
          </w:r>
          <w:r w:rsidRPr="006547D7">
            <w:rPr>
              <w:sz w:val="22"/>
              <w:szCs w:val="22"/>
            </w:rPr>
            <w:fldChar w:fldCharType="separate"/>
          </w:r>
          <w:hyperlink w:anchor="_Toc528759583" w:history="1">
            <w:r w:rsidRPr="00570ED5">
              <w:rPr>
                <w:rStyle w:val="Hyperlink"/>
                <w:noProof/>
              </w:rPr>
              <w:t>A.</w:t>
            </w:r>
            <w:r>
              <w:rPr>
                <w:rFonts w:eastAsiaTheme="minorEastAsia"/>
                <w:noProof/>
                <w:color w:val="auto"/>
                <w:kern w:val="0"/>
                <w:sz w:val="22"/>
                <w:szCs w:val="28"/>
                <w:lang w:val="en-US" w:eastAsia="zh-CN" w:bidi="mn-Mong-CN"/>
              </w:rPr>
              <w:tab/>
            </w:r>
            <w:r w:rsidRPr="00570ED5">
              <w:rPr>
                <w:rStyle w:val="Hyperlink"/>
                <w:noProof/>
              </w:rPr>
              <w:t>Introduction</w:t>
            </w:r>
            <w:r>
              <w:rPr>
                <w:noProof/>
                <w:webHidden/>
              </w:rPr>
              <w:tab/>
            </w:r>
            <w:r>
              <w:rPr>
                <w:noProof/>
                <w:webHidden/>
              </w:rPr>
              <w:fldChar w:fldCharType="begin"/>
            </w:r>
            <w:r>
              <w:rPr>
                <w:noProof/>
                <w:webHidden/>
              </w:rPr>
              <w:instrText xml:space="preserve"> PAGEREF _Toc528759583 \h </w:instrText>
            </w:r>
            <w:r>
              <w:rPr>
                <w:noProof/>
                <w:webHidden/>
              </w:rPr>
              <w:fldChar w:fldCharType="separate"/>
            </w:r>
            <w:r>
              <w:rPr>
                <w:noProof/>
                <w:webHidden/>
              </w:rPr>
              <w:t>2</w:t>
            </w:r>
            <w:r>
              <w:rPr>
                <w:noProof/>
                <w:webHidden/>
              </w:rPr>
              <w:fldChar w:fldCharType="end"/>
            </w:r>
          </w:hyperlink>
        </w:p>
        <w:p w:rsidR="006E0475" w14:paraId="5FA89BB9" w14:textId="77777777">
          <w:pPr>
            <w:pStyle w:val="TOC1"/>
            <w:tabs>
              <w:tab w:val="left" w:pos="440"/>
              <w:tab w:val="right" w:leader="underscore" w:pos="9062"/>
            </w:tabs>
            <w:rPr>
              <w:rFonts w:eastAsiaTheme="minorEastAsia"/>
              <w:noProof/>
              <w:color w:val="auto"/>
              <w:kern w:val="0"/>
              <w:sz w:val="22"/>
              <w:szCs w:val="28"/>
              <w:lang w:val="en-US" w:eastAsia="zh-CN" w:bidi="mn-Mong-CN"/>
            </w:rPr>
          </w:pPr>
          <w:hyperlink w:anchor="_Toc528759584" w:history="1">
            <w:r w:rsidRPr="00570ED5">
              <w:rPr>
                <w:rStyle w:val="Hyperlink"/>
                <w:noProof/>
              </w:rPr>
              <w:t>B.</w:t>
            </w:r>
            <w:r>
              <w:rPr>
                <w:rFonts w:eastAsiaTheme="minorEastAsia"/>
                <w:noProof/>
                <w:color w:val="auto"/>
                <w:kern w:val="0"/>
                <w:sz w:val="22"/>
                <w:szCs w:val="28"/>
                <w:lang w:val="en-US" w:eastAsia="zh-CN" w:bidi="mn-Mong-CN"/>
              </w:rPr>
              <w:tab/>
            </w:r>
            <w:r w:rsidRPr="00570ED5">
              <w:rPr>
                <w:rStyle w:val="Hyperlink"/>
                <w:noProof/>
              </w:rPr>
              <w:t>General safety performance and strategy</w:t>
            </w:r>
            <w:r>
              <w:rPr>
                <w:noProof/>
                <w:webHidden/>
              </w:rPr>
              <w:tab/>
            </w:r>
            <w:r>
              <w:rPr>
                <w:noProof/>
                <w:webHidden/>
              </w:rPr>
              <w:fldChar w:fldCharType="begin"/>
            </w:r>
            <w:r>
              <w:rPr>
                <w:noProof/>
                <w:webHidden/>
              </w:rPr>
              <w:instrText xml:space="preserve"> PAGEREF _Toc528759584 \h </w:instrText>
            </w:r>
            <w:r>
              <w:rPr>
                <w:noProof/>
                <w:webHidden/>
              </w:rPr>
              <w:fldChar w:fldCharType="separate"/>
            </w:r>
            <w:r>
              <w:rPr>
                <w:noProof/>
                <w:webHidden/>
              </w:rPr>
              <w:t>3</w:t>
            </w:r>
            <w:r>
              <w:rPr>
                <w:noProof/>
                <w:webHidden/>
              </w:rPr>
              <w:fldChar w:fldCharType="end"/>
            </w:r>
          </w:hyperlink>
        </w:p>
        <w:p w:rsidR="006E0475" w14:paraId="626B0111" w14:textId="77777777">
          <w:pPr>
            <w:pStyle w:val="TOC1"/>
            <w:tabs>
              <w:tab w:val="left" w:pos="440"/>
              <w:tab w:val="right" w:leader="underscore" w:pos="9062"/>
            </w:tabs>
            <w:rPr>
              <w:rFonts w:eastAsiaTheme="minorEastAsia"/>
              <w:noProof/>
              <w:color w:val="auto"/>
              <w:kern w:val="0"/>
              <w:sz w:val="22"/>
              <w:szCs w:val="28"/>
              <w:lang w:val="en-US" w:eastAsia="zh-CN" w:bidi="mn-Mong-CN"/>
            </w:rPr>
          </w:pPr>
          <w:hyperlink w:anchor="_Toc528759585" w:history="1">
            <w:r w:rsidRPr="00570ED5">
              <w:rPr>
                <w:rStyle w:val="Hyperlink"/>
                <w:noProof/>
              </w:rPr>
              <w:t>C.</w:t>
            </w:r>
            <w:r>
              <w:rPr>
                <w:rFonts w:eastAsiaTheme="minorEastAsia"/>
                <w:noProof/>
                <w:color w:val="auto"/>
                <w:kern w:val="0"/>
                <w:sz w:val="22"/>
                <w:szCs w:val="28"/>
                <w:lang w:val="en-US" w:eastAsia="zh-CN" w:bidi="mn-Mong-CN"/>
              </w:rPr>
              <w:tab/>
            </w:r>
            <w:r w:rsidRPr="00570ED5">
              <w:rPr>
                <w:rStyle w:val="Hyperlink"/>
                <w:noProof/>
              </w:rPr>
              <w:t>Developments in safety performance</w:t>
            </w:r>
            <w:r>
              <w:rPr>
                <w:noProof/>
                <w:webHidden/>
              </w:rPr>
              <w:tab/>
            </w:r>
            <w:r>
              <w:rPr>
                <w:noProof/>
                <w:webHidden/>
              </w:rPr>
              <w:fldChar w:fldCharType="begin"/>
            </w:r>
            <w:r>
              <w:rPr>
                <w:noProof/>
                <w:webHidden/>
              </w:rPr>
              <w:instrText xml:space="preserve"> PAGEREF _Toc528759585 \h </w:instrText>
            </w:r>
            <w:r>
              <w:rPr>
                <w:noProof/>
                <w:webHidden/>
              </w:rPr>
              <w:fldChar w:fldCharType="separate"/>
            </w:r>
            <w:r>
              <w:rPr>
                <w:noProof/>
                <w:webHidden/>
              </w:rPr>
              <w:t>6</w:t>
            </w:r>
            <w:r>
              <w:rPr>
                <w:noProof/>
                <w:webHidden/>
              </w:rPr>
              <w:fldChar w:fldCharType="end"/>
            </w:r>
          </w:hyperlink>
        </w:p>
        <w:p w:rsidR="006E0475" w14:paraId="3E14C27E" w14:textId="77777777">
          <w:pPr>
            <w:pStyle w:val="TOC1"/>
            <w:tabs>
              <w:tab w:val="left" w:pos="440"/>
              <w:tab w:val="right" w:leader="underscore" w:pos="9062"/>
            </w:tabs>
            <w:rPr>
              <w:rFonts w:eastAsiaTheme="minorEastAsia"/>
              <w:noProof/>
              <w:color w:val="auto"/>
              <w:kern w:val="0"/>
              <w:sz w:val="22"/>
              <w:szCs w:val="28"/>
              <w:lang w:val="en-US" w:eastAsia="zh-CN" w:bidi="mn-Mong-CN"/>
            </w:rPr>
          </w:pPr>
          <w:hyperlink w:anchor="_Toc528759586" w:history="1">
            <w:r w:rsidRPr="00570ED5">
              <w:rPr>
                <w:rStyle w:val="Hyperlink"/>
                <w:noProof/>
              </w:rPr>
              <w:t>D.</w:t>
            </w:r>
            <w:r>
              <w:rPr>
                <w:rFonts w:eastAsiaTheme="minorEastAsia"/>
                <w:noProof/>
                <w:color w:val="auto"/>
                <w:kern w:val="0"/>
                <w:sz w:val="22"/>
                <w:szCs w:val="28"/>
                <w:lang w:val="en-US" w:eastAsia="zh-CN" w:bidi="mn-Mong-CN"/>
              </w:rPr>
              <w:tab/>
            </w:r>
            <w:r w:rsidRPr="00570ED5">
              <w:rPr>
                <w:rStyle w:val="Hyperlink"/>
                <w:noProof/>
              </w:rPr>
              <w:t>Supervision</w:t>
            </w:r>
            <w:r>
              <w:rPr>
                <w:noProof/>
                <w:webHidden/>
              </w:rPr>
              <w:tab/>
            </w:r>
            <w:r>
              <w:rPr>
                <w:noProof/>
                <w:webHidden/>
              </w:rPr>
              <w:fldChar w:fldCharType="begin"/>
            </w:r>
            <w:r>
              <w:rPr>
                <w:noProof/>
                <w:webHidden/>
              </w:rPr>
              <w:instrText xml:space="preserve"> PAGEREF _Toc528759586 \h </w:instrText>
            </w:r>
            <w:r>
              <w:rPr>
                <w:noProof/>
                <w:webHidden/>
              </w:rPr>
              <w:fldChar w:fldCharType="separate"/>
            </w:r>
            <w:r>
              <w:rPr>
                <w:noProof/>
                <w:webHidden/>
              </w:rPr>
              <w:t>13</w:t>
            </w:r>
            <w:r>
              <w:rPr>
                <w:noProof/>
                <w:webHidden/>
              </w:rPr>
              <w:fldChar w:fldCharType="end"/>
            </w:r>
          </w:hyperlink>
        </w:p>
        <w:p w:rsidR="006E0475" w14:paraId="3D762308" w14:textId="77777777">
          <w:pPr>
            <w:pStyle w:val="TOC1"/>
            <w:tabs>
              <w:tab w:val="left" w:pos="440"/>
              <w:tab w:val="right" w:leader="underscore" w:pos="9062"/>
            </w:tabs>
            <w:rPr>
              <w:rFonts w:eastAsiaTheme="minorEastAsia"/>
              <w:noProof/>
              <w:color w:val="auto"/>
              <w:kern w:val="0"/>
              <w:sz w:val="22"/>
              <w:szCs w:val="28"/>
              <w:lang w:val="en-US" w:eastAsia="zh-CN" w:bidi="mn-Mong-CN"/>
            </w:rPr>
          </w:pPr>
          <w:hyperlink w:anchor="_Toc528759587" w:history="1">
            <w:r w:rsidRPr="00570ED5">
              <w:rPr>
                <w:rStyle w:val="Hyperlink"/>
                <w:noProof/>
              </w:rPr>
              <w:t>E.</w:t>
            </w:r>
            <w:r>
              <w:rPr>
                <w:rFonts w:eastAsiaTheme="minorEastAsia"/>
                <w:noProof/>
                <w:color w:val="auto"/>
                <w:kern w:val="0"/>
                <w:sz w:val="22"/>
                <w:szCs w:val="28"/>
                <w:lang w:val="en-US" w:eastAsia="zh-CN" w:bidi="mn-Mong-CN"/>
              </w:rPr>
              <w:tab/>
            </w:r>
            <w:r w:rsidRPr="00570ED5">
              <w:rPr>
                <w:rStyle w:val="Hyperlink"/>
                <w:noProof/>
              </w:rPr>
              <w:t>Safety certification and authorisation</w:t>
            </w:r>
            <w:r>
              <w:rPr>
                <w:noProof/>
                <w:webHidden/>
              </w:rPr>
              <w:tab/>
            </w:r>
            <w:r>
              <w:rPr>
                <w:noProof/>
                <w:webHidden/>
              </w:rPr>
              <w:fldChar w:fldCharType="begin"/>
            </w:r>
            <w:r>
              <w:rPr>
                <w:noProof/>
                <w:webHidden/>
              </w:rPr>
              <w:instrText xml:space="preserve"> PAGEREF _Toc528759587 \h </w:instrText>
            </w:r>
            <w:r>
              <w:rPr>
                <w:noProof/>
                <w:webHidden/>
              </w:rPr>
              <w:fldChar w:fldCharType="separate"/>
            </w:r>
            <w:r>
              <w:rPr>
                <w:noProof/>
                <w:webHidden/>
              </w:rPr>
              <w:t>15</w:t>
            </w:r>
            <w:r>
              <w:rPr>
                <w:noProof/>
                <w:webHidden/>
              </w:rPr>
              <w:fldChar w:fldCharType="end"/>
            </w:r>
          </w:hyperlink>
        </w:p>
        <w:p w:rsidR="006E0475" w14:paraId="782AB9C7" w14:textId="77777777">
          <w:pPr>
            <w:pStyle w:val="TOC1"/>
            <w:tabs>
              <w:tab w:val="left" w:pos="440"/>
              <w:tab w:val="right" w:leader="underscore" w:pos="9062"/>
            </w:tabs>
            <w:rPr>
              <w:rFonts w:eastAsiaTheme="minorEastAsia"/>
              <w:noProof/>
              <w:color w:val="auto"/>
              <w:kern w:val="0"/>
              <w:sz w:val="22"/>
              <w:szCs w:val="28"/>
              <w:lang w:val="en-US" w:eastAsia="zh-CN" w:bidi="mn-Mong-CN"/>
            </w:rPr>
          </w:pPr>
          <w:hyperlink w:anchor="_Toc528759588" w:history="1">
            <w:r w:rsidRPr="00570ED5">
              <w:rPr>
                <w:rStyle w:val="Hyperlink"/>
                <w:noProof/>
              </w:rPr>
              <w:t>F.</w:t>
            </w:r>
            <w:r>
              <w:rPr>
                <w:rFonts w:eastAsiaTheme="minorEastAsia"/>
                <w:noProof/>
                <w:color w:val="auto"/>
                <w:kern w:val="0"/>
                <w:sz w:val="22"/>
                <w:szCs w:val="28"/>
                <w:lang w:val="en-US" w:eastAsia="zh-CN" w:bidi="mn-Mong-CN"/>
              </w:rPr>
              <w:tab/>
            </w:r>
            <w:r w:rsidRPr="00570ED5">
              <w:rPr>
                <w:rStyle w:val="Hyperlink"/>
                <w:noProof/>
              </w:rPr>
              <w:t>Changes in legislation</w:t>
            </w:r>
            <w:r>
              <w:rPr>
                <w:noProof/>
                <w:webHidden/>
              </w:rPr>
              <w:tab/>
            </w:r>
            <w:r>
              <w:rPr>
                <w:noProof/>
                <w:webHidden/>
              </w:rPr>
              <w:fldChar w:fldCharType="begin"/>
            </w:r>
            <w:r>
              <w:rPr>
                <w:noProof/>
                <w:webHidden/>
              </w:rPr>
              <w:instrText xml:space="preserve"> PAGEREF _Toc528759588 \h </w:instrText>
            </w:r>
            <w:r>
              <w:rPr>
                <w:noProof/>
                <w:webHidden/>
              </w:rPr>
              <w:fldChar w:fldCharType="separate"/>
            </w:r>
            <w:r>
              <w:rPr>
                <w:noProof/>
                <w:webHidden/>
              </w:rPr>
              <w:t>16</w:t>
            </w:r>
            <w:r>
              <w:rPr>
                <w:noProof/>
                <w:webHidden/>
              </w:rPr>
              <w:fldChar w:fldCharType="end"/>
            </w:r>
          </w:hyperlink>
        </w:p>
        <w:p w:rsidR="006E0475" w14:paraId="1A25F943" w14:textId="77777777">
          <w:pPr>
            <w:pStyle w:val="TOC1"/>
            <w:tabs>
              <w:tab w:val="left" w:pos="440"/>
              <w:tab w:val="right" w:leader="underscore" w:pos="9062"/>
            </w:tabs>
            <w:rPr>
              <w:rFonts w:eastAsiaTheme="minorEastAsia"/>
              <w:noProof/>
              <w:color w:val="auto"/>
              <w:kern w:val="0"/>
              <w:sz w:val="22"/>
              <w:szCs w:val="28"/>
              <w:lang w:val="en-US" w:eastAsia="zh-CN" w:bidi="mn-Mong-CN"/>
            </w:rPr>
          </w:pPr>
          <w:hyperlink w:anchor="_Toc528759589" w:history="1">
            <w:r w:rsidRPr="00570ED5">
              <w:rPr>
                <w:rStyle w:val="Hyperlink"/>
                <w:noProof/>
              </w:rPr>
              <w:t>G.</w:t>
            </w:r>
            <w:r>
              <w:rPr>
                <w:rFonts w:eastAsiaTheme="minorEastAsia"/>
                <w:noProof/>
                <w:color w:val="auto"/>
                <w:kern w:val="0"/>
                <w:sz w:val="22"/>
                <w:szCs w:val="28"/>
                <w:lang w:val="en-US" w:eastAsia="zh-CN" w:bidi="mn-Mong-CN"/>
              </w:rPr>
              <w:tab/>
            </w:r>
            <w:r w:rsidRPr="00570ED5">
              <w:rPr>
                <w:rStyle w:val="Hyperlink"/>
                <w:noProof/>
              </w:rPr>
              <w:t>Application of the CSM for risk evaluation and assessment</w:t>
            </w:r>
            <w:r>
              <w:rPr>
                <w:noProof/>
                <w:webHidden/>
              </w:rPr>
              <w:tab/>
            </w:r>
            <w:r>
              <w:rPr>
                <w:noProof/>
                <w:webHidden/>
              </w:rPr>
              <w:fldChar w:fldCharType="begin"/>
            </w:r>
            <w:r>
              <w:rPr>
                <w:noProof/>
                <w:webHidden/>
              </w:rPr>
              <w:instrText xml:space="preserve"> PAGEREF _Toc528759589 \h </w:instrText>
            </w:r>
            <w:r>
              <w:rPr>
                <w:noProof/>
                <w:webHidden/>
              </w:rPr>
              <w:fldChar w:fldCharType="separate"/>
            </w:r>
            <w:r>
              <w:rPr>
                <w:noProof/>
                <w:webHidden/>
              </w:rPr>
              <w:t>17</w:t>
            </w:r>
            <w:r>
              <w:rPr>
                <w:noProof/>
                <w:webHidden/>
              </w:rPr>
              <w:fldChar w:fldCharType="end"/>
            </w:r>
          </w:hyperlink>
        </w:p>
        <w:p w:rsidR="006E0475" w14:paraId="3DD83D75" w14:textId="77777777">
          <w:pPr>
            <w:pStyle w:val="TOC1"/>
            <w:tabs>
              <w:tab w:val="left" w:pos="440"/>
              <w:tab w:val="right" w:leader="underscore" w:pos="9062"/>
            </w:tabs>
            <w:rPr>
              <w:rFonts w:eastAsiaTheme="minorEastAsia"/>
              <w:noProof/>
              <w:color w:val="auto"/>
              <w:kern w:val="0"/>
              <w:sz w:val="22"/>
              <w:szCs w:val="28"/>
              <w:lang w:val="en-US" w:eastAsia="zh-CN" w:bidi="mn-Mong-CN"/>
            </w:rPr>
          </w:pPr>
          <w:hyperlink w:anchor="_Toc528759590" w:history="1">
            <w:r w:rsidRPr="00570ED5">
              <w:rPr>
                <w:rStyle w:val="Hyperlink"/>
                <w:noProof/>
              </w:rPr>
              <w:t>H.</w:t>
            </w:r>
            <w:r>
              <w:rPr>
                <w:rFonts w:eastAsiaTheme="minorEastAsia"/>
                <w:noProof/>
                <w:color w:val="auto"/>
                <w:kern w:val="0"/>
                <w:sz w:val="22"/>
                <w:szCs w:val="28"/>
                <w:lang w:val="en-US" w:eastAsia="zh-CN" w:bidi="mn-Mong-CN"/>
              </w:rPr>
              <w:tab/>
            </w:r>
            <w:r w:rsidRPr="00570ED5">
              <w:rPr>
                <w:rStyle w:val="Hyperlink"/>
                <w:noProof/>
              </w:rPr>
              <w:t>Derogations from the ECM certification scheme</w:t>
            </w:r>
            <w:r>
              <w:rPr>
                <w:noProof/>
                <w:webHidden/>
              </w:rPr>
              <w:tab/>
            </w:r>
            <w:r>
              <w:rPr>
                <w:noProof/>
                <w:webHidden/>
              </w:rPr>
              <w:fldChar w:fldCharType="begin"/>
            </w:r>
            <w:r>
              <w:rPr>
                <w:noProof/>
                <w:webHidden/>
              </w:rPr>
              <w:instrText xml:space="preserve"> PAGEREF _Toc528759590 \h </w:instrText>
            </w:r>
            <w:r>
              <w:rPr>
                <w:noProof/>
                <w:webHidden/>
              </w:rPr>
              <w:fldChar w:fldCharType="separate"/>
            </w:r>
            <w:r>
              <w:rPr>
                <w:noProof/>
                <w:webHidden/>
              </w:rPr>
              <w:t>19</w:t>
            </w:r>
            <w:r>
              <w:rPr>
                <w:noProof/>
                <w:webHidden/>
              </w:rPr>
              <w:fldChar w:fldCharType="end"/>
            </w:r>
          </w:hyperlink>
        </w:p>
        <w:p w:rsidR="006E0475" w14:paraId="2BBA7B3C" w14:textId="77777777">
          <w:pPr>
            <w:pStyle w:val="TOC1"/>
            <w:tabs>
              <w:tab w:val="right" w:leader="underscore" w:pos="9062"/>
            </w:tabs>
            <w:rPr>
              <w:rFonts w:eastAsiaTheme="minorEastAsia"/>
              <w:noProof/>
              <w:color w:val="auto"/>
              <w:kern w:val="0"/>
              <w:sz w:val="22"/>
              <w:szCs w:val="28"/>
              <w:lang w:val="en-US" w:eastAsia="zh-CN" w:bidi="mn-Mong-CN"/>
            </w:rPr>
          </w:pPr>
          <w:hyperlink w:anchor="_Toc528759591" w:history="1">
            <w:r w:rsidRPr="00570ED5">
              <w:rPr>
                <w:rStyle w:val="Hyperlink"/>
                <w:noProof/>
              </w:rPr>
              <w:t>Annex A: Common safety indicators</w:t>
            </w:r>
            <w:r>
              <w:rPr>
                <w:noProof/>
                <w:webHidden/>
              </w:rPr>
              <w:tab/>
            </w:r>
            <w:r>
              <w:rPr>
                <w:noProof/>
                <w:webHidden/>
              </w:rPr>
              <w:fldChar w:fldCharType="begin"/>
            </w:r>
            <w:r>
              <w:rPr>
                <w:noProof/>
                <w:webHidden/>
              </w:rPr>
              <w:instrText xml:space="preserve"> PAGEREF _Toc528759591 \h </w:instrText>
            </w:r>
            <w:r>
              <w:rPr>
                <w:noProof/>
                <w:webHidden/>
              </w:rPr>
              <w:fldChar w:fldCharType="separate"/>
            </w:r>
            <w:r>
              <w:rPr>
                <w:noProof/>
                <w:webHidden/>
              </w:rPr>
              <w:t>20</w:t>
            </w:r>
            <w:r>
              <w:rPr>
                <w:noProof/>
                <w:webHidden/>
              </w:rPr>
              <w:fldChar w:fldCharType="end"/>
            </w:r>
          </w:hyperlink>
        </w:p>
        <w:p w:rsidR="006E0475" w14:paraId="2C167C72" w14:textId="77777777">
          <w:pPr>
            <w:pStyle w:val="TOC1"/>
            <w:tabs>
              <w:tab w:val="right" w:leader="underscore" w:pos="9062"/>
            </w:tabs>
            <w:rPr>
              <w:rFonts w:eastAsiaTheme="minorEastAsia"/>
              <w:noProof/>
              <w:color w:val="auto"/>
              <w:kern w:val="0"/>
              <w:sz w:val="22"/>
              <w:szCs w:val="28"/>
              <w:lang w:val="en-US" w:eastAsia="zh-CN" w:bidi="mn-Mong-CN"/>
            </w:rPr>
          </w:pPr>
          <w:hyperlink w:anchor="_Toc528759592" w:history="1">
            <w:r w:rsidRPr="00570ED5">
              <w:rPr>
                <w:rStyle w:val="Hyperlink"/>
                <w:noProof/>
              </w:rPr>
              <w:t>Annex B: Changes in legislation</w:t>
            </w:r>
            <w:r>
              <w:rPr>
                <w:noProof/>
                <w:webHidden/>
              </w:rPr>
              <w:tab/>
            </w:r>
            <w:r>
              <w:rPr>
                <w:noProof/>
                <w:webHidden/>
              </w:rPr>
              <w:fldChar w:fldCharType="begin"/>
            </w:r>
            <w:r>
              <w:rPr>
                <w:noProof/>
                <w:webHidden/>
              </w:rPr>
              <w:instrText xml:space="preserve"> PAGEREF _Toc528759592 \h </w:instrText>
            </w:r>
            <w:r>
              <w:rPr>
                <w:noProof/>
                <w:webHidden/>
              </w:rPr>
              <w:fldChar w:fldCharType="separate"/>
            </w:r>
            <w:r>
              <w:rPr>
                <w:noProof/>
                <w:webHidden/>
              </w:rPr>
              <w:t>30</w:t>
            </w:r>
            <w:r>
              <w:rPr>
                <w:noProof/>
                <w:webHidden/>
              </w:rPr>
              <w:fldChar w:fldCharType="end"/>
            </w:r>
          </w:hyperlink>
        </w:p>
        <w:p w:rsidR="00CE3CE7" w:rsidRPr="006547D7" w14:paraId="385F72E5" w14:textId="77777777">
          <w:pPr>
            <w:pStyle w:val="TOC1"/>
            <w:tabs>
              <w:tab w:val="left" w:pos="440"/>
              <w:tab w:val="right" w:leader="underscore" w:pos="9062"/>
            </w:tabs>
            <w:rPr>
              <w:rFonts w:eastAsiaTheme="minorEastAsia"/>
              <w:noProof/>
              <w:color w:val="auto"/>
              <w:kern w:val="0"/>
              <w:sz w:val="22"/>
              <w:szCs w:val="22"/>
            </w:rPr>
          </w:pPr>
          <w:r w:rsidRPr="006547D7">
            <w:fldChar w:fldCharType="end"/>
          </w:r>
        </w:p>
      </w:sdtContent>
    </w:sdt>
    <w:p w:rsidR="0005448D" w:rsidRPr="006547D7" w14:paraId="40C79B53" w14:textId="77777777">
      <w:r w:rsidRPr="006547D7">
        <w:br w:type="page"/>
      </w:r>
    </w:p>
    <w:p w:rsidR="00E05C12" w:rsidRPr="006547D7" w:rsidP="0005448D" w14:paraId="449E9AB7" w14:textId="77777777">
      <w:pPr>
        <w:pStyle w:val="Heading1"/>
        <w:numPr>
          <w:ilvl w:val="0"/>
          <w:numId w:val="1"/>
        </w:numPr>
      </w:pPr>
      <w:bookmarkStart w:id="1" w:name="_Toc524421164"/>
      <w:bookmarkStart w:id="2" w:name="_Toc528759583"/>
      <w:r w:rsidRPr="006547D7">
        <w:t>Introduction</w:t>
      </w:r>
      <w:bookmarkEnd w:id="1"/>
      <w:bookmarkEnd w:id="2"/>
    </w:p>
    <w:p w:rsidR="0005448D" w:rsidRPr="006547D7" w:rsidP="0005448D" w14:paraId="13A236F9" w14:textId="77777777"/>
    <w:p w:rsidR="0005448D" w:rsidRPr="006547D7" w:rsidP="0005448D" w14:paraId="5123B5CA" w14:textId="77777777">
      <w:pPr>
        <w:pStyle w:val="Heading2"/>
      </w:pPr>
      <w:r w:rsidRPr="006547D7">
        <w:t>A.1. Purpose and scope of the report</w:t>
      </w:r>
    </w:p>
    <w:p w:rsidR="005A79DA" w:rsidRPr="006547D7" w:rsidP="005A79DA" w14:paraId="6201DD39" w14:textId="77777777">
      <w:pPr>
        <w:jc w:val="both"/>
      </w:pPr>
    </w:p>
    <w:p w:rsidR="005A79DA" w:rsidRPr="006547D7" w:rsidP="005A79DA" w14:paraId="7C90C18C" w14:textId="77777777">
      <w:pPr>
        <w:jc w:val="both"/>
      </w:pPr>
      <w:r w:rsidRPr="006547D7">
        <w:t>The 2017 Annual Safety Report prepared by the Public Agency of the Republic of Slovenia for Railway Transport (hereinafter AŽP) presents the results in railway safety in the Republic of Slovenia as laid down in Directive 2004/49/EC, Directive 2009/149/EC, Commission Directive 2014/88/EU, Commission Implementing Regulation (EU) No 402/2013, Commission Regulation (EU) No 445/2011 and the applicable Railway Transport Act.</w:t>
      </w:r>
    </w:p>
    <w:p w:rsidR="005A79DA" w:rsidRPr="006547D7" w:rsidP="005A79DA" w14:paraId="585E2300" w14:textId="77777777">
      <w:pPr>
        <w:jc w:val="both"/>
      </w:pPr>
      <w:r w:rsidRPr="006547D7">
        <w:t>The 2017 Annual Safety Report is based on the template prepared by the European Union Agency for Railways (hereinafter ERA) and includes the requirements of Article 18 of Directive 2004/49/EC.</w:t>
      </w:r>
    </w:p>
    <w:p w:rsidR="005A79DA" w:rsidRPr="006547D7" w:rsidP="005A79DA" w14:paraId="2E719CAE" w14:textId="77777777">
      <w:pPr>
        <w:jc w:val="both"/>
      </w:pPr>
      <w:r w:rsidRPr="006547D7">
        <w:t xml:space="preserve">The 2017 Annual Safety Report contains data on railway transport safety and safety management. It </w:t>
      </w:r>
      <w:r w:rsidRPr="006547D7">
        <w:t>is intended</w:t>
      </w:r>
      <w:r w:rsidRPr="006547D7">
        <w:t xml:space="preserve"> for everyone who is involved in or associated with the public railway system in the Republic of Slovenia.</w:t>
      </w:r>
    </w:p>
    <w:p w:rsidR="0005448D" w:rsidRPr="006547D7" w14:paraId="57948558" w14:textId="77777777">
      <w:pPr>
        <w:rPr>
          <w:rFonts w:asciiTheme="majorHAnsi" w:eastAsiaTheme="majorEastAsia" w:hAnsiTheme="majorHAnsi" w:cstheme="majorBidi"/>
          <w:color w:val="2E74B5" w:themeColor="accent1" w:themeShade="BF"/>
          <w:sz w:val="32"/>
          <w:szCs w:val="32"/>
        </w:rPr>
      </w:pPr>
      <w:r w:rsidRPr="006547D7">
        <w:br w:type="page"/>
      </w:r>
    </w:p>
    <w:p w:rsidR="0005448D" w:rsidRPr="006547D7" w:rsidP="0005448D" w14:paraId="77CC5B67" w14:textId="77777777">
      <w:pPr>
        <w:pStyle w:val="Heading1"/>
        <w:numPr>
          <w:ilvl w:val="0"/>
          <w:numId w:val="1"/>
        </w:numPr>
      </w:pPr>
      <w:bookmarkStart w:id="3" w:name="_Toc524421165"/>
      <w:bookmarkStart w:id="4" w:name="_Toc528759584"/>
      <w:r w:rsidRPr="006547D7">
        <w:t>General safety performance and strategy</w:t>
      </w:r>
      <w:bookmarkEnd w:id="3"/>
      <w:bookmarkEnd w:id="4"/>
    </w:p>
    <w:p w:rsidR="0005448D" w:rsidRPr="006547D7" w:rsidP="0005448D" w14:paraId="75DB87D5" w14:textId="77777777"/>
    <w:p w:rsidR="0005448D" w:rsidRPr="006547D7" w:rsidP="0005448D" w14:paraId="01F6FBAE" w14:textId="77777777">
      <w:pPr>
        <w:pStyle w:val="Heading2"/>
      </w:pPr>
      <w:r w:rsidRPr="006547D7">
        <w:t>B.1. Main conclusions for 2017</w:t>
      </w:r>
    </w:p>
    <w:p w:rsidR="0005448D" w:rsidRPr="006547D7" w:rsidP="0005448D" w14:paraId="7B21FB14" w14:textId="77777777"/>
    <w:p w:rsidR="0022466D" w:rsidRPr="006547D7" w:rsidP="0022466D" w14:paraId="61AA294C" w14:textId="77777777">
      <w:pPr>
        <w:jc w:val="both"/>
      </w:pPr>
      <w:r w:rsidRPr="006547D7">
        <w:t xml:space="preserve">The </w:t>
      </w:r>
      <w:r w:rsidRPr="006547D7">
        <w:t>railway transport safety situation</w:t>
      </w:r>
      <w:r w:rsidRPr="006547D7">
        <w:t xml:space="preserve"> in Slovenia is good. In 2017, the number of serious accidents remained stable in comparison with the previous year. Passengers and staff have not recorded any fatalities in recent years. Derailments, train collisions and fires on vehicles that could be qualified as serious accidents are rare in Slovenia. </w:t>
      </w:r>
    </w:p>
    <w:p w:rsidR="0022466D" w:rsidRPr="006547D7" w:rsidP="0022466D" w14:paraId="57FF4344" w14:textId="77777777">
      <w:pPr>
        <w:jc w:val="both"/>
      </w:pPr>
      <w:r w:rsidRPr="006547D7">
        <w:t>The majority of serious railway accidents in Slovenia are accidents at level crossings. The number of level crossing accidents has decreased in the last decade.  Nevertheless, we see a slight increase in the number of derailments (3) and number of precursors (148), which may indicate a high risk of accidents and incidents in the coming years.</w:t>
      </w:r>
    </w:p>
    <w:p w:rsidR="0022466D" w:rsidRPr="006547D7" w:rsidP="0022466D" w14:paraId="76C46ECD" w14:textId="77777777">
      <w:pPr>
        <w:jc w:val="both"/>
      </w:pPr>
      <w:r w:rsidRPr="006547D7">
        <w:t xml:space="preserve">There were 11 serious accidents in Slovenia in 2017, including one train collision, three derailments, six level crossing accidents, and one accident involving persons with vehicles in motion. </w:t>
      </w:r>
    </w:p>
    <w:p w:rsidR="002E439A" w:rsidRPr="006547D7" w:rsidP="0005448D" w14:paraId="68DBAC46" w14:textId="77777777"/>
    <w:p w:rsidR="002E439A" w:rsidRPr="006547D7" w:rsidP="0005448D" w14:paraId="4E6CF8BB" w14:textId="77777777">
      <w:r w:rsidRPr="006547D7">
        <w:rPr>
          <w:noProof/>
          <w:lang w:val="en-US" w:eastAsia="zh-CN" w:bidi="mn-Mong-CN"/>
        </w:rPr>
        <w:drawing>
          <wp:inline distT="0" distB="0" distL="0" distR="0">
            <wp:extent cx="5760720" cy="3869690"/>
            <wp:effectExtent l="0" t="0" r="11430" b="1651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E439A" w:rsidRPr="006547D7" w:rsidP="0076113C" w14:paraId="458F0F13" w14:textId="77777777">
      <w:pPr>
        <w:jc w:val="center"/>
        <w:rPr>
          <w:color w:val="595959" w:themeColor="text1" w:themeTint="A6"/>
          <w:kern w:val="20"/>
          <w:sz w:val="20"/>
          <w:szCs w:val="20"/>
        </w:rPr>
      </w:pPr>
      <w:r w:rsidRPr="006547D7">
        <w:rPr>
          <w:color w:val="595959" w:themeColor="text1" w:themeTint="A6"/>
          <w:kern w:val="20"/>
          <w:sz w:val="20"/>
        </w:rPr>
        <w:t>Figure 1: Serious accidents in 2013–2016 by type of accident.</w:t>
      </w:r>
    </w:p>
    <w:tbl>
      <w:tblPr>
        <w:tblStyle w:val="TableGrid"/>
        <w:tblW w:w="5000" w:type="pct"/>
        <w:tblLook w:val="04A0"/>
      </w:tblPr>
      <w:tblGrid>
        <w:gridCol w:w="4531"/>
        <w:gridCol w:w="4531"/>
      </w:tblGrid>
      <w:tr w14:paraId="65723187" w14:textId="77777777" w:rsidTr="00932230">
        <w:tblPrEx>
          <w:tblW w:w="5000" w:type="pct"/>
          <w:tblLook w:val="04A0"/>
        </w:tblPrEx>
        <w:tc>
          <w:tcPr>
            <w:tcW w:w="2500" w:type="pct"/>
            <w:shd w:val="clear" w:color="auto" w:fill="auto"/>
          </w:tcPr>
          <w:p w:rsidR="00932230" w:rsidRPr="006547D7" w:rsidP="00A73D45" w14:paraId="1C423062" w14:textId="77777777">
            <w:pPr>
              <w:rPr>
                <w:sz w:val="20"/>
                <w:szCs w:val="20"/>
              </w:rPr>
            </w:pPr>
            <w:r w:rsidRPr="006547D7">
              <w:rPr>
                <w:sz w:val="20"/>
                <w:szCs w:val="20"/>
              </w:rPr>
              <w:t>Trki vlakov</w:t>
            </w:r>
          </w:p>
        </w:tc>
        <w:tc>
          <w:tcPr>
            <w:tcW w:w="2500" w:type="pct"/>
          </w:tcPr>
          <w:p w:rsidR="00932230" w:rsidRPr="006547D7" w:rsidP="00A73D45" w14:paraId="3246E955" w14:textId="77777777">
            <w:pPr>
              <w:rPr>
                <w:sz w:val="20"/>
                <w:szCs w:val="20"/>
              </w:rPr>
            </w:pPr>
            <w:r w:rsidRPr="006547D7">
              <w:rPr>
                <w:sz w:val="20"/>
                <w:szCs w:val="20"/>
              </w:rPr>
              <w:t>Train</w:t>
            </w:r>
            <w:r w:rsidRPr="006547D7">
              <w:rPr>
                <w:sz w:val="20"/>
                <w:szCs w:val="20"/>
              </w:rPr>
              <w:t xml:space="preserve"> </w:t>
            </w:r>
            <w:r w:rsidRPr="006547D7">
              <w:rPr>
                <w:sz w:val="20"/>
                <w:szCs w:val="20"/>
              </w:rPr>
              <w:t>collisions</w:t>
            </w:r>
          </w:p>
        </w:tc>
      </w:tr>
      <w:tr w14:paraId="282D8A9F" w14:textId="77777777" w:rsidTr="00932230">
        <w:tblPrEx>
          <w:tblW w:w="5000" w:type="pct"/>
          <w:tblLook w:val="04A0"/>
        </w:tblPrEx>
        <w:tc>
          <w:tcPr>
            <w:tcW w:w="2500" w:type="pct"/>
            <w:shd w:val="clear" w:color="auto" w:fill="auto"/>
          </w:tcPr>
          <w:p w:rsidR="00932230" w:rsidRPr="006547D7" w:rsidP="00A73D45" w14:paraId="68E2E51A" w14:textId="77777777">
            <w:pPr>
              <w:rPr>
                <w:sz w:val="20"/>
                <w:szCs w:val="20"/>
              </w:rPr>
            </w:pPr>
            <w:r w:rsidRPr="006547D7">
              <w:rPr>
                <w:sz w:val="20"/>
                <w:szCs w:val="20"/>
              </w:rPr>
              <w:t>Iztirjenja</w:t>
            </w:r>
          </w:p>
        </w:tc>
        <w:tc>
          <w:tcPr>
            <w:tcW w:w="2500" w:type="pct"/>
          </w:tcPr>
          <w:p w:rsidR="00932230" w:rsidRPr="006547D7" w:rsidP="00A73D45" w14:paraId="637C0736" w14:textId="77777777">
            <w:pPr>
              <w:rPr>
                <w:sz w:val="20"/>
                <w:szCs w:val="20"/>
              </w:rPr>
            </w:pPr>
            <w:r w:rsidRPr="006547D7">
              <w:rPr>
                <w:sz w:val="20"/>
                <w:szCs w:val="20"/>
              </w:rPr>
              <w:t>Derailments</w:t>
            </w:r>
          </w:p>
        </w:tc>
      </w:tr>
      <w:tr w14:paraId="2812485C" w14:textId="77777777" w:rsidTr="00932230">
        <w:tblPrEx>
          <w:tblW w:w="5000" w:type="pct"/>
          <w:tblLook w:val="04A0"/>
        </w:tblPrEx>
        <w:tc>
          <w:tcPr>
            <w:tcW w:w="2500" w:type="pct"/>
            <w:shd w:val="clear" w:color="auto" w:fill="auto"/>
          </w:tcPr>
          <w:p w:rsidR="00932230" w:rsidRPr="006547D7" w:rsidP="00A73D45" w14:paraId="762BADBB" w14:textId="77777777">
            <w:pPr>
              <w:rPr>
                <w:sz w:val="20"/>
                <w:szCs w:val="20"/>
              </w:rPr>
            </w:pPr>
            <w:r w:rsidRPr="006547D7">
              <w:rPr>
                <w:sz w:val="20"/>
                <w:szCs w:val="20"/>
              </w:rPr>
              <w:t>Nesreče na nivojskih prehodih</w:t>
            </w:r>
          </w:p>
        </w:tc>
        <w:tc>
          <w:tcPr>
            <w:tcW w:w="2500" w:type="pct"/>
          </w:tcPr>
          <w:p w:rsidR="00932230" w:rsidRPr="006547D7" w:rsidP="00A73D45" w14:paraId="04B4D314" w14:textId="77777777">
            <w:pPr>
              <w:rPr>
                <w:sz w:val="20"/>
                <w:szCs w:val="20"/>
              </w:rPr>
            </w:pPr>
            <w:r w:rsidRPr="006547D7">
              <w:rPr>
                <w:sz w:val="20"/>
                <w:szCs w:val="20"/>
              </w:rPr>
              <w:t>L</w:t>
            </w:r>
            <w:r w:rsidRPr="006547D7" w:rsidR="00E740AD">
              <w:rPr>
                <w:sz w:val="20"/>
                <w:szCs w:val="20"/>
              </w:rPr>
              <w:t>evel</w:t>
            </w:r>
            <w:r w:rsidRPr="006547D7" w:rsidR="00E740AD">
              <w:rPr>
                <w:sz w:val="20"/>
                <w:szCs w:val="20"/>
              </w:rPr>
              <w:t xml:space="preserve"> </w:t>
            </w:r>
            <w:r w:rsidRPr="006547D7" w:rsidR="00E740AD">
              <w:rPr>
                <w:sz w:val="20"/>
                <w:szCs w:val="20"/>
              </w:rPr>
              <w:t>crossing</w:t>
            </w:r>
            <w:r w:rsidRPr="006547D7" w:rsidR="00E740AD">
              <w:rPr>
                <w:sz w:val="20"/>
                <w:szCs w:val="20"/>
              </w:rPr>
              <w:t xml:space="preserve"> </w:t>
            </w:r>
            <w:r w:rsidRPr="006547D7" w:rsidR="00E740AD">
              <w:rPr>
                <w:sz w:val="20"/>
                <w:szCs w:val="20"/>
              </w:rPr>
              <w:t>accidents</w:t>
            </w:r>
          </w:p>
        </w:tc>
      </w:tr>
      <w:tr w14:paraId="5716BD45" w14:textId="77777777" w:rsidTr="00932230">
        <w:tblPrEx>
          <w:tblW w:w="5000" w:type="pct"/>
          <w:tblLook w:val="04A0"/>
        </w:tblPrEx>
        <w:tc>
          <w:tcPr>
            <w:tcW w:w="2500" w:type="pct"/>
            <w:shd w:val="clear" w:color="auto" w:fill="auto"/>
          </w:tcPr>
          <w:p w:rsidR="00932230" w:rsidRPr="006547D7" w:rsidP="00A73D45" w14:paraId="606EBDB2" w14:textId="77777777">
            <w:pPr>
              <w:rPr>
                <w:sz w:val="20"/>
                <w:szCs w:val="20"/>
              </w:rPr>
            </w:pPr>
            <w:r w:rsidRPr="006547D7">
              <w:rPr>
                <w:sz w:val="20"/>
                <w:szCs w:val="20"/>
              </w:rPr>
              <w:t>Nesreče oseb z vozili v gibanju</w:t>
            </w:r>
          </w:p>
        </w:tc>
        <w:tc>
          <w:tcPr>
            <w:tcW w:w="2500" w:type="pct"/>
          </w:tcPr>
          <w:p w:rsidR="00932230" w:rsidRPr="006547D7" w:rsidP="00A73D45" w14:paraId="1370526C" w14:textId="77777777">
            <w:pPr>
              <w:rPr>
                <w:sz w:val="20"/>
                <w:szCs w:val="20"/>
              </w:rPr>
            </w:pPr>
            <w:r w:rsidRPr="006547D7">
              <w:rPr>
                <w:sz w:val="20"/>
                <w:szCs w:val="20"/>
              </w:rPr>
              <w:t>Accidents</w:t>
            </w:r>
            <w:r w:rsidRPr="006547D7">
              <w:rPr>
                <w:sz w:val="20"/>
                <w:szCs w:val="20"/>
              </w:rPr>
              <w:t xml:space="preserve"> </w:t>
            </w:r>
            <w:r w:rsidRPr="006547D7">
              <w:rPr>
                <w:sz w:val="20"/>
                <w:szCs w:val="20"/>
              </w:rPr>
              <w:t>involving</w:t>
            </w:r>
            <w:r w:rsidRPr="006547D7">
              <w:rPr>
                <w:sz w:val="20"/>
                <w:szCs w:val="20"/>
              </w:rPr>
              <w:t xml:space="preserve"> </w:t>
            </w:r>
            <w:r w:rsidRPr="006547D7">
              <w:rPr>
                <w:sz w:val="20"/>
                <w:szCs w:val="20"/>
              </w:rPr>
              <w:t>persons</w:t>
            </w:r>
            <w:r w:rsidRPr="006547D7">
              <w:rPr>
                <w:sz w:val="20"/>
                <w:szCs w:val="20"/>
              </w:rPr>
              <w:t xml:space="preserve"> </w:t>
            </w:r>
            <w:r w:rsidRPr="006547D7">
              <w:rPr>
                <w:sz w:val="20"/>
                <w:szCs w:val="20"/>
              </w:rPr>
              <w:t>with</w:t>
            </w:r>
            <w:r w:rsidRPr="006547D7">
              <w:rPr>
                <w:sz w:val="20"/>
                <w:szCs w:val="20"/>
              </w:rPr>
              <w:t xml:space="preserve"> </w:t>
            </w:r>
            <w:r w:rsidRPr="006547D7">
              <w:rPr>
                <w:sz w:val="20"/>
                <w:szCs w:val="20"/>
              </w:rPr>
              <w:t>vehicles</w:t>
            </w:r>
            <w:r w:rsidRPr="006547D7">
              <w:rPr>
                <w:sz w:val="20"/>
                <w:szCs w:val="20"/>
              </w:rPr>
              <w:t xml:space="preserve"> in </w:t>
            </w:r>
            <w:r w:rsidRPr="006547D7">
              <w:rPr>
                <w:sz w:val="20"/>
                <w:szCs w:val="20"/>
              </w:rPr>
              <w:t>motion</w:t>
            </w:r>
          </w:p>
        </w:tc>
      </w:tr>
      <w:tr w14:paraId="7B7007F7" w14:textId="77777777" w:rsidTr="00932230">
        <w:tblPrEx>
          <w:tblW w:w="5000" w:type="pct"/>
          <w:tblLook w:val="04A0"/>
        </w:tblPrEx>
        <w:tc>
          <w:tcPr>
            <w:tcW w:w="2500" w:type="pct"/>
            <w:shd w:val="clear" w:color="auto" w:fill="auto"/>
          </w:tcPr>
          <w:p w:rsidR="00932230" w:rsidRPr="006547D7" w:rsidP="00A73D45" w14:paraId="1E67D736" w14:textId="77777777">
            <w:pPr>
              <w:rPr>
                <w:sz w:val="20"/>
                <w:szCs w:val="20"/>
              </w:rPr>
            </w:pPr>
            <w:r w:rsidRPr="006547D7">
              <w:rPr>
                <w:sz w:val="20"/>
                <w:szCs w:val="20"/>
              </w:rPr>
              <w:t>Požari na vozilih</w:t>
            </w:r>
          </w:p>
        </w:tc>
        <w:tc>
          <w:tcPr>
            <w:tcW w:w="2500" w:type="pct"/>
          </w:tcPr>
          <w:p w:rsidR="00932230" w:rsidRPr="006547D7" w:rsidP="00A73D45" w14:paraId="10B7EF9D" w14:textId="77777777">
            <w:pPr>
              <w:rPr>
                <w:sz w:val="20"/>
                <w:szCs w:val="20"/>
              </w:rPr>
            </w:pPr>
            <w:r w:rsidRPr="006547D7">
              <w:rPr>
                <w:rFonts w:ascii="Calibri" w:hAnsi="Calibri"/>
                <w:color w:val="000000"/>
                <w:sz w:val="20"/>
                <w:szCs w:val="20"/>
              </w:rPr>
              <w:t>Fires</w:t>
            </w:r>
            <w:r w:rsidRPr="006547D7">
              <w:rPr>
                <w:rFonts w:ascii="Calibri" w:hAnsi="Calibri"/>
                <w:color w:val="000000"/>
                <w:sz w:val="20"/>
                <w:szCs w:val="20"/>
              </w:rPr>
              <w:t xml:space="preserve"> on </w:t>
            </w:r>
            <w:r w:rsidRPr="006547D7">
              <w:rPr>
                <w:rFonts w:ascii="Calibri" w:hAnsi="Calibri"/>
                <w:color w:val="000000"/>
                <w:sz w:val="20"/>
                <w:szCs w:val="20"/>
              </w:rPr>
              <w:t>vehicles</w:t>
            </w:r>
          </w:p>
        </w:tc>
      </w:tr>
      <w:tr w14:paraId="1CD5A828" w14:textId="77777777" w:rsidTr="00932230">
        <w:tblPrEx>
          <w:tblW w:w="5000" w:type="pct"/>
          <w:tblLook w:val="04A0"/>
        </w:tblPrEx>
        <w:tc>
          <w:tcPr>
            <w:tcW w:w="2500" w:type="pct"/>
            <w:shd w:val="clear" w:color="auto" w:fill="auto"/>
          </w:tcPr>
          <w:p w:rsidR="00932230" w:rsidRPr="006547D7" w:rsidP="00A73D45" w14:paraId="13EE75D6" w14:textId="77777777">
            <w:pPr>
              <w:rPr>
                <w:sz w:val="20"/>
                <w:szCs w:val="20"/>
              </w:rPr>
            </w:pPr>
            <w:r w:rsidRPr="006547D7">
              <w:rPr>
                <w:sz w:val="20"/>
                <w:szCs w:val="20"/>
              </w:rPr>
              <w:t>Drugo</w:t>
            </w:r>
          </w:p>
        </w:tc>
        <w:tc>
          <w:tcPr>
            <w:tcW w:w="2500" w:type="pct"/>
          </w:tcPr>
          <w:p w:rsidR="00932230" w:rsidRPr="006547D7" w:rsidP="00A73D45" w14:paraId="3E2B43D2" w14:textId="77777777">
            <w:pPr>
              <w:rPr>
                <w:sz w:val="20"/>
                <w:szCs w:val="20"/>
              </w:rPr>
            </w:pPr>
            <w:r w:rsidRPr="006547D7">
              <w:rPr>
                <w:sz w:val="20"/>
                <w:szCs w:val="20"/>
              </w:rPr>
              <w:t>Other</w:t>
            </w:r>
          </w:p>
        </w:tc>
      </w:tr>
    </w:tbl>
    <w:p w:rsidR="00013884" w:rsidRPr="006547D7" w:rsidP="00013884" w14:paraId="727F5434" w14:textId="77777777">
      <w:pPr>
        <w:jc w:val="both"/>
      </w:pPr>
      <w:r w:rsidRPr="006547D7">
        <w:t>Slovenia has not currently set any national safety targets but determines the annual safety level based on national reference values (NRVs)</w:t>
      </w:r>
      <w:r>
        <w:rPr>
          <w:rStyle w:val="FootnoteReference"/>
        </w:rPr>
        <w:footnoteReference w:id="2"/>
      </w:r>
      <w:r w:rsidRPr="006547D7">
        <w:t xml:space="preserve">, which are determined for individual EU countries according to the common safety indicators. NRVs are determined for every country according to individual risk categories: passengers, employees, level crossing users, unauthorised persons, other individuals, and society as a whole. </w:t>
      </w:r>
    </w:p>
    <w:p w:rsidR="002E439A" w:rsidRPr="006547D7" w:rsidP="00013884" w14:paraId="19CE3E9D" w14:textId="77777777">
      <w:pPr>
        <w:jc w:val="both"/>
      </w:pPr>
      <w:r w:rsidRPr="006547D7">
        <w:t xml:space="preserve">In 2017, it </w:t>
      </w:r>
      <w:r w:rsidRPr="006547D7">
        <w:t>was established</w:t>
      </w:r>
      <w:r w:rsidRPr="006547D7">
        <w:t xml:space="preserve"> that Slovenia did not exceed the NRVs compared to the weighted number of fatalities and serious injuries (FWSI) per year/billion train-kilometres</w:t>
      </w:r>
      <w:r>
        <w:rPr>
          <w:rStyle w:val="FootnoteReference"/>
        </w:rPr>
        <w:footnoteReference w:id="3"/>
      </w:r>
      <w:r w:rsidRPr="006547D7">
        <w:t>.</w:t>
      </w:r>
    </w:p>
    <w:p w:rsidR="002E439A" w:rsidRPr="006547D7" w:rsidP="0005448D" w14:paraId="1844B9EC" w14:textId="77777777"/>
    <w:tbl>
      <w:tblPr>
        <w:tblStyle w:val="Svetelseznampoudarek11"/>
        <w:tblW w:w="0" w:type="auto"/>
        <w:jc w:val="center"/>
        <w:tblLook w:val="04A0"/>
      </w:tblPr>
      <w:tblGrid>
        <w:gridCol w:w="1973"/>
        <w:gridCol w:w="1109"/>
        <w:gridCol w:w="995"/>
        <w:gridCol w:w="995"/>
        <w:gridCol w:w="995"/>
        <w:gridCol w:w="995"/>
        <w:gridCol w:w="995"/>
      </w:tblGrid>
      <w:tr w14:paraId="4F06B40D" w14:textId="77777777" w:rsidTr="001B5919">
        <w:tblPrEx>
          <w:tblW w:w="0" w:type="auto"/>
          <w:jc w:val="center"/>
          <w:tblLook w:val="04A0"/>
        </w:tblPrEx>
        <w:trPr>
          <w:trHeight w:val="1416"/>
          <w:jc w:val="center"/>
        </w:trPr>
        <w:tc>
          <w:tcPr>
            <w:tcW w:w="1973" w:type="dxa"/>
            <w:noWrap/>
            <w:hideMark/>
          </w:tcPr>
          <w:p w:rsidR="002E439A" w:rsidRPr="006547D7" w:rsidP="00E05C12" w14:paraId="1F9D3EA5" w14:textId="77777777">
            <w:pPr>
              <w:jc w:val="both"/>
              <w:rPr>
                <w:color w:val="auto"/>
              </w:rPr>
            </w:pPr>
            <w:r w:rsidRPr="006547D7">
              <w:rPr>
                <w:color w:val="auto"/>
              </w:rPr>
              <w:t>Risk category</w:t>
            </w:r>
          </w:p>
        </w:tc>
        <w:tc>
          <w:tcPr>
            <w:tcW w:w="1109" w:type="dxa"/>
            <w:hideMark/>
          </w:tcPr>
          <w:p w:rsidR="002E439A" w:rsidRPr="006547D7" w:rsidP="00E05C12" w14:paraId="6E790459" w14:textId="77777777">
            <w:pPr>
              <w:jc w:val="center"/>
              <w:rPr>
                <w:color w:val="auto"/>
              </w:rPr>
            </w:pPr>
          </w:p>
          <w:p w:rsidR="002E439A" w:rsidRPr="006547D7" w:rsidP="00E05C12" w14:paraId="33A8C451" w14:textId="77777777">
            <w:pPr>
              <w:jc w:val="center"/>
              <w:rPr>
                <w:color w:val="auto"/>
              </w:rPr>
            </w:pPr>
          </w:p>
          <w:p w:rsidR="002E439A" w:rsidRPr="006547D7" w:rsidP="00E05C12" w14:paraId="6C80262C" w14:textId="77777777">
            <w:pPr>
              <w:jc w:val="center"/>
              <w:rPr>
                <w:color w:val="auto"/>
              </w:rPr>
            </w:pPr>
          </w:p>
          <w:p w:rsidR="002E439A" w:rsidRPr="006547D7" w:rsidP="00E05C12" w14:paraId="0B456285" w14:textId="77777777">
            <w:pPr>
              <w:jc w:val="center"/>
              <w:rPr>
                <w:color w:val="auto"/>
              </w:rPr>
            </w:pPr>
          </w:p>
          <w:p w:rsidR="002E439A" w:rsidRPr="006547D7" w:rsidP="00E05C12" w14:paraId="7FE13798" w14:textId="77777777">
            <w:pPr>
              <w:jc w:val="center"/>
              <w:rPr>
                <w:color w:val="auto"/>
                <w:sz w:val="18"/>
                <w:szCs w:val="18"/>
              </w:rPr>
            </w:pPr>
            <w:r w:rsidRPr="006547D7">
              <w:rPr>
                <w:color w:val="auto"/>
                <w:sz w:val="18"/>
              </w:rPr>
              <w:t>(NRV)</w:t>
            </w:r>
          </w:p>
          <w:p w:rsidR="002E439A" w:rsidRPr="006547D7" w:rsidP="00E05C12" w14:paraId="7E1EB3A8" w14:textId="77777777">
            <w:pPr>
              <w:jc w:val="center"/>
              <w:rPr>
                <w:color w:val="auto"/>
              </w:rPr>
            </w:pPr>
            <w:r w:rsidRPr="006547D7">
              <w:rPr>
                <w:color w:val="auto"/>
                <w:sz w:val="18"/>
              </w:rPr>
              <w:t>[x 10-9]</w:t>
            </w:r>
          </w:p>
        </w:tc>
        <w:tc>
          <w:tcPr>
            <w:tcW w:w="995" w:type="dxa"/>
            <w:noWrap/>
            <w:hideMark/>
          </w:tcPr>
          <w:p w:rsidR="002E439A" w:rsidRPr="006547D7" w:rsidP="00E05C12" w14:paraId="7ADF3488" w14:textId="77777777">
            <w:pPr>
              <w:jc w:val="center"/>
              <w:rPr>
                <w:color w:val="auto"/>
              </w:rPr>
            </w:pPr>
            <w:r w:rsidRPr="006547D7">
              <w:rPr>
                <w:color w:val="auto"/>
              </w:rPr>
              <w:t>2013</w:t>
            </w:r>
          </w:p>
          <w:p w:rsidR="002E439A" w:rsidRPr="006547D7" w:rsidP="00E05C12" w14:paraId="5FEF3306" w14:textId="77777777">
            <w:pPr>
              <w:jc w:val="center"/>
              <w:rPr>
                <w:color w:val="auto"/>
              </w:rPr>
            </w:pPr>
          </w:p>
          <w:p w:rsidR="002E439A" w:rsidRPr="006547D7" w:rsidP="00E05C12" w14:paraId="7685637D" w14:textId="77777777">
            <w:pPr>
              <w:jc w:val="center"/>
              <w:rPr>
                <w:color w:val="auto"/>
              </w:rPr>
            </w:pPr>
          </w:p>
          <w:p w:rsidR="002E439A" w:rsidRPr="006547D7" w:rsidP="00E05C12" w14:paraId="7646AB57" w14:textId="77777777">
            <w:pPr>
              <w:jc w:val="center"/>
              <w:rPr>
                <w:color w:val="auto"/>
              </w:rPr>
            </w:pPr>
          </w:p>
          <w:p w:rsidR="002E439A" w:rsidRPr="006547D7" w:rsidP="00E05C12" w14:paraId="10282F68" w14:textId="77777777">
            <w:pPr>
              <w:jc w:val="center"/>
              <w:rPr>
                <w:color w:val="auto"/>
                <w:sz w:val="18"/>
                <w:szCs w:val="18"/>
              </w:rPr>
            </w:pPr>
            <w:r w:rsidRPr="006547D7">
              <w:rPr>
                <w:color w:val="auto"/>
                <w:sz w:val="18"/>
              </w:rPr>
              <w:t>(FWSI)</w:t>
            </w:r>
          </w:p>
          <w:p w:rsidR="002E439A" w:rsidRPr="006547D7" w:rsidP="00E05C12" w14:paraId="70AF5390" w14:textId="77777777">
            <w:pPr>
              <w:jc w:val="center"/>
              <w:rPr>
                <w:color w:val="auto"/>
              </w:rPr>
            </w:pPr>
            <w:r w:rsidRPr="006547D7">
              <w:rPr>
                <w:color w:val="auto"/>
                <w:sz w:val="18"/>
              </w:rPr>
              <w:t xml:space="preserve"> [x 10-9]</w:t>
            </w:r>
          </w:p>
        </w:tc>
        <w:tc>
          <w:tcPr>
            <w:tcW w:w="995" w:type="dxa"/>
            <w:noWrap/>
            <w:hideMark/>
          </w:tcPr>
          <w:p w:rsidR="002E439A" w:rsidRPr="006547D7" w:rsidP="00E05C12" w14:paraId="1125B0A7" w14:textId="77777777">
            <w:pPr>
              <w:jc w:val="center"/>
              <w:rPr>
                <w:color w:val="auto"/>
              </w:rPr>
            </w:pPr>
            <w:r w:rsidRPr="006547D7">
              <w:rPr>
                <w:color w:val="auto"/>
              </w:rPr>
              <w:t>2014</w:t>
            </w:r>
          </w:p>
          <w:p w:rsidR="002E439A" w:rsidRPr="006547D7" w:rsidP="00E05C12" w14:paraId="6DF6BB86" w14:textId="77777777">
            <w:pPr>
              <w:jc w:val="center"/>
              <w:rPr>
                <w:color w:val="auto"/>
              </w:rPr>
            </w:pPr>
          </w:p>
          <w:p w:rsidR="002E439A" w:rsidRPr="006547D7" w:rsidP="00E05C12" w14:paraId="2D85011C" w14:textId="77777777">
            <w:pPr>
              <w:jc w:val="center"/>
              <w:rPr>
                <w:color w:val="auto"/>
              </w:rPr>
            </w:pPr>
          </w:p>
          <w:p w:rsidR="002E439A" w:rsidRPr="006547D7" w:rsidP="00E05C12" w14:paraId="62886BB5" w14:textId="77777777">
            <w:pPr>
              <w:jc w:val="center"/>
              <w:rPr>
                <w:color w:val="auto"/>
              </w:rPr>
            </w:pPr>
          </w:p>
          <w:p w:rsidR="002E439A" w:rsidRPr="006547D7" w:rsidP="00E05C12" w14:paraId="2698E51C" w14:textId="77777777">
            <w:pPr>
              <w:jc w:val="center"/>
              <w:rPr>
                <w:color w:val="auto"/>
                <w:sz w:val="18"/>
                <w:szCs w:val="18"/>
              </w:rPr>
            </w:pPr>
            <w:r w:rsidRPr="006547D7">
              <w:rPr>
                <w:color w:val="auto"/>
                <w:sz w:val="18"/>
              </w:rPr>
              <w:t>(FWSI)</w:t>
            </w:r>
          </w:p>
          <w:p w:rsidR="002E439A" w:rsidRPr="006547D7" w:rsidP="00E05C12" w14:paraId="529A1B4B" w14:textId="77777777">
            <w:pPr>
              <w:jc w:val="center"/>
              <w:rPr>
                <w:color w:val="auto"/>
              </w:rPr>
            </w:pPr>
            <w:r w:rsidRPr="006547D7">
              <w:rPr>
                <w:color w:val="auto"/>
                <w:sz w:val="18"/>
              </w:rPr>
              <w:t xml:space="preserve"> [x 10-9]</w:t>
            </w:r>
          </w:p>
        </w:tc>
        <w:tc>
          <w:tcPr>
            <w:tcW w:w="995" w:type="dxa"/>
            <w:noWrap/>
            <w:hideMark/>
          </w:tcPr>
          <w:p w:rsidR="002E439A" w:rsidRPr="006547D7" w:rsidP="00E05C12" w14:paraId="7D15E7F4" w14:textId="77777777">
            <w:pPr>
              <w:jc w:val="center"/>
              <w:rPr>
                <w:color w:val="auto"/>
              </w:rPr>
            </w:pPr>
            <w:r w:rsidRPr="006547D7">
              <w:rPr>
                <w:color w:val="auto"/>
              </w:rPr>
              <w:t>2015</w:t>
            </w:r>
          </w:p>
          <w:p w:rsidR="002E439A" w:rsidRPr="006547D7" w:rsidP="00E05C12" w14:paraId="4C70886E" w14:textId="77777777">
            <w:pPr>
              <w:jc w:val="center"/>
              <w:rPr>
                <w:color w:val="auto"/>
              </w:rPr>
            </w:pPr>
          </w:p>
          <w:p w:rsidR="002E439A" w:rsidRPr="006547D7" w:rsidP="00E05C12" w14:paraId="142EC97E" w14:textId="77777777">
            <w:pPr>
              <w:jc w:val="center"/>
              <w:rPr>
                <w:color w:val="auto"/>
              </w:rPr>
            </w:pPr>
          </w:p>
          <w:p w:rsidR="002E439A" w:rsidRPr="006547D7" w:rsidP="00E05C12" w14:paraId="61F49EF8" w14:textId="77777777">
            <w:pPr>
              <w:jc w:val="center"/>
              <w:rPr>
                <w:color w:val="auto"/>
              </w:rPr>
            </w:pPr>
          </w:p>
          <w:p w:rsidR="002E439A" w:rsidRPr="006547D7" w:rsidP="00E05C12" w14:paraId="008372C7" w14:textId="77777777">
            <w:pPr>
              <w:jc w:val="center"/>
              <w:rPr>
                <w:color w:val="auto"/>
                <w:sz w:val="18"/>
                <w:szCs w:val="18"/>
              </w:rPr>
            </w:pPr>
            <w:r w:rsidRPr="006547D7">
              <w:rPr>
                <w:color w:val="auto"/>
                <w:sz w:val="18"/>
              </w:rPr>
              <w:t>(FWSI)</w:t>
            </w:r>
          </w:p>
          <w:p w:rsidR="002E439A" w:rsidRPr="006547D7" w:rsidP="00E05C12" w14:paraId="4DD6F83C" w14:textId="77777777">
            <w:pPr>
              <w:jc w:val="center"/>
              <w:rPr>
                <w:color w:val="auto"/>
              </w:rPr>
            </w:pPr>
            <w:r w:rsidRPr="006547D7">
              <w:rPr>
                <w:color w:val="auto"/>
                <w:sz w:val="18"/>
              </w:rPr>
              <w:t xml:space="preserve"> [x 10-9]</w:t>
            </w:r>
          </w:p>
        </w:tc>
        <w:tc>
          <w:tcPr>
            <w:tcW w:w="995" w:type="dxa"/>
            <w:noWrap/>
            <w:hideMark/>
          </w:tcPr>
          <w:p w:rsidR="002E439A" w:rsidRPr="006547D7" w:rsidP="00E05C12" w14:paraId="4AFDFBA0" w14:textId="77777777">
            <w:pPr>
              <w:jc w:val="center"/>
              <w:rPr>
                <w:color w:val="auto"/>
              </w:rPr>
            </w:pPr>
            <w:r w:rsidRPr="006547D7">
              <w:rPr>
                <w:color w:val="auto"/>
              </w:rPr>
              <w:t>2016</w:t>
            </w:r>
          </w:p>
          <w:p w:rsidR="002E439A" w:rsidRPr="006547D7" w:rsidP="00E05C12" w14:paraId="0CAB08A9" w14:textId="77777777">
            <w:pPr>
              <w:jc w:val="center"/>
              <w:rPr>
                <w:color w:val="auto"/>
              </w:rPr>
            </w:pPr>
          </w:p>
          <w:p w:rsidR="002E439A" w:rsidRPr="006547D7" w:rsidP="00E05C12" w14:paraId="18780594" w14:textId="77777777">
            <w:pPr>
              <w:jc w:val="center"/>
              <w:rPr>
                <w:color w:val="auto"/>
              </w:rPr>
            </w:pPr>
          </w:p>
          <w:p w:rsidR="002E439A" w:rsidRPr="006547D7" w:rsidP="00E05C12" w14:paraId="4F7AAB7F" w14:textId="77777777">
            <w:pPr>
              <w:jc w:val="center"/>
              <w:rPr>
                <w:color w:val="auto"/>
              </w:rPr>
            </w:pPr>
          </w:p>
          <w:p w:rsidR="002E439A" w:rsidRPr="006547D7" w:rsidP="00E05C12" w14:paraId="301211D6" w14:textId="77777777">
            <w:pPr>
              <w:jc w:val="center"/>
              <w:rPr>
                <w:color w:val="auto"/>
                <w:sz w:val="18"/>
              </w:rPr>
            </w:pPr>
            <w:r w:rsidRPr="006547D7">
              <w:rPr>
                <w:color w:val="auto"/>
                <w:sz w:val="18"/>
              </w:rPr>
              <w:t>(FWSI)</w:t>
            </w:r>
          </w:p>
          <w:p w:rsidR="002E439A" w:rsidRPr="006547D7" w:rsidP="00E05C12" w14:paraId="40430B65" w14:textId="77777777">
            <w:pPr>
              <w:jc w:val="center"/>
              <w:rPr>
                <w:color w:val="auto"/>
              </w:rPr>
            </w:pPr>
            <w:r w:rsidRPr="006547D7">
              <w:rPr>
                <w:color w:val="auto"/>
                <w:sz w:val="18"/>
              </w:rPr>
              <w:t xml:space="preserve"> [x 10-9]</w:t>
            </w:r>
          </w:p>
        </w:tc>
        <w:tc>
          <w:tcPr>
            <w:tcW w:w="995" w:type="dxa"/>
          </w:tcPr>
          <w:p w:rsidR="002E439A" w:rsidRPr="006547D7" w:rsidP="002E439A" w14:paraId="6718F48F" w14:textId="77777777">
            <w:pPr>
              <w:jc w:val="center"/>
              <w:rPr>
                <w:color w:val="auto"/>
              </w:rPr>
            </w:pPr>
            <w:r w:rsidRPr="006547D7">
              <w:rPr>
                <w:color w:val="auto"/>
              </w:rPr>
              <w:t>2017</w:t>
            </w:r>
          </w:p>
          <w:p w:rsidR="002E439A" w:rsidRPr="006547D7" w:rsidP="002E439A" w14:paraId="436B0E1B" w14:textId="77777777">
            <w:pPr>
              <w:jc w:val="center"/>
              <w:rPr>
                <w:color w:val="auto"/>
              </w:rPr>
            </w:pPr>
          </w:p>
          <w:p w:rsidR="002E439A" w:rsidRPr="006547D7" w:rsidP="002E439A" w14:paraId="7D08FAD2" w14:textId="77777777">
            <w:pPr>
              <w:jc w:val="center"/>
              <w:rPr>
                <w:color w:val="auto"/>
              </w:rPr>
            </w:pPr>
          </w:p>
          <w:p w:rsidR="002E439A" w:rsidRPr="006547D7" w:rsidP="002E439A" w14:paraId="5C8B4266" w14:textId="77777777">
            <w:pPr>
              <w:jc w:val="center"/>
              <w:rPr>
                <w:color w:val="auto"/>
              </w:rPr>
            </w:pPr>
          </w:p>
          <w:p w:rsidR="002E439A" w:rsidRPr="006547D7" w:rsidP="002E439A" w14:paraId="657F237C" w14:textId="77777777">
            <w:pPr>
              <w:jc w:val="center"/>
              <w:rPr>
                <w:color w:val="auto"/>
                <w:sz w:val="18"/>
              </w:rPr>
            </w:pPr>
            <w:r w:rsidRPr="006547D7">
              <w:rPr>
                <w:color w:val="auto"/>
                <w:sz w:val="18"/>
              </w:rPr>
              <w:t>(FWSI)</w:t>
            </w:r>
          </w:p>
          <w:p w:rsidR="002E439A" w:rsidRPr="006547D7" w:rsidP="002E439A" w14:paraId="5981437B" w14:textId="77777777">
            <w:pPr>
              <w:jc w:val="center"/>
              <w:rPr>
                <w:highlight w:val="cyan"/>
              </w:rPr>
            </w:pPr>
            <w:r w:rsidRPr="006547D7">
              <w:rPr>
                <w:color w:val="auto"/>
                <w:sz w:val="18"/>
              </w:rPr>
              <w:t xml:space="preserve"> [x 10-9]</w:t>
            </w:r>
          </w:p>
        </w:tc>
      </w:tr>
      <w:tr w14:paraId="0813CB0B" w14:textId="77777777" w:rsidTr="001B5919">
        <w:tblPrEx>
          <w:tblW w:w="0" w:type="auto"/>
          <w:jc w:val="center"/>
          <w:tblLook w:val="04A0"/>
        </w:tblPrEx>
        <w:trPr>
          <w:trHeight w:val="300"/>
          <w:jc w:val="center"/>
        </w:trPr>
        <w:tc>
          <w:tcPr>
            <w:tcW w:w="1973" w:type="dxa"/>
            <w:noWrap/>
            <w:hideMark/>
          </w:tcPr>
          <w:p w:rsidR="002E439A" w:rsidRPr="006547D7" w:rsidP="00E05C12" w14:paraId="4F3645EA" w14:textId="77777777">
            <w:pPr>
              <w:jc w:val="both"/>
              <w:rPr>
                <w:color w:val="auto"/>
              </w:rPr>
            </w:pPr>
            <w:r w:rsidRPr="006547D7">
              <w:rPr>
                <w:color w:val="auto"/>
              </w:rPr>
              <w:t>Passengers</w:t>
            </w:r>
          </w:p>
        </w:tc>
        <w:tc>
          <w:tcPr>
            <w:tcW w:w="1109" w:type="dxa"/>
            <w:noWrap/>
            <w:hideMark/>
          </w:tcPr>
          <w:p w:rsidR="002E439A" w:rsidRPr="006547D7" w:rsidP="00E05C12" w14:paraId="70251120" w14:textId="77777777">
            <w:pPr>
              <w:jc w:val="center"/>
              <w:rPr>
                <w:b/>
                <w:color w:val="auto"/>
              </w:rPr>
            </w:pPr>
            <w:r w:rsidRPr="006547D7">
              <w:rPr>
                <w:b/>
                <w:color w:val="auto"/>
              </w:rPr>
              <w:t>25.3</w:t>
            </w:r>
          </w:p>
        </w:tc>
        <w:tc>
          <w:tcPr>
            <w:tcW w:w="995" w:type="dxa"/>
            <w:noWrap/>
            <w:hideMark/>
          </w:tcPr>
          <w:p w:rsidR="002E439A" w:rsidRPr="006547D7" w:rsidP="00E05C12" w14:paraId="590EE0C6" w14:textId="77777777">
            <w:pPr>
              <w:jc w:val="center"/>
              <w:rPr>
                <w:color w:val="auto"/>
              </w:rPr>
            </w:pPr>
            <w:r w:rsidRPr="006547D7">
              <w:rPr>
                <w:color w:val="auto"/>
              </w:rPr>
              <w:t>0</w:t>
            </w:r>
          </w:p>
        </w:tc>
        <w:tc>
          <w:tcPr>
            <w:tcW w:w="995" w:type="dxa"/>
            <w:noWrap/>
            <w:hideMark/>
          </w:tcPr>
          <w:p w:rsidR="002E439A" w:rsidRPr="006547D7" w:rsidP="00E05C12" w14:paraId="2AD1F85A" w14:textId="77777777">
            <w:pPr>
              <w:jc w:val="center"/>
              <w:rPr>
                <w:color w:val="auto"/>
              </w:rPr>
            </w:pPr>
            <w:r w:rsidRPr="006547D7">
              <w:rPr>
                <w:color w:val="auto"/>
              </w:rPr>
              <w:t>9.09</w:t>
            </w:r>
          </w:p>
        </w:tc>
        <w:tc>
          <w:tcPr>
            <w:tcW w:w="995" w:type="dxa"/>
            <w:noWrap/>
            <w:hideMark/>
          </w:tcPr>
          <w:p w:rsidR="002E439A" w:rsidRPr="006547D7" w:rsidP="00E05C12" w14:paraId="5431682A" w14:textId="77777777">
            <w:pPr>
              <w:jc w:val="center"/>
              <w:rPr>
                <w:color w:val="auto"/>
              </w:rPr>
            </w:pPr>
            <w:r w:rsidRPr="006547D7">
              <w:rPr>
                <w:color w:val="auto"/>
              </w:rPr>
              <w:t>0</w:t>
            </w:r>
          </w:p>
        </w:tc>
        <w:tc>
          <w:tcPr>
            <w:tcW w:w="995" w:type="dxa"/>
            <w:noWrap/>
            <w:hideMark/>
          </w:tcPr>
          <w:p w:rsidR="002E439A" w:rsidRPr="006547D7" w:rsidP="00E05C12" w14:paraId="0675FA70" w14:textId="77777777">
            <w:pPr>
              <w:jc w:val="center"/>
              <w:rPr>
                <w:color w:val="auto"/>
              </w:rPr>
            </w:pPr>
            <w:r w:rsidRPr="006547D7">
              <w:rPr>
                <w:color w:val="auto"/>
              </w:rPr>
              <w:t>0</w:t>
            </w:r>
          </w:p>
        </w:tc>
        <w:tc>
          <w:tcPr>
            <w:tcW w:w="995" w:type="dxa"/>
          </w:tcPr>
          <w:p w:rsidR="002E439A" w:rsidRPr="006547D7" w:rsidP="00E05C12" w14:paraId="771552BB" w14:textId="77777777">
            <w:pPr>
              <w:jc w:val="center"/>
              <w:rPr>
                <w:color w:val="auto"/>
              </w:rPr>
            </w:pPr>
            <w:r w:rsidRPr="006547D7">
              <w:rPr>
                <w:color w:val="auto"/>
              </w:rPr>
              <w:t>0</w:t>
            </w:r>
          </w:p>
        </w:tc>
      </w:tr>
      <w:tr w14:paraId="3D19324A" w14:textId="77777777" w:rsidTr="001B5919">
        <w:tblPrEx>
          <w:tblW w:w="0" w:type="auto"/>
          <w:jc w:val="center"/>
          <w:tblLook w:val="04A0"/>
        </w:tblPrEx>
        <w:trPr>
          <w:trHeight w:val="300"/>
          <w:jc w:val="center"/>
        </w:trPr>
        <w:tc>
          <w:tcPr>
            <w:tcW w:w="1973" w:type="dxa"/>
            <w:noWrap/>
            <w:hideMark/>
          </w:tcPr>
          <w:p w:rsidR="002E439A" w:rsidRPr="006547D7" w:rsidP="00E05C12" w14:paraId="7A612941" w14:textId="77777777">
            <w:pPr>
              <w:jc w:val="both"/>
              <w:rPr>
                <w:color w:val="auto"/>
              </w:rPr>
            </w:pPr>
            <w:r w:rsidRPr="006547D7">
              <w:rPr>
                <w:color w:val="auto"/>
              </w:rPr>
              <w:t>Employees</w:t>
            </w:r>
          </w:p>
        </w:tc>
        <w:tc>
          <w:tcPr>
            <w:tcW w:w="1109" w:type="dxa"/>
            <w:noWrap/>
            <w:hideMark/>
          </w:tcPr>
          <w:p w:rsidR="002E439A" w:rsidRPr="006547D7" w:rsidP="00E05C12" w14:paraId="7C788EA8" w14:textId="77777777">
            <w:pPr>
              <w:jc w:val="center"/>
              <w:rPr>
                <w:b/>
                <w:color w:val="auto"/>
              </w:rPr>
            </w:pPr>
            <w:r w:rsidRPr="006547D7">
              <w:rPr>
                <w:b/>
                <w:color w:val="auto"/>
              </w:rPr>
              <w:t>40.9</w:t>
            </w:r>
          </w:p>
        </w:tc>
        <w:tc>
          <w:tcPr>
            <w:tcW w:w="995" w:type="dxa"/>
            <w:noWrap/>
            <w:hideMark/>
          </w:tcPr>
          <w:p w:rsidR="002E439A" w:rsidRPr="006547D7" w:rsidP="00E05C12" w14:paraId="3805C089" w14:textId="77777777">
            <w:pPr>
              <w:jc w:val="center"/>
              <w:rPr>
                <w:color w:val="auto"/>
              </w:rPr>
            </w:pPr>
            <w:r w:rsidRPr="006547D7">
              <w:rPr>
                <w:color w:val="auto"/>
              </w:rPr>
              <w:t>5.28</w:t>
            </w:r>
          </w:p>
        </w:tc>
        <w:tc>
          <w:tcPr>
            <w:tcW w:w="995" w:type="dxa"/>
            <w:noWrap/>
            <w:hideMark/>
          </w:tcPr>
          <w:p w:rsidR="002E439A" w:rsidRPr="006547D7" w:rsidP="00E05C12" w14:paraId="4FB82B33" w14:textId="77777777">
            <w:pPr>
              <w:jc w:val="center"/>
              <w:rPr>
                <w:color w:val="auto"/>
              </w:rPr>
            </w:pPr>
            <w:r w:rsidRPr="006547D7">
              <w:rPr>
                <w:color w:val="auto"/>
              </w:rPr>
              <w:t>0</w:t>
            </w:r>
          </w:p>
        </w:tc>
        <w:tc>
          <w:tcPr>
            <w:tcW w:w="995" w:type="dxa"/>
            <w:noWrap/>
            <w:hideMark/>
          </w:tcPr>
          <w:p w:rsidR="002E439A" w:rsidRPr="006547D7" w:rsidP="00E05C12" w14:paraId="675E1ECA" w14:textId="77777777">
            <w:pPr>
              <w:jc w:val="center"/>
              <w:rPr>
                <w:color w:val="auto"/>
              </w:rPr>
            </w:pPr>
            <w:r w:rsidRPr="006547D7">
              <w:rPr>
                <w:color w:val="auto"/>
              </w:rPr>
              <w:t>0</w:t>
            </w:r>
          </w:p>
        </w:tc>
        <w:tc>
          <w:tcPr>
            <w:tcW w:w="995" w:type="dxa"/>
            <w:noWrap/>
            <w:hideMark/>
          </w:tcPr>
          <w:p w:rsidR="002E439A" w:rsidRPr="006547D7" w:rsidP="00E05C12" w14:paraId="20D00E5E" w14:textId="77777777">
            <w:pPr>
              <w:jc w:val="center"/>
              <w:rPr>
                <w:color w:val="auto"/>
              </w:rPr>
            </w:pPr>
            <w:r w:rsidRPr="006547D7">
              <w:rPr>
                <w:color w:val="auto"/>
              </w:rPr>
              <w:t>0</w:t>
            </w:r>
          </w:p>
        </w:tc>
        <w:tc>
          <w:tcPr>
            <w:tcW w:w="995" w:type="dxa"/>
          </w:tcPr>
          <w:p w:rsidR="002E439A" w:rsidRPr="006547D7" w:rsidP="00E05C12" w14:paraId="68C3DD99" w14:textId="77777777">
            <w:pPr>
              <w:jc w:val="center"/>
              <w:rPr>
                <w:color w:val="auto"/>
              </w:rPr>
            </w:pPr>
            <w:r w:rsidRPr="006547D7">
              <w:rPr>
                <w:color w:val="auto"/>
              </w:rPr>
              <w:t>5.28</w:t>
            </w:r>
          </w:p>
        </w:tc>
      </w:tr>
      <w:tr w14:paraId="4E3AF4F7" w14:textId="77777777" w:rsidTr="001B5919">
        <w:tblPrEx>
          <w:tblW w:w="0" w:type="auto"/>
          <w:jc w:val="center"/>
          <w:tblLook w:val="04A0"/>
        </w:tblPrEx>
        <w:trPr>
          <w:trHeight w:val="300"/>
          <w:jc w:val="center"/>
        </w:trPr>
        <w:tc>
          <w:tcPr>
            <w:tcW w:w="1973" w:type="dxa"/>
            <w:noWrap/>
            <w:hideMark/>
          </w:tcPr>
          <w:p w:rsidR="002E439A" w:rsidRPr="006547D7" w:rsidP="00E05C12" w14:paraId="0AAB1674" w14:textId="77777777">
            <w:pPr>
              <w:jc w:val="both"/>
              <w:rPr>
                <w:color w:val="auto"/>
              </w:rPr>
            </w:pPr>
            <w:r w:rsidRPr="006547D7">
              <w:rPr>
                <w:color w:val="auto"/>
              </w:rPr>
              <w:t>Level crossing users</w:t>
            </w:r>
          </w:p>
        </w:tc>
        <w:tc>
          <w:tcPr>
            <w:tcW w:w="1109" w:type="dxa"/>
            <w:noWrap/>
            <w:hideMark/>
          </w:tcPr>
          <w:p w:rsidR="002E439A" w:rsidRPr="006547D7" w:rsidP="00E05C12" w14:paraId="60892440" w14:textId="77777777">
            <w:pPr>
              <w:jc w:val="center"/>
              <w:rPr>
                <w:b/>
                <w:color w:val="auto"/>
              </w:rPr>
            </w:pPr>
            <w:r w:rsidRPr="006547D7">
              <w:rPr>
                <w:b/>
                <w:color w:val="auto"/>
              </w:rPr>
              <w:t>364</w:t>
            </w:r>
          </w:p>
        </w:tc>
        <w:tc>
          <w:tcPr>
            <w:tcW w:w="995" w:type="dxa"/>
            <w:noWrap/>
            <w:hideMark/>
          </w:tcPr>
          <w:p w:rsidR="002E439A" w:rsidRPr="006547D7" w:rsidP="00E05C12" w14:paraId="0840895D" w14:textId="77777777">
            <w:pPr>
              <w:jc w:val="center"/>
              <w:rPr>
                <w:color w:val="auto"/>
              </w:rPr>
            </w:pPr>
            <w:r w:rsidRPr="006547D7">
              <w:rPr>
                <w:color w:val="auto"/>
              </w:rPr>
              <w:t>259</w:t>
            </w:r>
          </w:p>
        </w:tc>
        <w:tc>
          <w:tcPr>
            <w:tcW w:w="995" w:type="dxa"/>
            <w:noWrap/>
            <w:hideMark/>
          </w:tcPr>
          <w:p w:rsidR="002E439A" w:rsidRPr="006547D7" w:rsidP="00E05C12" w14:paraId="2EE26DA8" w14:textId="77777777">
            <w:pPr>
              <w:jc w:val="center"/>
              <w:rPr>
                <w:color w:val="auto"/>
              </w:rPr>
            </w:pPr>
            <w:r w:rsidRPr="006547D7">
              <w:rPr>
                <w:color w:val="auto"/>
              </w:rPr>
              <w:t>195</w:t>
            </w:r>
          </w:p>
        </w:tc>
        <w:tc>
          <w:tcPr>
            <w:tcW w:w="995" w:type="dxa"/>
            <w:noWrap/>
            <w:hideMark/>
          </w:tcPr>
          <w:p w:rsidR="002E439A" w:rsidRPr="006547D7" w:rsidP="00E05C12" w14:paraId="3F959AB3" w14:textId="77777777">
            <w:pPr>
              <w:jc w:val="center"/>
              <w:rPr>
                <w:color w:val="auto"/>
              </w:rPr>
            </w:pPr>
            <w:r w:rsidRPr="006547D7">
              <w:rPr>
                <w:color w:val="auto"/>
              </w:rPr>
              <w:t>116</w:t>
            </w:r>
          </w:p>
        </w:tc>
        <w:tc>
          <w:tcPr>
            <w:tcW w:w="995" w:type="dxa"/>
            <w:noWrap/>
            <w:hideMark/>
          </w:tcPr>
          <w:p w:rsidR="002E439A" w:rsidRPr="006547D7" w:rsidP="00E05C12" w14:paraId="695CA89B" w14:textId="77777777">
            <w:pPr>
              <w:jc w:val="center"/>
              <w:rPr>
                <w:color w:val="auto"/>
              </w:rPr>
            </w:pPr>
            <w:r w:rsidRPr="006547D7">
              <w:rPr>
                <w:color w:val="auto"/>
              </w:rPr>
              <w:t>285</w:t>
            </w:r>
          </w:p>
        </w:tc>
        <w:tc>
          <w:tcPr>
            <w:tcW w:w="995" w:type="dxa"/>
          </w:tcPr>
          <w:p w:rsidR="002E439A" w:rsidRPr="006547D7" w:rsidP="00E05C12" w14:paraId="22BD2B83" w14:textId="77777777">
            <w:pPr>
              <w:jc w:val="center"/>
              <w:rPr>
                <w:color w:val="auto"/>
              </w:rPr>
            </w:pPr>
            <w:r w:rsidRPr="006547D7">
              <w:rPr>
                <w:color w:val="auto"/>
              </w:rPr>
              <w:t>275</w:t>
            </w:r>
          </w:p>
        </w:tc>
      </w:tr>
      <w:tr w14:paraId="6C5060B0" w14:textId="77777777" w:rsidTr="001B5919">
        <w:tblPrEx>
          <w:tblW w:w="0" w:type="auto"/>
          <w:jc w:val="center"/>
          <w:tblLook w:val="04A0"/>
        </w:tblPrEx>
        <w:trPr>
          <w:trHeight w:val="300"/>
          <w:jc w:val="center"/>
        </w:trPr>
        <w:tc>
          <w:tcPr>
            <w:tcW w:w="1973" w:type="dxa"/>
            <w:noWrap/>
            <w:hideMark/>
          </w:tcPr>
          <w:p w:rsidR="002E439A" w:rsidRPr="006547D7" w:rsidP="00E05C12" w14:paraId="46D4804C" w14:textId="77777777">
            <w:pPr>
              <w:jc w:val="both"/>
              <w:rPr>
                <w:color w:val="auto"/>
              </w:rPr>
            </w:pPr>
            <w:r w:rsidRPr="006547D7">
              <w:rPr>
                <w:color w:val="auto"/>
              </w:rPr>
              <w:t>Unauthorised persons</w:t>
            </w:r>
          </w:p>
        </w:tc>
        <w:tc>
          <w:tcPr>
            <w:tcW w:w="1109" w:type="dxa"/>
            <w:noWrap/>
            <w:hideMark/>
          </w:tcPr>
          <w:p w:rsidR="002E439A" w:rsidRPr="006547D7" w:rsidP="00E05C12" w14:paraId="614AB1E8" w14:textId="77777777">
            <w:pPr>
              <w:jc w:val="center"/>
              <w:rPr>
                <w:b/>
                <w:color w:val="auto"/>
              </w:rPr>
            </w:pPr>
            <w:r w:rsidRPr="006547D7">
              <w:rPr>
                <w:b/>
                <w:color w:val="auto"/>
              </w:rPr>
              <w:t>236</w:t>
            </w:r>
          </w:p>
        </w:tc>
        <w:tc>
          <w:tcPr>
            <w:tcW w:w="995" w:type="dxa"/>
            <w:noWrap/>
            <w:hideMark/>
          </w:tcPr>
          <w:p w:rsidR="002E439A" w:rsidRPr="006547D7" w:rsidP="00E05C12" w14:paraId="09980A5E" w14:textId="77777777">
            <w:pPr>
              <w:jc w:val="center"/>
              <w:rPr>
                <w:color w:val="auto"/>
              </w:rPr>
            </w:pPr>
            <w:r w:rsidRPr="006547D7">
              <w:rPr>
                <w:color w:val="auto"/>
              </w:rPr>
              <w:t>52.8</w:t>
            </w:r>
          </w:p>
        </w:tc>
        <w:tc>
          <w:tcPr>
            <w:tcW w:w="995" w:type="dxa"/>
            <w:noWrap/>
            <w:hideMark/>
          </w:tcPr>
          <w:p w:rsidR="002E439A" w:rsidRPr="006547D7" w:rsidP="00E05C12" w14:paraId="28D28002" w14:textId="77777777">
            <w:pPr>
              <w:jc w:val="center"/>
              <w:rPr>
                <w:color w:val="auto"/>
              </w:rPr>
            </w:pPr>
            <w:r w:rsidRPr="006547D7">
              <w:rPr>
                <w:color w:val="auto"/>
              </w:rPr>
              <w:t>0</w:t>
            </w:r>
          </w:p>
        </w:tc>
        <w:tc>
          <w:tcPr>
            <w:tcW w:w="995" w:type="dxa"/>
            <w:noWrap/>
            <w:hideMark/>
          </w:tcPr>
          <w:p w:rsidR="002E439A" w:rsidRPr="006547D7" w:rsidP="00E05C12" w14:paraId="2E85879F" w14:textId="77777777">
            <w:pPr>
              <w:jc w:val="center"/>
              <w:rPr>
                <w:color w:val="auto"/>
              </w:rPr>
            </w:pPr>
            <w:r w:rsidRPr="006547D7">
              <w:rPr>
                <w:color w:val="auto"/>
              </w:rPr>
              <w:t>5.28</w:t>
            </w:r>
          </w:p>
        </w:tc>
        <w:tc>
          <w:tcPr>
            <w:tcW w:w="995" w:type="dxa"/>
            <w:noWrap/>
            <w:hideMark/>
          </w:tcPr>
          <w:p w:rsidR="002E439A" w:rsidRPr="006547D7" w:rsidP="00E05C12" w14:paraId="53B0AFC2" w14:textId="77777777">
            <w:pPr>
              <w:jc w:val="center"/>
              <w:rPr>
                <w:color w:val="auto"/>
              </w:rPr>
            </w:pPr>
            <w:r w:rsidRPr="006547D7">
              <w:rPr>
                <w:color w:val="auto"/>
              </w:rPr>
              <w:t>0</w:t>
            </w:r>
          </w:p>
        </w:tc>
        <w:tc>
          <w:tcPr>
            <w:tcW w:w="995" w:type="dxa"/>
          </w:tcPr>
          <w:p w:rsidR="002E439A" w:rsidRPr="006547D7" w:rsidP="00E05C12" w14:paraId="3C538CE1" w14:textId="77777777">
            <w:pPr>
              <w:jc w:val="center"/>
              <w:rPr>
                <w:color w:val="auto"/>
              </w:rPr>
            </w:pPr>
            <w:r w:rsidRPr="006547D7">
              <w:rPr>
                <w:color w:val="auto"/>
              </w:rPr>
              <w:t>0</w:t>
            </w:r>
          </w:p>
        </w:tc>
      </w:tr>
      <w:tr w14:paraId="0547A997" w14:textId="77777777" w:rsidTr="001B5919">
        <w:tblPrEx>
          <w:tblW w:w="0" w:type="auto"/>
          <w:jc w:val="center"/>
          <w:tblLook w:val="04A0"/>
        </w:tblPrEx>
        <w:trPr>
          <w:trHeight w:val="300"/>
          <w:jc w:val="center"/>
        </w:trPr>
        <w:tc>
          <w:tcPr>
            <w:tcW w:w="1973" w:type="dxa"/>
            <w:noWrap/>
            <w:hideMark/>
          </w:tcPr>
          <w:p w:rsidR="002E439A" w:rsidRPr="006547D7" w:rsidP="00E05C12" w14:paraId="629A2EAE" w14:textId="77777777">
            <w:pPr>
              <w:jc w:val="both"/>
              <w:rPr>
                <w:color w:val="auto"/>
              </w:rPr>
            </w:pPr>
            <w:r w:rsidRPr="006547D7">
              <w:rPr>
                <w:color w:val="auto"/>
              </w:rPr>
              <w:t>Others</w:t>
            </w:r>
          </w:p>
        </w:tc>
        <w:tc>
          <w:tcPr>
            <w:tcW w:w="1109" w:type="dxa"/>
            <w:noWrap/>
            <w:hideMark/>
          </w:tcPr>
          <w:p w:rsidR="002E439A" w:rsidRPr="006547D7" w:rsidP="00E05C12" w14:paraId="4FFDB508" w14:textId="77777777">
            <w:pPr>
              <w:jc w:val="center"/>
              <w:rPr>
                <w:b/>
                <w:color w:val="auto"/>
              </w:rPr>
            </w:pPr>
            <w:r w:rsidRPr="006547D7">
              <w:rPr>
                <w:b/>
                <w:color w:val="auto"/>
              </w:rPr>
              <w:t>14.5</w:t>
            </w:r>
          </w:p>
        </w:tc>
        <w:tc>
          <w:tcPr>
            <w:tcW w:w="995" w:type="dxa"/>
            <w:noWrap/>
            <w:hideMark/>
          </w:tcPr>
          <w:p w:rsidR="002E439A" w:rsidRPr="006547D7" w:rsidP="00E05C12" w14:paraId="5316DC5B" w14:textId="77777777">
            <w:pPr>
              <w:jc w:val="center"/>
              <w:rPr>
                <w:color w:val="auto"/>
              </w:rPr>
            </w:pPr>
            <w:r w:rsidRPr="006547D7">
              <w:rPr>
                <w:color w:val="auto"/>
              </w:rPr>
              <w:t>0</w:t>
            </w:r>
          </w:p>
        </w:tc>
        <w:tc>
          <w:tcPr>
            <w:tcW w:w="995" w:type="dxa"/>
            <w:noWrap/>
            <w:hideMark/>
          </w:tcPr>
          <w:p w:rsidR="002E439A" w:rsidRPr="006547D7" w:rsidP="00E05C12" w14:paraId="2F1070D7" w14:textId="77777777">
            <w:pPr>
              <w:jc w:val="center"/>
              <w:rPr>
                <w:color w:val="auto"/>
              </w:rPr>
            </w:pPr>
            <w:r w:rsidRPr="006547D7">
              <w:rPr>
                <w:color w:val="auto"/>
              </w:rPr>
              <w:t>0</w:t>
            </w:r>
          </w:p>
        </w:tc>
        <w:tc>
          <w:tcPr>
            <w:tcW w:w="995" w:type="dxa"/>
            <w:noWrap/>
            <w:hideMark/>
          </w:tcPr>
          <w:p w:rsidR="002E439A" w:rsidRPr="006547D7" w:rsidP="00E05C12" w14:paraId="24C5C385" w14:textId="77777777">
            <w:pPr>
              <w:jc w:val="center"/>
              <w:rPr>
                <w:color w:val="auto"/>
              </w:rPr>
            </w:pPr>
            <w:r w:rsidRPr="006547D7">
              <w:rPr>
                <w:color w:val="auto"/>
              </w:rPr>
              <w:t>0</w:t>
            </w:r>
          </w:p>
        </w:tc>
        <w:tc>
          <w:tcPr>
            <w:tcW w:w="995" w:type="dxa"/>
            <w:noWrap/>
            <w:hideMark/>
          </w:tcPr>
          <w:p w:rsidR="002E439A" w:rsidRPr="006547D7" w:rsidP="00E05C12" w14:paraId="51EA8FDF" w14:textId="77777777">
            <w:pPr>
              <w:jc w:val="center"/>
              <w:rPr>
                <w:color w:val="auto"/>
              </w:rPr>
            </w:pPr>
            <w:r w:rsidRPr="006547D7">
              <w:rPr>
                <w:color w:val="auto"/>
              </w:rPr>
              <w:t>0</w:t>
            </w:r>
          </w:p>
        </w:tc>
        <w:tc>
          <w:tcPr>
            <w:tcW w:w="995" w:type="dxa"/>
          </w:tcPr>
          <w:p w:rsidR="002E439A" w:rsidRPr="006547D7" w:rsidP="00E05C12" w14:paraId="2E9E2D96" w14:textId="77777777">
            <w:pPr>
              <w:jc w:val="center"/>
              <w:rPr>
                <w:color w:val="auto"/>
              </w:rPr>
            </w:pPr>
            <w:r w:rsidRPr="006547D7">
              <w:rPr>
                <w:color w:val="auto"/>
              </w:rPr>
              <w:t>0</w:t>
            </w:r>
          </w:p>
        </w:tc>
      </w:tr>
      <w:tr w14:paraId="05C69CFE" w14:textId="77777777" w:rsidTr="001B5919">
        <w:tblPrEx>
          <w:tblW w:w="0" w:type="auto"/>
          <w:jc w:val="center"/>
          <w:tblLook w:val="04A0"/>
        </w:tblPrEx>
        <w:trPr>
          <w:trHeight w:val="315"/>
          <w:jc w:val="center"/>
        </w:trPr>
        <w:tc>
          <w:tcPr>
            <w:tcW w:w="1973" w:type="dxa"/>
            <w:noWrap/>
            <w:hideMark/>
          </w:tcPr>
          <w:p w:rsidR="002E439A" w:rsidRPr="006547D7" w:rsidP="00E05C12" w14:paraId="2941AE05" w14:textId="77777777">
            <w:pPr>
              <w:jc w:val="both"/>
              <w:rPr>
                <w:color w:val="auto"/>
              </w:rPr>
            </w:pPr>
            <w:r w:rsidRPr="006547D7">
              <w:rPr>
                <w:color w:val="auto"/>
              </w:rPr>
              <w:t>Society as a whole</w:t>
            </w:r>
          </w:p>
        </w:tc>
        <w:tc>
          <w:tcPr>
            <w:tcW w:w="1109" w:type="dxa"/>
            <w:noWrap/>
            <w:hideMark/>
          </w:tcPr>
          <w:p w:rsidR="002E439A" w:rsidRPr="006547D7" w:rsidP="00E05C12" w14:paraId="57BDB714" w14:textId="77777777">
            <w:pPr>
              <w:jc w:val="center"/>
              <w:rPr>
                <w:b/>
                <w:color w:val="auto"/>
              </w:rPr>
            </w:pPr>
            <w:r w:rsidRPr="006547D7">
              <w:rPr>
                <w:b/>
                <w:color w:val="auto"/>
              </w:rPr>
              <w:t>698</w:t>
            </w:r>
          </w:p>
        </w:tc>
        <w:tc>
          <w:tcPr>
            <w:tcW w:w="995" w:type="dxa"/>
            <w:noWrap/>
            <w:hideMark/>
          </w:tcPr>
          <w:p w:rsidR="002E439A" w:rsidRPr="006547D7" w:rsidP="00E05C12" w14:paraId="24255C20" w14:textId="77777777">
            <w:pPr>
              <w:jc w:val="center"/>
              <w:rPr>
                <w:color w:val="auto"/>
              </w:rPr>
            </w:pPr>
            <w:r w:rsidRPr="006547D7">
              <w:rPr>
                <w:color w:val="auto"/>
              </w:rPr>
              <w:t>317</w:t>
            </w:r>
          </w:p>
        </w:tc>
        <w:tc>
          <w:tcPr>
            <w:tcW w:w="995" w:type="dxa"/>
            <w:noWrap/>
            <w:hideMark/>
          </w:tcPr>
          <w:p w:rsidR="002E439A" w:rsidRPr="006547D7" w:rsidP="00E05C12" w14:paraId="484BF3A4" w14:textId="77777777">
            <w:pPr>
              <w:jc w:val="center"/>
              <w:rPr>
                <w:color w:val="auto"/>
              </w:rPr>
            </w:pPr>
            <w:r w:rsidRPr="006547D7">
              <w:rPr>
                <w:color w:val="auto"/>
              </w:rPr>
              <w:t>201</w:t>
            </w:r>
          </w:p>
        </w:tc>
        <w:tc>
          <w:tcPr>
            <w:tcW w:w="995" w:type="dxa"/>
            <w:noWrap/>
            <w:hideMark/>
          </w:tcPr>
          <w:p w:rsidR="002E439A" w:rsidRPr="006547D7" w:rsidP="00E05C12" w14:paraId="24CEC760" w14:textId="77777777">
            <w:pPr>
              <w:jc w:val="center"/>
              <w:rPr>
                <w:color w:val="auto"/>
              </w:rPr>
            </w:pPr>
            <w:r w:rsidRPr="006547D7">
              <w:rPr>
                <w:color w:val="auto"/>
              </w:rPr>
              <w:t>121</w:t>
            </w:r>
          </w:p>
        </w:tc>
        <w:tc>
          <w:tcPr>
            <w:tcW w:w="995" w:type="dxa"/>
            <w:noWrap/>
            <w:hideMark/>
          </w:tcPr>
          <w:p w:rsidR="002E439A" w:rsidRPr="006547D7" w:rsidP="00E05C12" w14:paraId="2BC37DD3" w14:textId="77777777">
            <w:pPr>
              <w:jc w:val="center"/>
              <w:rPr>
                <w:color w:val="auto"/>
              </w:rPr>
            </w:pPr>
            <w:r w:rsidRPr="006547D7">
              <w:rPr>
                <w:color w:val="auto"/>
              </w:rPr>
              <w:t>285</w:t>
            </w:r>
          </w:p>
        </w:tc>
        <w:tc>
          <w:tcPr>
            <w:tcW w:w="995" w:type="dxa"/>
          </w:tcPr>
          <w:p w:rsidR="002E439A" w:rsidRPr="006547D7" w:rsidP="00E05C12" w14:paraId="05BEDA3A" w14:textId="77777777">
            <w:pPr>
              <w:jc w:val="center"/>
              <w:rPr>
                <w:color w:val="auto"/>
              </w:rPr>
            </w:pPr>
            <w:r w:rsidRPr="006547D7">
              <w:rPr>
                <w:color w:val="auto"/>
              </w:rPr>
              <w:t>280</w:t>
            </w:r>
          </w:p>
        </w:tc>
      </w:tr>
    </w:tbl>
    <w:p w:rsidR="00F063B1" w:rsidRPr="006547D7" w:rsidP="00F063B1" w14:paraId="2F817F69" w14:textId="77777777">
      <w:pPr>
        <w:jc w:val="center"/>
        <w:rPr>
          <w:color w:val="595959" w:themeColor="text1" w:themeTint="A6"/>
          <w:kern w:val="20"/>
          <w:sz w:val="20"/>
          <w:szCs w:val="20"/>
        </w:rPr>
      </w:pPr>
      <w:r w:rsidRPr="006547D7">
        <w:rPr>
          <w:color w:val="595959" w:themeColor="text1" w:themeTint="A6"/>
          <w:kern w:val="20"/>
          <w:sz w:val="20"/>
        </w:rPr>
        <w:t>Table 1: Comparison of NRVs and FWSIs per risk category in 2013–2017.</w:t>
      </w:r>
    </w:p>
    <w:p w:rsidR="002E439A" w:rsidRPr="006547D7" w:rsidP="0005448D" w14:paraId="1601AF65" w14:textId="77777777"/>
    <w:p w:rsidR="002E439A" w:rsidRPr="006547D7" w:rsidP="0005448D" w14:paraId="59B27DC5" w14:textId="77777777"/>
    <w:p w:rsidR="0005448D" w:rsidRPr="006547D7" w:rsidP="0005448D" w14:paraId="2F8FE4BB" w14:textId="77777777">
      <w:pPr>
        <w:pStyle w:val="Heading2"/>
      </w:pPr>
      <w:r w:rsidRPr="006547D7">
        <w:t>B.2. National safety strategy, programmes and initiatives</w:t>
      </w:r>
    </w:p>
    <w:p w:rsidR="0005448D" w:rsidRPr="006547D7" w:rsidP="0005448D" w14:paraId="3E469E91" w14:textId="77777777"/>
    <w:p w:rsidR="00013884" w:rsidRPr="006547D7" w:rsidP="00013884" w14:paraId="363E0934" w14:textId="77777777">
      <w:r w:rsidRPr="006547D7">
        <w:t xml:space="preserve">The national safety strategy for the Republic of Slovenia </w:t>
      </w:r>
      <w:r w:rsidRPr="006547D7">
        <w:t>has not been adopted</w:t>
      </w:r>
      <w:r w:rsidRPr="006547D7">
        <w:t xml:space="preserve"> yet.</w:t>
      </w:r>
    </w:p>
    <w:p w:rsidR="00013884" w:rsidRPr="006547D7" w:rsidP="0005448D" w14:paraId="04F3D248" w14:textId="77777777"/>
    <w:p w:rsidR="0005448D" w:rsidRPr="006547D7" w:rsidP="0005448D" w14:paraId="18D6C516" w14:textId="77777777">
      <w:pPr>
        <w:pStyle w:val="Heading2"/>
      </w:pPr>
      <w:r w:rsidRPr="006547D7">
        <w:t>B.3. Overview of the last year</w:t>
      </w:r>
    </w:p>
    <w:p w:rsidR="00454A73" w:rsidRPr="006547D7" w:rsidP="00454A73" w14:paraId="0253A7ED" w14:textId="77777777"/>
    <w:p w:rsidR="00D63364" w:rsidRPr="006547D7" w:rsidP="00D63364" w14:paraId="5E5DD4C9" w14:textId="77777777">
      <w:pPr>
        <w:jc w:val="both"/>
      </w:pPr>
      <w:r w:rsidRPr="006547D7">
        <w:t xml:space="preserve">AŽP’s activities ensure that the conditions for the safe functioning of the railway system are in place, namely through mechanisms for safety certificates, safety authorisations, licences, permits, keeping registers, including subsystems integrated into the operation and implementation of the supervision of safety management systems, etc. We believe that certain mechanisms </w:t>
      </w:r>
      <w:r w:rsidRPr="006547D7">
        <w:t>will be performed</w:t>
      </w:r>
      <w:r w:rsidRPr="006547D7">
        <w:t xml:space="preserve"> to a superior quality because, in our opinion, our reorganisation has optimised the processes and installed additional systemic control mechanisms, which we estimate to have minimised the possibility of errors. </w:t>
      </w:r>
    </w:p>
    <w:p w:rsidR="00D63364" w:rsidRPr="006547D7" w:rsidP="00FE3895" w14:paraId="50B90ADF" w14:textId="77777777">
      <w:pPr>
        <w:jc w:val="both"/>
      </w:pPr>
      <w:r w:rsidRPr="006547D7">
        <w:t>The Republic of Slovenia did not exceed any of the set reference values in any railway areas verified. We can therefore state that the established system is adequate and that the procedures performed by the AŽP were appropriate.</w:t>
      </w:r>
    </w:p>
    <w:p w:rsidR="00D63364" w:rsidRPr="006547D7" w:rsidP="00FE3895" w14:paraId="65E2F469" w14:textId="77777777">
      <w:pPr>
        <w:jc w:val="both"/>
      </w:pPr>
      <w:r w:rsidRPr="006547D7">
        <w:t>The staff completion and implementation of the works defined in the 2017 work programme were also influenced by the delayed implementation of the adopted 2016/2017 Work Programme of 12 October 2016, as a result of delays in the handover, which postponed the following planned activities:</w:t>
      </w:r>
    </w:p>
    <w:p w:rsidR="00D63364" w:rsidRPr="006547D7" w:rsidP="00D63364" w14:paraId="4EC75375" w14:textId="77777777">
      <w:pPr>
        <w:pStyle w:val="ListParagraph"/>
        <w:numPr>
          <w:ilvl w:val="0"/>
          <w:numId w:val="6"/>
        </w:numPr>
        <w:rPr>
          <w:rStyle w:val="fontstyle01"/>
        </w:rPr>
      </w:pPr>
      <w:r w:rsidRPr="006547D7">
        <w:rPr>
          <w:rStyle w:val="fontstyle01"/>
        </w:rPr>
        <w:t>adoption of systemisation;</w:t>
      </w:r>
    </w:p>
    <w:p w:rsidR="00D63364" w:rsidRPr="006547D7" w:rsidP="00D63364" w14:paraId="4FD99E3F" w14:textId="77777777">
      <w:pPr>
        <w:pStyle w:val="ListParagraph"/>
        <w:numPr>
          <w:ilvl w:val="0"/>
          <w:numId w:val="6"/>
        </w:numPr>
        <w:rPr>
          <w:rFonts w:ascii="Calibri" w:hAnsi="Calibri" w:cs="Calibri"/>
          <w:color w:val="000000"/>
          <w:sz w:val="22"/>
          <w:szCs w:val="22"/>
        </w:rPr>
      </w:pPr>
      <w:r w:rsidRPr="006547D7">
        <w:rPr>
          <w:rStyle w:val="fontstyle01"/>
        </w:rPr>
        <w:t>redistributing workers involved in the tasks of setting up, issuing and collecting user charges, and allocating train routes to new tasks, as they were required to fulfil these tasks;</w:t>
      </w:r>
    </w:p>
    <w:p w:rsidR="00013884" w:rsidRPr="006547D7" w:rsidP="00D63364" w14:paraId="6A98C28E" w14:textId="77777777">
      <w:pPr>
        <w:pStyle w:val="ListParagraph"/>
        <w:numPr>
          <w:ilvl w:val="0"/>
          <w:numId w:val="6"/>
        </w:numPr>
        <w:rPr>
          <w:rStyle w:val="fontstyle01"/>
        </w:rPr>
      </w:pPr>
      <w:r w:rsidRPr="006547D7">
        <w:rPr>
          <w:rStyle w:val="fontstyle01"/>
        </w:rPr>
        <w:t>launch</w:t>
      </w:r>
      <w:r w:rsidRPr="006547D7">
        <w:rPr>
          <w:rStyle w:val="fontstyle01"/>
        </w:rPr>
        <w:t xml:space="preserve"> of the call for tender for the recruitment of additional people, as publishing the job vacancies would have required adopting a new systemisation. It was possible to consider this new systemisation further after the adoption of the Decision amending the Decision establishing the Public Agency of the Republic of Slovenia for Rail Transport.</w:t>
      </w:r>
    </w:p>
    <w:p w:rsidR="00013884" w:rsidRPr="006547D7" w:rsidP="00454A73" w14:paraId="016CC277" w14:textId="77777777"/>
    <w:p w:rsidR="00454A73" w:rsidRPr="006547D7" w:rsidP="00454A73" w14:paraId="446D12E4" w14:textId="77777777">
      <w:pPr>
        <w:pStyle w:val="Heading2"/>
      </w:pPr>
      <w:r w:rsidRPr="006547D7">
        <w:t>B.4. Focus areas for next year</w:t>
      </w:r>
    </w:p>
    <w:p w:rsidR="00454A73" w:rsidRPr="006547D7" w:rsidP="00454A73" w14:paraId="277A8F7F" w14:textId="77777777"/>
    <w:p w:rsidR="00013884" w:rsidRPr="006547D7" w:rsidP="00013884" w14:paraId="23DFB1D6" w14:textId="77777777">
      <w:pPr>
        <w:jc w:val="both"/>
      </w:pPr>
      <w:r w:rsidRPr="006547D7">
        <w:t xml:space="preserve">In 2018, focus areas are centred </w:t>
      </w:r>
      <w:r w:rsidRPr="006547D7">
        <w:t>around</w:t>
      </w:r>
      <w:r w:rsidRPr="006547D7">
        <w:t xml:space="preserve"> the supervision of the infrastructure managers’ and undertakings’ safety management systems, issuing of licences, maintenance systems for entities in charge of rolling stock maintenance, and training and verification entities.</w:t>
      </w:r>
    </w:p>
    <w:p w:rsidR="00454A73" w:rsidRPr="006547D7" w14:paraId="57B62925" w14:textId="77777777">
      <w:r w:rsidRPr="006547D7">
        <w:br w:type="page"/>
      </w:r>
    </w:p>
    <w:p w:rsidR="00454A73" w:rsidRPr="006547D7" w:rsidP="00454A73" w14:paraId="02555872" w14:textId="77777777">
      <w:pPr>
        <w:pStyle w:val="Heading1"/>
        <w:numPr>
          <w:ilvl w:val="0"/>
          <w:numId w:val="1"/>
        </w:numPr>
      </w:pPr>
      <w:bookmarkStart w:id="5" w:name="_Toc524421166"/>
      <w:bookmarkStart w:id="6" w:name="_Toc528759585"/>
      <w:r w:rsidRPr="006547D7">
        <w:t>Developments in safety performance</w:t>
      </w:r>
      <w:bookmarkEnd w:id="5"/>
      <w:bookmarkEnd w:id="6"/>
    </w:p>
    <w:p w:rsidR="00454A73" w:rsidRPr="006547D7" w:rsidP="00454A73" w14:paraId="1F2EC563" w14:textId="77777777"/>
    <w:p w:rsidR="00454A73" w:rsidRPr="006547D7" w:rsidP="00454A73" w14:paraId="605734BE" w14:textId="77777777">
      <w:pPr>
        <w:pStyle w:val="Heading2"/>
      </w:pPr>
      <w:r w:rsidRPr="006547D7">
        <w:t>C.1. Detailed analysis of recent recorded trends</w:t>
      </w:r>
    </w:p>
    <w:p w:rsidR="00454A73" w:rsidRPr="006547D7" w:rsidP="002E439B" w14:paraId="0C8F3C56" w14:textId="77777777">
      <w:pPr>
        <w:spacing w:after="120"/>
      </w:pPr>
    </w:p>
    <w:p w:rsidR="00013884" w:rsidRPr="006547D7" w:rsidP="00013884" w14:paraId="6E0A6484" w14:textId="77777777">
      <w:pPr>
        <w:jc w:val="both"/>
      </w:pPr>
      <w:r w:rsidRPr="006547D7">
        <w:t xml:space="preserve">The trend in safety performance in the areas defined by some of the most important common safety indicators has remained at roughly the same level in recent years. The total number of accidents (11) in 2017 remained stable compared to the previous year. The number of fatalities also remained at the same level compared to the previous year, while the number of seriously injured persons slightly decreased. The main risk category remains level crossings, where the majority of serious accidents on the Slovenian railway network occur.  The number of precursors increased in comparison with previous years. In 2017, the number of suicides decreased in comparison with the previous year. </w:t>
      </w:r>
    </w:p>
    <w:p w:rsidR="00013884" w:rsidRPr="006547D7" w:rsidP="00013884" w14:paraId="1FBEFB6A" w14:textId="77777777">
      <w:pPr>
        <w:jc w:val="both"/>
      </w:pPr>
      <w:r w:rsidRPr="006547D7">
        <w:t>The total number of train-kilometres has been gradually increasing over recent years, and in </w:t>
      </w:r>
      <w:r w:rsidRPr="006547D7">
        <w:t>2017</w:t>
      </w:r>
      <w:r w:rsidRPr="006547D7">
        <w:t xml:space="preserve"> it covered over 22 million kilometres.</w:t>
      </w:r>
    </w:p>
    <w:p w:rsidR="00013884" w:rsidRPr="006547D7" w:rsidP="002E439B" w14:paraId="7CBFD4DD" w14:textId="77777777">
      <w:pPr>
        <w:spacing w:after="0"/>
      </w:pPr>
    </w:p>
    <w:tbl>
      <w:tblPr>
        <w:tblStyle w:val="Svetelseznampoudarek11"/>
        <w:tblW w:w="9588" w:type="dxa"/>
        <w:tblLayout w:type="fixed"/>
        <w:tblLook w:val="04A0"/>
      </w:tblPr>
      <w:tblGrid>
        <w:gridCol w:w="2967"/>
        <w:gridCol w:w="1324"/>
        <w:gridCol w:w="1324"/>
        <w:gridCol w:w="1324"/>
        <w:gridCol w:w="1324"/>
        <w:gridCol w:w="1325"/>
      </w:tblGrid>
      <w:tr w14:paraId="45833D7B" w14:textId="77777777" w:rsidTr="001B5919">
        <w:tblPrEx>
          <w:tblW w:w="9588" w:type="dxa"/>
          <w:tblLayout w:type="fixed"/>
          <w:tblLook w:val="04A0"/>
        </w:tblPrEx>
        <w:trPr>
          <w:trHeight w:val="300"/>
        </w:trPr>
        <w:tc>
          <w:tcPr>
            <w:tcW w:w="2967" w:type="dxa"/>
            <w:noWrap/>
            <w:hideMark/>
          </w:tcPr>
          <w:p w:rsidR="00F063B1" w:rsidRPr="006547D7" w:rsidP="00E05C12" w14:paraId="66562DCD" w14:textId="77777777">
            <w:pPr>
              <w:rPr>
                <w:rFonts w:ascii="Times New Roman" w:eastAsia="Times New Roman" w:hAnsi="Times New Roman" w:cs="Times New Roman"/>
                <w:color w:val="auto"/>
                <w:sz w:val="24"/>
                <w:szCs w:val="24"/>
              </w:rPr>
            </w:pPr>
          </w:p>
        </w:tc>
        <w:tc>
          <w:tcPr>
            <w:tcW w:w="1324" w:type="dxa"/>
            <w:noWrap/>
            <w:hideMark/>
          </w:tcPr>
          <w:p w:rsidR="00F063B1" w:rsidRPr="006547D7" w:rsidP="00E05C12" w14:paraId="1327F3B5" w14:textId="77777777">
            <w:pPr>
              <w:jc w:val="right"/>
              <w:rPr>
                <w:rFonts w:ascii="Calibri" w:eastAsia="Times New Roman" w:hAnsi="Calibri" w:cs="Times New Roman"/>
                <w:color w:val="000000"/>
                <w:sz w:val="22"/>
                <w:szCs w:val="22"/>
              </w:rPr>
            </w:pPr>
            <w:r w:rsidRPr="006547D7">
              <w:rPr>
                <w:rFonts w:ascii="Calibri" w:hAnsi="Calibri"/>
                <w:color w:val="000000"/>
                <w:sz w:val="22"/>
              </w:rPr>
              <w:t>2013</w:t>
            </w:r>
          </w:p>
        </w:tc>
        <w:tc>
          <w:tcPr>
            <w:tcW w:w="1324" w:type="dxa"/>
            <w:noWrap/>
            <w:hideMark/>
          </w:tcPr>
          <w:p w:rsidR="00F063B1" w:rsidRPr="006547D7" w:rsidP="00E05C12" w14:paraId="7EBD1F3F" w14:textId="77777777">
            <w:pPr>
              <w:jc w:val="right"/>
              <w:rPr>
                <w:rFonts w:ascii="Calibri" w:eastAsia="Times New Roman" w:hAnsi="Calibri" w:cs="Times New Roman"/>
                <w:color w:val="000000"/>
                <w:sz w:val="22"/>
                <w:szCs w:val="22"/>
              </w:rPr>
            </w:pPr>
            <w:r w:rsidRPr="006547D7">
              <w:rPr>
                <w:rFonts w:ascii="Calibri" w:hAnsi="Calibri"/>
                <w:color w:val="000000"/>
                <w:sz w:val="22"/>
              </w:rPr>
              <w:t>2014</w:t>
            </w:r>
          </w:p>
        </w:tc>
        <w:tc>
          <w:tcPr>
            <w:tcW w:w="1324" w:type="dxa"/>
            <w:noWrap/>
            <w:hideMark/>
          </w:tcPr>
          <w:p w:rsidR="00F063B1" w:rsidRPr="006547D7" w:rsidP="00E05C12" w14:paraId="3864B271" w14:textId="77777777">
            <w:pPr>
              <w:jc w:val="right"/>
              <w:rPr>
                <w:rFonts w:ascii="Calibri" w:eastAsia="Times New Roman" w:hAnsi="Calibri" w:cs="Times New Roman"/>
                <w:color w:val="000000"/>
                <w:sz w:val="22"/>
                <w:szCs w:val="22"/>
              </w:rPr>
            </w:pPr>
            <w:r w:rsidRPr="006547D7">
              <w:rPr>
                <w:rFonts w:ascii="Calibri" w:hAnsi="Calibri"/>
                <w:color w:val="000000"/>
                <w:sz w:val="22"/>
              </w:rPr>
              <w:t>2015</w:t>
            </w:r>
          </w:p>
        </w:tc>
        <w:tc>
          <w:tcPr>
            <w:tcW w:w="1324" w:type="dxa"/>
            <w:noWrap/>
            <w:hideMark/>
          </w:tcPr>
          <w:p w:rsidR="00F063B1" w:rsidRPr="006547D7" w:rsidP="00E05C12" w14:paraId="0A1E6AF3" w14:textId="77777777">
            <w:pPr>
              <w:jc w:val="right"/>
              <w:rPr>
                <w:rFonts w:ascii="Calibri" w:eastAsia="Times New Roman" w:hAnsi="Calibri" w:cs="Times New Roman"/>
                <w:color w:val="000000"/>
                <w:sz w:val="22"/>
                <w:szCs w:val="22"/>
              </w:rPr>
            </w:pPr>
            <w:r w:rsidRPr="006547D7">
              <w:rPr>
                <w:rFonts w:ascii="Calibri" w:hAnsi="Calibri"/>
                <w:color w:val="000000"/>
                <w:sz w:val="22"/>
              </w:rPr>
              <w:t>2016</w:t>
            </w:r>
          </w:p>
        </w:tc>
        <w:tc>
          <w:tcPr>
            <w:tcW w:w="1325" w:type="dxa"/>
          </w:tcPr>
          <w:p w:rsidR="00F063B1" w:rsidRPr="006547D7" w:rsidP="00E05C12" w14:paraId="4BF9B435" w14:textId="77777777">
            <w:pPr>
              <w:jc w:val="right"/>
              <w:rPr>
                <w:rFonts w:ascii="Calibri" w:eastAsia="Times New Roman" w:hAnsi="Calibri" w:cs="Times New Roman"/>
                <w:color w:val="000000"/>
                <w:sz w:val="22"/>
                <w:szCs w:val="22"/>
              </w:rPr>
            </w:pPr>
            <w:r w:rsidRPr="006547D7">
              <w:rPr>
                <w:rFonts w:ascii="Calibri" w:hAnsi="Calibri"/>
                <w:color w:val="000000"/>
                <w:sz w:val="22"/>
              </w:rPr>
              <w:t>2017</w:t>
            </w:r>
          </w:p>
        </w:tc>
      </w:tr>
      <w:tr w14:paraId="38FD23B0" w14:textId="77777777" w:rsidTr="001B5919">
        <w:tblPrEx>
          <w:tblW w:w="9588" w:type="dxa"/>
          <w:tblLayout w:type="fixed"/>
          <w:tblLook w:val="04A0"/>
        </w:tblPrEx>
        <w:trPr>
          <w:trHeight w:val="300"/>
        </w:trPr>
        <w:tc>
          <w:tcPr>
            <w:tcW w:w="2967" w:type="dxa"/>
            <w:noWrap/>
            <w:hideMark/>
          </w:tcPr>
          <w:p w:rsidR="00F063B1" w:rsidRPr="006547D7" w:rsidP="00E05C12" w14:paraId="56DA648F" w14:textId="77777777">
            <w:pPr>
              <w:spacing w:before="0"/>
              <w:rPr>
                <w:rFonts w:ascii="Calibri" w:eastAsia="Times New Roman" w:hAnsi="Calibri" w:cs="Times New Roman"/>
                <w:color w:val="000000"/>
                <w:sz w:val="22"/>
                <w:szCs w:val="22"/>
              </w:rPr>
            </w:pPr>
            <w:r w:rsidRPr="006547D7">
              <w:rPr>
                <w:rFonts w:ascii="Calibri" w:hAnsi="Calibri"/>
                <w:color w:val="000000"/>
                <w:sz w:val="22"/>
              </w:rPr>
              <w:t>Total number of serious accidents</w:t>
            </w:r>
          </w:p>
        </w:tc>
        <w:tc>
          <w:tcPr>
            <w:tcW w:w="1324" w:type="dxa"/>
            <w:noWrap/>
            <w:hideMark/>
          </w:tcPr>
          <w:p w:rsidR="00F063B1" w:rsidRPr="006547D7" w:rsidP="00E05C12" w14:paraId="1350A9BA"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13</w:t>
            </w:r>
          </w:p>
        </w:tc>
        <w:tc>
          <w:tcPr>
            <w:tcW w:w="1324" w:type="dxa"/>
            <w:noWrap/>
            <w:hideMark/>
          </w:tcPr>
          <w:p w:rsidR="00F063B1" w:rsidRPr="006547D7" w:rsidP="00E05C12" w14:paraId="188C0E01"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15</w:t>
            </w:r>
          </w:p>
        </w:tc>
        <w:tc>
          <w:tcPr>
            <w:tcW w:w="1324" w:type="dxa"/>
            <w:noWrap/>
            <w:hideMark/>
          </w:tcPr>
          <w:p w:rsidR="00F063B1" w:rsidRPr="006547D7" w:rsidP="00E05C12" w14:paraId="5001F023"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14</w:t>
            </w:r>
          </w:p>
        </w:tc>
        <w:tc>
          <w:tcPr>
            <w:tcW w:w="1324" w:type="dxa"/>
            <w:noWrap/>
            <w:hideMark/>
          </w:tcPr>
          <w:p w:rsidR="00F063B1" w:rsidRPr="006547D7" w:rsidP="00E05C12" w14:paraId="75665C42"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11</w:t>
            </w:r>
          </w:p>
        </w:tc>
        <w:tc>
          <w:tcPr>
            <w:tcW w:w="1325" w:type="dxa"/>
          </w:tcPr>
          <w:p w:rsidR="00F063B1" w:rsidRPr="006547D7" w:rsidP="00F063B1" w14:paraId="72EE3F3E"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11</w:t>
            </w:r>
          </w:p>
        </w:tc>
      </w:tr>
      <w:tr w14:paraId="7FB1901E" w14:textId="77777777" w:rsidTr="001B5919">
        <w:tblPrEx>
          <w:tblW w:w="9588" w:type="dxa"/>
          <w:tblLayout w:type="fixed"/>
          <w:tblLook w:val="04A0"/>
        </w:tblPrEx>
        <w:trPr>
          <w:trHeight w:val="300"/>
        </w:trPr>
        <w:tc>
          <w:tcPr>
            <w:tcW w:w="2967" w:type="dxa"/>
            <w:noWrap/>
            <w:hideMark/>
          </w:tcPr>
          <w:p w:rsidR="00F063B1" w:rsidRPr="006547D7" w:rsidP="00E05C12" w14:paraId="624EDBA5" w14:textId="77777777">
            <w:pPr>
              <w:spacing w:before="0"/>
              <w:rPr>
                <w:rFonts w:ascii="Calibri" w:eastAsia="Times New Roman" w:hAnsi="Calibri" w:cs="Times New Roman"/>
                <w:color w:val="000000"/>
                <w:sz w:val="22"/>
                <w:szCs w:val="22"/>
              </w:rPr>
            </w:pPr>
            <w:r w:rsidRPr="006547D7">
              <w:rPr>
                <w:rFonts w:ascii="Calibri" w:hAnsi="Calibri"/>
                <w:color w:val="000000"/>
                <w:sz w:val="22"/>
              </w:rPr>
              <w:t>Number of accident precursors</w:t>
            </w:r>
          </w:p>
        </w:tc>
        <w:tc>
          <w:tcPr>
            <w:tcW w:w="1324" w:type="dxa"/>
            <w:noWrap/>
            <w:hideMark/>
          </w:tcPr>
          <w:p w:rsidR="00F063B1" w:rsidRPr="006547D7" w:rsidP="00E05C12" w14:paraId="064D3870"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100</w:t>
            </w:r>
          </w:p>
        </w:tc>
        <w:tc>
          <w:tcPr>
            <w:tcW w:w="1324" w:type="dxa"/>
            <w:noWrap/>
            <w:hideMark/>
          </w:tcPr>
          <w:p w:rsidR="00F063B1" w:rsidRPr="006547D7" w:rsidP="00E05C12" w14:paraId="5B7ADEF4"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81</w:t>
            </w:r>
          </w:p>
        </w:tc>
        <w:tc>
          <w:tcPr>
            <w:tcW w:w="1324" w:type="dxa"/>
            <w:noWrap/>
            <w:hideMark/>
          </w:tcPr>
          <w:p w:rsidR="00F063B1" w:rsidRPr="006547D7" w:rsidP="00E05C12" w14:paraId="13C80E4F"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142</w:t>
            </w:r>
          </w:p>
        </w:tc>
        <w:tc>
          <w:tcPr>
            <w:tcW w:w="1324" w:type="dxa"/>
            <w:noWrap/>
            <w:hideMark/>
          </w:tcPr>
          <w:p w:rsidR="00F063B1" w:rsidRPr="006547D7" w:rsidP="00E05C12" w14:paraId="7CD9B41A"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125</w:t>
            </w:r>
          </w:p>
        </w:tc>
        <w:tc>
          <w:tcPr>
            <w:tcW w:w="1325" w:type="dxa"/>
          </w:tcPr>
          <w:p w:rsidR="00F063B1" w:rsidRPr="006547D7" w:rsidP="00F063B1" w14:paraId="46DF4D9E"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148</w:t>
            </w:r>
          </w:p>
        </w:tc>
      </w:tr>
      <w:tr w14:paraId="375A55ED" w14:textId="77777777" w:rsidTr="001B5919">
        <w:tblPrEx>
          <w:tblW w:w="9588" w:type="dxa"/>
          <w:tblLayout w:type="fixed"/>
          <w:tblLook w:val="04A0"/>
        </w:tblPrEx>
        <w:trPr>
          <w:trHeight w:val="300"/>
        </w:trPr>
        <w:tc>
          <w:tcPr>
            <w:tcW w:w="2967" w:type="dxa"/>
            <w:noWrap/>
            <w:hideMark/>
          </w:tcPr>
          <w:p w:rsidR="00F063B1" w:rsidRPr="006547D7" w:rsidP="00E05C12" w14:paraId="59F2DA6A" w14:textId="77777777">
            <w:pPr>
              <w:spacing w:before="0"/>
              <w:rPr>
                <w:rFonts w:ascii="Calibri" w:eastAsia="Times New Roman" w:hAnsi="Calibri" w:cs="Times New Roman"/>
                <w:color w:val="000000"/>
                <w:sz w:val="22"/>
                <w:szCs w:val="22"/>
              </w:rPr>
            </w:pPr>
            <w:r w:rsidRPr="006547D7">
              <w:rPr>
                <w:rFonts w:ascii="Calibri" w:hAnsi="Calibri"/>
                <w:color w:val="000000"/>
                <w:sz w:val="22"/>
              </w:rPr>
              <w:t>Economic impact of serious accidents (EUR)</w:t>
            </w:r>
          </w:p>
        </w:tc>
        <w:tc>
          <w:tcPr>
            <w:tcW w:w="1324" w:type="dxa"/>
            <w:noWrap/>
            <w:hideMark/>
          </w:tcPr>
          <w:p w:rsidR="00F063B1" w:rsidRPr="006547D7" w:rsidP="00405717" w14:paraId="54B1F6BD" w14:textId="23DC90C3">
            <w:pPr>
              <w:spacing w:before="0"/>
              <w:jc w:val="right"/>
              <w:rPr>
                <w:rFonts w:ascii="Calibri" w:eastAsia="Times New Roman" w:hAnsi="Calibri" w:cs="Times New Roman"/>
                <w:color w:val="000000"/>
                <w:sz w:val="22"/>
                <w:szCs w:val="22"/>
              </w:rPr>
            </w:pPr>
            <w:r w:rsidRPr="006547D7">
              <w:rPr>
                <w:rFonts w:ascii="Calibri" w:hAnsi="Calibri"/>
                <w:color w:val="000000"/>
                <w:sz w:val="22"/>
              </w:rPr>
              <w:t>6</w:t>
            </w:r>
            <w:r w:rsidRPr="006547D7" w:rsidR="00405717">
              <w:rPr>
                <w:rFonts w:ascii="Calibri" w:hAnsi="Calibri"/>
                <w:color w:val="000000"/>
                <w:sz w:val="22"/>
              </w:rPr>
              <w:t> </w:t>
            </w:r>
            <w:r w:rsidRPr="006547D7">
              <w:rPr>
                <w:rFonts w:ascii="Calibri" w:hAnsi="Calibri"/>
                <w:color w:val="000000"/>
                <w:sz w:val="22"/>
              </w:rPr>
              <w:t>652</w:t>
            </w:r>
            <w:r w:rsidRPr="006547D7" w:rsidR="00405717">
              <w:rPr>
                <w:rFonts w:ascii="Calibri" w:hAnsi="Calibri"/>
                <w:color w:val="000000"/>
                <w:sz w:val="22"/>
              </w:rPr>
              <w:t> </w:t>
            </w:r>
            <w:r w:rsidRPr="006547D7">
              <w:rPr>
                <w:rFonts w:ascii="Calibri" w:hAnsi="Calibri"/>
                <w:color w:val="000000"/>
                <w:sz w:val="22"/>
              </w:rPr>
              <w:t>317</w:t>
            </w:r>
          </w:p>
        </w:tc>
        <w:tc>
          <w:tcPr>
            <w:tcW w:w="1324" w:type="dxa"/>
            <w:noWrap/>
            <w:hideMark/>
          </w:tcPr>
          <w:p w:rsidR="00F063B1" w:rsidRPr="006547D7" w:rsidP="00E05C12" w14:paraId="4A538F85" w14:textId="77777777">
            <w:pPr>
              <w:spacing w:before="0"/>
              <w:rPr>
                <w:rFonts w:ascii="Calibri" w:eastAsia="Times New Roman" w:hAnsi="Calibri" w:cs="Times New Roman"/>
                <w:color w:val="000000"/>
                <w:sz w:val="22"/>
                <w:szCs w:val="22"/>
              </w:rPr>
            </w:pPr>
            <w:r w:rsidRPr="006547D7">
              <w:rPr>
                <w:rFonts w:ascii="Calibri" w:hAnsi="Calibri"/>
                <w:color w:val="000000"/>
                <w:sz w:val="22"/>
              </w:rPr>
              <w:t>-</w:t>
            </w:r>
          </w:p>
        </w:tc>
        <w:tc>
          <w:tcPr>
            <w:tcW w:w="1324" w:type="dxa"/>
            <w:noWrap/>
            <w:hideMark/>
          </w:tcPr>
          <w:p w:rsidR="00F063B1" w:rsidRPr="006547D7" w:rsidP="00E05C12" w14:paraId="02B5B983" w14:textId="77777777">
            <w:pPr>
              <w:spacing w:before="0"/>
              <w:rPr>
                <w:rFonts w:ascii="Calibri" w:eastAsia="Times New Roman" w:hAnsi="Calibri" w:cs="Times New Roman"/>
                <w:color w:val="000000"/>
                <w:sz w:val="22"/>
                <w:szCs w:val="22"/>
              </w:rPr>
            </w:pPr>
            <w:r w:rsidRPr="006547D7">
              <w:rPr>
                <w:rFonts w:ascii="Calibri" w:hAnsi="Calibri"/>
                <w:color w:val="000000"/>
                <w:sz w:val="22"/>
              </w:rPr>
              <w:t>-</w:t>
            </w:r>
          </w:p>
        </w:tc>
        <w:tc>
          <w:tcPr>
            <w:tcW w:w="1324" w:type="dxa"/>
            <w:noWrap/>
            <w:hideMark/>
          </w:tcPr>
          <w:p w:rsidR="00F063B1" w:rsidRPr="006547D7" w:rsidP="00405717" w14:paraId="109A820D" w14:textId="7A9C6595">
            <w:pPr>
              <w:spacing w:before="0"/>
              <w:jc w:val="right"/>
              <w:rPr>
                <w:rFonts w:ascii="Calibri" w:eastAsia="Times New Roman" w:hAnsi="Calibri" w:cs="Times New Roman"/>
                <w:color w:val="000000"/>
                <w:sz w:val="22"/>
                <w:szCs w:val="22"/>
              </w:rPr>
            </w:pPr>
            <w:r w:rsidRPr="006547D7">
              <w:rPr>
                <w:rFonts w:ascii="Calibri" w:hAnsi="Calibri"/>
                <w:color w:val="000000"/>
                <w:sz w:val="22"/>
              </w:rPr>
              <w:t>7</w:t>
            </w:r>
            <w:r w:rsidRPr="006547D7" w:rsidR="00405717">
              <w:rPr>
                <w:rFonts w:ascii="Calibri" w:hAnsi="Calibri"/>
                <w:color w:val="000000"/>
                <w:sz w:val="22"/>
              </w:rPr>
              <w:t> </w:t>
            </w:r>
            <w:r w:rsidRPr="006547D7">
              <w:rPr>
                <w:rFonts w:ascii="Calibri" w:hAnsi="Calibri"/>
                <w:color w:val="000000"/>
                <w:sz w:val="22"/>
              </w:rPr>
              <w:t>035</w:t>
            </w:r>
            <w:r w:rsidRPr="006547D7" w:rsidR="00405717">
              <w:rPr>
                <w:rFonts w:ascii="Calibri" w:hAnsi="Calibri"/>
                <w:color w:val="000000"/>
                <w:sz w:val="22"/>
              </w:rPr>
              <w:t> </w:t>
            </w:r>
            <w:r w:rsidRPr="006547D7">
              <w:rPr>
                <w:rFonts w:ascii="Calibri" w:hAnsi="Calibri"/>
                <w:color w:val="000000"/>
                <w:sz w:val="22"/>
              </w:rPr>
              <w:t>919</w:t>
            </w:r>
          </w:p>
        </w:tc>
        <w:tc>
          <w:tcPr>
            <w:tcW w:w="1325" w:type="dxa"/>
          </w:tcPr>
          <w:p w:rsidR="00F063B1" w:rsidRPr="006547D7" w:rsidP="00405717" w14:paraId="127BEDB1" w14:textId="4CB4D4C3">
            <w:pPr>
              <w:spacing w:before="0"/>
              <w:jc w:val="right"/>
              <w:rPr>
                <w:rFonts w:ascii="Calibri" w:eastAsia="Times New Roman" w:hAnsi="Calibri" w:cs="Times New Roman"/>
                <w:color w:val="000000"/>
                <w:sz w:val="22"/>
                <w:szCs w:val="22"/>
              </w:rPr>
            </w:pPr>
            <w:r w:rsidRPr="006547D7">
              <w:rPr>
                <w:rFonts w:ascii="Calibri" w:hAnsi="Calibri"/>
                <w:color w:val="000000"/>
                <w:sz w:val="22"/>
              </w:rPr>
              <w:t>10</w:t>
            </w:r>
            <w:r w:rsidRPr="006547D7" w:rsidR="00405717">
              <w:rPr>
                <w:rFonts w:ascii="Calibri" w:hAnsi="Calibri"/>
                <w:color w:val="000000"/>
                <w:sz w:val="22"/>
              </w:rPr>
              <w:t> </w:t>
            </w:r>
            <w:r w:rsidRPr="006547D7">
              <w:rPr>
                <w:rFonts w:ascii="Calibri" w:hAnsi="Calibri"/>
                <w:color w:val="000000"/>
                <w:sz w:val="22"/>
              </w:rPr>
              <w:t>377</w:t>
            </w:r>
            <w:r w:rsidRPr="006547D7" w:rsidR="00405717">
              <w:rPr>
                <w:rFonts w:ascii="Calibri" w:hAnsi="Calibri"/>
                <w:color w:val="000000"/>
                <w:sz w:val="22"/>
              </w:rPr>
              <w:t> </w:t>
            </w:r>
            <w:r w:rsidRPr="006547D7">
              <w:rPr>
                <w:rFonts w:ascii="Calibri" w:hAnsi="Calibri"/>
                <w:color w:val="000000"/>
                <w:sz w:val="22"/>
              </w:rPr>
              <w:t>627</w:t>
            </w:r>
          </w:p>
        </w:tc>
      </w:tr>
      <w:tr w14:paraId="531D6F16" w14:textId="77777777" w:rsidTr="001B5919">
        <w:tblPrEx>
          <w:tblW w:w="9588" w:type="dxa"/>
          <w:tblLayout w:type="fixed"/>
          <w:tblLook w:val="04A0"/>
        </w:tblPrEx>
        <w:trPr>
          <w:trHeight w:val="300"/>
        </w:trPr>
        <w:tc>
          <w:tcPr>
            <w:tcW w:w="2967" w:type="dxa"/>
            <w:noWrap/>
            <w:hideMark/>
          </w:tcPr>
          <w:p w:rsidR="00F063B1" w:rsidRPr="006547D7" w:rsidP="00E05C12" w14:paraId="1F9F2889" w14:textId="77777777">
            <w:pPr>
              <w:spacing w:before="0"/>
              <w:rPr>
                <w:rFonts w:ascii="Calibri" w:eastAsia="Times New Roman" w:hAnsi="Calibri" w:cs="Times New Roman"/>
                <w:color w:val="000000"/>
                <w:sz w:val="22"/>
                <w:szCs w:val="22"/>
              </w:rPr>
            </w:pPr>
            <w:r w:rsidRPr="006547D7">
              <w:rPr>
                <w:rFonts w:ascii="Calibri" w:hAnsi="Calibri"/>
                <w:color w:val="000000"/>
                <w:sz w:val="22"/>
              </w:rPr>
              <w:t xml:space="preserve">Total number of train-kilometres </w:t>
            </w:r>
          </w:p>
          <w:p w:rsidR="00F063B1" w:rsidRPr="006547D7" w:rsidP="00E05C12" w14:paraId="37E2D587" w14:textId="77777777">
            <w:pPr>
              <w:spacing w:before="0"/>
              <w:rPr>
                <w:rFonts w:ascii="Calibri" w:eastAsia="Times New Roman" w:hAnsi="Calibri" w:cs="Times New Roman"/>
                <w:color w:val="000000"/>
                <w:sz w:val="22"/>
                <w:szCs w:val="22"/>
              </w:rPr>
            </w:pPr>
            <w:r w:rsidRPr="006547D7">
              <w:rPr>
                <w:rFonts w:ascii="Calibri" w:hAnsi="Calibri"/>
                <w:color w:val="000000"/>
                <w:sz w:val="22"/>
              </w:rPr>
              <w:t>(million km)</w:t>
            </w:r>
          </w:p>
        </w:tc>
        <w:tc>
          <w:tcPr>
            <w:tcW w:w="1324" w:type="dxa"/>
            <w:noWrap/>
            <w:hideMark/>
          </w:tcPr>
          <w:p w:rsidR="00F063B1" w:rsidRPr="006547D7" w:rsidP="00E05C12" w14:paraId="14267A02"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20.14</w:t>
            </w:r>
          </w:p>
        </w:tc>
        <w:tc>
          <w:tcPr>
            <w:tcW w:w="1324" w:type="dxa"/>
            <w:noWrap/>
            <w:hideMark/>
          </w:tcPr>
          <w:p w:rsidR="00F063B1" w:rsidRPr="006547D7" w:rsidP="00E05C12" w14:paraId="232349AA"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20.52</w:t>
            </w:r>
          </w:p>
        </w:tc>
        <w:tc>
          <w:tcPr>
            <w:tcW w:w="1324" w:type="dxa"/>
            <w:noWrap/>
            <w:hideMark/>
          </w:tcPr>
          <w:p w:rsidR="00F063B1" w:rsidRPr="006547D7" w:rsidP="00E05C12" w14:paraId="1BCDB54F"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21.55</w:t>
            </w:r>
          </w:p>
        </w:tc>
        <w:tc>
          <w:tcPr>
            <w:tcW w:w="1324" w:type="dxa"/>
            <w:noWrap/>
            <w:hideMark/>
          </w:tcPr>
          <w:p w:rsidR="00F063B1" w:rsidRPr="006547D7" w:rsidP="00E05C12" w14:paraId="3DB1542B"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21.28</w:t>
            </w:r>
          </w:p>
        </w:tc>
        <w:tc>
          <w:tcPr>
            <w:tcW w:w="1325" w:type="dxa"/>
          </w:tcPr>
          <w:p w:rsidR="00F063B1" w:rsidRPr="006547D7" w:rsidP="00F063B1" w14:paraId="56F6BF80"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22.00</w:t>
            </w:r>
          </w:p>
        </w:tc>
      </w:tr>
    </w:tbl>
    <w:p w:rsidR="00F063B1" w:rsidRPr="006547D7" w:rsidP="00F063B1" w14:paraId="2B3B73D0" w14:textId="77777777">
      <w:pPr>
        <w:pStyle w:val="Besedilotabeledecimalno"/>
        <w:jc w:val="center"/>
      </w:pPr>
      <w:r w:rsidRPr="006547D7">
        <w:t>Table 2: Basic overview of safety trends in 2013–2017.</w:t>
      </w:r>
    </w:p>
    <w:p w:rsidR="00F063B1" w:rsidRPr="006547D7" w:rsidP="002E439B" w14:paraId="22D6BDB8" w14:textId="77777777">
      <w:pPr>
        <w:spacing w:after="120"/>
      </w:pPr>
    </w:p>
    <w:p w:rsidR="00820386" w:rsidRPr="006547D7" w:rsidP="00820386" w14:paraId="2338F671" w14:textId="77777777">
      <w:pPr>
        <w:pStyle w:val="Heading3"/>
      </w:pPr>
      <w:r w:rsidRPr="006547D7">
        <w:t>Serious accidents</w:t>
      </w:r>
    </w:p>
    <w:p w:rsidR="00820386" w:rsidRPr="006547D7" w:rsidP="002E439B" w14:paraId="5B53022C" w14:textId="77777777">
      <w:pPr>
        <w:spacing w:after="0"/>
      </w:pPr>
    </w:p>
    <w:p w:rsidR="00820386" w:rsidRPr="006547D7" w:rsidP="00820386" w14:paraId="1A8749DF" w14:textId="77777777">
      <w:pPr>
        <w:jc w:val="both"/>
      </w:pPr>
      <w:r w:rsidRPr="006547D7">
        <w:t xml:space="preserve">The total number of serious accidents decreased in the last three years, from 14 in 2015 to 11 in 2016 and 2017. The average value of the total number of serious accidents in the last five years is 12.8. In 2017, six out of the total 11 accidents were level crossing accidents. One accident </w:t>
      </w:r>
      <w:r w:rsidRPr="006547D7">
        <w:t>was recorded</w:t>
      </w:r>
      <w:r w:rsidRPr="006547D7">
        <w:t xml:space="preserve"> as a train collision, three as derailments and one as an accident involving persons with vehicles in motion. </w:t>
      </w:r>
    </w:p>
    <w:p w:rsidR="00820386" w:rsidRPr="006547D7" w:rsidP="002E439B" w14:paraId="5329BB77" w14:textId="77777777">
      <w:pPr>
        <w:spacing w:after="0"/>
      </w:pPr>
    </w:p>
    <w:tbl>
      <w:tblPr>
        <w:tblStyle w:val="Svetelseznampoudarek11"/>
        <w:tblW w:w="9052" w:type="dxa"/>
        <w:tblLayout w:type="fixed"/>
        <w:tblLook w:val="04A0"/>
      </w:tblPr>
      <w:tblGrid>
        <w:gridCol w:w="3089"/>
        <w:gridCol w:w="1192"/>
        <w:gridCol w:w="1193"/>
        <w:gridCol w:w="1192"/>
        <w:gridCol w:w="1193"/>
        <w:gridCol w:w="1193"/>
      </w:tblGrid>
      <w:tr w14:paraId="116D5F2D" w14:textId="77777777" w:rsidTr="001B5919">
        <w:tblPrEx>
          <w:tblW w:w="9052" w:type="dxa"/>
          <w:tblLayout w:type="fixed"/>
          <w:tblLook w:val="04A0"/>
        </w:tblPrEx>
        <w:trPr>
          <w:trHeight w:val="300"/>
        </w:trPr>
        <w:tc>
          <w:tcPr>
            <w:tcW w:w="3089" w:type="dxa"/>
            <w:noWrap/>
            <w:hideMark/>
          </w:tcPr>
          <w:p w:rsidR="00F063B1" w:rsidRPr="006547D7" w:rsidP="00E05C12" w14:paraId="03099AB4" w14:textId="77777777">
            <w:pPr>
              <w:rPr>
                <w:rFonts w:ascii="Times New Roman" w:eastAsia="Times New Roman" w:hAnsi="Times New Roman" w:cs="Times New Roman"/>
                <w:color w:val="auto"/>
                <w:sz w:val="24"/>
                <w:szCs w:val="24"/>
              </w:rPr>
            </w:pPr>
          </w:p>
        </w:tc>
        <w:tc>
          <w:tcPr>
            <w:tcW w:w="1192" w:type="dxa"/>
            <w:noWrap/>
            <w:hideMark/>
          </w:tcPr>
          <w:p w:rsidR="00F063B1" w:rsidRPr="006547D7" w:rsidP="00E05C12" w14:paraId="22809008" w14:textId="77777777">
            <w:pPr>
              <w:jc w:val="right"/>
              <w:rPr>
                <w:rFonts w:ascii="Calibri" w:eastAsia="Times New Roman" w:hAnsi="Calibri" w:cs="Times New Roman"/>
                <w:color w:val="000000"/>
                <w:sz w:val="22"/>
                <w:szCs w:val="22"/>
              </w:rPr>
            </w:pPr>
            <w:r w:rsidRPr="006547D7">
              <w:rPr>
                <w:rFonts w:ascii="Calibri" w:hAnsi="Calibri"/>
                <w:color w:val="000000"/>
                <w:sz w:val="22"/>
              </w:rPr>
              <w:t>2013</w:t>
            </w:r>
          </w:p>
        </w:tc>
        <w:tc>
          <w:tcPr>
            <w:tcW w:w="1193" w:type="dxa"/>
            <w:noWrap/>
            <w:hideMark/>
          </w:tcPr>
          <w:p w:rsidR="00F063B1" w:rsidRPr="006547D7" w:rsidP="00E05C12" w14:paraId="392255EE" w14:textId="77777777">
            <w:pPr>
              <w:jc w:val="right"/>
              <w:rPr>
                <w:rFonts w:ascii="Calibri" w:eastAsia="Times New Roman" w:hAnsi="Calibri" w:cs="Times New Roman"/>
                <w:color w:val="000000"/>
                <w:sz w:val="22"/>
                <w:szCs w:val="22"/>
              </w:rPr>
            </w:pPr>
            <w:r w:rsidRPr="006547D7">
              <w:rPr>
                <w:rFonts w:ascii="Calibri" w:hAnsi="Calibri"/>
                <w:color w:val="000000"/>
                <w:sz w:val="22"/>
              </w:rPr>
              <w:t>2014</w:t>
            </w:r>
          </w:p>
        </w:tc>
        <w:tc>
          <w:tcPr>
            <w:tcW w:w="1192" w:type="dxa"/>
            <w:noWrap/>
            <w:hideMark/>
          </w:tcPr>
          <w:p w:rsidR="00F063B1" w:rsidRPr="006547D7" w:rsidP="00E05C12" w14:paraId="75475FD4" w14:textId="77777777">
            <w:pPr>
              <w:jc w:val="right"/>
              <w:rPr>
                <w:rFonts w:ascii="Calibri" w:eastAsia="Times New Roman" w:hAnsi="Calibri" w:cs="Times New Roman"/>
                <w:color w:val="000000"/>
                <w:sz w:val="22"/>
                <w:szCs w:val="22"/>
              </w:rPr>
            </w:pPr>
            <w:r w:rsidRPr="006547D7">
              <w:rPr>
                <w:rFonts w:ascii="Calibri" w:hAnsi="Calibri"/>
                <w:color w:val="000000"/>
                <w:sz w:val="22"/>
              </w:rPr>
              <w:t>2015</w:t>
            </w:r>
          </w:p>
        </w:tc>
        <w:tc>
          <w:tcPr>
            <w:tcW w:w="1193" w:type="dxa"/>
            <w:noWrap/>
            <w:hideMark/>
          </w:tcPr>
          <w:p w:rsidR="00F063B1" w:rsidRPr="006547D7" w:rsidP="00E05C12" w14:paraId="4E343616" w14:textId="77777777">
            <w:pPr>
              <w:jc w:val="right"/>
              <w:rPr>
                <w:rFonts w:ascii="Calibri" w:eastAsia="Times New Roman" w:hAnsi="Calibri" w:cs="Times New Roman"/>
                <w:color w:val="000000"/>
                <w:sz w:val="22"/>
                <w:szCs w:val="22"/>
              </w:rPr>
            </w:pPr>
            <w:r w:rsidRPr="006547D7">
              <w:rPr>
                <w:rFonts w:ascii="Calibri" w:hAnsi="Calibri"/>
                <w:color w:val="000000"/>
                <w:sz w:val="22"/>
              </w:rPr>
              <w:t>2016</w:t>
            </w:r>
          </w:p>
        </w:tc>
        <w:tc>
          <w:tcPr>
            <w:tcW w:w="1193" w:type="dxa"/>
          </w:tcPr>
          <w:p w:rsidR="00F063B1" w:rsidRPr="006547D7" w:rsidP="00E05C12" w14:paraId="440BBD63" w14:textId="77777777">
            <w:pPr>
              <w:jc w:val="right"/>
              <w:rPr>
                <w:rFonts w:ascii="Calibri" w:eastAsia="Times New Roman" w:hAnsi="Calibri" w:cs="Times New Roman"/>
                <w:color w:val="000000"/>
                <w:sz w:val="22"/>
                <w:szCs w:val="22"/>
              </w:rPr>
            </w:pPr>
            <w:r w:rsidRPr="006547D7">
              <w:rPr>
                <w:rFonts w:ascii="Calibri" w:hAnsi="Calibri"/>
                <w:color w:val="000000"/>
                <w:sz w:val="22"/>
              </w:rPr>
              <w:t>2017</w:t>
            </w:r>
          </w:p>
        </w:tc>
      </w:tr>
      <w:tr w14:paraId="578472C5" w14:textId="77777777" w:rsidTr="001B5919">
        <w:tblPrEx>
          <w:tblW w:w="9052" w:type="dxa"/>
          <w:tblLayout w:type="fixed"/>
          <w:tblLook w:val="04A0"/>
        </w:tblPrEx>
        <w:trPr>
          <w:trHeight w:val="300"/>
        </w:trPr>
        <w:tc>
          <w:tcPr>
            <w:tcW w:w="3089" w:type="dxa"/>
            <w:noWrap/>
            <w:hideMark/>
          </w:tcPr>
          <w:p w:rsidR="00F063B1" w:rsidRPr="006547D7" w:rsidP="00F063B1" w14:paraId="2BE8FD84" w14:textId="77777777">
            <w:pPr>
              <w:spacing w:before="0"/>
              <w:rPr>
                <w:rFonts w:ascii="Calibri" w:eastAsia="Times New Roman" w:hAnsi="Calibri" w:cs="Times New Roman"/>
                <w:color w:val="000000"/>
                <w:sz w:val="22"/>
                <w:szCs w:val="22"/>
              </w:rPr>
            </w:pPr>
            <w:r w:rsidRPr="006547D7">
              <w:rPr>
                <w:rFonts w:ascii="Calibri" w:hAnsi="Calibri"/>
                <w:color w:val="000000"/>
                <w:sz w:val="22"/>
              </w:rPr>
              <w:t>Total number of serious accidents</w:t>
            </w:r>
          </w:p>
        </w:tc>
        <w:tc>
          <w:tcPr>
            <w:tcW w:w="1192" w:type="dxa"/>
            <w:noWrap/>
            <w:hideMark/>
          </w:tcPr>
          <w:p w:rsidR="00F063B1" w:rsidRPr="006547D7" w:rsidP="00F063B1" w14:paraId="24528553"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13</w:t>
            </w:r>
          </w:p>
        </w:tc>
        <w:tc>
          <w:tcPr>
            <w:tcW w:w="1193" w:type="dxa"/>
            <w:noWrap/>
            <w:hideMark/>
          </w:tcPr>
          <w:p w:rsidR="00F063B1" w:rsidRPr="006547D7" w:rsidP="00F063B1" w14:paraId="0CD188DD"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15</w:t>
            </w:r>
          </w:p>
        </w:tc>
        <w:tc>
          <w:tcPr>
            <w:tcW w:w="1192" w:type="dxa"/>
            <w:noWrap/>
            <w:hideMark/>
          </w:tcPr>
          <w:p w:rsidR="00F063B1" w:rsidRPr="006547D7" w:rsidP="00F063B1" w14:paraId="5D7C333E"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14</w:t>
            </w:r>
          </w:p>
        </w:tc>
        <w:tc>
          <w:tcPr>
            <w:tcW w:w="1193" w:type="dxa"/>
            <w:noWrap/>
            <w:hideMark/>
          </w:tcPr>
          <w:p w:rsidR="00F063B1" w:rsidRPr="006547D7" w:rsidP="00F063B1" w14:paraId="00C6AAC4"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11</w:t>
            </w:r>
          </w:p>
        </w:tc>
        <w:tc>
          <w:tcPr>
            <w:tcW w:w="1193" w:type="dxa"/>
            <w:vAlign w:val="bottom"/>
          </w:tcPr>
          <w:p w:rsidR="00F063B1" w:rsidRPr="006547D7" w:rsidP="00F063B1" w14:paraId="6091E17D"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11</w:t>
            </w:r>
          </w:p>
        </w:tc>
      </w:tr>
      <w:tr w14:paraId="0D298CCA" w14:textId="77777777" w:rsidTr="001B5919">
        <w:tblPrEx>
          <w:tblW w:w="9052" w:type="dxa"/>
          <w:tblLayout w:type="fixed"/>
          <w:tblLook w:val="04A0"/>
        </w:tblPrEx>
        <w:trPr>
          <w:trHeight w:val="300"/>
        </w:trPr>
        <w:tc>
          <w:tcPr>
            <w:tcW w:w="3089" w:type="dxa"/>
            <w:noWrap/>
            <w:hideMark/>
          </w:tcPr>
          <w:p w:rsidR="00F063B1" w:rsidRPr="006547D7" w:rsidP="00F063B1" w14:paraId="0F33C643" w14:textId="77777777">
            <w:pPr>
              <w:spacing w:before="0"/>
              <w:rPr>
                <w:rFonts w:ascii="Calibri" w:eastAsia="Times New Roman" w:hAnsi="Calibri" w:cs="Times New Roman"/>
                <w:color w:val="000000"/>
                <w:sz w:val="22"/>
                <w:szCs w:val="22"/>
              </w:rPr>
            </w:pPr>
            <w:r w:rsidRPr="006547D7">
              <w:rPr>
                <w:rFonts w:ascii="Calibri" w:hAnsi="Calibri"/>
                <w:color w:val="000000"/>
                <w:sz w:val="22"/>
              </w:rPr>
              <w:t>Train collisions</w:t>
            </w:r>
          </w:p>
        </w:tc>
        <w:tc>
          <w:tcPr>
            <w:tcW w:w="1192" w:type="dxa"/>
            <w:noWrap/>
            <w:hideMark/>
          </w:tcPr>
          <w:p w:rsidR="00F063B1" w:rsidRPr="006547D7" w:rsidP="00F063B1" w14:paraId="5049B1E2"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0</w:t>
            </w:r>
          </w:p>
        </w:tc>
        <w:tc>
          <w:tcPr>
            <w:tcW w:w="1193" w:type="dxa"/>
            <w:noWrap/>
            <w:hideMark/>
          </w:tcPr>
          <w:p w:rsidR="00F063B1" w:rsidRPr="006547D7" w:rsidP="00F063B1" w14:paraId="363A1820"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4</w:t>
            </w:r>
          </w:p>
        </w:tc>
        <w:tc>
          <w:tcPr>
            <w:tcW w:w="1192" w:type="dxa"/>
            <w:noWrap/>
            <w:hideMark/>
          </w:tcPr>
          <w:p w:rsidR="00F063B1" w:rsidRPr="006547D7" w:rsidP="00F063B1" w14:paraId="6DBC421D"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1</w:t>
            </w:r>
          </w:p>
        </w:tc>
        <w:tc>
          <w:tcPr>
            <w:tcW w:w="1193" w:type="dxa"/>
            <w:noWrap/>
            <w:hideMark/>
          </w:tcPr>
          <w:p w:rsidR="00F063B1" w:rsidRPr="006547D7" w:rsidP="00F063B1" w14:paraId="6A413F1B"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1</w:t>
            </w:r>
          </w:p>
        </w:tc>
        <w:tc>
          <w:tcPr>
            <w:tcW w:w="1193" w:type="dxa"/>
            <w:vAlign w:val="bottom"/>
          </w:tcPr>
          <w:p w:rsidR="00F063B1" w:rsidRPr="006547D7" w:rsidP="00F063B1" w14:paraId="641ED04A"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1</w:t>
            </w:r>
          </w:p>
        </w:tc>
      </w:tr>
      <w:tr w14:paraId="6F6C9433" w14:textId="77777777" w:rsidTr="001B5919">
        <w:tblPrEx>
          <w:tblW w:w="9052" w:type="dxa"/>
          <w:tblLayout w:type="fixed"/>
          <w:tblLook w:val="04A0"/>
        </w:tblPrEx>
        <w:trPr>
          <w:trHeight w:val="300"/>
        </w:trPr>
        <w:tc>
          <w:tcPr>
            <w:tcW w:w="3089" w:type="dxa"/>
            <w:noWrap/>
            <w:hideMark/>
          </w:tcPr>
          <w:p w:rsidR="00F063B1" w:rsidRPr="006547D7" w:rsidP="00F063B1" w14:paraId="0E0AD610" w14:textId="77777777">
            <w:pPr>
              <w:spacing w:before="0"/>
              <w:rPr>
                <w:rFonts w:ascii="Calibri" w:eastAsia="Times New Roman" w:hAnsi="Calibri" w:cs="Times New Roman"/>
                <w:color w:val="000000"/>
                <w:sz w:val="22"/>
                <w:szCs w:val="22"/>
              </w:rPr>
            </w:pPr>
            <w:r w:rsidRPr="006547D7">
              <w:rPr>
                <w:rFonts w:ascii="Calibri" w:hAnsi="Calibri"/>
                <w:color w:val="000000"/>
                <w:sz w:val="22"/>
              </w:rPr>
              <w:t>Derailments</w:t>
            </w:r>
          </w:p>
        </w:tc>
        <w:tc>
          <w:tcPr>
            <w:tcW w:w="1192" w:type="dxa"/>
            <w:noWrap/>
            <w:hideMark/>
          </w:tcPr>
          <w:p w:rsidR="00F063B1" w:rsidRPr="006547D7" w:rsidP="00F063B1" w14:paraId="50C2CB86"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1</w:t>
            </w:r>
          </w:p>
        </w:tc>
        <w:tc>
          <w:tcPr>
            <w:tcW w:w="1193" w:type="dxa"/>
            <w:noWrap/>
            <w:hideMark/>
          </w:tcPr>
          <w:p w:rsidR="00F063B1" w:rsidRPr="006547D7" w:rsidP="00F063B1" w14:paraId="5C06B7DC"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1</w:t>
            </w:r>
          </w:p>
        </w:tc>
        <w:tc>
          <w:tcPr>
            <w:tcW w:w="1192" w:type="dxa"/>
            <w:noWrap/>
            <w:hideMark/>
          </w:tcPr>
          <w:p w:rsidR="00F063B1" w:rsidRPr="006547D7" w:rsidP="00F063B1" w14:paraId="08C84725"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0</w:t>
            </w:r>
          </w:p>
        </w:tc>
        <w:tc>
          <w:tcPr>
            <w:tcW w:w="1193" w:type="dxa"/>
            <w:noWrap/>
            <w:hideMark/>
          </w:tcPr>
          <w:p w:rsidR="00F063B1" w:rsidRPr="006547D7" w:rsidP="00F063B1" w14:paraId="065E1037"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1</w:t>
            </w:r>
          </w:p>
        </w:tc>
        <w:tc>
          <w:tcPr>
            <w:tcW w:w="1193" w:type="dxa"/>
            <w:vAlign w:val="bottom"/>
          </w:tcPr>
          <w:p w:rsidR="00F063B1" w:rsidRPr="006547D7" w:rsidP="00F063B1" w14:paraId="61A0C32E"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3</w:t>
            </w:r>
          </w:p>
        </w:tc>
      </w:tr>
      <w:tr w14:paraId="02AB41C1" w14:textId="77777777" w:rsidTr="001B5919">
        <w:tblPrEx>
          <w:tblW w:w="9052" w:type="dxa"/>
          <w:tblLayout w:type="fixed"/>
          <w:tblLook w:val="04A0"/>
        </w:tblPrEx>
        <w:trPr>
          <w:trHeight w:val="300"/>
        </w:trPr>
        <w:tc>
          <w:tcPr>
            <w:tcW w:w="3089" w:type="dxa"/>
            <w:noWrap/>
            <w:hideMark/>
          </w:tcPr>
          <w:p w:rsidR="00F063B1" w:rsidRPr="006547D7" w:rsidP="00F063B1" w14:paraId="337E5639" w14:textId="77777777">
            <w:pPr>
              <w:spacing w:before="0"/>
              <w:rPr>
                <w:rFonts w:ascii="Calibri" w:eastAsia="Times New Roman" w:hAnsi="Calibri" w:cs="Times New Roman"/>
                <w:color w:val="000000"/>
                <w:sz w:val="22"/>
                <w:szCs w:val="22"/>
              </w:rPr>
            </w:pPr>
            <w:r w:rsidRPr="006547D7">
              <w:rPr>
                <w:rFonts w:ascii="Calibri" w:hAnsi="Calibri"/>
                <w:color w:val="000000"/>
                <w:sz w:val="22"/>
              </w:rPr>
              <w:t>Level crossing accidents</w:t>
            </w:r>
          </w:p>
        </w:tc>
        <w:tc>
          <w:tcPr>
            <w:tcW w:w="1192" w:type="dxa"/>
            <w:noWrap/>
            <w:hideMark/>
          </w:tcPr>
          <w:p w:rsidR="00F063B1" w:rsidRPr="006547D7" w:rsidP="00F063B1" w14:paraId="10BE9F8D"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11</w:t>
            </w:r>
          </w:p>
        </w:tc>
        <w:tc>
          <w:tcPr>
            <w:tcW w:w="1193" w:type="dxa"/>
            <w:noWrap/>
            <w:hideMark/>
          </w:tcPr>
          <w:p w:rsidR="00F063B1" w:rsidRPr="006547D7" w:rsidP="00F063B1" w14:paraId="7BFBABB3"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9</w:t>
            </w:r>
          </w:p>
        </w:tc>
        <w:tc>
          <w:tcPr>
            <w:tcW w:w="1192" w:type="dxa"/>
            <w:noWrap/>
            <w:hideMark/>
          </w:tcPr>
          <w:p w:rsidR="00F063B1" w:rsidRPr="006547D7" w:rsidP="00F063B1" w14:paraId="00F6FD2C"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10</w:t>
            </w:r>
          </w:p>
        </w:tc>
        <w:tc>
          <w:tcPr>
            <w:tcW w:w="1193" w:type="dxa"/>
            <w:noWrap/>
            <w:hideMark/>
          </w:tcPr>
          <w:p w:rsidR="00F063B1" w:rsidRPr="006547D7" w:rsidP="00F063B1" w14:paraId="1E5B404D"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8</w:t>
            </w:r>
          </w:p>
        </w:tc>
        <w:tc>
          <w:tcPr>
            <w:tcW w:w="1193" w:type="dxa"/>
            <w:vAlign w:val="bottom"/>
          </w:tcPr>
          <w:p w:rsidR="00F063B1" w:rsidRPr="006547D7" w:rsidP="00F063B1" w14:paraId="2DBE901C"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6</w:t>
            </w:r>
          </w:p>
        </w:tc>
      </w:tr>
      <w:tr w14:paraId="3DAFCAB9" w14:textId="77777777" w:rsidTr="001B5919">
        <w:tblPrEx>
          <w:tblW w:w="9052" w:type="dxa"/>
          <w:tblLayout w:type="fixed"/>
          <w:tblLook w:val="04A0"/>
        </w:tblPrEx>
        <w:trPr>
          <w:trHeight w:val="300"/>
        </w:trPr>
        <w:tc>
          <w:tcPr>
            <w:tcW w:w="3089" w:type="dxa"/>
            <w:noWrap/>
            <w:hideMark/>
          </w:tcPr>
          <w:p w:rsidR="00F063B1" w:rsidRPr="006547D7" w:rsidP="00F063B1" w14:paraId="7F062E16" w14:textId="77777777">
            <w:pPr>
              <w:spacing w:before="0"/>
              <w:rPr>
                <w:rFonts w:ascii="Calibri" w:eastAsia="Times New Roman" w:hAnsi="Calibri" w:cs="Times New Roman"/>
                <w:color w:val="000000"/>
                <w:sz w:val="22"/>
                <w:szCs w:val="22"/>
              </w:rPr>
            </w:pPr>
            <w:r w:rsidRPr="006547D7">
              <w:rPr>
                <w:rFonts w:ascii="Calibri" w:hAnsi="Calibri"/>
                <w:color w:val="000000"/>
                <w:sz w:val="22"/>
              </w:rPr>
              <w:t>Accidents involving persons with vehicles in motion</w:t>
            </w:r>
          </w:p>
        </w:tc>
        <w:tc>
          <w:tcPr>
            <w:tcW w:w="1192" w:type="dxa"/>
            <w:noWrap/>
            <w:hideMark/>
          </w:tcPr>
          <w:p w:rsidR="00F063B1" w:rsidRPr="006547D7" w:rsidP="00F063B1" w14:paraId="2B23078E"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0</w:t>
            </w:r>
          </w:p>
        </w:tc>
        <w:tc>
          <w:tcPr>
            <w:tcW w:w="1193" w:type="dxa"/>
            <w:noWrap/>
            <w:hideMark/>
          </w:tcPr>
          <w:p w:rsidR="00F063B1" w:rsidRPr="006547D7" w:rsidP="00F063B1" w14:paraId="79E5A7A0"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0</w:t>
            </w:r>
          </w:p>
        </w:tc>
        <w:tc>
          <w:tcPr>
            <w:tcW w:w="1192" w:type="dxa"/>
            <w:noWrap/>
            <w:hideMark/>
          </w:tcPr>
          <w:p w:rsidR="00F063B1" w:rsidRPr="006547D7" w:rsidP="00F063B1" w14:paraId="7A5CAB8B"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2</w:t>
            </w:r>
          </w:p>
        </w:tc>
        <w:tc>
          <w:tcPr>
            <w:tcW w:w="1193" w:type="dxa"/>
            <w:noWrap/>
            <w:hideMark/>
          </w:tcPr>
          <w:p w:rsidR="00F063B1" w:rsidRPr="006547D7" w:rsidP="00F063B1" w14:paraId="502DEE9A"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0</w:t>
            </w:r>
          </w:p>
        </w:tc>
        <w:tc>
          <w:tcPr>
            <w:tcW w:w="1193" w:type="dxa"/>
            <w:vAlign w:val="bottom"/>
          </w:tcPr>
          <w:p w:rsidR="00F063B1" w:rsidRPr="006547D7" w:rsidP="00F063B1" w14:paraId="0D277492"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1</w:t>
            </w:r>
          </w:p>
        </w:tc>
      </w:tr>
      <w:tr w14:paraId="4C7880C0" w14:textId="77777777" w:rsidTr="001B5919">
        <w:tblPrEx>
          <w:tblW w:w="9052" w:type="dxa"/>
          <w:tblLayout w:type="fixed"/>
          <w:tblLook w:val="04A0"/>
        </w:tblPrEx>
        <w:trPr>
          <w:trHeight w:val="300"/>
        </w:trPr>
        <w:tc>
          <w:tcPr>
            <w:tcW w:w="3089" w:type="dxa"/>
            <w:noWrap/>
            <w:hideMark/>
          </w:tcPr>
          <w:p w:rsidR="00F063B1" w:rsidRPr="006547D7" w:rsidP="00F063B1" w14:paraId="1C00F234" w14:textId="77777777">
            <w:pPr>
              <w:spacing w:before="0"/>
              <w:rPr>
                <w:rFonts w:ascii="Calibri" w:eastAsia="Times New Roman" w:hAnsi="Calibri" w:cs="Times New Roman"/>
                <w:color w:val="000000"/>
                <w:sz w:val="22"/>
                <w:szCs w:val="22"/>
              </w:rPr>
            </w:pPr>
            <w:r w:rsidRPr="006547D7">
              <w:rPr>
                <w:rFonts w:ascii="Calibri" w:hAnsi="Calibri"/>
                <w:color w:val="000000"/>
                <w:sz w:val="22"/>
              </w:rPr>
              <w:t>Fires on vehicles</w:t>
            </w:r>
          </w:p>
        </w:tc>
        <w:tc>
          <w:tcPr>
            <w:tcW w:w="1192" w:type="dxa"/>
            <w:noWrap/>
            <w:hideMark/>
          </w:tcPr>
          <w:p w:rsidR="00F063B1" w:rsidRPr="006547D7" w:rsidP="00F063B1" w14:paraId="6B5863F1"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1</w:t>
            </w:r>
          </w:p>
        </w:tc>
        <w:tc>
          <w:tcPr>
            <w:tcW w:w="1193" w:type="dxa"/>
            <w:noWrap/>
            <w:hideMark/>
          </w:tcPr>
          <w:p w:rsidR="00F063B1" w:rsidRPr="006547D7" w:rsidP="00F063B1" w14:paraId="38FF1774"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1</w:t>
            </w:r>
          </w:p>
        </w:tc>
        <w:tc>
          <w:tcPr>
            <w:tcW w:w="1192" w:type="dxa"/>
            <w:noWrap/>
            <w:hideMark/>
          </w:tcPr>
          <w:p w:rsidR="00F063B1" w:rsidRPr="006547D7" w:rsidP="00F063B1" w14:paraId="2D337D35"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0</w:t>
            </w:r>
          </w:p>
        </w:tc>
        <w:tc>
          <w:tcPr>
            <w:tcW w:w="1193" w:type="dxa"/>
            <w:noWrap/>
            <w:hideMark/>
          </w:tcPr>
          <w:p w:rsidR="00F063B1" w:rsidRPr="006547D7" w:rsidP="00F063B1" w14:paraId="2B571958"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0</w:t>
            </w:r>
          </w:p>
        </w:tc>
        <w:tc>
          <w:tcPr>
            <w:tcW w:w="1193" w:type="dxa"/>
            <w:vAlign w:val="bottom"/>
          </w:tcPr>
          <w:p w:rsidR="00F063B1" w:rsidRPr="006547D7" w:rsidP="00F063B1" w14:paraId="47741C8F"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0</w:t>
            </w:r>
          </w:p>
        </w:tc>
      </w:tr>
      <w:tr w14:paraId="4424DEAC" w14:textId="77777777" w:rsidTr="001B5919">
        <w:tblPrEx>
          <w:tblW w:w="9052" w:type="dxa"/>
          <w:tblLayout w:type="fixed"/>
          <w:tblLook w:val="04A0"/>
        </w:tblPrEx>
        <w:trPr>
          <w:trHeight w:val="300"/>
        </w:trPr>
        <w:tc>
          <w:tcPr>
            <w:tcW w:w="3089" w:type="dxa"/>
            <w:noWrap/>
            <w:hideMark/>
          </w:tcPr>
          <w:p w:rsidR="00F063B1" w:rsidRPr="006547D7" w:rsidP="00F063B1" w14:paraId="45F027AE" w14:textId="77777777">
            <w:pPr>
              <w:spacing w:before="0"/>
              <w:rPr>
                <w:rFonts w:ascii="Calibri" w:eastAsia="Times New Roman" w:hAnsi="Calibri" w:cs="Times New Roman"/>
                <w:color w:val="000000"/>
                <w:sz w:val="22"/>
                <w:szCs w:val="22"/>
              </w:rPr>
            </w:pPr>
            <w:r w:rsidRPr="006547D7">
              <w:rPr>
                <w:rFonts w:ascii="Calibri" w:hAnsi="Calibri"/>
                <w:color w:val="000000"/>
                <w:sz w:val="22"/>
              </w:rPr>
              <w:t>Other</w:t>
            </w:r>
          </w:p>
        </w:tc>
        <w:tc>
          <w:tcPr>
            <w:tcW w:w="1192" w:type="dxa"/>
            <w:noWrap/>
            <w:hideMark/>
          </w:tcPr>
          <w:p w:rsidR="00F063B1" w:rsidRPr="006547D7" w:rsidP="00F063B1" w14:paraId="292F2790"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0</w:t>
            </w:r>
          </w:p>
        </w:tc>
        <w:tc>
          <w:tcPr>
            <w:tcW w:w="1193" w:type="dxa"/>
            <w:noWrap/>
            <w:hideMark/>
          </w:tcPr>
          <w:p w:rsidR="00F063B1" w:rsidRPr="006547D7" w:rsidP="00F063B1" w14:paraId="110D81A1"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0</w:t>
            </w:r>
          </w:p>
        </w:tc>
        <w:tc>
          <w:tcPr>
            <w:tcW w:w="1192" w:type="dxa"/>
            <w:noWrap/>
            <w:hideMark/>
          </w:tcPr>
          <w:p w:rsidR="00F063B1" w:rsidRPr="006547D7" w:rsidP="00F063B1" w14:paraId="4E32A773"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1</w:t>
            </w:r>
          </w:p>
        </w:tc>
        <w:tc>
          <w:tcPr>
            <w:tcW w:w="1193" w:type="dxa"/>
            <w:noWrap/>
            <w:hideMark/>
          </w:tcPr>
          <w:p w:rsidR="00F063B1" w:rsidRPr="006547D7" w:rsidP="00F063B1" w14:paraId="084EB5D5"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1</w:t>
            </w:r>
          </w:p>
        </w:tc>
        <w:tc>
          <w:tcPr>
            <w:tcW w:w="1193" w:type="dxa"/>
            <w:vAlign w:val="bottom"/>
          </w:tcPr>
          <w:p w:rsidR="00F063B1" w:rsidRPr="006547D7" w:rsidP="00F063B1" w14:paraId="4EA251B1"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0</w:t>
            </w:r>
          </w:p>
        </w:tc>
      </w:tr>
    </w:tbl>
    <w:p w:rsidR="00F063B1" w:rsidP="00F063B1" w14:paraId="557F517D" w14:textId="77777777">
      <w:pPr>
        <w:jc w:val="center"/>
        <w:rPr>
          <w:color w:val="595959" w:themeColor="text1" w:themeTint="A6"/>
          <w:kern w:val="20"/>
          <w:sz w:val="20"/>
        </w:rPr>
      </w:pPr>
      <w:r w:rsidRPr="006547D7">
        <w:rPr>
          <w:color w:val="595959" w:themeColor="text1" w:themeTint="A6"/>
          <w:kern w:val="20"/>
          <w:sz w:val="20"/>
        </w:rPr>
        <w:t>Table 3: Overview of serious accidents by type of accident.</w:t>
      </w:r>
    </w:p>
    <w:p w:rsidR="006547D7" w:rsidP="006547D7" w14:paraId="33134A40" w14:textId="77777777"/>
    <w:p w:rsidR="006547D7" w:rsidP="006547D7" w14:paraId="06144681" w14:textId="77777777">
      <w:pPr>
        <w:jc w:val="both"/>
      </w:pPr>
    </w:p>
    <w:p w:rsidR="00820386" w:rsidRPr="006547D7" w:rsidP="00820386" w14:paraId="3396ACC0" w14:textId="77777777">
      <w:pPr>
        <w:pStyle w:val="Heading3"/>
      </w:pPr>
      <w:r w:rsidRPr="006547D7">
        <w:t>Fatalities and seriously injured persons</w:t>
      </w:r>
    </w:p>
    <w:p w:rsidR="00820386" w:rsidRPr="006547D7" w:rsidP="00820386" w14:paraId="366E216F" w14:textId="77777777">
      <w:pPr>
        <w:jc w:val="both"/>
      </w:pPr>
    </w:p>
    <w:p w:rsidR="00820386" w:rsidRPr="006547D7" w:rsidP="00820386" w14:paraId="3A057771" w14:textId="77777777">
      <w:pPr>
        <w:jc w:val="both"/>
      </w:pPr>
      <w:r w:rsidRPr="006547D7">
        <w:t xml:space="preserve">In 2017, there were five railway accident fatalities in Slovenia, which equals the figure from the previous year. All fatalities were level crossing users. The number of seriously injured persons decreased to three in 2017. Two serious injuries </w:t>
      </w:r>
      <w:r w:rsidRPr="006547D7">
        <w:t>were recorded</w:t>
      </w:r>
      <w:r w:rsidRPr="006547D7">
        <w:t xml:space="preserve"> among level crossing users. </w:t>
      </w:r>
    </w:p>
    <w:p w:rsidR="00982B06" w:rsidRPr="006547D7" w:rsidP="002E439B" w14:paraId="7EC3F4E7" w14:textId="77777777">
      <w:pPr>
        <w:spacing w:after="0"/>
      </w:pPr>
    </w:p>
    <w:p w:rsidR="00982B06" w:rsidRPr="006547D7" w:rsidP="00F858C0" w14:paraId="3E972D5E" w14:textId="77777777">
      <w:pPr>
        <w:jc w:val="center"/>
      </w:pPr>
      <w:r w:rsidRPr="006547D7">
        <w:rPr>
          <w:noProof/>
          <w:lang w:val="en-US" w:eastAsia="zh-CN" w:bidi="mn-Mong-CN"/>
        </w:rPr>
        <w:drawing>
          <wp:inline distT="0" distB="0" distL="0" distR="0">
            <wp:extent cx="4601633" cy="3695700"/>
            <wp:effectExtent l="0" t="0" r="8890" b="0"/>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82B06" w:rsidP="002E439B" w14:paraId="48B434E8" w14:textId="77777777">
      <w:pPr>
        <w:spacing w:after="120"/>
        <w:jc w:val="center"/>
        <w:rPr>
          <w:color w:val="595959" w:themeColor="text1" w:themeTint="A6"/>
          <w:kern w:val="20"/>
          <w:sz w:val="20"/>
        </w:rPr>
      </w:pPr>
      <w:r w:rsidRPr="006547D7">
        <w:rPr>
          <w:color w:val="595959" w:themeColor="text1" w:themeTint="A6"/>
          <w:kern w:val="20"/>
          <w:sz w:val="20"/>
        </w:rPr>
        <w:t>Figure 2: Fatalities and seriously injured persons in railway accidents in 2007–2017.</w:t>
      </w:r>
    </w:p>
    <w:p w:rsidR="006547D7" w:rsidRPr="006547D7" w:rsidP="006547D7" w14:paraId="52E180C1" w14:textId="77777777">
      <w:pPr>
        <w:spacing w:after="0"/>
        <w:jc w:val="center"/>
        <w:rPr>
          <w:color w:val="595959" w:themeColor="text1" w:themeTint="A6"/>
          <w:kern w:val="20"/>
          <w:sz w:val="20"/>
          <w:szCs w:val="20"/>
        </w:rPr>
      </w:pPr>
    </w:p>
    <w:tbl>
      <w:tblPr>
        <w:tblStyle w:val="TableGrid"/>
        <w:tblW w:w="5000" w:type="pct"/>
        <w:tblLook w:val="04A0"/>
      </w:tblPr>
      <w:tblGrid>
        <w:gridCol w:w="4531"/>
        <w:gridCol w:w="4531"/>
      </w:tblGrid>
      <w:tr w14:paraId="2B5B5A34" w14:textId="77777777" w:rsidTr="00932230">
        <w:tblPrEx>
          <w:tblW w:w="5000" w:type="pct"/>
          <w:tblLook w:val="04A0"/>
        </w:tblPrEx>
        <w:tc>
          <w:tcPr>
            <w:tcW w:w="2500" w:type="pct"/>
            <w:shd w:val="clear" w:color="auto" w:fill="auto"/>
          </w:tcPr>
          <w:p w:rsidR="00932230" w:rsidRPr="006547D7" w:rsidP="00A73D45" w14:paraId="445E863E" w14:textId="77777777">
            <w:pPr>
              <w:rPr>
                <w:sz w:val="20"/>
                <w:szCs w:val="20"/>
              </w:rPr>
            </w:pPr>
            <w:r w:rsidRPr="006547D7">
              <w:rPr>
                <w:sz w:val="20"/>
                <w:szCs w:val="20"/>
              </w:rPr>
              <w:t>Število smrtnih žrtev</w:t>
            </w:r>
          </w:p>
        </w:tc>
        <w:tc>
          <w:tcPr>
            <w:tcW w:w="2500" w:type="pct"/>
          </w:tcPr>
          <w:p w:rsidR="00932230" w:rsidRPr="006547D7" w:rsidP="00A73D45" w14:paraId="7950C9D1" w14:textId="77777777">
            <w:pPr>
              <w:rPr>
                <w:sz w:val="20"/>
                <w:szCs w:val="20"/>
              </w:rPr>
            </w:pPr>
            <w:r w:rsidRPr="006547D7">
              <w:rPr>
                <w:sz w:val="20"/>
                <w:szCs w:val="20"/>
              </w:rPr>
              <w:t>Number</w:t>
            </w:r>
            <w:r w:rsidRPr="006547D7">
              <w:rPr>
                <w:sz w:val="20"/>
                <w:szCs w:val="20"/>
              </w:rPr>
              <w:t xml:space="preserve"> </w:t>
            </w:r>
            <w:r w:rsidRPr="006547D7">
              <w:rPr>
                <w:sz w:val="20"/>
                <w:szCs w:val="20"/>
              </w:rPr>
              <w:t>of</w:t>
            </w:r>
            <w:r w:rsidRPr="006547D7">
              <w:rPr>
                <w:sz w:val="20"/>
                <w:szCs w:val="20"/>
              </w:rPr>
              <w:t xml:space="preserve"> </w:t>
            </w:r>
            <w:r w:rsidRPr="006547D7">
              <w:rPr>
                <w:sz w:val="20"/>
                <w:szCs w:val="20"/>
              </w:rPr>
              <w:t>fatalities</w:t>
            </w:r>
          </w:p>
        </w:tc>
      </w:tr>
      <w:tr w14:paraId="6E738F8E" w14:textId="77777777" w:rsidTr="00932230">
        <w:tblPrEx>
          <w:tblW w:w="5000" w:type="pct"/>
          <w:tblLook w:val="04A0"/>
        </w:tblPrEx>
        <w:tc>
          <w:tcPr>
            <w:tcW w:w="2500" w:type="pct"/>
            <w:shd w:val="clear" w:color="auto" w:fill="auto"/>
          </w:tcPr>
          <w:p w:rsidR="00932230" w:rsidRPr="006547D7" w:rsidP="00A73D45" w14:paraId="6AA0395B" w14:textId="77777777">
            <w:pPr>
              <w:rPr>
                <w:sz w:val="20"/>
                <w:szCs w:val="20"/>
              </w:rPr>
            </w:pPr>
            <w:r w:rsidRPr="006547D7">
              <w:rPr>
                <w:sz w:val="20"/>
                <w:szCs w:val="20"/>
              </w:rPr>
              <w:t>Število hudo poškodovanih</w:t>
            </w:r>
          </w:p>
        </w:tc>
        <w:tc>
          <w:tcPr>
            <w:tcW w:w="2500" w:type="pct"/>
          </w:tcPr>
          <w:p w:rsidR="00932230" w:rsidRPr="006547D7" w:rsidP="00A73D45" w14:paraId="1FC5484E" w14:textId="77777777">
            <w:pPr>
              <w:rPr>
                <w:sz w:val="20"/>
                <w:szCs w:val="20"/>
              </w:rPr>
            </w:pPr>
            <w:r w:rsidRPr="006547D7">
              <w:rPr>
                <w:sz w:val="20"/>
                <w:szCs w:val="20"/>
              </w:rPr>
              <w:t>Number</w:t>
            </w:r>
            <w:r w:rsidRPr="006547D7">
              <w:rPr>
                <w:sz w:val="20"/>
                <w:szCs w:val="20"/>
              </w:rPr>
              <w:t xml:space="preserve"> </w:t>
            </w:r>
            <w:r w:rsidRPr="006547D7">
              <w:rPr>
                <w:sz w:val="20"/>
                <w:szCs w:val="20"/>
              </w:rPr>
              <w:t>of</w:t>
            </w:r>
            <w:r w:rsidRPr="006547D7">
              <w:rPr>
                <w:sz w:val="20"/>
                <w:szCs w:val="20"/>
              </w:rPr>
              <w:t xml:space="preserve"> </w:t>
            </w:r>
            <w:r w:rsidRPr="006547D7">
              <w:rPr>
                <w:sz w:val="20"/>
                <w:szCs w:val="20"/>
              </w:rPr>
              <w:t>seriously</w:t>
            </w:r>
            <w:r w:rsidRPr="006547D7">
              <w:rPr>
                <w:sz w:val="20"/>
                <w:szCs w:val="20"/>
              </w:rPr>
              <w:t xml:space="preserve"> </w:t>
            </w:r>
            <w:r w:rsidRPr="006547D7">
              <w:rPr>
                <w:sz w:val="20"/>
                <w:szCs w:val="20"/>
              </w:rPr>
              <w:t>injured</w:t>
            </w:r>
            <w:r w:rsidRPr="006547D7">
              <w:rPr>
                <w:sz w:val="20"/>
                <w:szCs w:val="20"/>
              </w:rPr>
              <w:t xml:space="preserve"> </w:t>
            </w:r>
            <w:r w:rsidRPr="006547D7">
              <w:rPr>
                <w:sz w:val="20"/>
                <w:szCs w:val="20"/>
              </w:rPr>
              <w:t>persons</w:t>
            </w:r>
          </w:p>
        </w:tc>
      </w:tr>
    </w:tbl>
    <w:p w:rsidR="00932230" w:rsidRPr="006547D7" w:rsidP="002E439B" w14:paraId="625735C4" w14:textId="77777777">
      <w:pPr>
        <w:spacing w:after="0"/>
        <w:jc w:val="center"/>
      </w:pPr>
    </w:p>
    <w:p w:rsidR="00982B06" w:rsidRPr="006547D7" w:rsidP="00982B06" w14:paraId="46B691B8" w14:textId="77777777">
      <w:pPr>
        <w:jc w:val="center"/>
      </w:pPr>
      <w:r w:rsidRPr="006547D7">
        <w:rPr>
          <w:noProof/>
          <w:lang w:val="en-US" w:eastAsia="zh-CN" w:bidi="mn-Mong-CN"/>
        </w:rPr>
        <w:drawing>
          <wp:inline distT="0" distB="0" distL="0" distR="0">
            <wp:extent cx="4581525" cy="2743200"/>
            <wp:effectExtent l="0" t="0" r="9525" b="0"/>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82B06" w:rsidRPr="006547D7" w:rsidP="00982B06" w14:paraId="650120CD" w14:textId="77777777">
      <w:pPr>
        <w:jc w:val="center"/>
        <w:rPr>
          <w:color w:val="595959" w:themeColor="text1" w:themeTint="A6"/>
          <w:kern w:val="20"/>
          <w:sz w:val="20"/>
          <w:szCs w:val="20"/>
        </w:rPr>
      </w:pPr>
      <w:r w:rsidRPr="006547D7">
        <w:rPr>
          <w:color w:val="595959" w:themeColor="text1" w:themeTint="A6"/>
          <w:kern w:val="20"/>
          <w:sz w:val="20"/>
        </w:rPr>
        <w:t>Figure 3: Number of accidents, fatalities and seriously injured persons at level crossings in 2013–2017.</w:t>
      </w:r>
    </w:p>
    <w:tbl>
      <w:tblPr>
        <w:tblStyle w:val="TableGrid"/>
        <w:tblW w:w="5000" w:type="pct"/>
        <w:tblLook w:val="04A0"/>
      </w:tblPr>
      <w:tblGrid>
        <w:gridCol w:w="4531"/>
        <w:gridCol w:w="4531"/>
      </w:tblGrid>
      <w:tr w14:paraId="43D23748" w14:textId="77777777" w:rsidTr="00362CDF">
        <w:tblPrEx>
          <w:tblW w:w="5000" w:type="pct"/>
          <w:tblLook w:val="04A0"/>
        </w:tblPrEx>
        <w:tc>
          <w:tcPr>
            <w:tcW w:w="2500" w:type="pct"/>
            <w:shd w:val="clear" w:color="auto" w:fill="auto"/>
          </w:tcPr>
          <w:p w:rsidR="00932230" w:rsidRPr="006547D7" w:rsidP="00A73D45" w14:paraId="775433F5" w14:textId="77777777">
            <w:pPr>
              <w:rPr>
                <w:sz w:val="20"/>
                <w:szCs w:val="20"/>
              </w:rPr>
            </w:pPr>
            <w:r w:rsidRPr="006547D7">
              <w:rPr>
                <w:sz w:val="20"/>
                <w:szCs w:val="20"/>
              </w:rPr>
              <w:t>Število hudo poškodovanih uporabnikov nivojskih prehodih v nesrečah na nivojskih prehodih</w:t>
            </w:r>
          </w:p>
        </w:tc>
        <w:tc>
          <w:tcPr>
            <w:tcW w:w="2500" w:type="pct"/>
          </w:tcPr>
          <w:p w:rsidR="00932230" w:rsidRPr="006547D7" w:rsidP="000A2F63" w14:paraId="745A35E3" w14:textId="77777777">
            <w:pPr>
              <w:rPr>
                <w:sz w:val="20"/>
                <w:szCs w:val="20"/>
              </w:rPr>
            </w:pPr>
            <w:r w:rsidRPr="006547D7">
              <w:rPr>
                <w:sz w:val="20"/>
                <w:szCs w:val="20"/>
              </w:rPr>
              <w:t>Number</w:t>
            </w:r>
            <w:r w:rsidRPr="006547D7">
              <w:rPr>
                <w:sz w:val="20"/>
                <w:szCs w:val="20"/>
              </w:rPr>
              <w:t xml:space="preserve"> </w:t>
            </w:r>
            <w:r w:rsidRPr="006547D7">
              <w:rPr>
                <w:sz w:val="20"/>
                <w:szCs w:val="20"/>
              </w:rPr>
              <w:t>of</w:t>
            </w:r>
            <w:r w:rsidRPr="006547D7">
              <w:rPr>
                <w:sz w:val="20"/>
                <w:szCs w:val="20"/>
              </w:rPr>
              <w:t xml:space="preserve"> </w:t>
            </w:r>
            <w:r w:rsidRPr="006547D7">
              <w:rPr>
                <w:sz w:val="20"/>
                <w:szCs w:val="20"/>
              </w:rPr>
              <w:t>seriously</w:t>
            </w:r>
            <w:r w:rsidRPr="006547D7">
              <w:rPr>
                <w:sz w:val="20"/>
                <w:szCs w:val="20"/>
              </w:rPr>
              <w:t xml:space="preserve"> </w:t>
            </w:r>
            <w:r w:rsidRPr="006547D7">
              <w:rPr>
                <w:sz w:val="20"/>
                <w:szCs w:val="20"/>
              </w:rPr>
              <w:t>injured</w:t>
            </w:r>
            <w:r w:rsidRPr="006547D7">
              <w:rPr>
                <w:sz w:val="20"/>
                <w:szCs w:val="20"/>
              </w:rPr>
              <w:t xml:space="preserve"> </w:t>
            </w:r>
            <w:r w:rsidRPr="006547D7">
              <w:rPr>
                <w:sz w:val="20"/>
                <w:szCs w:val="20"/>
              </w:rPr>
              <w:t>persons</w:t>
            </w:r>
            <w:r w:rsidRPr="006547D7">
              <w:rPr>
                <w:sz w:val="20"/>
                <w:szCs w:val="20"/>
              </w:rPr>
              <w:t xml:space="preserve"> </w:t>
            </w:r>
            <w:r w:rsidRPr="006547D7">
              <w:rPr>
                <w:sz w:val="20"/>
                <w:szCs w:val="20"/>
              </w:rPr>
              <w:t>among</w:t>
            </w:r>
            <w:r w:rsidRPr="006547D7">
              <w:rPr>
                <w:sz w:val="20"/>
                <w:szCs w:val="20"/>
              </w:rPr>
              <w:t xml:space="preserve"> </w:t>
            </w:r>
            <w:r w:rsidRPr="006547D7">
              <w:rPr>
                <w:sz w:val="20"/>
                <w:szCs w:val="20"/>
              </w:rPr>
              <w:t>level</w:t>
            </w:r>
            <w:r w:rsidRPr="006547D7">
              <w:rPr>
                <w:sz w:val="20"/>
                <w:szCs w:val="20"/>
              </w:rPr>
              <w:t xml:space="preserve"> </w:t>
            </w:r>
            <w:r w:rsidRPr="006547D7">
              <w:rPr>
                <w:sz w:val="20"/>
                <w:szCs w:val="20"/>
              </w:rPr>
              <w:t>crossing</w:t>
            </w:r>
            <w:r w:rsidRPr="006547D7">
              <w:rPr>
                <w:sz w:val="20"/>
                <w:szCs w:val="20"/>
              </w:rPr>
              <w:t xml:space="preserve"> </w:t>
            </w:r>
            <w:r w:rsidRPr="006547D7">
              <w:rPr>
                <w:sz w:val="20"/>
                <w:szCs w:val="20"/>
              </w:rPr>
              <w:t>users</w:t>
            </w:r>
            <w:r w:rsidRPr="006547D7">
              <w:rPr>
                <w:sz w:val="20"/>
                <w:szCs w:val="20"/>
              </w:rPr>
              <w:t xml:space="preserve"> in </w:t>
            </w:r>
            <w:r w:rsidRPr="006547D7">
              <w:rPr>
                <w:sz w:val="20"/>
                <w:szCs w:val="20"/>
              </w:rPr>
              <w:t>accidents</w:t>
            </w:r>
            <w:r w:rsidRPr="006547D7">
              <w:rPr>
                <w:sz w:val="20"/>
                <w:szCs w:val="20"/>
              </w:rPr>
              <w:t xml:space="preserve"> at </w:t>
            </w:r>
            <w:r w:rsidRPr="006547D7">
              <w:rPr>
                <w:sz w:val="20"/>
                <w:szCs w:val="20"/>
              </w:rPr>
              <w:t>level</w:t>
            </w:r>
            <w:r w:rsidRPr="006547D7">
              <w:rPr>
                <w:sz w:val="20"/>
                <w:szCs w:val="20"/>
              </w:rPr>
              <w:t xml:space="preserve"> </w:t>
            </w:r>
            <w:r w:rsidRPr="006547D7">
              <w:rPr>
                <w:sz w:val="20"/>
                <w:szCs w:val="20"/>
              </w:rPr>
              <w:t>crossings</w:t>
            </w:r>
          </w:p>
        </w:tc>
      </w:tr>
      <w:tr w14:paraId="54B1730C" w14:textId="77777777" w:rsidTr="00362CDF">
        <w:tblPrEx>
          <w:tblW w:w="5000" w:type="pct"/>
          <w:tblLook w:val="04A0"/>
        </w:tblPrEx>
        <w:tc>
          <w:tcPr>
            <w:tcW w:w="2500" w:type="pct"/>
            <w:shd w:val="clear" w:color="auto" w:fill="auto"/>
          </w:tcPr>
          <w:p w:rsidR="00932230" w:rsidRPr="006547D7" w:rsidP="00A73D45" w14:paraId="729F9BB2" w14:textId="77777777">
            <w:pPr>
              <w:rPr>
                <w:sz w:val="20"/>
                <w:szCs w:val="20"/>
              </w:rPr>
            </w:pPr>
            <w:r w:rsidRPr="006547D7">
              <w:rPr>
                <w:sz w:val="20"/>
                <w:szCs w:val="20"/>
              </w:rPr>
              <w:t>Število smrtnih žrtev uporabnikov nivojskih prehodih v nesrečah na nivojskih prehodih</w:t>
            </w:r>
          </w:p>
        </w:tc>
        <w:tc>
          <w:tcPr>
            <w:tcW w:w="2500" w:type="pct"/>
          </w:tcPr>
          <w:p w:rsidR="00932230" w:rsidRPr="006547D7" w:rsidP="00A73D45" w14:paraId="7024F3FF" w14:textId="77777777">
            <w:pPr>
              <w:rPr>
                <w:sz w:val="20"/>
                <w:szCs w:val="20"/>
              </w:rPr>
            </w:pPr>
            <w:r w:rsidRPr="006547D7">
              <w:rPr>
                <w:sz w:val="20"/>
                <w:szCs w:val="20"/>
              </w:rPr>
              <w:t>Number</w:t>
            </w:r>
            <w:r w:rsidRPr="006547D7">
              <w:rPr>
                <w:sz w:val="20"/>
                <w:szCs w:val="20"/>
              </w:rPr>
              <w:t xml:space="preserve"> </w:t>
            </w:r>
            <w:r w:rsidRPr="006547D7">
              <w:rPr>
                <w:sz w:val="20"/>
                <w:szCs w:val="20"/>
              </w:rPr>
              <w:t>of</w:t>
            </w:r>
            <w:r w:rsidRPr="006547D7">
              <w:rPr>
                <w:sz w:val="20"/>
                <w:szCs w:val="20"/>
              </w:rPr>
              <w:t xml:space="preserve"> </w:t>
            </w:r>
            <w:r w:rsidRPr="006547D7">
              <w:rPr>
                <w:sz w:val="20"/>
                <w:szCs w:val="20"/>
              </w:rPr>
              <w:t>fatalities</w:t>
            </w:r>
            <w:r w:rsidRPr="006547D7">
              <w:rPr>
                <w:sz w:val="20"/>
                <w:szCs w:val="20"/>
              </w:rPr>
              <w:t xml:space="preserve"> </w:t>
            </w:r>
            <w:r w:rsidRPr="006547D7">
              <w:rPr>
                <w:sz w:val="20"/>
                <w:szCs w:val="20"/>
              </w:rPr>
              <w:t>among</w:t>
            </w:r>
            <w:r w:rsidRPr="006547D7">
              <w:rPr>
                <w:sz w:val="20"/>
                <w:szCs w:val="20"/>
              </w:rPr>
              <w:t xml:space="preserve"> </w:t>
            </w:r>
            <w:r w:rsidRPr="006547D7">
              <w:rPr>
                <w:sz w:val="20"/>
                <w:szCs w:val="20"/>
              </w:rPr>
              <w:t>level</w:t>
            </w:r>
            <w:r w:rsidRPr="006547D7">
              <w:rPr>
                <w:sz w:val="20"/>
                <w:szCs w:val="20"/>
              </w:rPr>
              <w:t xml:space="preserve"> </w:t>
            </w:r>
            <w:r w:rsidRPr="006547D7">
              <w:rPr>
                <w:sz w:val="20"/>
                <w:szCs w:val="20"/>
              </w:rPr>
              <w:t>crossing</w:t>
            </w:r>
            <w:r w:rsidRPr="006547D7">
              <w:rPr>
                <w:sz w:val="20"/>
                <w:szCs w:val="20"/>
              </w:rPr>
              <w:t xml:space="preserve"> </w:t>
            </w:r>
            <w:r w:rsidRPr="006547D7">
              <w:rPr>
                <w:sz w:val="20"/>
                <w:szCs w:val="20"/>
              </w:rPr>
              <w:t>users</w:t>
            </w:r>
            <w:r w:rsidRPr="006547D7">
              <w:rPr>
                <w:sz w:val="20"/>
                <w:szCs w:val="20"/>
              </w:rPr>
              <w:t xml:space="preserve"> in </w:t>
            </w:r>
            <w:r w:rsidRPr="006547D7">
              <w:rPr>
                <w:sz w:val="20"/>
                <w:szCs w:val="20"/>
              </w:rPr>
              <w:t>accidents</w:t>
            </w:r>
            <w:r w:rsidRPr="006547D7">
              <w:rPr>
                <w:sz w:val="20"/>
                <w:szCs w:val="20"/>
              </w:rPr>
              <w:t xml:space="preserve"> at </w:t>
            </w:r>
            <w:r w:rsidRPr="006547D7">
              <w:rPr>
                <w:sz w:val="20"/>
                <w:szCs w:val="20"/>
              </w:rPr>
              <w:t>level</w:t>
            </w:r>
            <w:r w:rsidRPr="006547D7">
              <w:rPr>
                <w:sz w:val="20"/>
                <w:szCs w:val="20"/>
              </w:rPr>
              <w:t xml:space="preserve"> </w:t>
            </w:r>
            <w:r w:rsidRPr="006547D7">
              <w:rPr>
                <w:sz w:val="20"/>
                <w:szCs w:val="20"/>
              </w:rPr>
              <w:t>crossings</w:t>
            </w:r>
          </w:p>
        </w:tc>
      </w:tr>
      <w:tr w14:paraId="0782F57F" w14:textId="77777777" w:rsidTr="00362CDF">
        <w:tblPrEx>
          <w:tblW w:w="5000" w:type="pct"/>
          <w:tblLook w:val="04A0"/>
        </w:tblPrEx>
        <w:tc>
          <w:tcPr>
            <w:tcW w:w="2500" w:type="pct"/>
            <w:shd w:val="clear" w:color="auto" w:fill="auto"/>
          </w:tcPr>
          <w:p w:rsidR="00932230" w:rsidRPr="006547D7" w:rsidP="00A73D45" w14:paraId="3697857A" w14:textId="77777777">
            <w:pPr>
              <w:rPr>
                <w:sz w:val="20"/>
                <w:szCs w:val="20"/>
              </w:rPr>
            </w:pPr>
            <w:r w:rsidRPr="006547D7">
              <w:rPr>
                <w:sz w:val="20"/>
                <w:szCs w:val="20"/>
              </w:rPr>
              <w:t>Število nesreč na nivojskih prehodih</w:t>
            </w:r>
          </w:p>
        </w:tc>
        <w:tc>
          <w:tcPr>
            <w:tcW w:w="2500" w:type="pct"/>
          </w:tcPr>
          <w:p w:rsidR="00932230" w:rsidRPr="006547D7" w:rsidP="00A73D45" w14:paraId="6DE8654C" w14:textId="77777777">
            <w:pPr>
              <w:rPr>
                <w:sz w:val="20"/>
                <w:szCs w:val="20"/>
              </w:rPr>
            </w:pPr>
            <w:r w:rsidRPr="006547D7">
              <w:rPr>
                <w:sz w:val="20"/>
                <w:szCs w:val="20"/>
              </w:rPr>
              <w:t>Number</w:t>
            </w:r>
            <w:r w:rsidRPr="006547D7">
              <w:rPr>
                <w:sz w:val="20"/>
                <w:szCs w:val="20"/>
              </w:rPr>
              <w:t xml:space="preserve"> </w:t>
            </w:r>
            <w:r w:rsidRPr="006547D7">
              <w:rPr>
                <w:sz w:val="20"/>
                <w:szCs w:val="20"/>
              </w:rPr>
              <w:t>of</w:t>
            </w:r>
            <w:r w:rsidRPr="006547D7">
              <w:rPr>
                <w:sz w:val="20"/>
                <w:szCs w:val="20"/>
              </w:rPr>
              <w:t xml:space="preserve"> </w:t>
            </w:r>
            <w:r w:rsidRPr="006547D7">
              <w:rPr>
                <w:sz w:val="20"/>
                <w:szCs w:val="20"/>
              </w:rPr>
              <w:t>accidents</w:t>
            </w:r>
            <w:r w:rsidRPr="006547D7">
              <w:rPr>
                <w:sz w:val="20"/>
                <w:szCs w:val="20"/>
              </w:rPr>
              <w:t xml:space="preserve"> at </w:t>
            </w:r>
            <w:r w:rsidRPr="006547D7">
              <w:rPr>
                <w:sz w:val="20"/>
                <w:szCs w:val="20"/>
              </w:rPr>
              <w:t>level</w:t>
            </w:r>
            <w:r w:rsidRPr="006547D7">
              <w:rPr>
                <w:sz w:val="20"/>
                <w:szCs w:val="20"/>
              </w:rPr>
              <w:t xml:space="preserve"> </w:t>
            </w:r>
            <w:r w:rsidRPr="006547D7">
              <w:rPr>
                <w:sz w:val="20"/>
                <w:szCs w:val="20"/>
              </w:rPr>
              <w:t>crossings</w:t>
            </w:r>
          </w:p>
        </w:tc>
      </w:tr>
    </w:tbl>
    <w:p w:rsidR="00932230" w:rsidRPr="006547D7" w:rsidP="00982B06" w14:paraId="4610B75E" w14:textId="77777777">
      <w:pPr>
        <w:jc w:val="center"/>
        <w:rPr>
          <w:lang w:val="sl-SI"/>
        </w:rPr>
      </w:pPr>
    </w:p>
    <w:p w:rsidR="00982B06" w:rsidRPr="006547D7" w:rsidP="00982B06" w14:paraId="0A576DC3" w14:textId="77777777">
      <w:pPr>
        <w:rPr>
          <w:lang w:val="sl-SI"/>
        </w:rPr>
      </w:pPr>
    </w:p>
    <w:p w:rsidR="00982B06" w:rsidRPr="006547D7" w:rsidP="00F858C0" w14:paraId="571A98CC" w14:textId="77777777">
      <w:pPr>
        <w:jc w:val="center"/>
      </w:pPr>
      <w:r w:rsidRPr="006547D7">
        <w:rPr>
          <w:noProof/>
          <w:lang w:val="en-US" w:eastAsia="zh-CN" w:bidi="mn-Mong-CN"/>
        </w:rPr>
        <w:drawing>
          <wp:inline distT="0" distB="0" distL="0" distR="0">
            <wp:extent cx="4605867" cy="2743200"/>
            <wp:effectExtent l="0" t="0" r="4445" b="0"/>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82B06" w:rsidRPr="006547D7" w:rsidP="00982B06" w14:paraId="3264A479" w14:textId="77777777">
      <w:pPr>
        <w:jc w:val="center"/>
        <w:rPr>
          <w:color w:val="595959" w:themeColor="text1" w:themeTint="A6"/>
          <w:kern w:val="20"/>
          <w:sz w:val="20"/>
          <w:szCs w:val="20"/>
        </w:rPr>
      </w:pPr>
      <w:r w:rsidRPr="006547D7">
        <w:rPr>
          <w:color w:val="595959" w:themeColor="text1" w:themeTint="A6"/>
          <w:kern w:val="20"/>
          <w:sz w:val="20"/>
        </w:rPr>
        <w:t>Figure 4: Comparison of the number of fatalities in all accidents and among level crossing users.</w:t>
      </w:r>
    </w:p>
    <w:tbl>
      <w:tblPr>
        <w:tblStyle w:val="TableGrid"/>
        <w:tblW w:w="5000" w:type="pct"/>
        <w:tblLook w:val="04A0"/>
      </w:tblPr>
      <w:tblGrid>
        <w:gridCol w:w="4531"/>
        <w:gridCol w:w="4531"/>
      </w:tblGrid>
      <w:tr w14:paraId="0E9978C5" w14:textId="77777777" w:rsidTr="00362CDF">
        <w:tblPrEx>
          <w:tblW w:w="5000" w:type="pct"/>
          <w:tblLook w:val="04A0"/>
        </w:tblPrEx>
        <w:tc>
          <w:tcPr>
            <w:tcW w:w="2500" w:type="pct"/>
            <w:shd w:val="clear" w:color="auto" w:fill="auto"/>
          </w:tcPr>
          <w:p w:rsidR="00932230" w:rsidRPr="006547D7" w:rsidP="00A73D45" w14:paraId="5A06920B" w14:textId="77777777">
            <w:pPr>
              <w:rPr>
                <w:sz w:val="20"/>
                <w:szCs w:val="20"/>
              </w:rPr>
            </w:pPr>
            <w:r w:rsidRPr="006547D7">
              <w:rPr>
                <w:sz w:val="20"/>
                <w:szCs w:val="20"/>
              </w:rPr>
              <w:t>Število smrtnih žrtev uporabnikov nivojskih prehodih v nesrečah na nivojskih prehodih</w:t>
            </w:r>
          </w:p>
        </w:tc>
        <w:tc>
          <w:tcPr>
            <w:tcW w:w="2500" w:type="pct"/>
          </w:tcPr>
          <w:p w:rsidR="00932230" w:rsidRPr="006547D7" w:rsidP="00A73D45" w14:paraId="491D92E7" w14:textId="77777777">
            <w:pPr>
              <w:rPr>
                <w:sz w:val="20"/>
                <w:szCs w:val="20"/>
              </w:rPr>
            </w:pPr>
            <w:r w:rsidRPr="006547D7">
              <w:rPr>
                <w:sz w:val="20"/>
                <w:szCs w:val="20"/>
              </w:rPr>
              <w:t>Number</w:t>
            </w:r>
            <w:r w:rsidRPr="006547D7">
              <w:rPr>
                <w:sz w:val="20"/>
                <w:szCs w:val="20"/>
              </w:rPr>
              <w:t xml:space="preserve"> </w:t>
            </w:r>
            <w:r w:rsidRPr="006547D7">
              <w:rPr>
                <w:sz w:val="20"/>
                <w:szCs w:val="20"/>
              </w:rPr>
              <w:t>of</w:t>
            </w:r>
            <w:r w:rsidRPr="006547D7">
              <w:rPr>
                <w:sz w:val="20"/>
                <w:szCs w:val="20"/>
              </w:rPr>
              <w:t xml:space="preserve"> </w:t>
            </w:r>
            <w:r w:rsidRPr="006547D7">
              <w:rPr>
                <w:sz w:val="20"/>
                <w:szCs w:val="20"/>
              </w:rPr>
              <w:t>fatalities</w:t>
            </w:r>
            <w:r w:rsidRPr="006547D7">
              <w:rPr>
                <w:sz w:val="20"/>
                <w:szCs w:val="20"/>
              </w:rPr>
              <w:t xml:space="preserve"> </w:t>
            </w:r>
            <w:r w:rsidRPr="006547D7">
              <w:rPr>
                <w:sz w:val="20"/>
                <w:szCs w:val="20"/>
              </w:rPr>
              <w:t>among</w:t>
            </w:r>
            <w:r w:rsidRPr="006547D7">
              <w:rPr>
                <w:sz w:val="20"/>
                <w:szCs w:val="20"/>
              </w:rPr>
              <w:t xml:space="preserve"> </w:t>
            </w:r>
            <w:r w:rsidRPr="006547D7">
              <w:rPr>
                <w:sz w:val="20"/>
                <w:szCs w:val="20"/>
              </w:rPr>
              <w:t>level</w:t>
            </w:r>
            <w:r w:rsidRPr="006547D7">
              <w:rPr>
                <w:sz w:val="20"/>
                <w:szCs w:val="20"/>
              </w:rPr>
              <w:t xml:space="preserve"> </w:t>
            </w:r>
            <w:r w:rsidRPr="006547D7">
              <w:rPr>
                <w:sz w:val="20"/>
                <w:szCs w:val="20"/>
              </w:rPr>
              <w:t>crossing</w:t>
            </w:r>
            <w:r w:rsidRPr="006547D7">
              <w:rPr>
                <w:sz w:val="20"/>
                <w:szCs w:val="20"/>
              </w:rPr>
              <w:t xml:space="preserve"> </w:t>
            </w:r>
            <w:r w:rsidRPr="006547D7">
              <w:rPr>
                <w:sz w:val="20"/>
                <w:szCs w:val="20"/>
              </w:rPr>
              <w:t>users</w:t>
            </w:r>
            <w:r w:rsidRPr="006547D7">
              <w:rPr>
                <w:sz w:val="20"/>
                <w:szCs w:val="20"/>
              </w:rPr>
              <w:t xml:space="preserve"> in </w:t>
            </w:r>
            <w:r w:rsidRPr="006547D7">
              <w:rPr>
                <w:sz w:val="20"/>
                <w:szCs w:val="20"/>
              </w:rPr>
              <w:t>accidents</w:t>
            </w:r>
            <w:r w:rsidRPr="006547D7">
              <w:rPr>
                <w:sz w:val="20"/>
                <w:szCs w:val="20"/>
              </w:rPr>
              <w:t xml:space="preserve"> at </w:t>
            </w:r>
            <w:r w:rsidRPr="006547D7">
              <w:rPr>
                <w:sz w:val="20"/>
                <w:szCs w:val="20"/>
              </w:rPr>
              <w:t>level</w:t>
            </w:r>
            <w:r w:rsidRPr="006547D7">
              <w:rPr>
                <w:sz w:val="20"/>
                <w:szCs w:val="20"/>
              </w:rPr>
              <w:t xml:space="preserve"> </w:t>
            </w:r>
            <w:r w:rsidRPr="006547D7">
              <w:rPr>
                <w:sz w:val="20"/>
                <w:szCs w:val="20"/>
              </w:rPr>
              <w:t>crossings</w:t>
            </w:r>
          </w:p>
        </w:tc>
      </w:tr>
      <w:tr w14:paraId="0BACBC10" w14:textId="77777777" w:rsidTr="00362CDF">
        <w:tblPrEx>
          <w:tblW w:w="5000" w:type="pct"/>
          <w:tblLook w:val="04A0"/>
        </w:tblPrEx>
        <w:tc>
          <w:tcPr>
            <w:tcW w:w="2500" w:type="pct"/>
            <w:shd w:val="clear" w:color="auto" w:fill="auto"/>
          </w:tcPr>
          <w:p w:rsidR="00932230" w:rsidRPr="006547D7" w:rsidP="00A73D45" w14:paraId="30BAD0AB" w14:textId="77777777">
            <w:pPr>
              <w:rPr>
                <w:sz w:val="20"/>
                <w:szCs w:val="20"/>
              </w:rPr>
            </w:pPr>
            <w:r w:rsidRPr="006547D7">
              <w:rPr>
                <w:sz w:val="20"/>
                <w:szCs w:val="20"/>
              </w:rPr>
              <w:t>Število smrtnih žrtev v vseh nesrečah</w:t>
            </w:r>
          </w:p>
        </w:tc>
        <w:tc>
          <w:tcPr>
            <w:tcW w:w="2500" w:type="pct"/>
          </w:tcPr>
          <w:p w:rsidR="00932230" w:rsidRPr="006547D7" w:rsidP="00A73D45" w14:paraId="09E40551" w14:textId="77777777">
            <w:pPr>
              <w:rPr>
                <w:sz w:val="20"/>
                <w:szCs w:val="20"/>
              </w:rPr>
            </w:pPr>
            <w:r w:rsidRPr="006547D7">
              <w:rPr>
                <w:sz w:val="20"/>
                <w:szCs w:val="20"/>
              </w:rPr>
              <w:t>Number</w:t>
            </w:r>
            <w:r w:rsidRPr="006547D7">
              <w:rPr>
                <w:sz w:val="20"/>
                <w:szCs w:val="20"/>
              </w:rPr>
              <w:t xml:space="preserve"> </w:t>
            </w:r>
            <w:r w:rsidRPr="006547D7">
              <w:rPr>
                <w:sz w:val="20"/>
                <w:szCs w:val="20"/>
              </w:rPr>
              <w:t>of</w:t>
            </w:r>
            <w:r w:rsidRPr="006547D7">
              <w:rPr>
                <w:sz w:val="20"/>
                <w:szCs w:val="20"/>
              </w:rPr>
              <w:t xml:space="preserve"> </w:t>
            </w:r>
            <w:r w:rsidRPr="006547D7">
              <w:rPr>
                <w:sz w:val="20"/>
                <w:szCs w:val="20"/>
              </w:rPr>
              <w:t>fatalities</w:t>
            </w:r>
            <w:r w:rsidRPr="006547D7">
              <w:rPr>
                <w:sz w:val="20"/>
                <w:szCs w:val="20"/>
              </w:rPr>
              <w:t xml:space="preserve"> in </w:t>
            </w:r>
            <w:r w:rsidRPr="006547D7">
              <w:rPr>
                <w:sz w:val="20"/>
                <w:szCs w:val="20"/>
              </w:rPr>
              <w:t>all</w:t>
            </w:r>
            <w:r w:rsidRPr="006547D7">
              <w:rPr>
                <w:sz w:val="20"/>
                <w:szCs w:val="20"/>
              </w:rPr>
              <w:t xml:space="preserve"> </w:t>
            </w:r>
            <w:r w:rsidRPr="006547D7">
              <w:rPr>
                <w:sz w:val="20"/>
                <w:szCs w:val="20"/>
              </w:rPr>
              <w:t>accidents</w:t>
            </w:r>
          </w:p>
        </w:tc>
      </w:tr>
    </w:tbl>
    <w:p w:rsidR="00982B06" w:rsidRPr="006547D7" w:rsidP="00982B06" w14:paraId="7CB757CC" w14:textId="77777777">
      <w:pPr>
        <w:rPr>
          <w:lang w:val="sl-SI"/>
        </w:rPr>
      </w:pPr>
    </w:p>
    <w:p w:rsidR="00982B06" w:rsidRPr="006547D7" w:rsidP="00F858C0" w14:paraId="20B030D6" w14:textId="77777777">
      <w:pPr>
        <w:jc w:val="center"/>
      </w:pPr>
      <w:r w:rsidRPr="006547D7">
        <w:rPr>
          <w:noProof/>
          <w:lang w:val="en-US" w:eastAsia="zh-CN" w:bidi="mn-Mong-CN"/>
        </w:rPr>
        <w:drawing>
          <wp:inline distT="0" distB="0" distL="0" distR="0">
            <wp:extent cx="4581525" cy="2743200"/>
            <wp:effectExtent l="0" t="0" r="9525" b="0"/>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82B06" w:rsidRPr="006547D7" w:rsidP="00982B06" w14:paraId="224E41CF" w14:textId="77777777">
      <w:pPr>
        <w:jc w:val="center"/>
        <w:rPr>
          <w:color w:val="595959" w:themeColor="text1" w:themeTint="A6"/>
          <w:kern w:val="20"/>
          <w:sz w:val="20"/>
          <w:szCs w:val="20"/>
        </w:rPr>
      </w:pPr>
      <w:r w:rsidRPr="006547D7">
        <w:rPr>
          <w:color w:val="595959" w:themeColor="text1" w:themeTint="A6"/>
          <w:kern w:val="20"/>
          <w:sz w:val="20"/>
        </w:rPr>
        <w:t>Figure 5: Comparison of the number of seriously injured persons in all accidents and among level crossing users.</w:t>
      </w:r>
    </w:p>
    <w:tbl>
      <w:tblPr>
        <w:tblStyle w:val="TableGrid"/>
        <w:tblW w:w="5000" w:type="pct"/>
        <w:tblLook w:val="04A0"/>
      </w:tblPr>
      <w:tblGrid>
        <w:gridCol w:w="4531"/>
        <w:gridCol w:w="4531"/>
      </w:tblGrid>
      <w:tr w14:paraId="4284A7C2" w14:textId="77777777" w:rsidTr="00362CDF">
        <w:tblPrEx>
          <w:tblW w:w="5000" w:type="pct"/>
          <w:tblLook w:val="04A0"/>
        </w:tblPrEx>
        <w:tc>
          <w:tcPr>
            <w:tcW w:w="2500" w:type="pct"/>
            <w:shd w:val="clear" w:color="auto" w:fill="auto"/>
          </w:tcPr>
          <w:p w:rsidR="00932230" w:rsidRPr="006547D7" w:rsidP="00A73D45" w14:paraId="2F3F614A" w14:textId="77777777">
            <w:pPr>
              <w:rPr>
                <w:sz w:val="20"/>
                <w:szCs w:val="20"/>
              </w:rPr>
            </w:pPr>
            <w:r w:rsidRPr="006547D7">
              <w:rPr>
                <w:sz w:val="20"/>
                <w:szCs w:val="20"/>
              </w:rPr>
              <w:t>Število hudo poškodovanih uporabnikov nivojskih prehodih v nesrečah na nivojskih prehodih</w:t>
            </w:r>
          </w:p>
        </w:tc>
        <w:tc>
          <w:tcPr>
            <w:tcW w:w="2500" w:type="pct"/>
          </w:tcPr>
          <w:p w:rsidR="00932230" w:rsidRPr="006547D7" w:rsidP="00A73D45" w14:paraId="2D842B7A" w14:textId="77777777">
            <w:pPr>
              <w:rPr>
                <w:sz w:val="20"/>
                <w:szCs w:val="20"/>
              </w:rPr>
            </w:pPr>
            <w:r w:rsidRPr="006547D7">
              <w:rPr>
                <w:sz w:val="20"/>
                <w:szCs w:val="20"/>
              </w:rPr>
              <w:t>Number</w:t>
            </w:r>
            <w:r w:rsidRPr="006547D7">
              <w:rPr>
                <w:sz w:val="20"/>
                <w:szCs w:val="20"/>
              </w:rPr>
              <w:t xml:space="preserve"> </w:t>
            </w:r>
            <w:r w:rsidRPr="006547D7">
              <w:rPr>
                <w:sz w:val="20"/>
                <w:szCs w:val="20"/>
              </w:rPr>
              <w:t>of</w:t>
            </w:r>
            <w:r w:rsidRPr="006547D7">
              <w:rPr>
                <w:sz w:val="20"/>
                <w:szCs w:val="20"/>
              </w:rPr>
              <w:t xml:space="preserve"> </w:t>
            </w:r>
            <w:r w:rsidRPr="006547D7">
              <w:rPr>
                <w:sz w:val="20"/>
                <w:szCs w:val="20"/>
              </w:rPr>
              <w:t>seriously</w:t>
            </w:r>
            <w:r w:rsidRPr="006547D7">
              <w:rPr>
                <w:sz w:val="20"/>
                <w:szCs w:val="20"/>
              </w:rPr>
              <w:t xml:space="preserve"> </w:t>
            </w:r>
            <w:r w:rsidRPr="006547D7">
              <w:rPr>
                <w:sz w:val="20"/>
                <w:szCs w:val="20"/>
              </w:rPr>
              <w:t>injured</w:t>
            </w:r>
            <w:r w:rsidRPr="006547D7">
              <w:rPr>
                <w:sz w:val="20"/>
                <w:szCs w:val="20"/>
              </w:rPr>
              <w:t xml:space="preserve"> </w:t>
            </w:r>
            <w:r w:rsidRPr="006547D7">
              <w:rPr>
                <w:sz w:val="20"/>
                <w:szCs w:val="20"/>
              </w:rPr>
              <w:t>persons</w:t>
            </w:r>
            <w:r w:rsidRPr="006547D7">
              <w:rPr>
                <w:sz w:val="20"/>
                <w:szCs w:val="20"/>
              </w:rPr>
              <w:t xml:space="preserve"> </w:t>
            </w:r>
            <w:r w:rsidRPr="006547D7">
              <w:rPr>
                <w:sz w:val="20"/>
                <w:szCs w:val="20"/>
              </w:rPr>
              <w:t>among</w:t>
            </w:r>
            <w:r w:rsidRPr="006547D7">
              <w:rPr>
                <w:sz w:val="20"/>
                <w:szCs w:val="20"/>
              </w:rPr>
              <w:t xml:space="preserve"> </w:t>
            </w:r>
            <w:r w:rsidRPr="006547D7">
              <w:rPr>
                <w:sz w:val="20"/>
                <w:szCs w:val="20"/>
              </w:rPr>
              <w:t>level</w:t>
            </w:r>
            <w:r w:rsidRPr="006547D7">
              <w:rPr>
                <w:sz w:val="20"/>
                <w:szCs w:val="20"/>
              </w:rPr>
              <w:t xml:space="preserve"> </w:t>
            </w:r>
            <w:r w:rsidRPr="006547D7">
              <w:rPr>
                <w:sz w:val="20"/>
                <w:szCs w:val="20"/>
              </w:rPr>
              <w:t>crossing</w:t>
            </w:r>
            <w:r w:rsidRPr="006547D7">
              <w:rPr>
                <w:sz w:val="20"/>
                <w:szCs w:val="20"/>
              </w:rPr>
              <w:t xml:space="preserve"> </w:t>
            </w:r>
            <w:r w:rsidRPr="006547D7">
              <w:rPr>
                <w:sz w:val="20"/>
                <w:szCs w:val="20"/>
              </w:rPr>
              <w:t>users</w:t>
            </w:r>
            <w:r w:rsidRPr="006547D7">
              <w:rPr>
                <w:sz w:val="20"/>
                <w:szCs w:val="20"/>
              </w:rPr>
              <w:t xml:space="preserve"> in </w:t>
            </w:r>
            <w:r w:rsidRPr="006547D7">
              <w:rPr>
                <w:sz w:val="20"/>
                <w:szCs w:val="20"/>
              </w:rPr>
              <w:t>accidents</w:t>
            </w:r>
            <w:r w:rsidRPr="006547D7">
              <w:rPr>
                <w:sz w:val="20"/>
                <w:szCs w:val="20"/>
              </w:rPr>
              <w:t xml:space="preserve"> at </w:t>
            </w:r>
            <w:r w:rsidRPr="006547D7">
              <w:rPr>
                <w:sz w:val="20"/>
                <w:szCs w:val="20"/>
              </w:rPr>
              <w:t>level</w:t>
            </w:r>
            <w:r w:rsidRPr="006547D7">
              <w:rPr>
                <w:sz w:val="20"/>
                <w:szCs w:val="20"/>
              </w:rPr>
              <w:t xml:space="preserve"> </w:t>
            </w:r>
            <w:r w:rsidRPr="006547D7">
              <w:rPr>
                <w:sz w:val="20"/>
                <w:szCs w:val="20"/>
              </w:rPr>
              <w:t>crossings</w:t>
            </w:r>
          </w:p>
        </w:tc>
      </w:tr>
      <w:tr w14:paraId="1C69D4D1" w14:textId="77777777" w:rsidTr="00362CDF">
        <w:tblPrEx>
          <w:tblW w:w="5000" w:type="pct"/>
          <w:tblLook w:val="04A0"/>
        </w:tblPrEx>
        <w:tc>
          <w:tcPr>
            <w:tcW w:w="2500" w:type="pct"/>
            <w:shd w:val="clear" w:color="auto" w:fill="auto"/>
          </w:tcPr>
          <w:p w:rsidR="00932230" w:rsidRPr="006547D7" w:rsidP="00A73D45" w14:paraId="76249F68" w14:textId="77777777">
            <w:pPr>
              <w:rPr>
                <w:sz w:val="20"/>
                <w:szCs w:val="20"/>
              </w:rPr>
            </w:pPr>
            <w:r w:rsidRPr="006547D7">
              <w:rPr>
                <w:sz w:val="20"/>
                <w:szCs w:val="20"/>
              </w:rPr>
              <w:t>Število hudo poškodovanih v vseh nesrečah</w:t>
            </w:r>
          </w:p>
        </w:tc>
        <w:tc>
          <w:tcPr>
            <w:tcW w:w="2500" w:type="pct"/>
          </w:tcPr>
          <w:p w:rsidR="00932230" w:rsidRPr="006547D7" w:rsidP="00543009" w14:paraId="76044221" w14:textId="77777777">
            <w:pPr>
              <w:rPr>
                <w:sz w:val="20"/>
                <w:szCs w:val="20"/>
              </w:rPr>
            </w:pPr>
            <w:r w:rsidRPr="006547D7">
              <w:rPr>
                <w:sz w:val="20"/>
                <w:szCs w:val="20"/>
              </w:rPr>
              <w:t>Number</w:t>
            </w:r>
            <w:r w:rsidRPr="006547D7">
              <w:rPr>
                <w:sz w:val="20"/>
                <w:szCs w:val="20"/>
              </w:rPr>
              <w:t xml:space="preserve"> </w:t>
            </w:r>
            <w:r w:rsidRPr="006547D7">
              <w:rPr>
                <w:sz w:val="20"/>
                <w:szCs w:val="20"/>
              </w:rPr>
              <w:t>of</w:t>
            </w:r>
            <w:r w:rsidRPr="006547D7">
              <w:rPr>
                <w:sz w:val="20"/>
                <w:szCs w:val="20"/>
              </w:rPr>
              <w:t xml:space="preserve"> </w:t>
            </w:r>
            <w:r w:rsidRPr="006547D7">
              <w:rPr>
                <w:sz w:val="20"/>
                <w:szCs w:val="20"/>
              </w:rPr>
              <w:t>seriously</w:t>
            </w:r>
            <w:r w:rsidRPr="006547D7">
              <w:rPr>
                <w:sz w:val="20"/>
                <w:szCs w:val="20"/>
              </w:rPr>
              <w:t xml:space="preserve"> </w:t>
            </w:r>
            <w:r w:rsidRPr="006547D7">
              <w:rPr>
                <w:sz w:val="20"/>
                <w:szCs w:val="20"/>
              </w:rPr>
              <w:t>injured</w:t>
            </w:r>
            <w:r w:rsidRPr="006547D7">
              <w:rPr>
                <w:sz w:val="20"/>
                <w:szCs w:val="20"/>
              </w:rPr>
              <w:t xml:space="preserve"> </w:t>
            </w:r>
            <w:r w:rsidRPr="006547D7">
              <w:rPr>
                <w:sz w:val="20"/>
                <w:szCs w:val="20"/>
              </w:rPr>
              <w:t>persons</w:t>
            </w:r>
            <w:r w:rsidRPr="006547D7">
              <w:rPr>
                <w:sz w:val="20"/>
                <w:szCs w:val="20"/>
              </w:rPr>
              <w:t xml:space="preserve"> in </w:t>
            </w:r>
            <w:r w:rsidRPr="006547D7">
              <w:rPr>
                <w:sz w:val="20"/>
                <w:szCs w:val="20"/>
              </w:rPr>
              <w:t>all</w:t>
            </w:r>
            <w:r w:rsidRPr="006547D7">
              <w:rPr>
                <w:sz w:val="20"/>
                <w:szCs w:val="20"/>
              </w:rPr>
              <w:t xml:space="preserve"> </w:t>
            </w:r>
            <w:r w:rsidRPr="006547D7">
              <w:rPr>
                <w:sz w:val="20"/>
                <w:szCs w:val="20"/>
              </w:rPr>
              <w:t>accidents</w:t>
            </w:r>
          </w:p>
        </w:tc>
      </w:tr>
    </w:tbl>
    <w:p w:rsidR="00932230" w:rsidRPr="006547D7" w:rsidP="00982B06" w14:paraId="23160DE6" w14:textId="77777777">
      <w:pPr>
        <w:jc w:val="center"/>
        <w:rPr>
          <w:lang w:val="sl-SI"/>
        </w:rPr>
      </w:pPr>
    </w:p>
    <w:p w:rsidR="00820386" w:rsidRPr="006547D7" w:rsidP="00820386" w14:paraId="201FFE55" w14:textId="77777777">
      <w:pPr>
        <w:jc w:val="both"/>
      </w:pPr>
      <w:r w:rsidRPr="006547D7">
        <w:t xml:space="preserve">An analysis of recent trends needs to pay special attention to accidents at level crossings, where 43 accidents have occurred in the last five years – an average of 8.6 accidents per year. Particularly worrying is the fact that level crossing users are prevalent in terms of fatalities and serious injuries. In the last five years, level crossing users thus accounted for the majority of fatalities in railway accidents. Out of the total 19 railway accident fatalities, no less than 18 fatalities were level crossing users.  Similarly, out of the </w:t>
      </w:r>
      <w:r w:rsidRPr="006547D7">
        <w:t>total of 38</w:t>
      </w:r>
      <w:r w:rsidRPr="006547D7">
        <w:t> people who were seriously injured in railway accidents over the last five years, 34 were level crossing users.</w:t>
      </w:r>
    </w:p>
    <w:p w:rsidR="002D6F48" w:rsidRPr="006547D7" w:rsidP="00820386" w14:paraId="066CCB30" w14:textId="77777777">
      <w:pPr>
        <w:jc w:val="both"/>
      </w:pPr>
    </w:p>
    <w:p w:rsidR="00820386" w:rsidRPr="006547D7" w:rsidP="00820386" w14:paraId="16BBAEC8" w14:textId="77777777">
      <w:pPr>
        <w:pStyle w:val="Heading3"/>
      </w:pPr>
      <w:r w:rsidRPr="006547D7">
        <w:t>Hazardous substances</w:t>
      </w:r>
    </w:p>
    <w:p w:rsidR="00820386" w:rsidRPr="006547D7" w:rsidP="00820386" w14:paraId="392CE6EE" w14:textId="77777777"/>
    <w:p w:rsidR="00820386" w:rsidRPr="006547D7" w:rsidP="00820386" w14:paraId="0AA3FBC0" w14:textId="77777777">
      <w:r w:rsidRPr="006547D7">
        <w:t xml:space="preserve">No serious accidents involving hazardous substances </w:t>
      </w:r>
      <w:r w:rsidRPr="006547D7">
        <w:t>were reported</w:t>
      </w:r>
      <w:r w:rsidRPr="006547D7">
        <w:t xml:space="preserve"> in 2017.</w:t>
      </w:r>
    </w:p>
    <w:p w:rsidR="002D6F48" w:rsidRPr="006547D7" w:rsidP="00820386" w14:paraId="4FFDAC92" w14:textId="77777777"/>
    <w:p w:rsidR="00820386" w:rsidRPr="006547D7" w:rsidP="00820386" w14:paraId="51D2433E" w14:textId="77777777">
      <w:pPr>
        <w:pStyle w:val="Heading3"/>
      </w:pPr>
      <w:r w:rsidRPr="006547D7">
        <w:t>Suicides</w:t>
      </w:r>
    </w:p>
    <w:p w:rsidR="00820386" w:rsidRPr="006547D7" w:rsidP="00820386" w14:paraId="0A6A7213" w14:textId="77777777"/>
    <w:p w:rsidR="00820386" w:rsidRPr="006547D7" w:rsidP="00820386" w14:paraId="30A7007F" w14:textId="77777777">
      <w:r w:rsidRPr="006547D7">
        <w:t xml:space="preserve">The number of suicides decreased to 15 in 2017, whereas the year before there were 26. That is the second lowest figure in the last five years. </w:t>
      </w:r>
    </w:p>
    <w:p w:rsidR="004603AB" w:rsidRPr="006547D7" w:rsidP="00982B06" w14:paraId="11CAC774" w14:textId="77777777">
      <w:pPr>
        <w:jc w:val="center"/>
      </w:pPr>
    </w:p>
    <w:p w:rsidR="004603AB" w:rsidRPr="006547D7" w:rsidP="00982B06" w14:paraId="2B527346" w14:textId="77777777">
      <w:pPr>
        <w:jc w:val="center"/>
      </w:pPr>
      <w:r w:rsidRPr="006547D7">
        <w:rPr>
          <w:noProof/>
          <w:lang w:val="en-US" w:eastAsia="zh-CN" w:bidi="mn-Mong-CN"/>
        </w:rPr>
        <w:drawing>
          <wp:inline distT="0" distB="0" distL="0" distR="0">
            <wp:extent cx="4853517" cy="2743200"/>
            <wp:effectExtent l="0" t="0" r="4445" b="0"/>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603AB" w:rsidRPr="006547D7" w:rsidP="004603AB" w14:paraId="151D1EDF" w14:textId="77777777">
      <w:pPr>
        <w:jc w:val="center"/>
        <w:rPr>
          <w:color w:val="595959" w:themeColor="text1" w:themeTint="A6"/>
          <w:kern w:val="20"/>
          <w:sz w:val="20"/>
          <w:szCs w:val="20"/>
        </w:rPr>
      </w:pPr>
      <w:r w:rsidRPr="006547D7">
        <w:rPr>
          <w:color w:val="595959" w:themeColor="text1" w:themeTint="A6"/>
          <w:kern w:val="20"/>
          <w:sz w:val="20"/>
        </w:rPr>
        <w:t>Figure 6: Number of railway suicides in 2007–2017.</w:t>
      </w:r>
    </w:p>
    <w:p w:rsidR="002D6F48" w:rsidRPr="006547D7" w:rsidP="004603AB" w14:paraId="19360DB5" w14:textId="77777777">
      <w:pPr>
        <w:jc w:val="center"/>
      </w:pPr>
    </w:p>
    <w:p w:rsidR="00820386" w:rsidRPr="006547D7" w:rsidP="00820386" w14:paraId="49B8912D" w14:textId="77777777">
      <w:pPr>
        <w:pStyle w:val="Heading3"/>
      </w:pPr>
      <w:r w:rsidRPr="006547D7">
        <w:t>Accident precursors</w:t>
      </w:r>
    </w:p>
    <w:p w:rsidR="00F858C0" w:rsidRPr="006547D7" w:rsidP="00820386" w14:paraId="48A63C92" w14:textId="77777777">
      <w:pPr>
        <w:jc w:val="both"/>
      </w:pPr>
    </w:p>
    <w:p w:rsidR="00820386" w:rsidRPr="006547D7" w:rsidP="00820386" w14:paraId="2C6E82FC" w14:textId="77777777">
      <w:pPr>
        <w:jc w:val="both"/>
      </w:pPr>
      <w:r w:rsidRPr="006547D7">
        <w:t xml:space="preserve">The total number of accident precursors rose to 148 in 2017, reaching its highest point in the last five years. The year before there were 125 accident precursors. The number of broken rails slightly decreased, while the number of track deformations, signals passed at danger (SPADs) and broken wheels on vehicles increased. </w:t>
      </w:r>
    </w:p>
    <w:p w:rsidR="004603AB" w:rsidRPr="006547D7" w:rsidP="00362CDF" w14:paraId="26A3BE23" w14:textId="77777777">
      <w:pPr>
        <w:spacing w:after="0"/>
        <w:jc w:val="center"/>
      </w:pPr>
    </w:p>
    <w:tbl>
      <w:tblPr>
        <w:tblStyle w:val="Svetelseznampoudarek11"/>
        <w:tblpPr w:leftFromText="141" w:rightFromText="141" w:vertAnchor="text" w:tblpY="187"/>
        <w:tblW w:w="9052" w:type="dxa"/>
        <w:tblLook w:val="04A0"/>
      </w:tblPr>
      <w:tblGrid>
        <w:gridCol w:w="4420"/>
        <w:gridCol w:w="960"/>
        <w:gridCol w:w="960"/>
        <w:gridCol w:w="960"/>
        <w:gridCol w:w="960"/>
        <w:gridCol w:w="792"/>
      </w:tblGrid>
      <w:tr w14:paraId="2E429639" w14:textId="77777777" w:rsidTr="001B5919">
        <w:tblPrEx>
          <w:tblW w:w="9052" w:type="dxa"/>
          <w:tblLook w:val="04A0"/>
        </w:tblPrEx>
        <w:trPr>
          <w:trHeight w:val="300"/>
        </w:trPr>
        <w:tc>
          <w:tcPr>
            <w:tcW w:w="4420" w:type="dxa"/>
            <w:noWrap/>
            <w:hideMark/>
          </w:tcPr>
          <w:p w:rsidR="004603AB" w:rsidRPr="006547D7" w:rsidP="00E05C12" w14:paraId="72C20E37" w14:textId="77777777">
            <w:pPr>
              <w:rPr>
                <w:rFonts w:ascii="Times New Roman" w:eastAsia="Times New Roman" w:hAnsi="Times New Roman" w:cs="Times New Roman"/>
                <w:color w:val="auto"/>
                <w:sz w:val="24"/>
                <w:szCs w:val="24"/>
              </w:rPr>
            </w:pPr>
          </w:p>
        </w:tc>
        <w:tc>
          <w:tcPr>
            <w:tcW w:w="960" w:type="dxa"/>
            <w:noWrap/>
            <w:hideMark/>
          </w:tcPr>
          <w:p w:rsidR="004603AB" w:rsidRPr="006547D7" w:rsidP="002E439B" w14:paraId="19A85B74" w14:textId="77777777">
            <w:pPr>
              <w:pageBreakBefore/>
              <w:jc w:val="right"/>
              <w:rPr>
                <w:rFonts w:ascii="Calibri" w:eastAsia="Times New Roman" w:hAnsi="Calibri" w:cs="Times New Roman"/>
                <w:color w:val="000000"/>
                <w:sz w:val="22"/>
                <w:szCs w:val="22"/>
              </w:rPr>
            </w:pPr>
            <w:r w:rsidRPr="006547D7">
              <w:rPr>
                <w:rFonts w:ascii="Calibri" w:hAnsi="Calibri"/>
                <w:color w:val="000000"/>
                <w:sz w:val="22"/>
              </w:rPr>
              <w:t>2013</w:t>
            </w:r>
          </w:p>
        </w:tc>
        <w:tc>
          <w:tcPr>
            <w:tcW w:w="960" w:type="dxa"/>
            <w:noWrap/>
            <w:hideMark/>
          </w:tcPr>
          <w:p w:rsidR="004603AB" w:rsidRPr="006547D7" w:rsidP="00E05C12" w14:paraId="6AC93433" w14:textId="77777777">
            <w:pPr>
              <w:jc w:val="right"/>
              <w:rPr>
                <w:rFonts w:ascii="Calibri" w:eastAsia="Times New Roman" w:hAnsi="Calibri" w:cs="Times New Roman"/>
                <w:color w:val="000000"/>
                <w:sz w:val="22"/>
                <w:szCs w:val="22"/>
              </w:rPr>
            </w:pPr>
            <w:r w:rsidRPr="006547D7">
              <w:rPr>
                <w:rFonts w:ascii="Calibri" w:hAnsi="Calibri"/>
                <w:color w:val="000000"/>
                <w:sz w:val="22"/>
              </w:rPr>
              <w:t>2014</w:t>
            </w:r>
          </w:p>
        </w:tc>
        <w:tc>
          <w:tcPr>
            <w:tcW w:w="960" w:type="dxa"/>
            <w:noWrap/>
            <w:hideMark/>
          </w:tcPr>
          <w:p w:rsidR="004603AB" w:rsidRPr="006547D7" w:rsidP="00E05C12" w14:paraId="43E4782C" w14:textId="77777777">
            <w:pPr>
              <w:jc w:val="right"/>
              <w:rPr>
                <w:rFonts w:ascii="Calibri" w:eastAsia="Times New Roman" w:hAnsi="Calibri" w:cs="Times New Roman"/>
                <w:color w:val="000000"/>
                <w:sz w:val="22"/>
                <w:szCs w:val="22"/>
              </w:rPr>
            </w:pPr>
            <w:r w:rsidRPr="006547D7">
              <w:rPr>
                <w:rFonts w:ascii="Calibri" w:hAnsi="Calibri"/>
                <w:color w:val="000000"/>
                <w:sz w:val="22"/>
              </w:rPr>
              <w:t>2015</w:t>
            </w:r>
          </w:p>
        </w:tc>
        <w:tc>
          <w:tcPr>
            <w:tcW w:w="960" w:type="dxa"/>
            <w:noWrap/>
            <w:hideMark/>
          </w:tcPr>
          <w:p w:rsidR="004603AB" w:rsidRPr="006547D7" w:rsidP="00E05C12" w14:paraId="2EE2FC56" w14:textId="77777777">
            <w:pPr>
              <w:jc w:val="right"/>
              <w:rPr>
                <w:rFonts w:ascii="Calibri" w:eastAsia="Times New Roman" w:hAnsi="Calibri" w:cs="Times New Roman"/>
                <w:color w:val="000000"/>
                <w:sz w:val="22"/>
                <w:szCs w:val="22"/>
              </w:rPr>
            </w:pPr>
            <w:r w:rsidRPr="006547D7">
              <w:rPr>
                <w:rFonts w:ascii="Calibri" w:hAnsi="Calibri"/>
                <w:color w:val="000000"/>
                <w:sz w:val="22"/>
              </w:rPr>
              <w:t>2016</w:t>
            </w:r>
          </w:p>
        </w:tc>
        <w:tc>
          <w:tcPr>
            <w:tcW w:w="792" w:type="dxa"/>
          </w:tcPr>
          <w:p w:rsidR="004603AB" w:rsidRPr="006547D7" w:rsidP="00E05C12" w14:paraId="54F74C9A" w14:textId="77777777">
            <w:pPr>
              <w:jc w:val="right"/>
              <w:rPr>
                <w:rFonts w:ascii="Calibri" w:eastAsia="Times New Roman" w:hAnsi="Calibri" w:cs="Times New Roman"/>
                <w:color w:val="000000"/>
                <w:sz w:val="22"/>
                <w:szCs w:val="22"/>
              </w:rPr>
            </w:pPr>
            <w:r w:rsidRPr="006547D7">
              <w:rPr>
                <w:rFonts w:ascii="Calibri" w:hAnsi="Calibri"/>
                <w:color w:val="000000"/>
                <w:sz w:val="22"/>
              </w:rPr>
              <w:t>2017</w:t>
            </w:r>
          </w:p>
        </w:tc>
      </w:tr>
      <w:tr w14:paraId="6F94A320" w14:textId="77777777" w:rsidTr="001B5919">
        <w:tblPrEx>
          <w:tblW w:w="9052" w:type="dxa"/>
          <w:tblLook w:val="04A0"/>
        </w:tblPrEx>
        <w:trPr>
          <w:trHeight w:val="300"/>
        </w:trPr>
        <w:tc>
          <w:tcPr>
            <w:tcW w:w="4420" w:type="dxa"/>
            <w:noWrap/>
            <w:hideMark/>
          </w:tcPr>
          <w:p w:rsidR="004603AB" w:rsidRPr="006547D7" w:rsidP="004603AB" w14:paraId="4B89E039" w14:textId="77777777">
            <w:pPr>
              <w:spacing w:before="0"/>
              <w:rPr>
                <w:rFonts w:ascii="Calibri" w:eastAsia="Times New Roman" w:hAnsi="Calibri" w:cs="Times New Roman"/>
                <w:color w:val="000000"/>
                <w:sz w:val="22"/>
                <w:szCs w:val="22"/>
              </w:rPr>
            </w:pPr>
            <w:r w:rsidRPr="006547D7">
              <w:rPr>
                <w:rFonts w:ascii="Calibri" w:hAnsi="Calibri"/>
                <w:color w:val="000000"/>
                <w:sz w:val="22"/>
              </w:rPr>
              <w:t>Total number of accident precursors</w:t>
            </w:r>
          </w:p>
        </w:tc>
        <w:tc>
          <w:tcPr>
            <w:tcW w:w="960" w:type="dxa"/>
            <w:noWrap/>
            <w:hideMark/>
          </w:tcPr>
          <w:p w:rsidR="004603AB" w:rsidRPr="006547D7" w:rsidP="004603AB" w14:paraId="036BCA8B"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100</w:t>
            </w:r>
          </w:p>
        </w:tc>
        <w:tc>
          <w:tcPr>
            <w:tcW w:w="960" w:type="dxa"/>
            <w:noWrap/>
            <w:hideMark/>
          </w:tcPr>
          <w:p w:rsidR="004603AB" w:rsidRPr="006547D7" w:rsidP="004603AB" w14:paraId="5945F62F"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81</w:t>
            </w:r>
          </w:p>
        </w:tc>
        <w:tc>
          <w:tcPr>
            <w:tcW w:w="960" w:type="dxa"/>
            <w:noWrap/>
            <w:hideMark/>
          </w:tcPr>
          <w:p w:rsidR="004603AB" w:rsidRPr="006547D7" w:rsidP="004603AB" w14:paraId="6C02520C"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142</w:t>
            </w:r>
          </w:p>
        </w:tc>
        <w:tc>
          <w:tcPr>
            <w:tcW w:w="960" w:type="dxa"/>
            <w:noWrap/>
            <w:hideMark/>
          </w:tcPr>
          <w:p w:rsidR="004603AB" w:rsidRPr="006547D7" w:rsidP="004603AB" w14:paraId="3012828F"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125</w:t>
            </w:r>
          </w:p>
        </w:tc>
        <w:tc>
          <w:tcPr>
            <w:tcW w:w="792" w:type="dxa"/>
            <w:vAlign w:val="bottom"/>
          </w:tcPr>
          <w:p w:rsidR="004603AB" w:rsidRPr="006547D7" w:rsidP="004603AB" w14:paraId="51276683"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148</w:t>
            </w:r>
          </w:p>
        </w:tc>
      </w:tr>
      <w:tr w14:paraId="06EF6477" w14:textId="77777777" w:rsidTr="001B5919">
        <w:tblPrEx>
          <w:tblW w:w="9052" w:type="dxa"/>
          <w:tblLook w:val="04A0"/>
        </w:tblPrEx>
        <w:trPr>
          <w:trHeight w:val="300"/>
        </w:trPr>
        <w:tc>
          <w:tcPr>
            <w:tcW w:w="4420" w:type="dxa"/>
            <w:noWrap/>
            <w:hideMark/>
          </w:tcPr>
          <w:p w:rsidR="004603AB" w:rsidRPr="006547D7" w:rsidP="004603AB" w14:paraId="34430646" w14:textId="77777777">
            <w:pPr>
              <w:spacing w:before="0"/>
              <w:rPr>
                <w:rFonts w:ascii="Calibri" w:eastAsia="Times New Roman" w:hAnsi="Calibri" w:cs="Times New Roman"/>
                <w:color w:val="000000"/>
                <w:sz w:val="22"/>
                <w:szCs w:val="22"/>
              </w:rPr>
            </w:pPr>
            <w:r w:rsidRPr="006547D7">
              <w:rPr>
                <w:rFonts w:ascii="Calibri" w:hAnsi="Calibri"/>
                <w:color w:val="000000"/>
                <w:sz w:val="22"/>
              </w:rPr>
              <w:t>Broken rails</w:t>
            </w:r>
          </w:p>
        </w:tc>
        <w:tc>
          <w:tcPr>
            <w:tcW w:w="960" w:type="dxa"/>
            <w:noWrap/>
            <w:hideMark/>
          </w:tcPr>
          <w:p w:rsidR="004603AB" w:rsidRPr="006547D7" w:rsidP="004603AB" w14:paraId="0A548AD1"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72</w:t>
            </w:r>
          </w:p>
        </w:tc>
        <w:tc>
          <w:tcPr>
            <w:tcW w:w="960" w:type="dxa"/>
            <w:noWrap/>
            <w:hideMark/>
          </w:tcPr>
          <w:p w:rsidR="004603AB" w:rsidRPr="006547D7" w:rsidP="004603AB" w14:paraId="685E302A"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61</w:t>
            </w:r>
          </w:p>
        </w:tc>
        <w:tc>
          <w:tcPr>
            <w:tcW w:w="960" w:type="dxa"/>
            <w:noWrap/>
            <w:hideMark/>
          </w:tcPr>
          <w:p w:rsidR="004603AB" w:rsidRPr="006547D7" w:rsidP="004603AB" w14:paraId="006ABCF6"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85</w:t>
            </w:r>
          </w:p>
        </w:tc>
        <w:tc>
          <w:tcPr>
            <w:tcW w:w="960" w:type="dxa"/>
            <w:noWrap/>
            <w:hideMark/>
          </w:tcPr>
          <w:p w:rsidR="004603AB" w:rsidRPr="006547D7" w:rsidP="004603AB" w14:paraId="19DFECF5"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116</w:t>
            </w:r>
          </w:p>
        </w:tc>
        <w:tc>
          <w:tcPr>
            <w:tcW w:w="792" w:type="dxa"/>
            <w:vAlign w:val="bottom"/>
          </w:tcPr>
          <w:p w:rsidR="004603AB" w:rsidRPr="006547D7" w:rsidP="004603AB" w14:paraId="3E922056"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113</w:t>
            </w:r>
          </w:p>
        </w:tc>
      </w:tr>
      <w:tr w14:paraId="03105DE0" w14:textId="77777777" w:rsidTr="001B5919">
        <w:tblPrEx>
          <w:tblW w:w="9052" w:type="dxa"/>
          <w:tblLook w:val="04A0"/>
        </w:tblPrEx>
        <w:trPr>
          <w:trHeight w:val="300"/>
        </w:trPr>
        <w:tc>
          <w:tcPr>
            <w:tcW w:w="4420" w:type="dxa"/>
            <w:noWrap/>
            <w:hideMark/>
          </w:tcPr>
          <w:p w:rsidR="004603AB" w:rsidRPr="006547D7" w:rsidP="004603AB" w14:paraId="28EDE387" w14:textId="77777777">
            <w:pPr>
              <w:spacing w:before="0"/>
              <w:rPr>
                <w:rFonts w:ascii="Calibri" w:eastAsia="Times New Roman" w:hAnsi="Calibri" w:cs="Times New Roman"/>
                <w:color w:val="000000"/>
                <w:sz w:val="22"/>
                <w:szCs w:val="22"/>
              </w:rPr>
            </w:pPr>
            <w:r w:rsidRPr="006547D7">
              <w:rPr>
                <w:rFonts w:ascii="Calibri" w:hAnsi="Calibri"/>
                <w:color w:val="000000"/>
                <w:sz w:val="22"/>
              </w:rPr>
              <w:t>Track deformations</w:t>
            </w:r>
          </w:p>
        </w:tc>
        <w:tc>
          <w:tcPr>
            <w:tcW w:w="960" w:type="dxa"/>
            <w:noWrap/>
            <w:hideMark/>
          </w:tcPr>
          <w:p w:rsidR="004603AB" w:rsidRPr="006547D7" w:rsidP="004603AB" w14:paraId="493E71A8"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28</w:t>
            </w:r>
          </w:p>
        </w:tc>
        <w:tc>
          <w:tcPr>
            <w:tcW w:w="960" w:type="dxa"/>
            <w:noWrap/>
            <w:hideMark/>
          </w:tcPr>
          <w:p w:rsidR="004603AB" w:rsidRPr="006547D7" w:rsidP="004603AB" w14:paraId="7B9B1C09"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12</w:t>
            </w:r>
          </w:p>
        </w:tc>
        <w:tc>
          <w:tcPr>
            <w:tcW w:w="960" w:type="dxa"/>
            <w:noWrap/>
            <w:hideMark/>
          </w:tcPr>
          <w:p w:rsidR="004603AB" w:rsidRPr="006547D7" w:rsidP="004603AB" w14:paraId="088F7597"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50</w:t>
            </w:r>
          </w:p>
        </w:tc>
        <w:tc>
          <w:tcPr>
            <w:tcW w:w="960" w:type="dxa"/>
            <w:noWrap/>
            <w:hideMark/>
          </w:tcPr>
          <w:p w:rsidR="004603AB" w:rsidRPr="006547D7" w:rsidP="004603AB" w14:paraId="029EE020"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6</w:t>
            </w:r>
          </w:p>
        </w:tc>
        <w:tc>
          <w:tcPr>
            <w:tcW w:w="792" w:type="dxa"/>
            <w:vAlign w:val="bottom"/>
          </w:tcPr>
          <w:p w:rsidR="004603AB" w:rsidRPr="006547D7" w:rsidP="004603AB" w14:paraId="2408DCEE"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25</w:t>
            </w:r>
          </w:p>
        </w:tc>
      </w:tr>
      <w:tr w14:paraId="026C1B3C" w14:textId="77777777" w:rsidTr="001B5919">
        <w:tblPrEx>
          <w:tblW w:w="9052" w:type="dxa"/>
          <w:tblLook w:val="04A0"/>
        </w:tblPrEx>
        <w:trPr>
          <w:trHeight w:val="300"/>
        </w:trPr>
        <w:tc>
          <w:tcPr>
            <w:tcW w:w="4420" w:type="dxa"/>
            <w:noWrap/>
            <w:hideMark/>
          </w:tcPr>
          <w:p w:rsidR="004603AB" w:rsidRPr="006547D7" w:rsidP="004603AB" w14:paraId="25EE0277" w14:textId="77777777">
            <w:pPr>
              <w:spacing w:before="0"/>
              <w:rPr>
                <w:rFonts w:ascii="Calibri" w:eastAsia="Times New Roman" w:hAnsi="Calibri" w:cs="Times New Roman"/>
                <w:color w:val="000000"/>
                <w:sz w:val="22"/>
                <w:szCs w:val="22"/>
              </w:rPr>
            </w:pPr>
            <w:r w:rsidRPr="006547D7">
              <w:rPr>
                <w:rFonts w:ascii="Calibri" w:hAnsi="Calibri"/>
                <w:color w:val="000000"/>
                <w:sz w:val="22"/>
              </w:rPr>
              <w:t>Wrong signalisation by signalling markers</w:t>
            </w:r>
          </w:p>
        </w:tc>
        <w:tc>
          <w:tcPr>
            <w:tcW w:w="960" w:type="dxa"/>
            <w:noWrap/>
            <w:hideMark/>
          </w:tcPr>
          <w:p w:rsidR="004603AB" w:rsidRPr="006547D7" w:rsidP="004603AB" w14:paraId="36E14987"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0</w:t>
            </w:r>
          </w:p>
        </w:tc>
        <w:tc>
          <w:tcPr>
            <w:tcW w:w="960" w:type="dxa"/>
            <w:noWrap/>
            <w:hideMark/>
          </w:tcPr>
          <w:p w:rsidR="004603AB" w:rsidRPr="006547D7" w:rsidP="004603AB" w14:paraId="7BCE96A8"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0</w:t>
            </w:r>
          </w:p>
        </w:tc>
        <w:tc>
          <w:tcPr>
            <w:tcW w:w="960" w:type="dxa"/>
            <w:noWrap/>
            <w:hideMark/>
          </w:tcPr>
          <w:p w:rsidR="004603AB" w:rsidRPr="006547D7" w:rsidP="004603AB" w14:paraId="3F76AA56"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0</w:t>
            </w:r>
          </w:p>
        </w:tc>
        <w:tc>
          <w:tcPr>
            <w:tcW w:w="960" w:type="dxa"/>
            <w:noWrap/>
            <w:hideMark/>
          </w:tcPr>
          <w:p w:rsidR="004603AB" w:rsidRPr="006547D7" w:rsidP="004603AB" w14:paraId="46717018"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0</w:t>
            </w:r>
          </w:p>
        </w:tc>
        <w:tc>
          <w:tcPr>
            <w:tcW w:w="792" w:type="dxa"/>
            <w:vAlign w:val="bottom"/>
          </w:tcPr>
          <w:p w:rsidR="004603AB" w:rsidRPr="006547D7" w:rsidP="004603AB" w14:paraId="08E6342B"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0</w:t>
            </w:r>
          </w:p>
        </w:tc>
      </w:tr>
      <w:tr w14:paraId="05C41373" w14:textId="77777777" w:rsidTr="001B5919">
        <w:tblPrEx>
          <w:tblW w:w="9052" w:type="dxa"/>
          <w:tblLook w:val="04A0"/>
        </w:tblPrEx>
        <w:trPr>
          <w:trHeight w:val="300"/>
        </w:trPr>
        <w:tc>
          <w:tcPr>
            <w:tcW w:w="4420" w:type="dxa"/>
            <w:noWrap/>
            <w:hideMark/>
          </w:tcPr>
          <w:p w:rsidR="004603AB" w:rsidRPr="006547D7" w:rsidP="004603AB" w14:paraId="085D7676" w14:textId="77777777">
            <w:pPr>
              <w:spacing w:before="0"/>
              <w:rPr>
                <w:rFonts w:ascii="Calibri" w:eastAsia="Times New Roman" w:hAnsi="Calibri" w:cs="Times New Roman"/>
                <w:color w:val="000000"/>
                <w:sz w:val="22"/>
                <w:szCs w:val="22"/>
              </w:rPr>
            </w:pPr>
            <w:r w:rsidRPr="006547D7">
              <w:rPr>
                <w:rFonts w:ascii="Calibri" w:hAnsi="Calibri"/>
                <w:color w:val="000000"/>
                <w:sz w:val="22"/>
              </w:rPr>
              <w:t>SPADs</w:t>
            </w:r>
          </w:p>
        </w:tc>
        <w:tc>
          <w:tcPr>
            <w:tcW w:w="960" w:type="dxa"/>
            <w:noWrap/>
            <w:hideMark/>
          </w:tcPr>
          <w:p w:rsidR="004603AB" w:rsidRPr="006547D7" w:rsidP="004603AB" w14:paraId="0496400D"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0</w:t>
            </w:r>
          </w:p>
        </w:tc>
        <w:tc>
          <w:tcPr>
            <w:tcW w:w="960" w:type="dxa"/>
            <w:noWrap/>
            <w:hideMark/>
          </w:tcPr>
          <w:p w:rsidR="004603AB" w:rsidRPr="006547D7" w:rsidP="004603AB" w14:paraId="1323D928"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8</w:t>
            </w:r>
          </w:p>
        </w:tc>
        <w:tc>
          <w:tcPr>
            <w:tcW w:w="960" w:type="dxa"/>
            <w:noWrap/>
            <w:hideMark/>
          </w:tcPr>
          <w:p w:rsidR="004603AB" w:rsidRPr="006547D7" w:rsidP="004603AB" w14:paraId="614E7EB7"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7</w:t>
            </w:r>
          </w:p>
        </w:tc>
        <w:tc>
          <w:tcPr>
            <w:tcW w:w="960" w:type="dxa"/>
            <w:noWrap/>
            <w:hideMark/>
          </w:tcPr>
          <w:p w:rsidR="004603AB" w:rsidRPr="006547D7" w:rsidP="004603AB" w14:paraId="1B602BB8"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3</w:t>
            </w:r>
          </w:p>
        </w:tc>
        <w:tc>
          <w:tcPr>
            <w:tcW w:w="792" w:type="dxa"/>
            <w:vAlign w:val="bottom"/>
          </w:tcPr>
          <w:p w:rsidR="004603AB" w:rsidRPr="006547D7" w:rsidP="004603AB" w14:paraId="5379E146"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9</w:t>
            </w:r>
          </w:p>
        </w:tc>
      </w:tr>
      <w:tr w14:paraId="4B1AB3E9" w14:textId="77777777" w:rsidTr="001B5919">
        <w:tblPrEx>
          <w:tblW w:w="9052" w:type="dxa"/>
          <w:tblLook w:val="04A0"/>
        </w:tblPrEx>
        <w:trPr>
          <w:trHeight w:val="300"/>
        </w:trPr>
        <w:tc>
          <w:tcPr>
            <w:tcW w:w="4420" w:type="dxa"/>
            <w:noWrap/>
            <w:hideMark/>
          </w:tcPr>
          <w:p w:rsidR="004603AB" w:rsidRPr="006547D7" w:rsidP="004603AB" w14:paraId="4E2ACE29" w14:textId="77777777">
            <w:pPr>
              <w:spacing w:before="0"/>
              <w:rPr>
                <w:rFonts w:ascii="Calibri" w:eastAsia="Times New Roman" w:hAnsi="Calibri" w:cs="Times New Roman"/>
                <w:color w:val="000000"/>
                <w:sz w:val="22"/>
                <w:szCs w:val="22"/>
              </w:rPr>
            </w:pPr>
            <w:r w:rsidRPr="006547D7">
              <w:rPr>
                <w:rFonts w:ascii="Calibri" w:hAnsi="Calibri"/>
                <w:color w:val="000000"/>
                <w:sz w:val="22"/>
              </w:rPr>
              <w:t>Broken wheels on vehicles</w:t>
            </w:r>
          </w:p>
        </w:tc>
        <w:tc>
          <w:tcPr>
            <w:tcW w:w="960" w:type="dxa"/>
            <w:noWrap/>
            <w:hideMark/>
          </w:tcPr>
          <w:p w:rsidR="004603AB" w:rsidRPr="006547D7" w:rsidP="004603AB" w14:paraId="5B33DB40"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0</w:t>
            </w:r>
          </w:p>
        </w:tc>
        <w:tc>
          <w:tcPr>
            <w:tcW w:w="960" w:type="dxa"/>
            <w:noWrap/>
            <w:hideMark/>
          </w:tcPr>
          <w:p w:rsidR="004603AB" w:rsidRPr="006547D7" w:rsidP="004603AB" w14:paraId="6F6F16B7"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0</w:t>
            </w:r>
          </w:p>
        </w:tc>
        <w:tc>
          <w:tcPr>
            <w:tcW w:w="960" w:type="dxa"/>
            <w:noWrap/>
            <w:hideMark/>
          </w:tcPr>
          <w:p w:rsidR="004603AB" w:rsidRPr="006547D7" w:rsidP="004603AB" w14:paraId="13C75CF9"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0</w:t>
            </w:r>
          </w:p>
        </w:tc>
        <w:tc>
          <w:tcPr>
            <w:tcW w:w="960" w:type="dxa"/>
            <w:noWrap/>
            <w:hideMark/>
          </w:tcPr>
          <w:p w:rsidR="004603AB" w:rsidRPr="006547D7" w:rsidP="004603AB" w14:paraId="624684E9"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0</w:t>
            </w:r>
          </w:p>
        </w:tc>
        <w:tc>
          <w:tcPr>
            <w:tcW w:w="792" w:type="dxa"/>
            <w:vAlign w:val="bottom"/>
          </w:tcPr>
          <w:p w:rsidR="004603AB" w:rsidRPr="006547D7" w:rsidP="004603AB" w14:paraId="4665D149"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1</w:t>
            </w:r>
          </w:p>
        </w:tc>
      </w:tr>
      <w:tr w14:paraId="2EE58991" w14:textId="77777777" w:rsidTr="001B5919">
        <w:tblPrEx>
          <w:tblW w:w="9052" w:type="dxa"/>
          <w:tblLook w:val="04A0"/>
        </w:tblPrEx>
        <w:trPr>
          <w:trHeight w:val="300"/>
        </w:trPr>
        <w:tc>
          <w:tcPr>
            <w:tcW w:w="4420" w:type="dxa"/>
            <w:noWrap/>
            <w:hideMark/>
          </w:tcPr>
          <w:p w:rsidR="004603AB" w:rsidRPr="006547D7" w:rsidP="004603AB" w14:paraId="5A74DC0B" w14:textId="77777777">
            <w:pPr>
              <w:spacing w:before="0"/>
              <w:rPr>
                <w:rFonts w:ascii="Calibri" w:eastAsia="Times New Roman" w:hAnsi="Calibri" w:cs="Times New Roman"/>
                <w:color w:val="000000"/>
                <w:sz w:val="22"/>
                <w:szCs w:val="22"/>
              </w:rPr>
            </w:pPr>
            <w:r w:rsidRPr="006547D7">
              <w:rPr>
                <w:rFonts w:ascii="Calibri" w:hAnsi="Calibri"/>
                <w:color w:val="000000"/>
                <w:sz w:val="22"/>
              </w:rPr>
              <w:t>Broken axles on vehicles</w:t>
            </w:r>
          </w:p>
        </w:tc>
        <w:tc>
          <w:tcPr>
            <w:tcW w:w="960" w:type="dxa"/>
            <w:noWrap/>
            <w:hideMark/>
          </w:tcPr>
          <w:p w:rsidR="004603AB" w:rsidRPr="006547D7" w:rsidP="004603AB" w14:paraId="502A6923"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0</w:t>
            </w:r>
          </w:p>
        </w:tc>
        <w:tc>
          <w:tcPr>
            <w:tcW w:w="960" w:type="dxa"/>
            <w:noWrap/>
            <w:hideMark/>
          </w:tcPr>
          <w:p w:rsidR="004603AB" w:rsidRPr="006547D7" w:rsidP="004603AB" w14:paraId="06104713"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0</w:t>
            </w:r>
          </w:p>
        </w:tc>
        <w:tc>
          <w:tcPr>
            <w:tcW w:w="960" w:type="dxa"/>
            <w:noWrap/>
            <w:hideMark/>
          </w:tcPr>
          <w:p w:rsidR="004603AB" w:rsidRPr="006547D7" w:rsidP="004603AB" w14:paraId="398351D6"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0</w:t>
            </w:r>
          </w:p>
        </w:tc>
        <w:tc>
          <w:tcPr>
            <w:tcW w:w="960" w:type="dxa"/>
            <w:noWrap/>
            <w:hideMark/>
          </w:tcPr>
          <w:p w:rsidR="004603AB" w:rsidRPr="006547D7" w:rsidP="004603AB" w14:paraId="7DE73F7A"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0</w:t>
            </w:r>
          </w:p>
        </w:tc>
        <w:tc>
          <w:tcPr>
            <w:tcW w:w="792" w:type="dxa"/>
            <w:vAlign w:val="bottom"/>
          </w:tcPr>
          <w:p w:rsidR="004603AB" w:rsidRPr="006547D7" w:rsidP="004603AB" w14:paraId="2B7B2920" w14:textId="77777777">
            <w:pPr>
              <w:spacing w:before="0"/>
              <w:jc w:val="right"/>
              <w:rPr>
                <w:rFonts w:ascii="Calibri" w:eastAsia="Times New Roman" w:hAnsi="Calibri" w:cs="Times New Roman"/>
                <w:color w:val="000000"/>
                <w:sz w:val="22"/>
                <w:szCs w:val="22"/>
              </w:rPr>
            </w:pPr>
            <w:r w:rsidRPr="006547D7">
              <w:rPr>
                <w:rFonts w:ascii="Calibri" w:hAnsi="Calibri"/>
                <w:color w:val="000000"/>
                <w:sz w:val="22"/>
              </w:rPr>
              <w:t>0</w:t>
            </w:r>
          </w:p>
        </w:tc>
      </w:tr>
    </w:tbl>
    <w:p w:rsidR="004603AB" w:rsidRPr="006547D7" w:rsidP="004603AB" w14:paraId="36DB4A75" w14:textId="77777777">
      <w:pPr>
        <w:jc w:val="center"/>
        <w:rPr>
          <w:color w:val="595959" w:themeColor="text1" w:themeTint="A6"/>
          <w:kern w:val="20"/>
          <w:sz w:val="20"/>
          <w:szCs w:val="20"/>
        </w:rPr>
      </w:pPr>
      <w:r w:rsidRPr="006547D7">
        <w:rPr>
          <w:color w:val="595959" w:themeColor="text1" w:themeTint="A6"/>
          <w:kern w:val="20"/>
          <w:sz w:val="20"/>
        </w:rPr>
        <w:t>Table 4: Overview of accident precursors per type in 2013–2017.</w:t>
      </w:r>
    </w:p>
    <w:p w:rsidR="004603AB" w:rsidRPr="006547D7" w:rsidP="00982B06" w14:paraId="15C4289F" w14:textId="77777777">
      <w:pPr>
        <w:jc w:val="center"/>
      </w:pPr>
    </w:p>
    <w:p w:rsidR="004603AB" w:rsidRPr="006547D7" w:rsidP="00982B06" w14:paraId="2157257E" w14:textId="77777777">
      <w:pPr>
        <w:jc w:val="center"/>
      </w:pPr>
    </w:p>
    <w:p w:rsidR="004603AB" w:rsidRPr="006547D7" w:rsidP="00982B06" w14:paraId="2746226D" w14:textId="77777777">
      <w:pPr>
        <w:jc w:val="center"/>
      </w:pPr>
    </w:p>
    <w:p w:rsidR="004603AB" w:rsidRPr="006547D7" w:rsidP="00982B06" w14:paraId="48A3664C" w14:textId="77777777">
      <w:pPr>
        <w:jc w:val="center"/>
      </w:pPr>
    </w:p>
    <w:p w:rsidR="004603AB" w:rsidRPr="006547D7" w:rsidP="00982B06" w14:paraId="3F983C03" w14:textId="77777777">
      <w:pPr>
        <w:jc w:val="center"/>
      </w:pPr>
      <w:r w:rsidRPr="006547D7">
        <w:rPr>
          <w:noProof/>
          <w:lang w:val="en-US" w:eastAsia="zh-CN" w:bidi="mn-Mong-CN"/>
        </w:rPr>
        <w:drawing>
          <wp:inline distT="0" distB="0" distL="0" distR="0">
            <wp:extent cx="4853516" cy="2933700"/>
            <wp:effectExtent l="0" t="0" r="4445" b="0"/>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603AB" w:rsidRPr="006547D7" w:rsidP="004603AB" w14:paraId="4E432717" w14:textId="77777777">
      <w:pPr>
        <w:jc w:val="center"/>
        <w:rPr>
          <w:color w:val="595959" w:themeColor="text1" w:themeTint="A6"/>
          <w:kern w:val="20"/>
          <w:sz w:val="20"/>
          <w:szCs w:val="20"/>
        </w:rPr>
      </w:pPr>
      <w:r w:rsidRPr="006547D7">
        <w:rPr>
          <w:color w:val="595959" w:themeColor="text1" w:themeTint="A6"/>
          <w:kern w:val="20"/>
          <w:sz w:val="20"/>
        </w:rPr>
        <w:t>Figure 7: Total number of accident precursors in 2007–2017.</w:t>
      </w:r>
    </w:p>
    <w:p w:rsidR="00982B06" w:rsidRPr="006547D7" w:rsidP="00454A73" w14:paraId="013F7BB2" w14:textId="77777777"/>
    <w:p w:rsidR="00454A73" w:rsidRPr="006547D7" w:rsidP="00454A73" w14:paraId="7B790313" w14:textId="77777777">
      <w:pPr>
        <w:pStyle w:val="Heading2"/>
      </w:pPr>
      <w:r w:rsidRPr="006547D7">
        <w:t>C.2. Results of safety recommendations</w:t>
      </w:r>
    </w:p>
    <w:p w:rsidR="00215AA7" w:rsidRPr="006547D7" w:rsidP="00215AA7" w14:paraId="6C77DE92" w14:textId="77777777"/>
    <w:p w:rsidR="001E0770" w:rsidRPr="006547D7" w:rsidP="001E0770" w14:paraId="4DA2775B" w14:textId="77777777">
      <w:pPr>
        <w:pStyle w:val="Besedilotabeledecimalno"/>
        <w:rPr>
          <w:color w:val="auto"/>
          <w:sz w:val="22"/>
          <w:szCs w:val="22"/>
        </w:rPr>
      </w:pPr>
      <w:r w:rsidRPr="006547D7">
        <w:rPr>
          <w:color w:val="auto"/>
          <w:sz w:val="22"/>
        </w:rPr>
        <w:t>In 2017, the investigation body for railway accidents and incidents investigated seven accidents, namely:</w:t>
      </w:r>
    </w:p>
    <w:p w:rsidR="001E0770" w:rsidRPr="006547D7" w:rsidP="001E0770" w14:paraId="6CC9C2AF" w14:textId="77777777">
      <w:pPr>
        <w:pStyle w:val="Besedilotabeledecimalno"/>
        <w:rPr>
          <w:color w:val="auto"/>
          <w:sz w:val="22"/>
          <w:szCs w:val="22"/>
        </w:rPr>
      </w:pPr>
    </w:p>
    <w:p w:rsidR="001E0770" w:rsidRPr="006547D7" w:rsidP="001E0770" w14:paraId="133EB19B" w14:textId="77777777">
      <w:pPr>
        <w:pStyle w:val="Besedilotabeledecimalno"/>
        <w:numPr>
          <w:ilvl w:val="0"/>
          <w:numId w:val="2"/>
        </w:numPr>
        <w:rPr>
          <w:color w:val="auto"/>
          <w:sz w:val="22"/>
          <w:szCs w:val="22"/>
        </w:rPr>
      </w:pPr>
      <w:r w:rsidRPr="006547D7">
        <w:rPr>
          <w:color w:val="auto"/>
          <w:sz w:val="22"/>
        </w:rPr>
        <w:t>three train derailments;</w:t>
      </w:r>
    </w:p>
    <w:p w:rsidR="001E0770" w:rsidRPr="006547D7" w:rsidP="001E0770" w14:paraId="67304EDD" w14:textId="77777777">
      <w:pPr>
        <w:pStyle w:val="Besedilotabeledecimalno"/>
        <w:numPr>
          <w:ilvl w:val="0"/>
          <w:numId w:val="2"/>
        </w:numPr>
        <w:rPr>
          <w:color w:val="auto"/>
          <w:sz w:val="22"/>
          <w:szCs w:val="22"/>
        </w:rPr>
      </w:pPr>
      <w:r w:rsidRPr="006547D7">
        <w:rPr>
          <w:color w:val="auto"/>
          <w:sz w:val="22"/>
        </w:rPr>
        <w:t>three level-crossing accidents;</w:t>
      </w:r>
    </w:p>
    <w:p w:rsidR="001E0770" w:rsidRPr="006547D7" w:rsidP="001E0770" w14:paraId="434E6008" w14:textId="77777777">
      <w:pPr>
        <w:pStyle w:val="Besedilotabeledecimalno"/>
        <w:numPr>
          <w:ilvl w:val="0"/>
          <w:numId w:val="2"/>
        </w:numPr>
        <w:rPr>
          <w:color w:val="auto"/>
          <w:sz w:val="22"/>
          <w:szCs w:val="22"/>
        </w:rPr>
      </w:pPr>
      <w:r w:rsidRPr="006547D7">
        <w:rPr>
          <w:color w:val="auto"/>
          <w:sz w:val="22"/>
        </w:rPr>
        <w:t>one</w:t>
      </w:r>
      <w:r w:rsidRPr="006547D7">
        <w:rPr>
          <w:color w:val="auto"/>
          <w:sz w:val="22"/>
        </w:rPr>
        <w:t> collision.</w:t>
      </w:r>
    </w:p>
    <w:p w:rsidR="002232AF" w:rsidRPr="006547D7" w:rsidP="002232AF" w14:paraId="30C6F464" w14:textId="77777777">
      <w:pPr>
        <w:pStyle w:val="Besedilotabeledecimalno"/>
        <w:ind w:left="864"/>
        <w:rPr>
          <w:color w:val="auto"/>
          <w:sz w:val="22"/>
          <w:szCs w:val="22"/>
        </w:rPr>
      </w:pPr>
    </w:p>
    <w:tbl>
      <w:tblPr>
        <w:tblStyle w:val="Srednjamrea3poudarek11"/>
        <w:tblpPr w:leftFromText="141" w:rightFromText="141" w:vertAnchor="text" w:horzAnchor="margin" w:tblpXSpec="center" w:tblpY="565"/>
        <w:tblW w:w="8392" w:type="dxa"/>
        <w:tblLayout w:type="fixed"/>
        <w:tblLook w:val="04A0"/>
      </w:tblPr>
      <w:tblGrid>
        <w:gridCol w:w="1787"/>
        <w:gridCol w:w="1105"/>
        <w:gridCol w:w="1200"/>
        <w:gridCol w:w="1143"/>
        <w:gridCol w:w="1711"/>
        <w:gridCol w:w="1446"/>
      </w:tblGrid>
      <w:tr w14:paraId="4D1AE6A7" w14:textId="77777777" w:rsidTr="00362CDF">
        <w:tblPrEx>
          <w:tblW w:w="8392" w:type="dxa"/>
          <w:tblLayout w:type="fixed"/>
          <w:tblLook w:val="04A0"/>
        </w:tblPrEx>
        <w:tc>
          <w:tcPr>
            <w:tcW w:w="1787" w:type="dxa"/>
            <w:vMerge w:val="restart"/>
          </w:tcPr>
          <w:p w:rsidR="001E0770" w:rsidRPr="006547D7" w:rsidP="001E0770" w14:paraId="5B9A5FDE" w14:textId="77777777">
            <w:pPr>
              <w:pStyle w:val="zSisennys"/>
              <w:spacing w:after="120"/>
              <w:ind w:left="0"/>
              <w:rPr>
                <w:sz w:val="20"/>
              </w:rPr>
            </w:pPr>
            <w:r w:rsidRPr="006547D7">
              <w:rPr>
                <w:b w:val="0"/>
                <w:sz w:val="20"/>
              </w:rPr>
              <w:t xml:space="preserve">Type of accident investigated </w:t>
            </w:r>
          </w:p>
        </w:tc>
        <w:tc>
          <w:tcPr>
            <w:tcW w:w="1105" w:type="dxa"/>
            <w:vMerge w:val="restart"/>
          </w:tcPr>
          <w:p w:rsidR="001E0770" w:rsidRPr="006547D7" w:rsidP="001E0770" w14:paraId="4C5CA2B0" w14:textId="77777777">
            <w:pPr>
              <w:pStyle w:val="zSisennys"/>
              <w:spacing w:after="120"/>
              <w:ind w:left="0"/>
              <w:rPr>
                <w:sz w:val="20"/>
              </w:rPr>
            </w:pPr>
            <w:r w:rsidRPr="006547D7">
              <w:rPr>
                <w:b w:val="0"/>
                <w:sz w:val="20"/>
              </w:rPr>
              <w:t>Number of accidents</w:t>
            </w:r>
          </w:p>
        </w:tc>
        <w:tc>
          <w:tcPr>
            <w:tcW w:w="2343" w:type="dxa"/>
            <w:gridSpan w:val="2"/>
          </w:tcPr>
          <w:p w:rsidR="001E0770" w:rsidRPr="006547D7" w:rsidP="001E0770" w14:paraId="18DA0804" w14:textId="77777777">
            <w:pPr>
              <w:pStyle w:val="zSisennys"/>
              <w:spacing w:after="120"/>
              <w:ind w:left="0"/>
              <w:rPr>
                <w:sz w:val="20"/>
              </w:rPr>
            </w:pPr>
            <w:r w:rsidRPr="006547D7">
              <w:rPr>
                <w:b w:val="0"/>
                <w:sz w:val="20"/>
              </w:rPr>
              <w:t>Number of casualties</w:t>
            </w:r>
          </w:p>
        </w:tc>
        <w:tc>
          <w:tcPr>
            <w:tcW w:w="1711" w:type="dxa"/>
            <w:vMerge w:val="restart"/>
          </w:tcPr>
          <w:p w:rsidR="001E0770" w:rsidRPr="006547D7" w:rsidP="001E0770" w14:paraId="7F723F44" w14:textId="77777777">
            <w:pPr>
              <w:pStyle w:val="zSisennys"/>
              <w:spacing w:after="120"/>
              <w:ind w:left="0"/>
              <w:rPr>
                <w:sz w:val="20"/>
              </w:rPr>
            </w:pPr>
            <w:r w:rsidRPr="006547D7">
              <w:rPr>
                <w:b w:val="0"/>
                <w:sz w:val="20"/>
              </w:rPr>
              <w:t>Damage in EUR (estimated)</w:t>
            </w:r>
          </w:p>
        </w:tc>
        <w:tc>
          <w:tcPr>
            <w:tcW w:w="1446" w:type="dxa"/>
            <w:vMerge w:val="restart"/>
          </w:tcPr>
          <w:p w:rsidR="001E0770" w:rsidRPr="006547D7" w:rsidP="001E0770" w14:paraId="5CF20E49" w14:textId="77777777">
            <w:pPr>
              <w:pStyle w:val="zSisennys"/>
              <w:spacing w:after="120"/>
              <w:ind w:left="0"/>
              <w:rPr>
                <w:sz w:val="20"/>
              </w:rPr>
            </w:pPr>
            <w:r w:rsidRPr="006547D7">
              <w:rPr>
                <w:b w:val="0"/>
                <w:sz w:val="20"/>
              </w:rPr>
              <w:t>Trend in comparison with 2016</w:t>
            </w:r>
          </w:p>
        </w:tc>
      </w:tr>
      <w:tr w14:paraId="0385B67F" w14:textId="77777777" w:rsidTr="00362CDF">
        <w:tblPrEx>
          <w:tblW w:w="8392" w:type="dxa"/>
          <w:tblLayout w:type="fixed"/>
          <w:tblLook w:val="04A0"/>
        </w:tblPrEx>
        <w:tc>
          <w:tcPr>
            <w:tcW w:w="1787" w:type="dxa"/>
            <w:vMerge/>
          </w:tcPr>
          <w:p w:rsidR="001E0770" w:rsidRPr="006547D7" w:rsidP="001E0770" w14:paraId="1C0F703C" w14:textId="77777777">
            <w:pPr>
              <w:pStyle w:val="zSisennys"/>
              <w:spacing w:after="120"/>
              <w:ind w:left="0"/>
              <w:rPr>
                <w:sz w:val="20"/>
              </w:rPr>
            </w:pPr>
          </w:p>
        </w:tc>
        <w:tc>
          <w:tcPr>
            <w:tcW w:w="1105" w:type="dxa"/>
            <w:vMerge/>
          </w:tcPr>
          <w:p w:rsidR="001E0770" w:rsidRPr="006547D7" w:rsidP="001E0770" w14:paraId="17515FED" w14:textId="77777777">
            <w:pPr>
              <w:pStyle w:val="zSisennys"/>
              <w:spacing w:after="120"/>
              <w:ind w:left="0"/>
              <w:rPr>
                <w:sz w:val="20"/>
              </w:rPr>
            </w:pPr>
          </w:p>
        </w:tc>
        <w:tc>
          <w:tcPr>
            <w:tcW w:w="1200" w:type="dxa"/>
          </w:tcPr>
          <w:p w:rsidR="001E0770" w:rsidRPr="006547D7" w:rsidP="001E0770" w14:paraId="27D9CE6E" w14:textId="77777777">
            <w:pPr>
              <w:pStyle w:val="zSisennys"/>
              <w:spacing w:after="120"/>
              <w:ind w:left="0"/>
              <w:rPr>
                <w:b/>
                <w:sz w:val="20"/>
              </w:rPr>
            </w:pPr>
            <w:r w:rsidRPr="006547D7">
              <w:rPr>
                <w:b/>
                <w:sz w:val="20"/>
              </w:rPr>
              <w:t>Fatalities</w:t>
            </w:r>
          </w:p>
        </w:tc>
        <w:tc>
          <w:tcPr>
            <w:tcW w:w="1143" w:type="dxa"/>
          </w:tcPr>
          <w:p w:rsidR="001E0770" w:rsidRPr="006547D7" w:rsidP="001E0770" w14:paraId="69D128CD" w14:textId="77777777">
            <w:pPr>
              <w:pStyle w:val="zSisennys"/>
              <w:spacing w:after="120"/>
              <w:ind w:left="0"/>
              <w:rPr>
                <w:b/>
                <w:sz w:val="20"/>
              </w:rPr>
            </w:pPr>
            <w:r w:rsidRPr="006547D7">
              <w:rPr>
                <w:b/>
                <w:sz w:val="20"/>
              </w:rPr>
              <w:t>Seriously injured persons</w:t>
            </w:r>
          </w:p>
        </w:tc>
        <w:tc>
          <w:tcPr>
            <w:tcW w:w="1711" w:type="dxa"/>
            <w:vMerge/>
          </w:tcPr>
          <w:p w:rsidR="001E0770" w:rsidRPr="006547D7" w:rsidP="001E0770" w14:paraId="18172E52" w14:textId="77777777">
            <w:pPr>
              <w:pStyle w:val="zSisennys"/>
              <w:spacing w:after="120"/>
              <w:ind w:left="0"/>
              <w:rPr>
                <w:sz w:val="20"/>
              </w:rPr>
            </w:pPr>
          </w:p>
        </w:tc>
        <w:tc>
          <w:tcPr>
            <w:tcW w:w="1446" w:type="dxa"/>
            <w:vMerge/>
          </w:tcPr>
          <w:p w:rsidR="001E0770" w:rsidRPr="006547D7" w:rsidP="001E0770" w14:paraId="4C58BE34" w14:textId="77777777">
            <w:pPr>
              <w:pStyle w:val="zSisennys"/>
              <w:spacing w:after="120"/>
              <w:ind w:left="0"/>
              <w:rPr>
                <w:sz w:val="20"/>
              </w:rPr>
            </w:pPr>
          </w:p>
        </w:tc>
      </w:tr>
      <w:tr w14:paraId="400040E0" w14:textId="77777777" w:rsidTr="00362CDF">
        <w:tblPrEx>
          <w:tblW w:w="8392" w:type="dxa"/>
          <w:tblLayout w:type="fixed"/>
          <w:tblLook w:val="04A0"/>
        </w:tblPrEx>
        <w:tc>
          <w:tcPr>
            <w:tcW w:w="1787" w:type="dxa"/>
          </w:tcPr>
          <w:p w:rsidR="001E0770" w:rsidRPr="006547D7" w:rsidP="001E0770" w14:paraId="3BB6E54D" w14:textId="77777777">
            <w:pPr>
              <w:pStyle w:val="zSisennys"/>
              <w:spacing w:after="120"/>
              <w:ind w:left="0"/>
              <w:rPr>
                <w:sz w:val="20"/>
              </w:rPr>
            </w:pPr>
            <w:r w:rsidRPr="006547D7">
              <w:rPr>
                <w:sz w:val="20"/>
              </w:rPr>
              <w:t>Train collision</w:t>
            </w:r>
          </w:p>
        </w:tc>
        <w:tc>
          <w:tcPr>
            <w:tcW w:w="1105" w:type="dxa"/>
          </w:tcPr>
          <w:p w:rsidR="001E0770" w:rsidRPr="006547D7" w:rsidP="001E0770" w14:paraId="72879988" w14:textId="77777777">
            <w:pPr>
              <w:pStyle w:val="zSisennys"/>
              <w:spacing w:after="120"/>
              <w:ind w:left="0"/>
              <w:rPr>
                <w:sz w:val="20"/>
              </w:rPr>
            </w:pPr>
            <w:r w:rsidRPr="006547D7">
              <w:rPr>
                <w:sz w:val="20"/>
              </w:rPr>
              <w:t>1</w:t>
            </w:r>
          </w:p>
        </w:tc>
        <w:tc>
          <w:tcPr>
            <w:tcW w:w="1200" w:type="dxa"/>
          </w:tcPr>
          <w:p w:rsidR="001E0770" w:rsidRPr="006547D7" w:rsidP="001E0770" w14:paraId="5719D916" w14:textId="77777777">
            <w:pPr>
              <w:pStyle w:val="zSisennys"/>
              <w:spacing w:after="120"/>
              <w:ind w:left="0"/>
              <w:rPr>
                <w:sz w:val="20"/>
              </w:rPr>
            </w:pPr>
            <w:r w:rsidRPr="006547D7">
              <w:rPr>
                <w:sz w:val="20"/>
              </w:rPr>
              <w:t>0</w:t>
            </w:r>
          </w:p>
        </w:tc>
        <w:tc>
          <w:tcPr>
            <w:tcW w:w="1143" w:type="dxa"/>
          </w:tcPr>
          <w:p w:rsidR="001E0770" w:rsidRPr="006547D7" w:rsidP="001E0770" w14:paraId="15AA0360" w14:textId="77777777">
            <w:pPr>
              <w:pStyle w:val="zSisennys"/>
              <w:spacing w:after="120"/>
              <w:ind w:left="0"/>
              <w:rPr>
                <w:sz w:val="20"/>
              </w:rPr>
            </w:pPr>
            <w:r w:rsidRPr="006547D7">
              <w:rPr>
                <w:sz w:val="20"/>
              </w:rPr>
              <w:t>0</w:t>
            </w:r>
          </w:p>
        </w:tc>
        <w:tc>
          <w:tcPr>
            <w:tcW w:w="1711" w:type="dxa"/>
          </w:tcPr>
          <w:p w:rsidR="001E0770" w:rsidRPr="006547D7" w:rsidP="00405717" w14:paraId="3650404F" w14:textId="50531C4C">
            <w:pPr>
              <w:pStyle w:val="zSisennys"/>
              <w:spacing w:after="120"/>
              <w:ind w:left="0"/>
              <w:jc w:val="right"/>
              <w:rPr>
                <w:sz w:val="20"/>
              </w:rPr>
            </w:pPr>
            <w:r w:rsidRPr="006547D7">
              <w:rPr>
                <w:sz w:val="20"/>
              </w:rPr>
              <w:t>55</w:t>
            </w:r>
            <w:r w:rsidRPr="006547D7" w:rsidR="00405717">
              <w:rPr>
                <w:sz w:val="20"/>
              </w:rPr>
              <w:t> </w:t>
            </w:r>
            <w:r w:rsidRPr="006547D7">
              <w:rPr>
                <w:sz w:val="20"/>
              </w:rPr>
              <w:t>523.90</w:t>
            </w:r>
          </w:p>
        </w:tc>
        <w:tc>
          <w:tcPr>
            <w:tcW w:w="1446" w:type="dxa"/>
          </w:tcPr>
          <w:p w:rsidR="001E0770" w:rsidRPr="006547D7" w:rsidP="001E0770" w14:paraId="3FBFE6A6" w14:textId="77777777">
            <w:pPr>
              <w:pStyle w:val="zSisennys"/>
              <w:spacing w:after="120"/>
              <w:ind w:left="0"/>
              <w:rPr>
                <w:sz w:val="20"/>
              </w:rPr>
            </w:pPr>
            <w:r w:rsidRPr="006547D7">
              <w:rPr>
                <w:sz w:val="20"/>
              </w:rPr>
              <w:t>1 &gt; 0</w:t>
            </w:r>
          </w:p>
        </w:tc>
      </w:tr>
      <w:tr w14:paraId="3EC8FDE6" w14:textId="77777777" w:rsidTr="00362CDF">
        <w:tblPrEx>
          <w:tblW w:w="8392" w:type="dxa"/>
          <w:tblLayout w:type="fixed"/>
          <w:tblLook w:val="04A0"/>
        </w:tblPrEx>
        <w:tc>
          <w:tcPr>
            <w:tcW w:w="1787" w:type="dxa"/>
          </w:tcPr>
          <w:p w:rsidR="001E0770" w:rsidRPr="006547D7" w:rsidP="001E0770" w14:paraId="64C5B1A8" w14:textId="77777777">
            <w:pPr>
              <w:pStyle w:val="zSisennys"/>
              <w:spacing w:after="120"/>
              <w:ind w:left="0"/>
              <w:rPr>
                <w:sz w:val="20"/>
              </w:rPr>
            </w:pPr>
            <w:r w:rsidRPr="006547D7">
              <w:rPr>
                <w:sz w:val="20"/>
              </w:rPr>
              <w:t>Train derailment</w:t>
            </w:r>
          </w:p>
        </w:tc>
        <w:tc>
          <w:tcPr>
            <w:tcW w:w="1105" w:type="dxa"/>
          </w:tcPr>
          <w:p w:rsidR="001E0770" w:rsidRPr="006547D7" w:rsidP="001E0770" w14:paraId="0F3D6389" w14:textId="77777777">
            <w:pPr>
              <w:pStyle w:val="zSisennys"/>
              <w:spacing w:after="120"/>
              <w:ind w:left="0"/>
              <w:rPr>
                <w:sz w:val="20"/>
              </w:rPr>
            </w:pPr>
            <w:r w:rsidRPr="006547D7">
              <w:rPr>
                <w:sz w:val="20"/>
              </w:rPr>
              <w:t>3</w:t>
            </w:r>
          </w:p>
        </w:tc>
        <w:tc>
          <w:tcPr>
            <w:tcW w:w="1200" w:type="dxa"/>
          </w:tcPr>
          <w:p w:rsidR="001E0770" w:rsidRPr="006547D7" w:rsidP="001E0770" w14:paraId="412028A8" w14:textId="77777777">
            <w:pPr>
              <w:pStyle w:val="zSisennys"/>
              <w:spacing w:after="120"/>
              <w:ind w:left="0"/>
              <w:rPr>
                <w:sz w:val="20"/>
              </w:rPr>
            </w:pPr>
            <w:r w:rsidRPr="006547D7">
              <w:rPr>
                <w:sz w:val="20"/>
              </w:rPr>
              <w:t>0</w:t>
            </w:r>
          </w:p>
        </w:tc>
        <w:tc>
          <w:tcPr>
            <w:tcW w:w="1143" w:type="dxa"/>
          </w:tcPr>
          <w:p w:rsidR="001E0770" w:rsidRPr="006547D7" w:rsidP="001E0770" w14:paraId="09C47D1E" w14:textId="77777777">
            <w:pPr>
              <w:pStyle w:val="zSisennys"/>
              <w:spacing w:after="120"/>
              <w:ind w:left="0"/>
              <w:rPr>
                <w:sz w:val="20"/>
              </w:rPr>
            </w:pPr>
            <w:r w:rsidRPr="006547D7">
              <w:rPr>
                <w:sz w:val="20"/>
              </w:rPr>
              <w:t>0</w:t>
            </w:r>
          </w:p>
        </w:tc>
        <w:tc>
          <w:tcPr>
            <w:tcW w:w="1711" w:type="dxa"/>
          </w:tcPr>
          <w:p w:rsidR="001E0770" w:rsidRPr="006547D7" w:rsidP="00405717" w14:paraId="52009155" w14:textId="5F42D74A">
            <w:pPr>
              <w:pStyle w:val="zSisennys"/>
              <w:spacing w:after="120"/>
              <w:ind w:left="0"/>
              <w:jc w:val="right"/>
              <w:rPr>
                <w:sz w:val="20"/>
              </w:rPr>
            </w:pPr>
            <w:r w:rsidRPr="006547D7">
              <w:rPr>
                <w:sz w:val="20"/>
              </w:rPr>
              <w:t>1</w:t>
            </w:r>
            <w:r w:rsidRPr="006547D7" w:rsidR="00405717">
              <w:rPr>
                <w:sz w:val="20"/>
              </w:rPr>
              <w:t> </w:t>
            </w:r>
            <w:r w:rsidRPr="006547D7">
              <w:rPr>
                <w:sz w:val="20"/>
              </w:rPr>
              <w:t>756</w:t>
            </w:r>
            <w:r w:rsidRPr="006547D7" w:rsidR="00405717">
              <w:rPr>
                <w:sz w:val="20"/>
              </w:rPr>
              <w:t> </w:t>
            </w:r>
            <w:r w:rsidRPr="006547D7">
              <w:rPr>
                <w:sz w:val="20"/>
              </w:rPr>
              <w:t>247.44</w:t>
            </w:r>
          </w:p>
        </w:tc>
        <w:tc>
          <w:tcPr>
            <w:tcW w:w="1446" w:type="dxa"/>
          </w:tcPr>
          <w:p w:rsidR="001E0770" w:rsidRPr="006547D7" w:rsidP="001E0770" w14:paraId="7AD454E0" w14:textId="77777777">
            <w:pPr>
              <w:pStyle w:val="zSisennys"/>
              <w:spacing w:after="120"/>
              <w:ind w:left="0"/>
              <w:rPr>
                <w:sz w:val="20"/>
              </w:rPr>
            </w:pPr>
            <w:r w:rsidRPr="006547D7">
              <w:rPr>
                <w:sz w:val="20"/>
              </w:rPr>
              <w:t>3 &gt; 2</w:t>
            </w:r>
          </w:p>
        </w:tc>
      </w:tr>
      <w:tr w14:paraId="631F3B34" w14:textId="77777777" w:rsidTr="00362CDF">
        <w:tblPrEx>
          <w:tblW w:w="8392" w:type="dxa"/>
          <w:tblLayout w:type="fixed"/>
          <w:tblLook w:val="04A0"/>
        </w:tblPrEx>
        <w:tc>
          <w:tcPr>
            <w:tcW w:w="1787" w:type="dxa"/>
          </w:tcPr>
          <w:p w:rsidR="001E0770" w:rsidRPr="006547D7" w:rsidP="001E0770" w14:paraId="3FC14961" w14:textId="77777777">
            <w:pPr>
              <w:pStyle w:val="zSisennys"/>
              <w:spacing w:after="120"/>
              <w:ind w:left="-8"/>
              <w:rPr>
                <w:sz w:val="20"/>
              </w:rPr>
            </w:pPr>
            <w:r w:rsidRPr="006547D7">
              <w:rPr>
                <w:sz w:val="20"/>
              </w:rPr>
              <w:t>Other</w:t>
            </w:r>
          </w:p>
        </w:tc>
        <w:tc>
          <w:tcPr>
            <w:tcW w:w="1105" w:type="dxa"/>
          </w:tcPr>
          <w:p w:rsidR="001E0770" w:rsidRPr="006547D7" w:rsidP="001E0770" w14:paraId="7528EC7F" w14:textId="77777777">
            <w:pPr>
              <w:pStyle w:val="zSisennys"/>
              <w:spacing w:after="120"/>
              <w:ind w:left="0"/>
              <w:rPr>
                <w:sz w:val="20"/>
              </w:rPr>
            </w:pPr>
            <w:r w:rsidRPr="006547D7">
              <w:rPr>
                <w:sz w:val="20"/>
              </w:rPr>
              <w:t>3</w:t>
            </w:r>
          </w:p>
        </w:tc>
        <w:tc>
          <w:tcPr>
            <w:tcW w:w="1200" w:type="dxa"/>
          </w:tcPr>
          <w:p w:rsidR="001E0770" w:rsidRPr="006547D7" w:rsidP="001E0770" w14:paraId="3E05B14F" w14:textId="77777777">
            <w:pPr>
              <w:pStyle w:val="zSisennys"/>
              <w:spacing w:after="120"/>
              <w:ind w:left="0"/>
              <w:rPr>
                <w:sz w:val="20"/>
              </w:rPr>
            </w:pPr>
            <w:r w:rsidRPr="006547D7">
              <w:rPr>
                <w:sz w:val="20"/>
              </w:rPr>
              <w:t>4</w:t>
            </w:r>
          </w:p>
        </w:tc>
        <w:tc>
          <w:tcPr>
            <w:tcW w:w="1143" w:type="dxa"/>
          </w:tcPr>
          <w:p w:rsidR="001E0770" w:rsidRPr="006547D7" w:rsidP="001E0770" w14:paraId="7B6FF033" w14:textId="77777777">
            <w:pPr>
              <w:pStyle w:val="zSisennys"/>
              <w:spacing w:after="120"/>
              <w:ind w:left="0"/>
              <w:rPr>
                <w:sz w:val="20"/>
              </w:rPr>
            </w:pPr>
            <w:r w:rsidRPr="006547D7">
              <w:rPr>
                <w:sz w:val="20"/>
              </w:rPr>
              <w:t>1</w:t>
            </w:r>
          </w:p>
        </w:tc>
        <w:tc>
          <w:tcPr>
            <w:tcW w:w="1711" w:type="dxa"/>
          </w:tcPr>
          <w:p w:rsidR="001E0770" w:rsidRPr="006547D7" w:rsidP="00405717" w14:paraId="105EBFD4" w14:textId="224A1C35">
            <w:pPr>
              <w:pStyle w:val="zSisennys"/>
              <w:spacing w:after="120"/>
              <w:ind w:left="0"/>
              <w:jc w:val="right"/>
              <w:rPr>
                <w:sz w:val="20"/>
              </w:rPr>
            </w:pPr>
            <w:r w:rsidRPr="006547D7">
              <w:rPr>
                <w:sz w:val="20"/>
              </w:rPr>
              <w:t>5</w:t>
            </w:r>
            <w:r w:rsidRPr="006547D7" w:rsidR="00405717">
              <w:rPr>
                <w:sz w:val="20"/>
              </w:rPr>
              <w:t> </w:t>
            </w:r>
            <w:r w:rsidRPr="006547D7">
              <w:rPr>
                <w:sz w:val="20"/>
              </w:rPr>
              <w:t>500.00</w:t>
            </w:r>
          </w:p>
        </w:tc>
        <w:tc>
          <w:tcPr>
            <w:tcW w:w="1446" w:type="dxa"/>
          </w:tcPr>
          <w:p w:rsidR="001E0770" w:rsidRPr="006547D7" w:rsidP="001E0770" w14:paraId="1DF1DFB1" w14:textId="77777777">
            <w:pPr>
              <w:pStyle w:val="zSisennys"/>
              <w:spacing w:after="120"/>
              <w:ind w:left="0"/>
              <w:rPr>
                <w:sz w:val="20"/>
              </w:rPr>
            </w:pPr>
            <w:r w:rsidRPr="006547D7">
              <w:rPr>
                <w:sz w:val="20"/>
              </w:rPr>
              <w:t>3 &lt; 4</w:t>
            </w:r>
          </w:p>
        </w:tc>
      </w:tr>
    </w:tbl>
    <w:p w:rsidR="001E0770" w:rsidRPr="006547D7" w:rsidP="002E439B" w14:paraId="402F12AE" w14:textId="77777777">
      <w:pPr>
        <w:pStyle w:val="zSisennys"/>
        <w:spacing w:after="120" w:line="240" w:lineRule="auto"/>
        <w:ind w:left="0"/>
        <w:rPr>
          <w:sz w:val="20"/>
        </w:rPr>
      </w:pPr>
    </w:p>
    <w:p w:rsidR="001E0770" w:rsidRPr="006547D7" w:rsidP="001E0770" w14:paraId="68EC806A" w14:textId="77777777">
      <w:pPr>
        <w:pStyle w:val="Besedilotabeledecimalno"/>
        <w:jc w:val="center"/>
      </w:pPr>
      <w:r w:rsidRPr="006547D7">
        <w:t>Table 5: Overview of accidents investigated by the investigating body in 2017.</w:t>
      </w:r>
    </w:p>
    <w:p w:rsidR="001E0770" w:rsidRPr="006547D7" w:rsidP="001E0770" w14:paraId="54074F3A" w14:textId="77777777"/>
    <w:p w:rsidR="00362CDF" w:rsidRPr="006547D7" w:rsidP="001E0770" w14:paraId="3777536A" w14:textId="77777777"/>
    <w:p w:rsidR="00362CDF" w:rsidRPr="006547D7" w:rsidP="001E0770" w14:paraId="77C7E032" w14:textId="77777777"/>
    <w:p w:rsidR="00FA3B3F" w:rsidRPr="006547D7" w:rsidP="002D6F48" w14:paraId="39786358" w14:textId="77777777">
      <w:r w:rsidRPr="006547D7">
        <w:t>The body charged with investigating railway accidents issued 16 recommendations in 2017:</w:t>
      </w:r>
    </w:p>
    <w:p w:rsidR="00FA3B3F" w:rsidRPr="006547D7" w:rsidP="002D6F48" w14:paraId="5A880BD2" w14:textId="77777777">
      <w:pPr>
        <w:pStyle w:val="ListParagraph"/>
        <w:numPr>
          <w:ilvl w:val="0"/>
          <w:numId w:val="8"/>
        </w:numPr>
        <w:rPr>
          <w:color w:val="auto"/>
          <w:sz w:val="22"/>
          <w:szCs w:val="22"/>
        </w:rPr>
      </w:pPr>
      <w:r w:rsidRPr="006547D7">
        <w:rPr>
          <w:color w:val="auto"/>
          <w:sz w:val="22"/>
        </w:rPr>
        <w:t>five related to maintenance processes for public railway infrastructure maintenance;</w:t>
      </w:r>
    </w:p>
    <w:p w:rsidR="00FA3B3F" w:rsidRPr="006547D7" w:rsidP="002D6F48" w14:paraId="303A63DD" w14:textId="77777777">
      <w:pPr>
        <w:pStyle w:val="ListParagraph"/>
        <w:numPr>
          <w:ilvl w:val="0"/>
          <w:numId w:val="8"/>
        </w:numPr>
        <w:rPr>
          <w:color w:val="auto"/>
          <w:sz w:val="22"/>
          <w:szCs w:val="22"/>
        </w:rPr>
      </w:pPr>
      <w:r w:rsidRPr="006547D7">
        <w:rPr>
          <w:color w:val="auto"/>
          <w:sz w:val="22"/>
        </w:rPr>
        <w:t>two related to the educational processes of the regular periodic training of workers who are directly involved in traffic and train driver management;</w:t>
      </w:r>
    </w:p>
    <w:p w:rsidR="00FA3B3F" w:rsidRPr="006547D7" w:rsidP="002D6F48" w14:paraId="4B15D054" w14:textId="77777777">
      <w:pPr>
        <w:pStyle w:val="ListParagraph"/>
        <w:numPr>
          <w:ilvl w:val="0"/>
          <w:numId w:val="8"/>
        </w:numPr>
        <w:rPr>
          <w:color w:val="auto"/>
          <w:sz w:val="22"/>
          <w:szCs w:val="22"/>
        </w:rPr>
      </w:pPr>
      <w:r w:rsidRPr="006547D7">
        <w:rPr>
          <w:color w:val="auto"/>
          <w:sz w:val="22"/>
        </w:rPr>
        <w:t>one related to the technological process involved in the uncoupling of parked locomotives;</w:t>
      </w:r>
    </w:p>
    <w:p w:rsidR="00FA3B3F" w:rsidRPr="006547D7" w:rsidP="002D6F48" w14:paraId="1EE60574" w14:textId="77777777">
      <w:pPr>
        <w:pStyle w:val="ListParagraph"/>
        <w:numPr>
          <w:ilvl w:val="0"/>
          <w:numId w:val="8"/>
        </w:numPr>
        <w:rPr>
          <w:color w:val="auto"/>
          <w:sz w:val="22"/>
          <w:szCs w:val="22"/>
        </w:rPr>
      </w:pPr>
      <w:r w:rsidRPr="006547D7">
        <w:rPr>
          <w:color w:val="auto"/>
          <w:sz w:val="22"/>
        </w:rPr>
        <w:t>one related to the upgrading of a level crossing with road traffic signs for road users;</w:t>
      </w:r>
    </w:p>
    <w:p w:rsidR="00FA3B3F" w:rsidRPr="006547D7" w:rsidP="002D6F48" w14:paraId="796BEBEF" w14:textId="77777777">
      <w:pPr>
        <w:pStyle w:val="ListParagraph"/>
        <w:numPr>
          <w:ilvl w:val="0"/>
          <w:numId w:val="8"/>
        </w:numPr>
        <w:rPr>
          <w:color w:val="auto"/>
          <w:sz w:val="22"/>
          <w:szCs w:val="22"/>
        </w:rPr>
      </w:pPr>
      <w:r w:rsidRPr="006547D7">
        <w:rPr>
          <w:color w:val="auto"/>
          <w:sz w:val="22"/>
        </w:rPr>
        <w:t>one related to the upgrading of front lights of diesel trains;</w:t>
      </w:r>
    </w:p>
    <w:p w:rsidR="00FA3B3F" w:rsidRPr="006547D7" w:rsidP="002D6F48" w14:paraId="3C4723E4" w14:textId="77777777">
      <w:pPr>
        <w:pStyle w:val="ListParagraph"/>
        <w:numPr>
          <w:ilvl w:val="0"/>
          <w:numId w:val="8"/>
        </w:numPr>
        <w:rPr>
          <w:color w:val="auto"/>
          <w:sz w:val="22"/>
          <w:szCs w:val="22"/>
        </w:rPr>
      </w:pPr>
      <w:r w:rsidRPr="006547D7">
        <w:rPr>
          <w:color w:val="auto"/>
          <w:sz w:val="22"/>
        </w:rPr>
        <w:t>five related to ensuring visibility at regulated level crossings marked with road traffic signs;</w:t>
      </w:r>
    </w:p>
    <w:p w:rsidR="00FA3B3F" w:rsidRPr="006547D7" w:rsidP="002D6F48" w14:paraId="1038A33E" w14:textId="77777777">
      <w:pPr>
        <w:pStyle w:val="ListParagraph"/>
        <w:numPr>
          <w:ilvl w:val="0"/>
          <w:numId w:val="8"/>
        </w:numPr>
        <w:rPr>
          <w:color w:val="auto"/>
          <w:sz w:val="22"/>
          <w:szCs w:val="22"/>
        </w:rPr>
      </w:pPr>
      <w:r w:rsidRPr="006547D7">
        <w:rPr>
          <w:color w:val="auto"/>
          <w:sz w:val="22"/>
        </w:rPr>
        <w:t>one</w:t>
      </w:r>
      <w:r w:rsidRPr="006547D7">
        <w:rPr>
          <w:color w:val="auto"/>
          <w:sz w:val="22"/>
        </w:rPr>
        <w:t xml:space="preserve"> related to the upgrading of safety equipment for securing a level crossing by means of a maze for pedestrians and cyclists.</w:t>
      </w:r>
    </w:p>
    <w:p w:rsidR="001E0770" w:rsidRPr="006547D7" w:rsidP="002E439B" w14:paraId="67DB4AF3" w14:textId="77777777">
      <w:pPr>
        <w:spacing w:after="0"/>
      </w:pPr>
    </w:p>
    <w:tbl>
      <w:tblPr>
        <w:tblStyle w:val="Srednjamrea3poudarek11"/>
        <w:tblW w:w="0" w:type="auto"/>
        <w:jc w:val="center"/>
        <w:tblLook w:val="04A0"/>
      </w:tblPr>
      <w:tblGrid>
        <w:gridCol w:w="1391"/>
        <w:gridCol w:w="992"/>
        <w:gridCol w:w="962"/>
        <w:gridCol w:w="950"/>
        <w:gridCol w:w="997"/>
        <w:gridCol w:w="994"/>
        <w:gridCol w:w="1010"/>
        <w:gridCol w:w="884"/>
      </w:tblGrid>
      <w:tr w14:paraId="14351004" w14:textId="77777777" w:rsidTr="001B5919">
        <w:tblPrEx>
          <w:tblW w:w="0" w:type="auto"/>
          <w:jc w:val="center"/>
          <w:tblLook w:val="04A0"/>
        </w:tblPrEx>
        <w:trPr>
          <w:jc w:val="center"/>
        </w:trPr>
        <w:tc>
          <w:tcPr>
            <w:tcW w:w="2383" w:type="dxa"/>
            <w:gridSpan w:val="2"/>
            <w:vMerge w:val="restart"/>
          </w:tcPr>
          <w:p w:rsidR="001E0770" w:rsidRPr="006547D7" w:rsidP="001E0770" w14:paraId="62D74CC7" w14:textId="77777777">
            <w:pPr>
              <w:pStyle w:val="zSisennys"/>
              <w:ind w:left="0"/>
              <w:rPr>
                <w:rFonts w:cs="Arial"/>
                <w:sz w:val="20"/>
              </w:rPr>
            </w:pPr>
            <w:r w:rsidRPr="006547D7">
              <w:rPr>
                <w:sz w:val="20"/>
              </w:rPr>
              <w:t>Recommendations issued</w:t>
            </w:r>
          </w:p>
        </w:tc>
        <w:tc>
          <w:tcPr>
            <w:tcW w:w="5797" w:type="dxa"/>
            <w:gridSpan w:val="6"/>
          </w:tcPr>
          <w:p w:rsidR="001E0770" w:rsidRPr="006547D7" w:rsidP="001E0770" w14:paraId="78A95BD6" w14:textId="77777777">
            <w:pPr>
              <w:pStyle w:val="zSisennys"/>
              <w:ind w:left="0"/>
              <w:rPr>
                <w:rFonts w:cs="Arial"/>
                <w:sz w:val="20"/>
              </w:rPr>
            </w:pPr>
            <w:r w:rsidRPr="006547D7">
              <w:rPr>
                <w:sz w:val="20"/>
              </w:rPr>
              <w:t>Situation regarding implementation of recommendations</w:t>
            </w:r>
          </w:p>
        </w:tc>
      </w:tr>
      <w:tr w14:paraId="0992F390" w14:textId="77777777" w:rsidTr="001B5919">
        <w:tblPrEx>
          <w:tblW w:w="0" w:type="auto"/>
          <w:jc w:val="center"/>
          <w:tblLook w:val="04A0"/>
        </w:tblPrEx>
        <w:trPr>
          <w:jc w:val="center"/>
        </w:trPr>
        <w:tc>
          <w:tcPr>
            <w:tcW w:w="2383" w:type="dxa"/>
            <w:gridSpan w:val="2"/>
            <w:vMerge/>
          </w:tcPr>
          <w:p w:rsidR="001E0770" w:rsidRPr="006547D7" w:rsidP="001E0770" w14:paraId="52B412E3" w14:textId="77777777">
            <w:pPr>
              <w:pStyle w:val="zSisennys"/>
              <w:ind w:left="0"/>
              <w:rPr>
                <w:rFonts w:cs="Arial"/>
                <w:sz w:val="20"/>
              </w:rPr>
            </w:pPr>
          </w:p>
        </w:tc>
        <w:tc>
          <w:tcPr>
            <w:tcW w:w="1912" w:type="dxa"/>
            <w:gridSpan w:val="2"/>
          </w:tcPr>
          <w:p w:rsidR="001E0770" w:rsidRPr="006547D7" w:rsidP="001E0770" w14:paraId="61457976" w14:textId="77777777">
            <w:pPr>
              <w:pStyle w:val="zSisennys"/>
              <w:ind w:left="0"/>
              <w:rPr>
                <w:rFonts w:cs="Arial"/>
                <w:b/>
                <w:sz w:val="20"/>
              </w:rPr>
            </w:pPr>
            <w:r w:rsidRPr="006547D7">
              <w:rPr>
                <w:b/>
                <w:sz w:val="20"/>
              </w:rPr>
              <w:t>implemented</w:t>
            </w:r>
          </w:p>
        </w:tc>
        <w:tc>
          <w:tcPr>
            <w:tcW w:w="1991" w:type="dxa"/>
            <w:gridSpan w:val="2"/>
          </w:tcPr>
          <w:p w:rsidR="001E0770" w:rsidRPr="006547D7" w:rsidP="001E0770" w14:paraId="41518C64" w14:textId="77777777">
            <w:pPr>
              <w:pStyle w:val="zSisennys"/>
              <w:ind w:left="0"/>
              <w:jc w:val="left"/>
              <w:rPr>
                <w:rFonts w:cs="Arial"/>
                <w:b/>
                <w:sz w:val="20"/>
              </w:rPr>
            </w:pPr>
            <w:r w:rsidRPr="006547D7">
              <w:rPr>
                <w:b/>
                <w:sz w:val="20"/>
              </w:rPr>
              <w:t>being implemented (or already prepared)</w:t>
            </w:r>
          </w:p>
        </w:tc>
        <w:tc>
          <w:tcPr>
            <w:tcW w:w="1894" w:type="dxa"/>
            <w:gridSpan w:val="2"/>
          </w:tcPr>
          <w:p w:rsidR="001E0770" w:rsidRPr="006547D7" w:rsidP="001E0770" w14:paraId="7083C113" w14:textId="77777777">
            <w:pPr>
              <w:pStyle w:val="zSisennys"/>
              <w:ind w:left="0"/>
              <w:jc w:val="left"/>
              <w:rPr>
                <w:rFonts w:cs="Arial"/>
                <w:b/>
                <w:sz w:val="20"/>
              </w:rPr>
            </w:pPr>
            <w:r w:rsidRPr="006547D7">
              <w:rPr>
                <w:b/>
                <w:sz w:val="20"/>
              </w:rPr>
              <w:t>will not be implemented (rejected)</w:t>
            </w:r>
          </w:p>
        </w:tc>
      </w:tr>
      <w:tr w14:paraId="29D6F43C" w14:textId="77777777" w:rsidTr="001B5919">
        <w:tblPrEx>
          <w:tblW w:w="0" w:type="auto"/>
          <w:jc w:val="center"/>
          <w:tblLook w:val="04A0"/>
        </w:tblPrEx>
        <w:trPr>
          <w:jc w:val="center"/>
        </w:trPr>
        <w:tc>
          <w:tcPr>
            <w:tcW w:w="1391" w:type="dxa"/>
          </w:tcPr>
          <w:p w:rsidR="001E0770" w:rsidRPr="006547D7" w:rsidP="001E0770" w14:paraId="65967FF3" w14:textId="77777777">
            <w:pPr>
              <w:pStyle w:val="zSisennys"/>
              <w:ind w:left="0"/>
              <w:rPr>
                <w:rFonts w:cs="Arial"/>
                <w:sz w:val="20"/>
              </w:rPr>
            </w:pPr>
            <w:r w:rsidRPr="006547D7">
              <w:rPr>
                <w:sz w:val="20"/>
              </w:rPr>
              <w:t>YEAR</w:t>
            </w:r>
          </w:p>
        </w:tc>
        <w:tc>
          <w:tcPr>
            <w:tcW w:w="992" w:type="dxa"/>
          </w:tcPr>
          <w:p w:rsidR="001E0770" w:rsidRPr="006547D7" w:rsidP="001E0770" w14:paraId="59B786A9" w14:textId="77777777">
            <w:pPr>
              <w:pStyle w:val="zSisennys"/>
              <w:ind w:left="0"/>
              <w:rPr>
                <w:rFonts w:cs="Arial"/>
                <w:b/>
                <w:sz w:val="20"/>
              </w:rPr>
            </w:pPr>
            <w:r w:rsidRPr="006547D7">
              <w:rPr>
                <w:b/>
                <w:sz w:val="20"/>
              </w:rPr>
              <w:t>no</w:t>
            </w:r>
          </w:p>
        </w:tc>
        <w:tc>
          <w:tcPr>
            <w:tcW w:w="962" w:type="dxa"/>
          </w:tcPr>
          <w:p w:rsidR="001E0770" w:rsidRPr="006547D7" w:rsidP="001E0770" w14:paraId="70B5E51F" w14:textId="77777777">
            <w:pPr>
              <w:pStyle w:val="zSisennys"/>
              <w:ind w:left="0"/>
              <w:rPr>
                <w:rFonts w:cs="Arial"/>
                <w:b/>
                <w:sz w:val="20"/>
              </w:rPr>
            </w:pPr>
            <w:r w:rsidRPr="006547D7">
              <w:rPr>
                <w:b/>
                <w:sz w:val="20"/>
              </w:rPr>
              <w:t>no</w:t>
            </w:r>
          </w:p>
        </w:tc>
        <w:tc>
          <w:tcPr>
            <w:tcW w:w="950" w:type="dxa"/>
          </w:tcPr>
          <w:p w:rsidR="001E0770" w:rsidRPr="006547D7" w:rsidP="001E0770" w14:paraId="0D23CD67" w14:textId="77777777">
            <w:pPr>
              <w:pStyle w:val="zSisennys"/>
              <w:ind w:left="0"/>
              <w:rPr>
                <w:rFonts w:cs="Arial"/>
                <w:b/>
                <w:sz w:val="20"/>
              </w:rPr>
            </w:pPr>
            <w:r w:rsidRPr="006547D7">
              <w:rPr>
                <w:b/>
                <w:sz w:val="20"/>
              </w:rPr>
              <w:t>%</w:t>
            </w:r>
          </w:p>
        </w:tc>
        <w:tc>
          <w:tcPr>
            <w:tcW w:w="997" w:type="dxa"/>
          </w:tcPr>
          <w:p w:rsidR="001E0770" w:rsidRPr="006547D7" w:rsidP="001E0770" w14:paraId="318B94B4" w14:textId="77777777">
            <w:pPr>
              <w:pStyle w:val="zSisennys"/>
              <w:ind w:left="0"/>
              <w:rPr>
                <w:rFonts w:cs="Arial"/>
                <w:b/>
                <w:sz w:val="20"/>
              </w:rPr>
            </w:pPr>
            <w:r w:rsidRPr="006547D7">
              <w:rPr>
                <w:b/>
                <w:sz w:val="20"/>
              </w:rPr>
              <w:t>no</w:t>
            </w:r>
          </w:p>
        </w:tc>
        <w:tc>
          <w:tcPr>
            <w:tcW w:w="994" w:type="dxa"/>
          </w:tcPr>
          <w:p w:rsidR="001E0770" w:rsidRPr="006547D7" w:rsidP="001E0770" w14:paraId="52D47E47" w14:textId="77777777">
            <w:pPr>
              <w:pStyle w:val="zSisennys"/>
              <w:ind w:left="0"/>
              <w:rPr>
                <w:rFonts w:cs="Arial"/>
                <w:b/>
                <w:sz w:val="20"/>
              </w:rPr>
            </w:pPr>
            <w:r w:rsidRPr="006547D7">
              <w:rPr>
                <w:b/>
                <w:sz w:val="20"/>
              </w:rPr>
              <w:t>%</w:t>
            </w:r>
          </w:p>
        </w:tc>
        <w:tc>
          <w:tcPr>
            <w:tcW w:w="1010" w:type="dxa"/>
          </w:tcPr>
          <w:p w:rsidR="001E0770" w:rsidRPr="006547D7" w:rsidP="001E0770" w14:paraId="3CFD4F2C" w14:textId="77777777">
            <w:pPr>
              <w:pStyle w:val="zSisennys"/>
              <w:ind w:left="0"/>
              <w:rPr>
                <w:rFonts w:cs="Arial"/>
                <w:b/>
                <w:sz w:val="20"/>
              </w:rPr>
            </w:pPr>
            <w:r w:rsidRPr="006547D7">
              <w:rPr>
                <w:b/>
                <w:sz w:val="20"/>
              </w:rPr>
              <w:t>no</w:t>
            </w:r>
          </w:p>
        </w:tc>
        <w:tc>
          <w:tcPr>
            <w:tcW w:w="884" w:type="dxa"/>
          </w:tcPr>
          <w:p w:rsidR="001E0770" w:rsidRPr="006547D7" w:rsidP="001E0770" w14:paraId="5CD31B9B" w14:textId="77777777">
            <w:pPr>
              <w:pStyle w:val="zSisennys"/>
              <w:ind w:left="0"/>
              <w:rPr>
                <w:rFonts w:cs="Arial"/>
                <w:b/>
                <w:sz w:val="20"/>
              </w:rPr>
            </w:pPr>
            <w:r w:rsidRPr="006547D7">
              <w:rPr>
                <w:b/>
                <w:sz w:val="20"/>
              </w:rPr>
              <w:t>%</w:t>
            </w:r>
          </w:p>
        </w:tc>
      </w:tr>
      <w:tr w14:paraId="1AFB95C7" w14:textId="77777777" w:rsidTr="001B5919">
        <w:tblPrEx>
          <w:tblW w:w="0" w:type="auto"/>
          <w:jc w:val="center"/>
          <w:tblLook w:val="04A0"/>
        </w:tblPrEx>
        <w:trPr>
          <w:jc w:val="center"/>
        </w:trPr>
        <w:tc>
          <w:tcPr>
            <w:tcW w:w="1391" w:type="dxa"/>
          </w:tcPr>
          <w:p w:rsidR="00FA3B3F" w:rsidRPr="006547D7" w:rsidP="00FA3B3F" w14:paraId="36645CFE" w14:textId="77777777">
            <w:pPr>
              <w:pStyle w:val="zSisennys"/>
              <w:ind w:left="0"/>
              <w:rPr>
                <w:rFonts w:cs="Arial"/>
                <w:sz w:val="20"/>
              </w:rPr>
            </w:pPr>
            <w:r w:rsidRPr="006547D7">
              <w:rPr>
                <w:sz w:val="20"/>
              </w:rPr>
              <w:t>2013</w:t>
            </w:r>
          </w:p>
        </w:tc>
        <w:tc>
          <w:tcPr>
            <w:tcW w:w="992" w:type="dxa"/>
          </w:tcPr>
          <w:p w:rsidR="00FA3B3F" w:rsidRPr="006547D7" w:rsidP="00FA3B3F" w14:paraId="435042C8" w14:textId="77777777">
            <w:pPr>
              <w:pStyle w:val="zSisennys"/>
              <w:ind w:left="0"/>
              <w:rPr>
                <w:rFonts w:cs="Arial"/>
                <w:sz w:val="20"/>
              </w:rPr>
            </w:pPr>
            <w:r w:rsidRPr="006547D7">
              <w:rPr>
                <w:sz w:val="20"/>
              </w:rPr>
              <w:t>5</w:t>
            </w:r>
          </w:p>
        </w:tc>
        <w:tc>
          <w:tcPr>
            <w:tcW w:w="962" w:type="dxa"/>
          </w:tcPr>
          <w:p w:rsidR="00FA3B3F" w:rsidRPr="006547D7" w:rsidP="00FA3B3F" w14:paraId="791EC992" w14:textId="77777777">
            <w:pPr>
              <w:pStyle w:val="zSisennys"/>
              <w:ind w:left="0"/>
              <w:rPr>
                <w:rFonts w:cs="Arial"/>
                <w:sz w:val="20"/>
              </w:rPr>
            </w:pPr>
            <w:r w:rsidRPr="006547D7">
              <w:rPr>
                <w:sz w:val="20"/>
              </w:rPr>
              <w:t>4</w:t>
            </w:r>
          </w:p>
        </w:tc>
        <w:tc>
          <w:tcPr>
            <w:tcW w:w="950" w:type="dxa"/>
          </w:tcPr>
          <w:p w:rsidR="00FA3B3F" w:rsidRPr="006547D7" w:rsidP="00FA3B3F" w14:paraId="2D27DADB" w14:textId="77777777">
            <w:pPr>
              <w:pStyle w:val="zSisennys"/>
              <w:ind w:left="0"/>
              <w:rPr>
                <w:rFonts w:cs="Arial"/>
                <w:sz w:val="20"/>
              </w:rPr>
            </w:pPr>
            <w:r w:rsidRPr="006547D7">
              <w:rPr>
                <w:sz w:val="20"/>
              </w:rPr>
              <w:t>80</w:t>
            </w:r>
          </w:p>
        </w:tc>
        <w:tc>
          <w:tcPr>
            <w:tcW w:w="997" w:type="dxa"/>
          </w:tcPr>
          <w:p w:rsidR="00FA3B3F" w:rsidRPr="006547D7" w:rsidP="00FA3B3F" w14:paraId="6D03BDED" w14:textId="77777777">
            <w:pPr>
              <w:pStyle w:val="zSisennys"/>
              <w:ind w:left="0"/>
              <w:rPr>
                <w:rFonts w:cs="Arial"/>
                <w:sz w:val="20"/>
              </w:rPr>
            </w:pPr>
          </w:p>
        </w:tc>
        <w:tc>
          <w:tcPr>
            <w:tcW w:w="994" w:type="dxa"/>
          </w:tcPr>
          <w:p w:rsidR="00FA3B3F" w:rsidRPr="006547D7" w:rsidP="00FA3B3F" w14:paraId="439A1A0B" w14:textId="77777777">
            <w:pPr>
              <w:pStyle w:val="zSisennys"/>
              <w:ind w:left="0"/>
              <w:rPr>
                <w:rFonts w:cs="Arial"/>
                <w:sz w:val="20"/>
              </w:rPr>
            </w:pPr>
          </w:p>
        </w:tc>
        <w:tc>
          <w:tcPr>
            <w:tcW w:w="1010" w:type="dxa"/>
          </w:tcPr>
          <w:p w:rsidR="00FA3B3F" w:rsidRPr="006547D7" w:rsidP="00FA3B3F" w14:paraId="09E5F609" w14:textId="77777777">
            <w:pPr>
              <w:pStyle w:val="zSisennys"/>
              <w:ind w:left="0"/>
              <w:rPr>
                <w:rFonts w:cs="Arial"/>
                <w:sz w:val="20"/>
              </w:rPr>
            </w:pPr>
            <w:r w:rsidRPr="006547D7">
              <w:rPr>
                <w:sz w:val="20"/>
              </w:rPr>
              <w:t>1</w:t>
            </w:r>
          </w:p>
        </w:tc>
        <w:tc>
          <w:tcPr>
            <w:tcW w:w="884" w:type="dxa"/>
          </w:tcPr>
          <w:p w:rsidR="00FA3B3F" w:rsidRPr="006547D7" w:rsidP="00FA3B3F" w14:paraId="561C692C" w14:textId="77777777">
            <w:pPr>
              <w:pStyle w:val="zSisennys"/>
              <w:ind w:left="0"/>
              <w:rPr>
                <w:rFonts w:cs="Arial"/>
                <w:sz w:val="20"/>
              </w:rPr>
            </w:pPr>
            <w:r w:rsidRPr="006547D7">
              <w:rPr>
                <w:sz w:val="20"/>
              </w:rPr>
              <w:t>20</w:t>
            </w:r>
          </w:p>
        </w:tc>
      </w:tr>
      <w:tr w14:paraId="6173CA49" w14:textId="77777777" w:rsidTr="001B5919">
        <w:tblPrEx>
          <w:tblW w:w="0" w:type="auto"/>
          <w:jc w:val="center"/>
          <w:tblLook w:val="04A0"/>
        </w:tblPrEx>
        <w:trPr>
          <w:jc w:val="center"/>
        </w:trPr>
        <w:tc>
          <w:tcPr>
            <w:tcW w:w="1391" w:type="dxa"/>
          </w:tcPr>
          <w:p w:rsidR="00FA3B3F" w:rsidRPr="006547D7" w:rsidP="00FA3B3F" w14:paraId="40ADB023" w14:textId="77777777">
            <w:pPr>
              <w:pStyle w:val="zSisennys"/>
              <w:ind w:left="0"/>
              <w:rPr>
                <w:rFonts w:cs="Arial"/>
                <w:sz w:val="20"/>
              </w:rPr>
            </w:pPr>
            <w:r w:rsidRPr="006547D7">
              <w:rPr>
                <w:sz w:val="20"/>
              </w:rPr>
              <w:t>2014</w:t>
            </w:r>
          </w:p>
        </w:tc>
        <w:tc>
          <w:tcPr>
            <w:tcW w:w="992" w:type="dxa"/>
          </w:tcPr>
          <w:p w:rsidR="00FA3B3F" w:rsidRPr="006547D7" w:rsidP="00FA3B3F" w14:paraId="624AF512" w14:textId="77777777">
            <w:pPr>
              <w:pStyle w:val="zSisennys"/>
              <w:ind w:left="0"/>
              <w:rPr>
                <w:rFonts w:cs="Arial"/>
                <w:sz w:val="20"/>
              </w:rPr>
            </w:pPr>
            <w:r w:rsidRPr="006547D7">
              <w:rPr>
                <w:sz w:val="20"/>
              </w:rPr>
              <w:t>8</w:t>
            </w:r>
          </w:p>
        </w:tc>
        <w:tc>
          <w:tcPr>
            <w:tcW w:w="962" w:type="dxa"/>
          </w:tcPr>
          <w:p w:rsidR="00FA3B3F" w:rsidRPr="006547D7" w:rsidP="00FA3B3F" w14:paraId="70A8A2E1" w14:textId="77777777">
            <w:pPr>
              <w:pStyle w:val="zSisennys"/>
              <w:ind w:left="0"/>
              <w:rPr>
                <w:rFonts w:cs="Arial"/>
                <w:sz w:val="20"/>
              </w:rPr>
            </w:pPr>
            <w:r w:rsidRPr="006547D7">
              <w:rPr>
                <w:sz w:val="20"/>
              </w:rPr>
              <w:t>5</w:t>
            </w:r>
          </w:p>
        </w:tc>
        <w:tc>
          <w:tcPr>
            <w:tcW w:w="950" w:type="dxa"/>
          </w:tcPr>
          <w:p w:rsidR="00FA3B3F" w:rsidRPr="006547D7" w:rsidP="00FA3B3F" w14:paraId="107D8ECC" w14:textId="77777777">
            <w:pPr>
              <w:pStyle w:val="zSisennys"/>
              <w:ind w:left="0"/>
              <w:rPr>
                <w:rFonts w:cs="Arial"/>
                <w:sz w:val="20"/>
              </w:rPr>
            </w:pPr>
            <w:r w:rsidRPr="006547D7">
              <w:rPr>
                <w:sz w:val="20"/>
              </w:rPr>
              <w:t>62.5</w:t>
            </w:r>
          </w:p>
        </w:tc>
        <w:tc>
          <w:tcPr>
            <w:tcW w:w="997" w:type="dxa"/>
          </w:tcPr>
          <w:p w:rsidR="00FA3B3F" w:rsidRPr="006547D7" w:rsidP="00FA3B3F" w14:paraId="3BDBE1BB" w14:textId="77777777">
            <w:pPr>
              <w:pStyle w:val="zSisennys"/>
              <w:ind w:left="0"/>
              <w:rPr>
                <w:rFonts w:cs="Arial"/>
                <w:sz w:val="20"/>
              </w:rPr>
            </w:pPr>
          </w:p>
        </w:tc>
        <w:tc>
          <w:tcPr>
            <w:tcW w:w="994" w:type="dxa"/>
          </w:tcPr>
          <w:p w:rsidR="00FA3B3F" w:rsidRPr="006547D7" w:rsidP="00FA3B3F" w14:paraId="7D6F908E" w14:textId="77777777">
            <w:pPr>
              <w:pStyle w:val="zSisennys"/>
              <w:ind w:left="0"/>
              <w:rPr>
                <w:rFonts w:cs="Arial"/>
                <w:sz w:val="20"/>
              </w:rPr>
            </w:pPr>
          </w:p>
        </w:tc>
        <w:tc>
          <w:tcPr>
            <w:tcW w:w="1010" w:type="dxa"/>
          </w:tcPr>
          <w:p w:rsidR="00FA3B3F" w:rsidRPr="006547D7" w:rsidP="00FA3B3F" w14:paraId="3C099EAF" w14:textId="77777777">
            <w:pPr>
              <w:pStyle w:val="zSisennys"/>
              <w:ind w:left="0"/>
              <w:rPr>
                <w:rFonts w:cs="Arial"/>
                <w:sz w:val="20"/>
              </w:rPr>
            </w:pPr>
            <w:r w:rsidRPr="006547D7">
              <w:rPr>
                <w:sz w:val="20"/>
              </w:rPr>
              <w:t>3</w:t>
            </w:r>
          </w:p>
        </w:tc>
        <w:tc>
          <w:tcPr>
            <w:tcW w:w="884" w:type="dxa"/>
          </w:tcPr>
          <w:p w:rsidR="00FA3B3F" w:rsidRPr="006547D7" w:rsidP="00FA3B3F" w14:paraId="5819663B" w14:textId="77777777">
            <w:pPr>
              <w:pStyle w:val="zSisennys"/>
              <w:ind w:left="0"/>
              <w:rPr>
                <w:rFonts w:cs="Arial"/>
                <w:sz w:val="20"/>
              </w:rPr>
            </w:pPr>
            <w:r w:rsidRPr="006547D7">
              <w:rPr>
                <w:sz w:val="20"/>
              </w:rPr>
              <w:t>37.5</w:t>
            </w:r>
          </w:p>
        </w:tc>
      </w:tr>
      <w:tr w14:paraId="40BB3643" w14:textId="77777777" w:rsidTr="001B5919">
        <w:tblPrEx>
          <w:tblW w:w="0" w:type="auto"/>
          <w:jc w:val="center"/>
          <w:tblLook w:val="04A0"/>
        </w:tblPrEx>
        <w:trPr>
          <w:jc w:val="center"/>
        </w:trPr>
        <w:tc>
          <w:tcPr>
            <w:tcW w:w="1391" w:type="dxa"/>
          </w:tcPr>
          <w:p w:rsidR="00FA3B3F" w:rsidRPr="006547D7" w:rsidP="00FA3B3F" w14:paraId="32243F17" w14:textId="77777777">
            <w:pPr>
              <w:pStyle w:val="zSisennys"/>
              <w:ind w:left="0"/>
              <w:rPr>
                <w:rFonts w:cs="Arial"/>
                <w:sz w:val="20"/>
              </w:rPr>
            </w:pPr>
            <w:r w:rsidRPr="006547D7">
              <w:rPr>
                <w:sz w:val="20"/>
              </w:rPr>
              <w:t>2015</w:t>
            </w:r>
          </w:p>
        </w:tc>
        <w:tc>
          <w:tcPr>
            <w:tcW w:w="992" w:type="dxa"/>
          </w:tcPr>
          <w:p w:rsidR="00FA3B3F" w:rsidRPr="006547D7" w:rsidP="00FA3B3F" w14:paraId="339536C3" w14:textId="77777777">
            <w:pPr>
              <w:pStyle w:val="zSisennys"/>
              <w:ind w:left="0"/>
              <w:rPr>
                <w:rFonts w:cs="Arial"/>
                <w:sz w:val="20"/>
              </w:rPr>
            </w:pPr>
            <w:r w:rsidRPr="006547D7">
              <w:rPr>
                <w:sz w:val="20"/>
              </w:rPr>
              <w:t>4</w:t>
            </w:r>
          </w:p>
        </w:tc>
        <w:tc>
          <w:tcPr>
            <w:tcW w:w="962" w:type="dxa"/>
          </w:tcPr>
          <w:p w:rsidR="00FA3B3F" w:rsidRPr="006547D7" w:rsidP="00FA3B3F" w14:paraId="7E62B5C5" w14:textId="77777777">
            <w:pPr>
              <w:pStyle w:val="zSisennys"/>
              <w:ind w:left="0"/>
              <w:rPr>
                <w:rFonts w:cs="Arial"/>
                <w:sz w:val="20"/>
              </w:rPr>
            </w:pPr>
            <w:r w:rsidRPr="006547D7">
              <w:rPr>
                <w:sz w:val="20"/>
              </w:rPr>
              <w:t>4</w:t>
            </w:r>
          </w:p>
        </w:tc>
        <w:tc>
          <w:tcPr>
            <w:tcW w:w="950" w:type="dxa"/>
          </w:tcPr>
          <w:p w:rsidR="00FA3B3F" w:rsidRPr="006547D7" w:rsidP="00FA3B3F" w14:paraId="2BE44C17" w14:textId="77777777">
            <w:pPr>
              <w:pStyle w:val="zSisennys"/>
              <w:ind w:left="0"/>
              <w:rPr>
                <w:rFonts w:cs="Arial"/>
                <w:sz w:val="20"/>
              </w:rPr>
            </w:pPr>
            <w:r w:rsidRPr="006547D7">
              <w:rPr>
                <w:sz w:val="20"/>
              </w:rPr>
              <w:t>100</w:t>
            </w:r>
          </w:p>
        </w:tc>
        <w:tc>
          <w:tcPr>
            <w:tcW w:w="997" w:type="dxa"/>
          </w:tcPr>
          <w:p w:rsidR="00FA3B3F" w:rsidRPr="006547D7" w:rsidP="00FA3B3F" w14:paraId="7047DC34" w14:textId="77777777">
            <w:pPr>
              <w:pStyle w:val="zSisennys"/>
              <w:ind w:left="0"/>
              <w:rPr>
                <w:rFonts w:cs="Arial"/>
                <w:sz w:val="20"/>
              </w:rPr>
            </w:pPr>
          </w:p>
        </w:tc>
        <w:tc>
          <w:tcPr>
            <w:tcW w:w="994" w:type="dxa"/>
          </w:tcPr>
          <w:p w:rsidR="00FA3B3F" w:rsidRPr="006547D7" w:rsidP="00FA3B3F" w14:paraId="0FD7AC88" w14:textId="77777777">
            <w:pPr>
              <w:pStyle w:val="zSisennys"/>
              <w:ind w:left="0"/>
              <w:rPr>
                <w:rFonts w:cs="Arial"/>
                <w:sz w:val="20"/>
              </w:rPr>
            </w:pPr>
          </w:p>
        </w:tc>
        <w:tc>
          <w:tcPr>
            <w:tcW w:w="1010" w:type="dxa"/>
          </w:tcPr>
          <w:p w:rsidR="00FA3B3F" w:rsidRPr="006547D7" w:rsidP="00FA3B3F" w14:paraId="600297C6" w14:textId="77777777">
            <w:pPr>
              <w:pStyle w:val="zSisennys"/>
              <w:ind w:left="0"/>
              <w:rPr>
                <w:rFonts w:cs="Arial"/>
                <w:sz w:val="20"/>
              </w:rPr>
            </w:pPr>
          </w:p>
        </w:tc>
        <w:tc>
          <w:tcPr>
            <w:tcW w:w="884" w:type="dxa"/>
          </w:tcPr>
          <w:p w:rsidR="00FA3B3F" w:rsidRPr="006547D7" w:rsidP="00FA3B3F" w14:paraId="5E8573E0" w14:textId="77777777">
            <w:pPr>
              <w:pStyle w:val="zSisennys"/>
              <w:ind w:left="0"/>
              <w:rPr>
                <w:rFonts w:cs="Arial"/>
                <w:sz w:val="20"/>
              </w:rPr>
            </w:pPr>
          </w:p>
        </w:tc>
      </w:tr>
      <w:tr w14:paraId="04D7B154" w14:textId="77777777" w:rsidTr="001B5919">
        <w:tblPrEx>
          <w:tblW w:w="0" w:type="auto"/>
          <w:jc w:val="center"/>
          <w:tblLook w:val="04A0"/>
        </w:tblPrEx>
        <w:trPr>
          <w:jc w:val="center"/>
        </w:trPr>
        <w:tc>
          <w:tcPr>
            <w:tcW w:w="1391" w:type="dxa"/>
          </w:tcPr>
          <w:p w:rsidR="00FA3B3F" w:rsidRPr="006547D7" w:rsidP="00FA3B3F" w14:paraId="691D72AB" w14:textId="77777777">
            <w:pPr>
              <w:pStyle w:val="zSisennys"/>
              <w:ind w:left="0"/>
              <w:rPr>
                <w:rFonts w:cs="Arial"/>
                <w:sz w:val="20"/>
              </w:rPr>
            </w:pPr>
            <w:r w:rsidRPr="006547D7">
              <w:rPr>
                <w:sz w:val="20"/>
              </w:rPr>
              <w:t>2016</w:t>
            </w:r>
          </w:p>
        </w:tc>
        <w:tc>
          <w:tcPr>
            <w:tcW w:w="992" w:type="dxa"/>
          </w:tcPr>
          <w:p w:rsidR="00FA3B3F" w:rsidRPr="006547D7" w:rsidP="00FA3B3F" w14:paraId="29C4EB28" w14:textId="77777777">
            <w:pPr>
              <w:pStyle w:val="zSisennys"/>
              <w:ind w:left="0"/>
              <w:rPr>
                <w:rFonts w:cs="Arial"/>
                <w:sz w:val="20"/>
              </w:rPr>
            </w:pPr>
            <w:r w:rsidRPr="006547D7">
              <w:rPr>
                <w:sz w:val="20"/>
              </w:rPr>
              <w:t>5</w:t>
            </w:r>
          </w:p>
        </w:tc>
        <w:tc>
          <w:tcPr>
            <w:tcW w:w="962" w:type="dxa"/>
          </w:tcPr>
          <w:p w:rsidR="00FA3B3F" w:rsidRPr="006547D7" w:rsidP="00FA3B3F" w14:paraId="027E19A1" w14:textId="77777777">
            <w:pPr>
              <w:pStyle w:val="zSisennys"/>
              <w:ind w:left="0"/>
              <w:rPr>
                <w:rFonts w:cs="Arial"/>
                <w:sz w:val="20"/>
              </w:rPr>
            </w:pPr>
            <w:r w:rsidRPr="006547D7">
              <w:rPr>
                <w:sz w:val="20"/>
              </w:rPr>
              <w:t>3</w:t>
            </w:r>
          </w:p>
        </w:tc>
        <w:tc>
          <w:tcPr>
            <w:tcW w:w="950" w:type="dxa"/>
          </w:tcPr>
          <w:p w:rsidR="00FA3B3F" w:rsidRPr="006547D7" w:rsidP="00FA3B3F" w14:paraId="3AA9DC87" w14:textId="77777777">
            <w:pPr>
              <w:pStyle w:val="zSisennys"/>
              <w:ind w:left="0"/>
              <w:rPr>
                <w:rFonts w:cs="Arial"/>
                <w:sz w:val="20"/>
              </w:rPr>
            </w:pPr>
            <w:r w:rsidRPr="006547D7">
              <w:rPr>
                <w:sz w:val="20"/>
              </w:rPr>
              <w:t>60</w:t>
            </w:r>
          </w:p>
        </w:tc>
        <w:tc>
          <w:tcPr>
            <w:tcW w:w="997" w:type="dxa"/>
          </w:tcPr>
          <w:p w:rsidR="00FA3B3F" w:rsidRPr="006547D7" w:rsidP="00FA3B3F" w14:paraId="217DF2E0" w14:textId="77777777">
            <w:pPr>
              <w:pStyle w:val="zSisennys"/>
              <w:ind w:left="0"/>
              <w:rPr>
                <w:rFonts w:cs="Arial"/>
                <w:sz w:val="20"/>
              </w:rPr>
            </w:pPr>
            <w:r w:rsidRPr="006547D7">
              <w:rPr>
                <w:sz w:val="20"/>
              </w:rPr>
              <w:t>2</w:t>
            </w:r>
          </w:p>
        </w:tc>
        <w:tc>
          <w:tcPr>
            <w:tcW w:w="994" w:type="dxa"/>
          </w:tcPr>
          <w:p w:rsidR="00FA3B3F" w:rsidRPr="006547D7" w:rsidP="00FA3B3F" w14:paraId="77DB3EF5" w14:textId="77777777">
            <w:pPr>
              <w:pStyle w:val="zSisennys"/>
              <w:ind w:left="0"/>
              <w:rPr>
                <w:rFonts w:cs="Arial"/>
                <w:sz w:val="20"/>
              </w:rPr>
            </w:pPr>
            <w:r w:rsidRPr="006547D7">
              <w:rPr>
                <w:sz w:val="20"/>
              </w:rPr>
              <w:t>40</w:t>
            </w:r>
          </w:p>
        </w:tc>
        <w:tc>
          <w:tcPr>
            <w:tcW w:w="1010" w:type="dxa"/>
          </w:tcPr>
          <w:p w:rsidR="00FA3B3F" w:rsidRPr="006547D7" w:rsidP="00FA3B3F" w14:paraId="310B3710" w14:textId="77777777">
            <w:pPr>
              <w:pStyle w:val="zSisennys"/>
              <w:ind w:left="0"/>
              <w:rPr>
                <w:rFonts w:cs="Arial"/>
                <w:sz w:val="20"/>
              </w:rPr>
            </w:pPr>
          </w:p>
        </w:tc>
        <w:tc>
          <w:tcPr>
            <w:tcW w:w="884" w:type="dxa"/>
          </w:tcPr>
          <w:p w:rsidR="00FA3B3F" w:rsidRPr="006547D7" w:rsidP="00FA3B3F" w14:paraId="164C369C" w14:textId="77777777">
            <w:pPr>
              <w:pStyle w:val="zSisennys"/>
              <w:ind w:left="0"/>
              <w:rPr>
                <w:rFonts w:cs="Arial"/>
                <w:sz w:val="20"/>
              </w:rPr>
            </w:pPr>
          </w:p>
        </w:tc>
      </w:tr>
      <w:tr w14:paraId="503927F2" w14:textId="77777777" w:rsidTr="001B5919">
        <w:tblPrEx>
          <w:tblW w:w="0" w:type="auto"/>
          <w:jc w:val="center"/>
          <w:tblLook w:val="04A0"/>
        </w:tblPrEx>
        <w:trPr>
          <w:jc w:val="center"/>
        </w:trPr>
        <w:tc>
          <w:tcPr>
            <w:tcW w:w="1391" w:type="dxa"/>
          </w:tcPr>
          <w:p w:rsidR="00FA3B3F" w:rsidRPr="006547D7" w:rsidP="00FA3B3F" w14:paraId="61BA8EE6" w14:textId="77777777">
            <w:pPr>
              <w:pStyle w:val="zSisennys"/>
              <w:ind w:left="0"/>
              <w:rPr>
                <w:rFonts w:cs="Arial"/>
                <w:sz w:val="20"/>
              </w:rPr>
            </w:pPr>
            <w:r w:rsidRPr="006547D7">
              <w:rPr>
                <w:sz w:val="20"/>
              </w:rPr>
              <w:t>2017</w:t>
            </w:r>
          </w:p>
        </w:tc>
        <w:tc>
          <w:tcPr>
            <w:tcW w:w="992" w:type="dxa"/>
          </w:tcPr>
          <w:p w:rsidR="00FA3B3F" w:rsidRPr="006547D7" w:rsidP="00FA3B3F" w14:paraId="4D08EDE9" w14:textId="77777777">
            <w:pPr>
              <w:pStyle w:val="zSisennys"/>
              <w:ind w:left="0"/>
              <w:rPr>
                <w:rFonts w:cs="Arial"/>
                <w:sz w:val="20"/>
              </w:rPr>
            </w:pPr>
            <w:r w:rsidRPr="006547D7">
              <w:rPr>
                <w:sz w:val="20"/>
              </w:rPr>
              <w:t>16</w:t>
            </w:r>
          </w:p>
        </w:tc>
        <w:tc>
          <w:tcPr>
            <w:tcW w:w="962" w:type="dxa"/>
          </w:tcPr>
          <w:p w:rsidR="00FA3B3F" w:rsidRPr="006547D7" w:rsidP="00FA3B3F" w14:paraId="6A9BF41C" w14:textId="77777777">
            <w:pPr>
              <w:pStyle w:val="zSisennys"/>
              <w:ind w:left="0"/>
              <w:rPr>
                <w:rFonts w:cs="Arial"/>
                <w:sz w:val="20"/>
              </w:rPr>
            </w:pPr>
            <w:r w:rsidRPr="006547D7">
              <w:rPr>
                <w:sz w:val="20"/>
              </w:rPr>
              <w:t>13</w:t>
            </w:r>
          </w:p>
        </w:tc>
        <w:tc>
          <w:tcPr>
            <w:tcW w:w="950" w:type="dxa"/>
          </w:tcPr>
          <w:p w:rsidR="00FA3B3F" w:rsidRPr="006547D7" w:rsidP="00FA3B3F" w14:paraId="7BF0C8A9" w14:textId="77777777">
            <w:pPr>
              <w:pStyle w:val="zSisennys"/>
              <w:ind w:left="0"/>
              <w:rPr>
                <w:rFonts w:cs="Arial"/>
                <w:sz w:val="20"/>
              </w:rPr>
            </w:pPr>
            <w:r w:rsidRPr="006547D7">
              <w:rPr>
                <w:sz w:val="20"/>
              </w:rPr>
              <w:t>81.3</w:t>
            </w:r>
          </w:p>
        </w:tc>
        <w:tc>
          <w:tcPr>
            <w:tcW w:w="997" w:type="dxa"/>
          </w:tcPr>
          <w:p w:rsidR="00FA3B3F" w:rsidRPr="006547D7" w:rsidP="00FA3B3F" w14:paraId="5F4EEA36" w14:textId="77777777">
            <w:pPr>
              <w:pStyle w:val="zSisennys"/>
              <w:ind w:left="0"/>
              <w:rPr>
                <w:rFonts w:cs="Arial"/>
                <w:sz w:val="20"/>
              </w:rPr>
            </w:pPr>
            <w:r w:rsidRPr="006547D7">
              <w:rPr>
                <w:sz w:val="20"/>
              </w:rPr>
              <w:t>3</w:t>
            </w:r>
          </w:p>
        </w:tc>
        <w:tc>
          <w:tcPr>
            <w:tcW w:w="994" w:type="dxa"/>
          </w:tcPr>
          <w:p w:rsidR="00FA3B3F" w:rsidRPr="006547D7" w:rsidP="00FA3B3F" w14:paraId="717C0C54" w14:textId="77777777">
            <w:pPr>
              <w:pStyle w:val="zSisennys"/>
              <w:ind w:left="0"/>
              <w:rPr>
                <w:rFonts w:cs="Arial"/>
                <w:sz w:val="20"/>
              </w:rPr>
            </w:pPr>
            <w:r w:rsidRPr="006547D7">
              <w:rPr>
                <w:sz w:val="20"/>
              </w:rPr>
              <w:t>18.77</w:t>
            </w:r>
          </w:p>
        </w:tc>
        <w:tc>
          <w:tcPr>
            <w:tcW w:w="1010" w:type="dxa"/>
          </w:tcPr>
          <w:p w:rsidR="00FA3B3F" w:rsidRPr="006547D7" w:rsidP="00FA3B3F" w14:paraId="3EF1F63D" w14:textId="77777777">
            <w:pPr>
              <w:pStyle w:val="zSisennys"/>
              <w:ind w:left="0"/>
              <w:rPr>
                <w:rFonts w:cs="Arial"/>
                <w:sz w:val="20"/>
              </w:rPr>
            </w:pPr>
          </w:p>
        </w:tc>
        <w:tc>
          <w:tcPr>
            <w:tcW w:w="884" w:type="dxa"/>
          </w:tcPr>
          <w:p w:rsidR="00FA3B3F" w:rsidRPr="006547D7" w:rsidP="00FA3B3F" w14:paraId="63806896" w14:textId="77777777">
            <w:pPr>
              <w:pStyle w:val="zSisennys"/>
              <w:ind w:left="0"/>
              <w:rPr>
                <w:rFonts w:cs="Arial"/>
                <w:sz w:val="20"/>
              </w:rPr>
            </w:pPr>
          </w:p>
        </w:tc>
      </w:tr>
    </w:tbl>
    <w:p w:rsidR="001E0770" w:rsidRPr="006547D7" w:rsidP="001E0770" w14:paraId="3BBE4681" w14:textId="77777777">
      <w:pPr>
        <w:jc w:val="center"/>
        <w:rPr>
          <w:color w:val="595959" w:themeColor="text1" w:themeTint="A6"/>
          <w:kern w:val="20"/>
          <w:sz w:val="20"/>
          <w:szCs w:val="20"/>
        </w:rPr>
      </w:pPr>
      <w:r w:rsidRPr="006547D7">
        <w:rPr>
          <w:color w:val="595959" w:themeColor="text1" w:themeTint="A6"/>
          <w:kern w:val="20"/>
          <w:sz w:val="20"/>
        </w:rPr>
        <w:t>Table 6: Overview of safety recommendations issued and their implementation in 2013–2017.</w:t>
      </w:r>
    </w:p>
    <w:p w:rsidR="009C2CC1" w:rsidRPr="006547D7" w:rsidP="00215AA7" w14:paraId="0DA3A9AB" w14:textId="77777777"/>
    <w:p w:rsidR="00215AA7" w:rsidRPr="006547D7" w:rsidP="00215AA7" w14:paraId="5AB0C0B0" w14:textId="77777777">
      <w:pPr>
        <w:pStyle w:val="Heading2"/>
      </w:pPr>
      <w:r w:rsidRPr="006547D7">
        <w:t>C.3. Implemented measures related to safety recommendations</w:t>
      </w:r>
    </w:p>
    <w:p w:rsidR="00215AA7" w:rsidRPr="006547D7" w:rsidP="00215AA7" w14:paraId="49DD0949" w14:textId="77777777"/>
    <w:p w:rsidR="00C61234" w:rsidRPr="006547D7" w:rsidP="00C61234" w14:paraId="3FBA1E32" w14:textId="77777777">
      <w:pPr>
        <w:spacing w:before="40" w:line="288" w:lineRule="auto"/>
      </w:pPr>
      <w:r w:rsidRPr="006547D7">
        <w:t xml:space="preserve">No measures related to safety recommendations </w:t>
      </w:r>
      <w:r w:rsidRPr="006547D7">
        <w:t>were implemented</w:t>
      </w:r>
      <w:r w:rsidRPr="006547D7">
        <w:t xml:space="preserve"> in 2017.</w:t>
      </w:r>
    </w:p>
    <w:p w:rsidR="002E439B" w:rsidRPr="006547D7" w:rsidP="00C61234" w14:paraId="6225347C" w14:textId="77777777">
      <w:pPr>
        <w:spacing w:before="40" w:line="288" w:lineRule="auto"/>
      </w:pPr>
    </w:p>
    <w:p w:rsidR="00215AA7" w:rsidRPr="006547D7" w:rsidP="00362CDF" w14:paraId="485B6E76" w14:textId="77777777">
      <w:pPr>
        <w:pStyle w:val="Heading1"/>
        <w:pageBreakBefore/>
        <w:numPr>
          <w:ilvl w:val="0"/>
          <w:numId w:val="1"/>
        </w:numPr>
      </w:pPr>
      <w:bookmarkStart w:id="7" w:name="_Toc524421167"/>
      <w:bookmarkStart w:id="8" w:name="_Toc528759586"/>
      <w:r w:rsidRPr="006547D7">
        <w:t>Supervision</w:t>
      </w:r>
      <w:bookmarkEnd w:id="7"/>
      <w:bookmarkEnd w:id="8"/>
    </w:p>
    <w:p w:rsidR="00215AA7" w:rsidRPr="006547D7" w:rsidP="00215AA7" w14:paraId="76A9708B" w14:textId="77777777"/>
    <w:p w:rsidR="00215AA7" w:rsidRPr="006547D7" w:rsidP="00215AA7" w14:paraId="5D4F6FDE" w14:textId="77777777">
      <w:pPr>
        <w:pStyle w:val="Heading2"/>
      </w:pPr>
      <w:r w:rsidRPr="006547D7">
        <w:t>D.1. Strategy and plans</w:t>
      </w:r>
    </w:p>
    <w:p w:rsidR="00215AA7" w:rsidRPr="006547D7" w:rsidP="00215AA7" w14:paraId="4B837CBA" w14:textId="77777777"/>
    <w:p w:rsidR="00BE1723" w:rsidRPr="006547D7" w:rsidP="00BE1723" w14:paraId="0E54C6B0" w14:textId="77777777">
      <w:pPr>
        <w:jc w:val="both"/>
      </w:pPr>
      <w:r w:rsidRPr="006547D7">
        <w:t xml:space="preserve">In accordance with the provisions of Regulation (EU) No 1077/2012, which defines the methods for supervision of undertakings and infrastructure managers by the national safety authority AŽP (also ECM in line with the Fourth Railway Package), in 2017 the AŽP established the basis for preparing the supervision strategy. An analysis of similar systems has been launched, </w:t>
      </w:r>
      <w:r w:rsidRPr="006547D7">
        <w:t>on the basis of</w:t>
      </w:r>
      <w:r w:rsidRPr="006547D7">
        <w:t xml:space="preserve"> which an upgraded supervision system will be set up based on the risks identified.</w:t>
      </w:r>
    </w:p>
    <w:p w:rsidR="00BE1723" w:rsidRPr="006547D7" w:rsidP="00215AA7" w14:paraId="6556FC9E" w14:textId="77777777"/>
    <w:p w:rsidR="00215AA7" w:rsidRPr="006547D7" w:rsidP="00215AA7" w14:paraId="55261975" w14:textId="77777777">
      <w:pPr>
        <w:pStyle w:val="Heading2"/>
      </w:pPr>
      <w:r w:rsidRPr="006547D7">
        <w:t>D.2. Human resources</w:t>
      </w:r>
    </w:p>
    <w:p w:rsidR="00215AA7" w:rsidRPr="006547D7" w:rsidP="00215AA7" w14:paraId="31AB7219" w14:textId="77777777"/>
    <w:p w:rsidR="00BE1723" w:rsidRPr="006547D7" w:rsidP="00BE1723" w14:paraId="194505B2" w14:textId="77777777">
      <w:r w:rsidRPr="006547D7">
        <w:t xml:space="preserve">In 2017, three people </w:t>
      </w:r>
      <w:r w:rsidRPr="006547D7">
        <w:t>were employed</w:t>
      </w:r>
      <w:r w:rsidRPr="006547D7">
        <w:t xml:space="preserve"> in implementing the supervision.</w:t>
      </w:r>
    </w:p>
    <w:p w:rsidR="00BE1723" w:rsidRPr="006547D7" w:rsidP="00215AA7" w14:paraId="07F844A0" w14:textId="77777777"/>
    <w:p w:rsidR="00215AA7" w:rsidRPr="006547D7" w:rsidP="00215AA7" w14:paraId="5A6D6220" w14:textId="77777777">
      <w:pPr>
        <w:pStyle w:val="Heading2"/>
      </w:pPr>
      <w:r w:rsidRPr="006547D7">
        <w:t>D.3. Providing competences</w:t>
      </w:r>
    </w:p>
    <w:p w:rsidR="00215AA7" w:rsidRPr="006547D7" w:rsidP="00215AA7" w14:paraId="315A41B7" w14:textId="77777777"/>
    <w:p w:rsidR="00BE1723" w:rsidRPr="006547D7" w:rsidP="00BE1723" w14:paraId="6E97C605" w14:textId="77777777">
      <w:r w:rsidRPr="006547D7">
        <w:t>We do not have a system in place for ensuring competences of employees in the field of supervision.</w:t>
      </w:r>
    </w:p>
    <w:p w:rsidR="00BE1723" w:rsidRPr="006547D7" w:rsidP="00215AA7" w14:paraId="4F94A507" w14:textId="77777777"/>
    <w:p w:rsidR="00215AA7" w:rsidRPr="006547D7" w:rsidP="00215AA7" w14:paraId="148BD716" w14:textId="77777777">
      <w:pPr>
        <w:pStyle w:val="Heading2"/>
      </w:pPr>
      <w:r w:rsidRPr="006547D7">
        <w:t>D.4. Decision-making</w:t>
      </w:r>
    </w:p>
    <w:p w:rsidR="00215AA7" w:rsidRPr="006547D7" w:rsidP="00215AA7" w14:paraId="53C71CCA" w14:textId="77777777"/>
    <w:p w:rsidR="00BE1723" w:rsidRPr="006547D7" w:rsidP="00BE1723" w14:paraId="18A85B42" w14:textId="77777777">
      <w:r w:rsidRPr="006547D7">
        <w:t>We do not have a decision-making criteria system in place in the area of supervision.</w:t>
      </w:r>
    </w:p>
    <w:p w:rsidR="00BE1723" w:rsidRPr="006547D7" w:rsidP="00215AA7" w14:paraId="0DC1BFB5" w14:textId="77777777"/>
    <w:p w:rsidR="00215AA7" w:rsidRPr="006547D7" w:rsidP="00215AA7" w14:paraId="5CE4363A" w14:textId="77777777">
      <w:pPr>
        <w:pStyle w:val="Heading2"/>
      </w:pPr>
      <w:r w:rsidRPr="006547D7">
        <w:t>D.5. Coordination and cooperation</w:t>
      </w:r>
    </w:p>
    <w:p w:rsidR="00215AA7" w:rsidRPr="006547D7" w:rsidP="00215AA7" w14:paraId="3A01471B" w14:textId="77777777"/>
    <w:p w:rsidR="007F4221" w:rsidRPr="006547D7" w:rsidP="00EC23CC" w14:paraId="5E11B032" w14:textId="77777777">
      <w:pPr>
        <w:jc w:val="both"/>
        <w:rPr>
          <w:rStyle w:val="fontstyle01"/>
        </w:rPr>
      </w:pPr>
      <w:r w:rsidRPr="006547D7">
        <w:rPr>
          <w:rStyle w:val="fontstyle01"/>
        </w:rPr>
        <w:t xml:space="preserve">The AŽP is actively involved in the international environment in all the tasks assigned to it, so that it may implement them as efficiently as possible. This cooperation </w:t>
      </w:r>
      <w:r w:rsidRPr="006547D7">
        <w:rPr>
          <w:rStyle w:val="fontstyle01"/>
        </w:rPr>
        <w:t>will be strengthened</w:t>
      </w:r>
      <w:r w:rsidRPr="006547D7">
        <w:rPr>
          <w:rStyle w:val="fontstyle01"/>
        </w:rPr>
        <w:t xml:space="preserve"> through a suitably supplemented staffing structure. However, it is necessary to wait for the Fourth Railway Package to enter into force in order to set up the complete system, thus creating all the conditions for an active integration with the other NSAs and ERA.</w:t>
      </w:r>
    </w:p>
    <w:p w:rsidR="00BE1723" w:rsidRPr="006547D7" w:rsidP="00BE1723" w14:paraId="67A162C0" w14:textId="77777777"/>
    <w:p w:rsidR="00215AA7" w:rsidRPr="006547D7" w:rsidP="00215AA7" w14:paraId="355651DE" w14:textId="77777777">
      <w:pPr>
        <w:pStyle w:val="Heading2"/>
      </w:pPr>
      <w:r w:rsidRPr="006547D7">
        <w:t>D.6. Findings on the implemented measures</w:t>
      </w:r>
    </w:p>
    <w:p w:rsidR="00215AA7" w:rsidRPr="006547D7" w:rsidP="00215AA7" w14:paraId="4B8F7DA0" w14:textId="77777777"/>
    <w:p w:rsidR="007F4221" w:rsidRPr="006547D7" w:rsidP="00EC23CC" w14:paraId="5AD34402" w14:textId="77777777">
      <w:pPr>
        <w:jc w:val="both"/>
      </w:pPr>
      <w:r w:rsidRPr="006547D7">
        <w:t xml:space="preserve">In 2017, four out of six scheduled checks </w:t>
      </w:r>
      <w:r w:rsidRPr="006547D7">
        <w:t>were carried out</w:t>
      </w:r>
      <w:r w:rsidRPr="006547D7">
        <w:t xml:space="preserve"> to verify the safety management system of infrastructure managers and undertakings. </w:t>
      </w:r>
    </w:p>
    <w:p w:rsidR="007F4221" w:rsidRPr="006547D7" w:rsidP="00EC23CC" w14:paraId="75E4D53E" w14:textId="77777777">
      <w:pPr>
        <w:jc w:val="both"/>
      </w:pPr>
      <w:r w:rsidRPr="006547D7">
        <w:t xml:space="preserve">Also in 2017, eight out of four scheduled checks </w:t>
      </w:r>
      <w:r w:rsidRPr="006547D7">
        <w:t>were carried out</w:t>
      </w:r>
      <w:r w:rsidRPr="006547D7">
        <w:t xml:space="preserve"> to verify the supervision of training and testing centres for train drivers and drivers of motor track vehicles.</w:t>
      </w:r>
    </w:p>
    <w:p w:rsidR="007F4221" w:rsidRPr="006547D7" w:rsidP="00EC23CC" w14:paraId="66D5A787" w14:textId="77777777">
      <w:pPr>
        <w:jc w:val="both"/>
        <w:rPr>
          <w:rStyle w:val="fontstyle01"/>
        </w:rPr>
      </w:pPr>
      <w:r w:rsidRPr="006547D7">
        <w:rPr>
          <w:rStyle w:val="fontstyle01"/>
        </w:rPr>
        <w:t xml:space="preserve">The focus was on the supervision of training and testing entities. Compared to the scheduled checks, the total scheduled checks reached 120%, with the checks of training and testing centres at 200% and the checks verifying the implementation of infrastructure managers’ and undertakings’ safety management systems at 66.6%. The increased scope of checks of training and testing entities is the result of identified individual dilemmas and possible shortcomings that </w:t>
      </w:r>
      <w:r w:rsidRPr="006547D7">
        <w:rPr>
          <w:rStyle w:val="fontstyle01"/>
        </w:rPr>
        <w:t>have been clarified</w:t>
      </w:r>
      <w:r w:rsidRPr="006547D7">
        <w:rPr>
          <w:rStyle w:val="fontstyle01"/>
        </w:rPr>
        <w:t xml:space="preserve"> by detailed checks of the centres and users. </w:t>
      </w:r>
    </w:p>
    <w:p w:rsidR="00215AA7" w:rsidRPr="006547D7" w:rsidP="00EC23CC" w14:paraId="2D88D790" w14:textId="77777777">
      <w:pPr>
        <w:jc w:val="both"/>
      </w:pPr>
      <w:r w:rsidRPr="006547D7">
        <w:rPr>
          <w:rStyle w:val="fontstyle01"/>
        </w:rPr>
        <w:t xml:space="preserve">With regard to the findings of the checks, eight recommendations </w:t>
      </w:r>
      <w:r w:rsidRPr="006547D7">
        <w:rPr>
          <w:rStyle w:val="fontstyle01"/>
        </w:rPr>
        <w:t>were issued</w:t>
      </w:r>
      <w:r w:rsidRPr="006547D7">
        <w:rPr>
          <w:rStyle w:val="fontstyle01"/>
        </w:rPr>
        <w:t xml:space="preserve"> to the undertakings.</w:t>
      </w:r>
      <w:r w:rsidRPr="006547D7">
        <w:t xml:space="preserve"> </w:t>
      </w:r>
    </w:p>
    <w:p w:rsidR="002E439B" w:rsidRPr="006547D7" w:rsidP="00EC23CC" w14:paraId="75C269E7" w14:textId="77777777">
      <w:pPr>
        <w:jc w:val="both"/>
      </w:pPr>
    </w:p>
    <w:p w:rsidR="00215AA7" w:rsidRPr="006547D7" w:rsidP="00362CDF" w14:paraId="3E65C4C5" w14:textId="77777777">
      <w:pPr>
        <w:pStyle w:val="Heading1"/>
        <w:keepNext w:val="0"/>
        <w:keepLines w:val="0"/>
        <w:pageBreakBefore/>
        <w:widowControl w:val="0"/>
        <w:numPr>
          <w:ilvl w:val="0"/>
          <w:numId w:val="1"/>
        </w:numPr>
        <w:ind w:left="714" w:hanging="357"/>
      </w:pPr>
      <w:bookmarkStart w:id="9" w:name="_Toc524421168"/>
      <w:bookmarkStart w:id="10" w:name="_Toc528759587"/>
      <w:r w:rsidRPr="006547D7">
        <w:t>Safety certification and authorisation</w:t>
      </w:r>
      <w:bookmarkEnd w:id="9"/>
      <w:bookmarkEnd w:id="10"/>
    </w:p>
    <w:p w:rsidR="00215AA7" w:rsidRPr="006547D7" w:rsidP="00215AA7" w14:paraId="613A8B29" w14:textId="77777777"/>
    <w:p w:rsidR="00215AA7" w:rsidRPr="006547D7" w:rsidP="00215AA7" w14:paraId="1DF99CAE" w14:textId="77777777">
      <w:pPr>
        <w:pStyle w:val="Heading2"/>
      </w:pPr>
      <w:r w:rsidRPr="006547D7">
        <w:t>E.1. Guidelines</w:t>
      </w:r>
    </w:p>
    <w:p w:rsidR="00215AA7" w:rsidRPr="006547D7" w:rsidP="00215AA7" w14:paraId="0BFC9190" w14:textId="77777777"/>
    <w:p w:rsidR="00B365F3" w:rsidRPr="006547D7" w:rsidP="00B365F3" w14:paraId="7368E653" w14:textId="77777777">
      <w:pPr>
        <w:jc w:val="both"/>
      </w:pPr>
      <w:r w:rsidRPr="006547D7">
        <w:t xml:space="preserve">Guidance material for obtaining a safety certificate and authorisation </w:t>
      </w:r>
      <w:r w:rsidRPr="006547D7">
        <w:t>is published</w:t>
      </w:r>
      <w:r w:rsidRPr="006547D7">
        <w:t xml:space="preserve"> on the AŽP’s website.  This guidance material comprises practical information on filing applications for obtaining a safety certificate and authorisation.  </w:t>
      </w:r>
    </w:p>
    <w:p w:rsidR="00B365F3" w:rsidRPr="006547D7" w:rsidP="00B365F3" w14:paraId="1A58F404" w14:textId="77777777">
      <w:pPr>
        <w:jc w:val="both"/>
      </w:pPr>
      <w:r w:rsidRPr="006547D7">
        <w:t>There was no new guidance material published in 2017 or any changes to the existing guidance material for obtaining a safety certificate and authorisation.</w:t>
      </w:r>
    </w:p>
    <w:p w:rsidR="00B365F3" w:rsidRPr="006547D7" w:rsidP="00215AA7" w14:paraId="61960CA7" w14:textId="77777777"/>
    <w:p w:rsidR="00215AA7" w:rsidRPr="006547D7" w:rsidP="00215AA7" w14:paraId="54703C48" w14:textId="77777777">
      <w:pPr>
        <w:pStyle w:val="Heading2"/>
      </w:pPr>
      <w:r w:rsidRPr="006547D7">
        <w:t>E.2. Contacts with other safety authorities</w:t>
      </w:r>
    </w:p>
    <w:p w:rsidR="00215AA7" w:rsidRPr="006547D7" w:rsidP="00215AA7" w14:paraId="70C57949" w14:textId="77777777"/>
    <w:p w:rsidR="00B365F3" w:rsidRPr="006547D7" w:rsidP="00B365F3" w14:paraId="62CACB45" w14:textId="77777777">
      <w:pPr>
        <w:jc w:val="both"/>
      </w:pPr>
      <w:r w:rsidRPr="006547D7">
        <w:t>There were no requirements made by other safety authorities in 2017 on obtaining safety certificates for parts A or B.</w:t>
      </w:r>
    </w:p>
    <w:p w:rsidR="00B365F3" w:rsidRPr="006547D7" w:rsidP="00B365F3" w14:paraId="18E509AF" w14:textId="77777777">
      <w:pPr>
        <w:jc w:val="both"/>
      </w:pPr>
      <w:r w:rsidRPr="006547D7">
        <w:t xml:space="preserve">Likewise, there were no requirements made by the AŽP for other safety authorities on obtaining safety certificates for parts A or B. </w:t>
      </w:r>
    </w:p>
    <w:p w:rsidR="00B365F3" w:rsidRPr="006547D7" w:rsidP="00215AA7" w14:paraId="25B13C78" w14:textId="77777777"/>
    <w:p w:rsidR="00215AA7" w:rsidRPr="006547D7" w:rsidP="00215AA7" w14:paraId="1B697C6C" w14:textId="77777777">
      <w:pPr>
        <w:pStyle w:val="Heading2"/>
      </w:pPr>
      <w:r w:rsidRPr="006547D7">
        <w:t>E.3. Procedural issues</w:t>
      </w:r>
    </w:p>
    <w:p w:rsidR="00215AA7" w:rsidRPr="006547D7" w:rsidP="00215AA7" w14:paraId="38D6F0E2" w14:textId="77777777"/>
    <w:p w:rsidR="00B365F3" w:rsidRPr="006547D7" w:rsidP="00B365F3" w14:paraId="28E3EA0A" w14:textId="77777777">
      <w:pPr>
        <w:jc w:val="both"/>
      </w:pPr>
      <w:r w:rsidRPr="006547D7">
        <w:t xml:space="preserve">In 2017, five undertakings in Slovenia had a Part </w:t>
      </w:r>
      <w:r w:rsidRPr="006547D7">
        <w:t>A</w:t>
      </w:r>
      <w:r w:rsidRPr="006547D7">
        <w:t xml:space="preserve"> Safety Certificate and six undertakings had a Part B Safety Certificate. One of those undertakings provided passenger transport services, while all the others provided freight transport services.</w:t>
      </w:r>
    </w:p>
    <w:p w:rsidR="00B365F3" w:rsidRPr="006547D7" w:rsidP="00B365F3" w14:paraId="4A96569A" w14:textId="77777777">
      <w:pPr>
        <w:jc w:val="both"/>
      </w:pPr>
      <w:r w:rsidRPr="006547D7">
        <w:t>There is one public railway infrastructure manager in Slovenia with a valid safety authorisation.</w:t>
      </w:r>
    </w:p>
    <w:p w:rsidR="00B365F3" w:rsidRPr="006547D7" w:rsidP="00215AA7" w14:paraId="04852B0A" w14:textId="77777777"/>
    <w:p w:rsidR="00215AA7" w:rsidRPr="006547D7" w:rsidP="00215AA7" w14:paraId="03D0D0FD" w14:textId="77777777">
      <w:pPr>
        <w:pStyle w:val="Heading2"/>
      </w:pPr>
      <w:r w:rsidRPr="006547D7">
        <w:t>E.4. Feedback</w:t>
      </w:r>
    </w:p>
    <w:p w:rsidR="00215AA7" w:rsidRPr="006547D7" w:rsidP="00215AA7" w14:paraId="7CEE2FC8" w14:textId="77777777"/>
    <w:p w:rsidR="00B365F3" w:rsidRPr="006547D7" w:rsidP="00B365F3" w14:paraId="58ABFC7F" w14:textId="77777777">
      <w:pPr>
        <w:jc w:val="both"/>
      </w:pPr>
      <w:r w:rsidRPr="006547D7">
        <w:t xml:space="preserve">Feedback </w:t>
      </w:r>
      <w:r w:rsidRPr="006547D7">
        <w:t>is obtained</w:t>
      </w:r>
      <w:r w:rsidRPr="006547D7">
        <w:t xml:space="preserve"> through individual meetings between the AŽP and the undertakings or the infrastructure manager. </w:t>
      </w:r>
      <w:r w:rsidRPr="006547D7">
        <w:t>There are currently no specific formalised standards for obtaining feedback that would enable the undertakings and the infrastructure manager to express their opinions on the procedures or practices or to file complaints.</w:t>
      </w:r>
    </w:p>
    <w:p w:rsidR="002E439B" w:rsidRPr="006547D7" w:rsidP="00B365F3" w14:paraId="59028341" w14:textId="77777777">
      <w:pPr>
        <w:jc w:val="both"/>
      </w:pPr>
    </w:p>
    <w:p w:rsidR="00215AA7" w:rsidRPr="006547D7" w:rsidP="00362CDF" w14:paraId="50723CC3" w14:textId="77777777">
      <w:pPr>
        <w:pStyle w:val="Heading1"/>
        <w:pageBreakBefore/>
        <w:numPr>
          <w:ilvl w:val="0"/>
          <w:numId w:val="1"/>
        </w:numPr>
      </w:pPr>
      <w:bookmarkStart w:id="11" w:name="_Toc524421169"/>
      <w:bookmarkStart w:id="12" w:name="_Toc528759588"/>
      <w:r w:rsidRPr="006547D7">
        <w:t>Changes in legislation</w:t>
      </w:r>
      <w:bookmarkEnd w:id="11"/>
      <w:bookmarkEnd w:id="12"/>
    </w:p>
    <w:p w:rsidR="00215AA7" w:rsidRPr="006547D7" w:rsidP="00215AA7" w14:paraId="4991F11C" w14:textId="77777777"/>
    <w:p w:rsidR="00215AA7" w:rsidRPr="006547D7" w:rsidP="00215AA7" w14:paraId="7EDBAB11" w14:textId="77777777">
      <w:pPr>
        <w:pStyle w:val="Heading2"/>
      </w:pPr>
      <w:r w:rsidRPr="006547D7">
        <w:t>F.1. Railway Safety Directive</w:t>
      </w:r>
    </w:p>
    <w:p w:rsidR="00215AA7" w:rsidRPr="006547D7" w:rsidP="00215AA7" w14:paraId="4C3E9A98" w14:textId="77777777"/>
    <w:p w:rsidR="00BE0A90" w:rsidRPr="006547D7" w:rsidP="00BE0A90" w14:paraId="18BD96F5" w14:textId="77777777">
      <w:r w:rsidRPr="006547D7">
        <w:t>There were no changes in legislation in this area in 2017.</w:t>
      </w:r>
    </w:p>
    <w:p w:rsidR="00BE0A90" w:rsidRPr="006547D7" w:rsidP="00215AA7" w14:paraId="3C54F166" w14:textId="77777777"/>
    <w:p w:rsidR="00215AA7" w:rsidRPr="006547D7" w:rsidP="00215AA7" w14:paraId="21BD98F8" w14:textId="77777777">
      <w:pPr>
        <w:pStyle w:val="Heading2"/>
      </w:pPr>
      <w:r w:rsidRPr="006547D7">
        <w:t>F.2. Changes of legislation and regulations</w:t>
      </w:r>
    </w:p>
    <w:p w:rsidR="00215AA7" w:rsidRPr="006547D7" w:rsidP="00215AA7" w14:paraId="01A21D71" w14:textId="77777777"/>
    <w:p w:rsidR="00BE0A90" w:rsidRPr="006547D7" w:rsidP="00BE0A90" w14:paraId="43502622" w14:textId="77777777">
      <w:r w:rsidRPr="006547D7">
        <w:t>There were no changes in legislation in this area in 2017.</w:t>
      </w:r>
    </w:p>
    <w:p w:rsidR="002E439B" w:rsidRPr="006547D7" w:rsidP="00BE0A90" w14:paraId="74D3B506" w14:textId="77777777"/>
    <w:p w:rsidR="00215AA7" w:rsidRPr="006547D7" w:rsidP="00362CDF" w14:paraId="78D4A834" w14:textId="77777777">
      <w:pPr>
        <w:pStyle w:val="Heading1"/>
        <w:pageBreakBefore/>
        <w:numPr>
          <w:ilvl w:val="0"/>
          <w:numId w:val="1"/>
        </w:numPr>
      </w:pPr>
      <w:bookmarkStart w:id="13" w:name="_Toc524421170"/>
      <w:bookmarkStart w:id="14" w:name="_Toc528759589"/>
      <w:r w:rsidRPr="006547D7">
        <w:t>Application of the CSM for risk evaluation and assessment</w:t>
      </w:r>
      <w:bookmarkEnd w:id="13"/>
      <w:bookmarkEnd w:id="14"/>
    </w:p>
    <w:p w:rsidR="00215AA7" w:rsidRPr="006547D7" w:rsidP="00215AA7" w14:paraId="1145CB01" w14:textId="77777777"/>
    <w:p w:rsidR="00215AA7" w:rsidRPr="006547D7" w:rsidP="00215AA7" w14:paraId="3D899F6F" w14:textId="77777777">
      <w:pPr>
        <w:pStyle w:val="Heading2"/>
      </w:pPr>
      <w:r w:rsidRPr="006547D7">
        <w:t>G.1. Experience of the safety authority</w:t>
      </w:r>
    </w:p>
    <w:p w:rsidR="00215AA7" w:rsidRPr="006547D7" w:rsidP="00215AA7" w14:paraId="63B63665" w14:textId="77777777"/>
    <w:p w:rsidR="00BE0A90" w:rsidRPr="006547D7" w:rsidP="00BE0A90" w14:paraId="6051AF0F" w14:textId="77777777">
      <w:pPr>
        <w:autoSpaceDE w:val="0"/>
        <w:autoSpaceDN w:val="0"/>
        <w:adjustRightInd w:val="0"/>
        <w:spacing w:after="120" w:line="240" w:lineRule="auto"/>
        <w:jc w:val="both"/>
      </w:pPr>
      <w:r w:rsidRPr="006547D7">
        <w:t>In terms of changes to the railway system (of either a technical, operational or organisational nature, or a new introduction), the proposers prepared risk assessments, which included risk analyses and risk evaluation. They took into account Commission Regulation (EU) No 402/2013 of 30 April 2013 on the common safety method for risk evaluation and assessment and repealing Regulation (EC) No 352/2009 amended by Commission Implementing Regulation (EU) 2015/1136 of 13 July 2015.</w:t>
      </w:r>
    </w:p>
    <w:p w:rsidR="00BE0A90" w:rsidRPr="006547D7" w:rsidP="00BE0A90" w14:paraId="38B5C1A5" w14:textId="77777777">
      <w:pPr>
        <w:autoSpaceDE w:val="0"/>
        <w:autoSpaceDN w:val="0"/>
        <w:adjustRightInd w:val="0"/>
        <w:spacing w:after="120" w:line="240" w:lineRule="auto"/>
        <w:jc w:val="both"/>
      </w:pPr>
      <w:r w:rsidRPr="006547D7">
        <w:t xml:space="preserve">In the beginning, the proposers considered the potential impact of the change on the safety of the railway system. If the proposed change had an impact on safety, they assessed the significance of the change using an expert’s judgement. If the change </w:t>
      </w:r>
      <w:r w:rsidRPr="006547D7">
        <w:t>was considered</w:t>
      </w:r>
      <w:r w:rsidRPr="006547D7">
        <w:t xml:space="preserve"> significant, they applied a risk management process. The proposers evaluated the risk acceptability of a significant change by using one or more risk acceptance principles. If the change </w:t>
      </w:r>
      <w:r w:rsidRPr="006547D7">
        <w:t>was considered</w:t>
      </w:r>
      <w:r w:rsidRPr="006547D7">
        <w:t xml:space="preserve"> not significant, the proposers kept adequate documentation to justify the decision.</w:t>
      </w:r>
    </w:p>
    <w:p w:rsidR="00BE0A90" w:rsidRPr="006547D7" w:rsidP="00BE0A90" w14:paraId="2FD29FB3" w14:textId="77777777">
      <w:pPr>
        <w:autoSpaceDE w:val="0"/>
        <w:autoSpaceDN w:val="0"/>
        <w:adjustRightInd w:val="0"/>
        <w:spacing w:after="120" w:line="240" w:lineRule="auto"/>
        <w:jc w:val="both"/>
      </w:pPr>
      <w:r w:rsidRPr="006547D7">
        <w:t>In 2017, they reviewed and adopted the appropriate risk assessments for the following projects:</w:t>
      </w:r>
    </w:p>
    <w:p w:rsidR="00BE0A90" w:rsidRPr="006547D7" w:rsidP="00BE0A90" w14:paraId="3E4557D1" w14:textId="77777777">
      <w:pPr>
        <w:numPr>
          <w:ilvl w:val="0"/>
          <w:numId w:val="4"/>
        </w:numPr>
        <w:autoSpaceDE w:val="0"/>
        <w:autoSpaceDN w:val="0"/>
        <w:adjustRightInd w:val="0"/>
        <w:spacing w:after="120" w:line="240" w:lineRule="auto"/>
        <w:ind w:left="720" w:hanging="360"/>
        <w:jc w:val="both"/>
      </w:pPr>
      <w:r w:rsidRPr="006547D7">
        <w:t>construction</w:t>
      </w:r>
      <w:r w:rsidRPr="006547D7">
        <w:t xml:space="preserve"> of </w:t>
      </w:r>
      <w:r w:rsidRPr="006547D7">
        <w:t>Vič</w:t>
      </w:r>
      <w:r w:rsidRPr="006547D7">
        <w:t xml:space="preserve"> underpass (SŽ — </w:t>
      </w:r>
      <w:r w:rsidRPr="006547D7">
        <w:t>Infrastruktura</w:t>
      </w:r>
      <w:r w:rsidRPr="006547D7">
        <w:t xml:space="preserve">, </w:t>
      </w:r>
      <w:r w:rsidRPr="006547D7">
        <w:t>d.o.o</w:t>
      </w:r>
      <w:r w:rsidRPr="006547D7">
        <w:t>.);</w:t>
      </w:r>
    </w:p>
    <w:p w:rsidR="00BE0A90" w:rsidRPr="006547D7" w:rsidP="00BE0A90" w14:paraId="0546B2D6" w14:textId="77777777">
      <w:pPr>
        <w:numPr>
          <w:ilvl w:val="0"/>
          <w:numId w:val="4"/>
        </w:numPr>
        <w:autoSpaceDE w:val="0"/>
        <w:autoSpaceDN w:val="0"/>
        <w:adjustRightInd w:val="0"/>
        <w:spacing w:after="120" w:line="240" w:lineRule="auto"/>
        <w:ind w:left="720" w:hanging="360"/>
        <w:jc w:val="both"/>
      </w:pPr>
      <w:r w:rsidRPr="006547D7">
        <w:t>replacement</w:t>
      </w:r>
      <w:r w:rsidRPr="006547D7">
        <w:t xml:space="preserve"> of the </w:t>
      </w:r>
      <w:r w:rsidRPr="006547D7">
        <w:t>Hasler</w:t>
      </w:r>
      <w:r w:rsidRPr="006547D7">
        <w:t xml:space="preserve"> A16i mechanical speedometer with the </w:t>
      </w:r>
      <w:r w:rsidRPr="006547D7">
        <w:t>Hasler</w:t>
      </w:r>
      <w:r w:rsidRPr="006547D7">
        <w:t xml:space="preserve"> </w:t>
      </w:r>
      <w:r w:rsidRPr="006547D7">
        <w:t>Teloc</w:t>
      </w:r>
      <w:r w:rsidRPr="006547D7">
        <w:t xml:space="preserve"> 1500 electronic speedometer (SŽ — </w:t>
      </w:r>
      <w:r w:rsidRPr="006547D7">
        <w:t>Tovorni</w:t>
      </w:r>
      <w:r w:rsidRPr="006547D7">
        <w:t xml:space="preserve"> </w:t>
      </w:r>
      <w:r w:rsidRPr="006547D7">
        <w:t>promet</w:t>
      </w:r>
      <w:r w:rsidRPr="006547D7">
        <w:t xml:space="preserve">, </w:t>
      </w:r>
      <w:r w:rsidRPr="006547D7">
        <w:t>d.o.o</w:t>
      </w:r>
      <w:r w:rsidRPr="006547D7">
        <w:t>.);</w:t>
      </w:r>
    </w:p>
    <w:p w:rsidR="00BE0A90" w:rsidRPr="006547D7" w:rsidP="00BE0A90" w14:paraId="04478148" w14:textId="77777777">
      <w:pPr>
        <w:numPr>
          <w:ilvl w:val="0"/>
          <w:numId w:val="4"/>
        </w:numPr>
        <w:autoSpaceDE w:val="0"/>
        <w:autoSpaceDN w:val="0"/>
        <w:adjustRightInd w:val="0"/>
        <w:spacing w:after="120" w:line="240" w:lineRule="auto"/>
        <w:ind w:left="720" w:hanging="360"/>
        <w:jc w:val="both"/>
      </w:pPr>
      <w:r w:rsidRPr="006547D7">
        <w:t>application</w:t>
      </w:r>
      <w:r w:rsidRPr="006547D7">
        <w:t xml:space="preserve"> for rolling stock operating licence (SŽ – </w:t>
      </w:r>
      <w:r w:rsidRPr="006547D7">
        <w:t>Tovorni</w:t>
      </w:r>
      <w:r w:rsidRPr="006547D7">
        <w:t xml:space="preserve"> </w:t>
      </w:r>
      <w:r w:rsidRPr="006547D7">
        <w:t>promet</w:t>
      </w:r>
      <w:r w:rsidRPr="006547D7">
        <w:t xml:space="preserve">, </w:t>
      </w:r>
      <w:r w:rsidRPr="006547D7">
        <w:t>d.o.o</w:t>
      </w:r>
      <w:r w:rsidRPr="006547D7">
        <w:t>.);</w:t>
      </w:r>
    </w:p>
    <w:p w:rsidR="00BE0A90" w:rsidRPr="006547D7" w:rsidP="00BE0A90" w14:paraId="463749D9" w14:textId="77777777">
      <w:pPr>
        <w:numPr>
          <w:ilvl w:val="0"/>
          <w:numId w:val="4"/>
        </w:numPr>
        <w:autoSpaceDE w:val="0"/>
        <w:autoSpaceDN w:val="0"/>
        <w:adjustRightInd w:val="0"/>
        <w:spacing w:after="120" w:line="240" w:lineRule="auto"/>
        <w:ind w:left="720" w:hanging="360"/>
        <w:jc w:val="both"/>
      </w:pPr>
      <w:r w:rsidRPr="006547D7">
        <w:t>upgrade</w:t>
      </w:r>
      <w:r w:rsidRPr="006547D7">
        <w:t xml:space="preserve"> of the X4-E-lok locomotive software (Siemens, </w:t>
      </w:r>
      <w:r w:rsidRPr="006547D7">
        <w:t>d.o.o</w:t>
      </w:r>
      <w:r w:rsidRPr="006547D7">
        <w:t>.);</w:t>
      </w:r>
    </w:p>
    <w:p w:rsidR="00BE0A90" w:rsidRPr="006547D7" w:rsidP="00BE0A90" w14:paraId="5218E77E" w14:textId="77777777">
      <w:pPr>
        <w:numPr>
          <w:ilvl w:val="0"/>
          <w:numId w:val="4"/>
        </w:numPr>
        <w:autoSpaceDE w:val="0"/>
        <w:autoSpaceDN w:val="0"/>
        <w:adjustRightInd w:val="0"/>
        <w:spacing w:after="120" w:line="240" w:lineRule="auto"/>
        <w:ind w:left="720" w:hanging="360"/>
        <w:jc w:val="both"/>
        <w:rPr>
          <w:lang w:val="fr-FR"/>
        </w:rPr>
      </w:pPr>
      <w:r w:rsidRPr="006547D7">
        <w:rPr>
          <w:lang w:val="fr-FR"/>
        </w:rPr>
        <w:t xml:space="preserve">ETR 563 </w:t>
      </w:r>
      <w:r w:rsidRPr="006547D7">
        <w:rPr>
          <w:lang w:val="fr-FR"/>
        </w:rPr>
        <w:t>electric</w:t>
      </w:r>
      <w:r w:rsidRPr="006547D7">
        <w:rPr>
          <w:lang w:val="fr-FR"/>
        </w:rPr>
        <w:t xml:space="preserve"> multiple-unit set (CAF-</w:t>
      </w:r>
      <w:r w:rsidRPr="006547D7">
        <w:rPr>
          <w:lang w:val="fr-FR"/>
        </w:rPr>
        <w:t>Construcciones</w:t>
      </w:r>
      <w:r w:rsidRPr="006547D7">
        <w:rPr>
          <w:lang w:val="fr-FR"/>
        </w:rPr>
        <w:t xml:space="preserve"> y </w:t>
      </w:r>
      <w:r w:rsidRPr="006547D7">
        <w:rPr>
          <w:lang w:val="fr-FR"/>
        </w:rPr>
        <w:t>Auxiliar</w:t>
      </w:r>
      <w:r w:rsidRPr="006547D7">
        <w:rPr>
          <w:lang w:val="fr-FR"/>
        </w:rPr>
        <w:t xml:space="preserve"> de </w:t>
      </w:r>
      <w:r w:rsidRPr="006547D7">
        <w:rPr>
          <w:lang w:val="fr-FR"/>
        </w:rPr>
        <w:t>Ferrocarriles</w:t>
      </w:r>
      <w:r w:rsidRPr="006547D7">
        <w:rPr>
          <w:lang w:val="fr-FR"/>
        </w:rPr>
        <w:t xml:space="preserve"> S. A.</w:t>
      </w:r>
      <w:r w:rsidRPr="006547D7">
        <w:rPr>
          <w:lang w:val="fr-FR"/>
        </w:rPr>
        <w:t>);</w:t>
      </w:r>
    </w:p>
    <w:p w:rsidR="00BE0A90" w:rsidRPr="006547D7" w:rsidP="00BE0A90" w14:paraId="2075A890" w14:textId="77777777">
      <w:pPr>
        <w:numPr>
          <w:ilvl w:val="0"/>
          <w:numId w:val="4"/>
        </w:numPr>
        <w:autoSpaceDE w:val="0"/>
        <w:autoSpaceDN w:val="0"/>
        <w:adjustRightInd w:val="0"/>
        <w:spacing w:after="120" w:line="240" w:lineRule="auto"/>
        <w:ind w:left="720" w:hanging="360"/>
        <w:jc w:val="both"/>
      </w:pPr>
      <w:r w:rsidRPr="006547D7">
        <w:t>renewal</w:t>
      </w:r>
      <w:r w:rsidRPr="006547D7">
        <w:t xml:space="preserve"> of level crossings including protection on the </w:t>
      </w:r>
      <w:r w:rsidRPr="006547D7">
        <w:t>Grosuplje</w:t>
      </w:r>
      <w:r w:rsidRPr="006547D7">
        <w:t>–</w:t>
      </w:r>
      <w:r w:rsidRPr="006547D7">
        <w:t>Ortnek</w:t>
      </w:r>
      <w:r w:rsidRPr="006547D7">
        <w:t xml:space="preserve"> section of the No 82 </w:t>
      </w:r>
      <w:r w:rsidRPr="006547D7">
        <w:t>Grosuplje</w:t>
      </w:r>
      <w:r w:rsidRPr="006547D7">
        <w:t>–</w:t>
      </w:r>
      <w:r w:rsidRPr="006547D7">
        <w:t>Kočevje</w:t>
      </w:r>
      <w:r w:rsidRPr="006547D7">
        <w:t xml:space="preserve"> regional railway line (SŽ – </w:t>
      </w:r>
      <w:r w:rsidRPr="006547D7">
        <w:t>Infrastruktura</w:t>
      </w:r>
      <w:r w:rsidRPr="006547D7">
        <w:t>, d. o. o.);</w:t>
      </w:r>
    </w:p>
    <w:p w:rsidR="00BE0A90" w:rsidRPr="006547D7" w:rsidP="00BE0A90" w14:paraId="5CD06358" w14:textId="77777777">
      <w:pPr>
        <w:numPr>
          <w:ilvl w:val="0"/>
          <w:numId w:val="4"/>
        </w:numPr>
        <w:autoSpaceDE w:val="0"/>
        <w:autoSpaceDN w:val="0"/>
        <w:adjustRightInd w:val="0"/>
        <w:spacing w:after="120" w:line="240" w:lineRule="auto"/>
        <w:ind w:left="720" w:hanging="360"/>
        <w:jc w:val="both"/>
      </w:pPr>
      <w:r w:rsidRPr="006547D7">
        <w:t>inclusion</w:t>
      </w:r>
      <w:r w:rsidRPr="006547D7">
        <w:t xml:space="preserve"> of the dual-system electric locomotive 91 81 1822 004-8 into the safety management system of Adria Transport, </w:t>
      </w:r>
      <w:r w:rsidRPr="006547D7">
        <w:t>d.o.o</w:t>
      </w:r>
      <w:r w:rsidRPr="006547D7">
        <w:t>. (Adria Transport, d. o. o.);</w:t>
      </w:r>
    </w:p>
    <w:p w:rsidR="00BE0A90" w:rsidRPr="006547D7" w:rsidP="00BE0A90" w14:paraId="4180084D" w14:textId="77777777">
      <w:pPr>
        <w:numPr>
          <w:ilvl w:val="0"/>
          <w:numId w:val="4"/>
        </w:numPr>
        <w:autoSpaceDE w:val="0"/>
        <w:autoSpaceDN w:val="0"/>
        <w:adjustRightInd w:val="0"/>
        <w:spacing w:after="120" w:line="240" w:lineRule="auto"/>
        <w:ind w:left="720" w:hanging="360"/>
        <w:jc w:val="both"/>
      </w:pPr>
      <w:r w:rsidRPr="006547D7">
        <w:t>Inclusion of the Siemens electric locomotive 92812016907-5 in service (RTS Rail Transport Service GmbH).</w:t>
      </w:r>
    </w:p>
    <w:p w:rsidR="00BE0A90" w:rsidRPr="006547D7" w:rsidP="00BE0A90" w14:paraId="67CB49F0" w14:textId="77777777"/>
    <w:p w:rsidR="00215AA7" w:rsidRPr="006547D7" w:rsidP="00215AA7" w14:paraId="7CE05F77" w14:textId="77777777">
      <w:pPr>
        <w:pStyle w:val="Heading2"/>
      </w:pPr>
      <w:r w:rsidRPr="006547D7">
        <w:t>G.2. Feedback from stakeholders</w:t>
      </w:r>
    </w:p>
    <w:p w:rsidR="00215AA7" w:rsidRPr="006547D7" w:rsidP="00215AA7" w14:paraId="46BB4BEB" w14:textId="77777777"/>
    <w:p w:rsidR="00BE0A90" w:rsidRPr="006547D7" w:rsidP="00BE0A90" w14:paraId="1A5C6199" w14:textId="77777777">
      <w:pPr>
        <w:autoSpaceDE w:val="0"/>
        <w:autoSpaceDN w:val="0"/>
        <w:adjustRightInd w:val="0"/>
        <w:spacing w:after="120" w:line="240" w:lineRule="auto"/>
        <w:jc w:val="both"/>
      </w:pPr>
      <w:r w:rsidRPr="006547D7">
        <w:t xml:space="preserve">The assessment body (AŽP) received risk assessments from the proposers where a change had an impact on safety but the change itself </w:t>
      </w:r>
      <w:r w:rsidRPr="006547D7">
        <w:t>was not considered</w:t>
      </w:r>
      <w:r w:rsidRPr="006547D7">
        <w:t xml:space="preserve"> essential. </w:t>
      </w:r>
    </w:p>
    <w:p w:rsidR="00BE0A90" w:rsidRPr="006547D7" w:rsidP="00BE0A90" w14:paraId="6518DB49" w14:textId="77777777">
      <w:r w:rsidRPr="006547D7">
        <w:t xml:space="preserve">If the proposers defined a change as significant, risk management procedures </w:t>
      </w:r>
      <w:r w:rsidRPr="006547D7">
        <w:t>should be applied</w:t>
      </w:r>
      <w:r w:rsidRPr="006547D7">
        <w:t xml:space="preserve"> accordingly. In such a case, the assessment body (AŽP) would carry out an independent assessment of the suitability of the application of the risk management process and of its results, and provide the appropriate safety assessment report.</w:t>
      </w:r>
    </w:p>
    <w:p w:rsidR="00EC23CC" w:rsidRPr="006547D7" w:rsidP="00BE0A90" w14:paraId="05A15BE9" w14:textId="77777777"/>
    <w:p w:rsidR="00215AA7" w:rsidRPr="006547D7" w:rsidP="00215AA7" w14:paraId="1A4FABB3" w14:textId="77777777">
      <w:pPr>
        <w:pStyle w:val="Heading2"/>
      </w:pPr>
      <w:r w:rsidRPr="006547D7">
        <w:t>G.3. Audit of the national strategy report while taking into account the CSM for risk evaluation and assessment</w:t>
      </w:r>
    </w:p>
    <w:p w:rsidR="00215AA7" w:rsidRPr="006547D7" w:rsidP="00215AA7" w14:paraId="7D7AB263" w14:textId="77777777"/>
    <w:p w:rsidR="00215AA7" w:rsidRPr="006547D7" w14:paraId="671A814A" w14:textId="77777777">
      <w:r w:rsidRPr="006547D7">
        <w:t xml:space="preserve">No national strategy report </w:t>
      </w:r>
      <w:r w:rsidRPr="006547D7">
        <w:t>was audited</w:t>
      </w:r>
      <w:r w:rsidRPr="006547D7">
        <w:t xml:space="preserve"> in 2017.</w:t>
      </w:r>
    </w:p>
    <w:p w:rsidR="002E439B" w:rsidRPr="006547D7" w14:paraId="7EDEE180" w14:textId="77777777"/>
    <w:p w:rsidR="00215AA7" w:rsidRPr="006547D7" w:rsidP="00362CDF" w14:paraId="477DE1BD" w14:textId="77777777">
      <w:pPr>
        <w:pStyle w:val="Heading1"/>
        <w:pageBreakBefore/>
        <w:numPr>
          <w:ilvl w:val="0"/>
          <w:numId w:val="1"/>
        </w:numPr>
      </w:pPr>
      <w:bookmarkStart w:id="15" w:name="_Toc524421171"/>
      <w:bookmarkStart w:id="16" w:name="_Toc528759590"/>
      <w:r w:rsidRPr="006547D7">
        <w:t>Derogations from the ECM certification scheme</w:t>
      </w:r>
      <w:bookmarkEnd w:id="15"/>
      <w:bookmarkEnd w:id="16"/>
    </w:p>
    <w:p w:rsidR="0001536A" w:rsidRPr="006547D7" w:rsidP="0001536A" w14:paraId="4349DB6A" w14:textId="77777777"/>
    <w:p w:rsidR="00BE0A90" w:rsidP="00BE0A90" w14:paraId="03733D7D" w14:textId="77777777">
      <w:pPr>
        <w:jc w:val="both"/>
      </w:pPr>
      <w:r w:rsidRPr="006547D7">
        <w:t xml:space="preserve">Only ECM certification schemes </w:t>
      </w:r>
      <w:r w:rsidRPr="006547D7">
        <w:t>are applied</w:t>
      </w:r>
      <w:r w:rsidRPr="006547D7">
        <w:t xml:space="preserve"> in Slovenia.</w:t>
      </w:r>
    </w:p>
    <w:p w:rsidR="006547D7" w:rsidRPr="006547D7" w:rsidP="00BE0A90" w14:paraId="3015474D" w14:textId="77777777">
      <w:pPr>
        <w:jc w:val="both"/>
      </w:pPr>
    </w:p>
    <w:p w:rsidR="0001536A" w:rsidRPr="006547D7" w14:paraId="770A9EED" w14:textId="77777777">
      <w:r w:rsidRPr="006547D7">
        <w:br w:type="page"/>
      </w:r>
    </w:p>
    <w:p w:rsidR="0001536A" w:rsidRPr="006547D7" w:rsidP="0001536A" w14:paraId="6D7FE4FA" w14:textId="77777777">
      <w:pPr>
        <w:pStyle w:val="Heading1"/>
      </w:pPr>
      <w:bookmarkStart w:id="17" w:name="_Toc524421172"/>
      <w:bookmarkStart w:id="18" w:name="_Toc528759591"/>
      <w:r w:rsidRPr="006547D7">
        <w:t>Annex A: Common safety indicators</w:t>
      </w:r>
      <w:bookmarkEnd w:id="17"/>
      <w:bookmarkEnd w:id="18"/>
    </w:p>
    <w:p w:rsidR="0001536A" w:rsidRPr="006547D7" w:rsidP="0001536A" w14:paraId="5E8046D3" w14:textId="77777777"/>
    <w:p w:rsidR="00D3690E" w:rsidP="00D3690E" w14:paraId="7A29FE2A" w14:textId="77777777">
      <w:r w:rsidRPr="006547D7">
        <w:rPr>
          <w:noProof/>
          <w:lang w:val="en-US" w:eastAsia="zh-CN" w:bidi="mn-Mong-CN"/>
        </w:rPr>
        <w:drawing>
          <wp:inline distT="0" distB="0" distL="0" distR="0">
            <wp:extent cx="5760720" cy="3599180"/>
            <wp:effectExtent l="0" t="0" r="11430" b="1270"/>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547D7" w:rsidRPr="006547D7" w:rsidP="006547D7" w14:paraId="3B5D30FC" w14:textId="77777777">
      <w:pPr>
        <w:spacing w:after="0"/>
      </w:pPr>
    </w:p>
    <w:tbl>
      <w:tblPr>
        <w:tblStyle w:val="TableGrid"/>
        <w:tblW w:w="5000" w:type="pct"/>
        <w:tblLook w:val="04A0"/>
      </w:tblPr>
      <w:tblGrid>
        <w:gridCol w:w="4531"/>
        <w:gridCol w:w="4531"/>
      </w:tblGrid>
      <w:tr w14:paraId="6923EBE0" w14:textId="77777777" w:rsidTr="006547D7">
        <w:tblPrEx>
          <w:tblW w:w="5000" w:type="pct"/>
          <w:tblLook w:val="04A0"/>
        </w:tblPrEx>
        <w:tc>
          <w:tcPr>
            <w:tcW w:w="2500" w:type="pct"/>
            <w:shd w:val="clear" w:color="auto" w:fill="auto"/>
          </w:tcPr>
          <w:p w:rsidR="00362CDF" w:rsidRPr="006547D7" w:rsidP="00A73D45" w14:paraId="38089894" w14:textId="77777777">
            <w:pPr>
              <w:rPr>
                <w:sz w:val="20"/>
                <w:szCs w:val="20"/>
              </w:rPr>
            </w:pPr>
            <w:r w:rsidRPr="006547D7">
              <w:rPr>
                <w:sz w:val="20"/>
                <w:szCs w:val="20"/>
              </w:rPr>
              <w:t>Trki</w:t>
            </w:r>
          </w:p>
        </w:tc>
        <w:tc>
          <w:tcPr>
            <w:tcW w:w="2500" w:type="pct"/>
          </w:tcPr>
          <w:p w:rsidR="00362CDF" w:rsidRPr="006547D7" w:rsidP="00A73D45" w14:paraId="3CD24167" w14:textId="77777777">
            <w:pPr>
              <w:rPr>
                <w:sz w:val="20"/>
                <w:szCs w:val="20"/>
              </w:rPr>
            </w:pPr>
            <w:r w:rsidRPr="006547D7">
              <w:rPr>
                <w:sz w:val="20"/>
                <w:szCs w:val="20"/>
              </w:rPr>
              <w:t>Collisions</w:t>
            </w:r>
          </w:p>
        </w:tc>
      </w:tr>
      <w:tr w14:paraId="4785CA19" w14:textId="77777777" w:rsidTr="006547D7">
        <w:tblPrEx>
          <w:tblW w:w="5000" w:type="pct"/>
          <w:tblLook w:val="04A0"/>
        </w:tblPrEx>
        <w:tc>
          <w:tcPr>
            <w:tcW w:w="2500" w:type="pct"/>
            <w:shd w:val="clear" w:color="auto" w:fill="auto"/>
          </w:tcPr>
          <w:p w:rsidR="00362CDF" w:rsidRPr="006547D7" w:rsidP="00A73D45" w14:paraId="221CD9F3" w14:textId="77777777">
            <w:pPr>
              <w:rPr>
                <w:sz w:val="20"/>
                <w:szCs w:val="20"/>
              </w:rPr>
            </w:pPr>
            <w:r w:rsidRPr="006547D7">
              <w:rPr>
                <w:sz w:val="20"/>
                <w:szCs w:val="20"/>
              </w:rPr>
              <w:t>Nesreče na nivojskih prehodih</w:t>
            </w:r>
          </w:p>
        </w:tc>
        <w:tc>
          <w:tcPr>
            <w:tcW w:w="2500" w:type="pct"/>
          </w:tcPr>
          <w:p w:rsidR="00362CDF" w:rsidRPr="006547D7" w:rsidP="00A73D45" w14:paraId="47E2167E" w14:textId="77777777">
            <w:pPr>
              <w:rPr>
                <w:sz w:val="20"/>
                <w:szCs w:val="20"/>
              </w:rPr>
            </w:pPr>
            <w:r w:rsidRPr="006547D7">
              <w:rPr>
                <w:sz w:val="20"/>
                <w:szCs w:val="20"/>
              </w:rPr>
              <w:t>Level</w:t>
            </w:r>
            <w:r w:rsidRPr="006547D7">
              <w:rPr>
                <w:sz w:val="20"/>
                <w:szCs w:val="20"/>
              </w:rPr>
              <w:t xml:space="preserve"> </w:t>
            </w:r>
            <w:r w:rsidRPr="006547D7">
              <w:rPr>
                <w:sz w:val="20"/>
                <w:szCs w:val="20"/>
              </w:rPr>
              <w:t>crossing</w:t>
            </w:r>
            <w:r w:rsidRPr="006547D7">
              <w:rPr>
                <w:sz w:val="20"/>
                <w:szCs w:val="20"/>
              </w:rPr>
              <w:t xml:space="preserve"> </w:t>
            </w:r>
            <w:r w:rsidRPr="006547D7">
              <w:rPr>
                <w:sz w:val="20"/>
                <w:szCs w:val="20"/>
              </w:rPr>
              <w:t>accidents</w:t>
            </w:r>
          </w:p>
        </w:tc>
      </w:tr>
      <w:tr w14:paraId="62C87059" w14:textId="77777777" w:rsidTr="006547D7">
        <w:tblPrEx>
          <w:tblW w:w="5000" w:type="pct"/>
          <w:tblLook w:val="04A0"/>
        </w:tblPrEx>
        <w:tc>
          <w:tcPr>
            <w:tcW w:w="2500" w:type="pct"/>
            <w:shd w:val="clear" w:color="auto" w:fill="auto"/>
          </w:tcPr>
          <w:p w:rsidR="00362CDF" w:rsidRPr="006547D7" w:rsidP="00A73D45" w14:paraId="72A6F141" w14:textId="77777777">
            <w:pPr>
              <w:rPr>
                <w:sz w:val="20"/>
                <w:szCs w:val="20"/>
              </w:rPr>
            </w:pPr>
            <w:r w:rsidRPr="006547D7">
              <w:rPr>
                <w:sz w:val="20"/>
                <w:szCs w:val="20"/>
              </w:rPr>
              <w:t>Požari na vozilih</w:t>
            </w:r>
          </w:p>
        </w:tc>
        <w:tc>
          <w:tcPr>
            <w:tcW w:w="2500" w:type="pct"/>
          </w:tcPr>
          <w:p w:rsidR="00362CDF" w:rsidRPr="006547D7" w:rsidP="00A73D45" w14:paraId="09823218" w14:textId="77777777">
            <w:pPr>
              <w:rPr>
                <w:sz w:val="20"/>
                <w:szCs w:val="20"/>
              </w:rPr>
            </w:pPr>
            <w:r w:rsidRPr="006547D7">
              <w:rPr>
                <w:rFonts w:ascii="Calibri" w:hAnsi="Calibri"/>
                <w:color w:val="000000"/>
                <w:sz w:val="20"/>
                <w:szCs w:val="20"/>
              </w:rPr>
              <w:t>Fires</w:t>
            </w:r>
            <w:r w:rsidRPr="006547D7">
              <w:rPr>
                <w:rFonts w:ascii="Calibri" w:hAnsi="Calibri"/>
                <w:color w:val="000000"/>
                <w:sz w:val="20"/>
                <w:szCs w:val="20"/>
              </w:rPr>
              <w:t xml:space="preserve"> on </w:t>
            </w:r>
            <w:r w:rsidRPr="006547D7">
              <w:rPr>
                <w:rFonts w:ascii="Calibri" w:hAnsi="Calibri"/>
                <w:color w:val="000000"/>
                <w:sz w:val="20"/>
                <w:szCs w:val="20"/>
              </w:rPr>
              <w:t>vehicles</w:t>
            </w:r>
          </w:p>
        </w:tc>
      </w:tr>
      <w:tr w14:paraId="22642AC3" w14:textId="77777777" w:rsidTr="006547D7">
        <w:tblPrEx>
          <w:tblW w:w="5000" w:type="pct"/>
          <w:tblLook w:val="04A0"/>
        </w:tblPrEx>
        <w:tc>
          <w:tcPr>
            <w:tcW w:w="2500" w:type="pct"/>
            <w:shd w:val="clear" w:color="auto" w:fill="auto"/>
          </w:tcPr>
          <w:p w:rsidR="00362CDF" w:rsidRPr="006547D7" w:rsidP="00A73D45" w14:paraId="3E8AF7EC" w14:textId="77777777">
            <w:pPr>
              <w:rPr>
                <w:sz w:val="20"/>
                <w:szCs w:val="20"/>
              </w:rPr>
            </w:pPr>
            <w:r w:rsidRPr="006547D7">
              <w:rPr>
                <w:sz w:val="20"/>
                <w:szCs w:val="20"/>
              </w:rPr>
              <w:t>Iztirjenja</w:t>
            </w:r>
          </w:p>
        </w:tc>
        <w:tc>
          <w:tcPr>
            <w:tcW w:w="2500" w:type="pct"/>
          </w:tcPr>
          <w:p w:rsidR="00362CDF" w:rsidRPr="006547D7" w:rsidP="00A73D45" w14:paraId="745600A8" w14:textId="77777777">
            <w:pPr>
              <w:rPr>
                <w:sz w:val="20"/>
                <w:szCs w:val="20"/>
              </w:rPr>
            </w:pPr>
            <w:r w:rsidRPr="006547D7">
              <w:rPr>
                <w:sz w:val="20"/>
                <w:szCs w:val="20"/>
              </w:rPr>
              <w:t>Derailments</w:t>
            </w:r>
          </w:p>
        </w:tc>
      </w:tr>
      <w:tr w14:paraId="4DA37B03" w14:textId="77777777" w:rsidTr="006547D7">
        <w:tblPrEx>
          <w:tblW w:w="5000" w:type="pct"/>
          <w:tblLook w:val="04A0"/>
        </w:tblPrEx>
        <w:tc>
          <w:tcPr>
            <w:tcW w:w="2500" w:type="pct"/>
            <w:shd w:val="clear" w:color="auto" w:fill="auto"/>
          </w:tcPr>
          <w:p w:rsidR="00362CDF" w:rsidRPr="006547D7" w:rsidP="00A73D45" w14:paraId="77C94CE2" w14:textId="77777777">
            <w:pPr>
              <w:rPr>
                <w:sz w:val="20"/>
                <w:szCs w:val="20"/>
              </w:rPr>
            </w:pPr>
            <w:r w:rsidRPr="006547D7">
              <w:rPr>
                <w:sz w:val="20"/>
                <w:szCs w:val="20"/>
              </w:rPr>
              <w:t>Nesreče, ki so jih povzročila vozila v gibanju</w:t>
            </w:r>
          </w:p>
        </w:tc>
        <w:tc>
          <w:tcPr>
            <w:tcW w:w="2500" w:type="pct"/>
          </w:tcPr>
          <w:p w:rsidR="00362CDF" w:rsidRPr="006547D7" w:rsidP="00225DC4" w14:paraId="00977656" w14:textId="77777777">
            <w:pPr>
              <w:rPr>
                <w:sz w:val="20"/>
                <w:szCs w:val="20"/>
              </w:rPr>
            </w:pPr>
            <w:r w:rsidRPr="006547D7">
              <w:rPr>
                <w:sz w:val="20"/>
                <w:szCs w:val="20"/>
              </w:rPr>
              <w:t>Accidents</w:t>
            </w:r>
            <w:r w:rsidRPr="006547D7">
              <w:rPr>
                <w:sz w:val="20"/>
                <w:szCs w:val="20"/>
              </w:rPr>
              <w:t xml:space="preserve"> </w:t>
            </w:r>
            <w:r w:rsidRPr="006547D7">
              <w:rPr>
                <w:sz w:val="20"/>
                <w:szCs w:val="20"/>
              </w:rPr>
              <w:t>caused</w:t>
            </w:r>
            <w:r w:rsidRPr="006547D7">
              <w:rPr>
                <w:sz w:val="20"/>
                <w:szCs w:val="20"/>
              </w:rPr>
              <w:t xml:space="preserve"> </w:t>
            </w:r>
            <w:r w:rsidRPr="006547D7">
              <w:rPr>
                <w:sz w:val="20"/>
                <w:szCs w:val="20"/>
              </w:rPr>
              <w:t>by</w:t>
            </w:r>
            <w:r w:rsidRPr="006547D7">
              <w:rPr>
                <w:sz w:val="20"/>
                <w:szCs w:val="20"/>
              </w:rPr>
              <w:t xml:space="preserve"> </w:t>
            </w:r>
            <w:r w:rsidRPr="006547D7">
              <w:rPr>
                <w:sz w:val="20"/>
                <w:szCs w:val="20"/>
              </w:rPr>
              <w:t>vehicles</w:t>
            </w:r>
            <w:r w:rsidRPr="006547D7">
              <w:rPr>
                <w:sz w:val="20"/>
                <w:szCs w:val="20"/>
              </w:rPr>
              <w:t xml:space="preserve"> in </w:t>
            </w:r>
            <w:r w:rsidRPr="006547D7">
              <w:rPr>
                <w:sz w:val="20"/>
                <w:szCs w:val="20"/>
              </w:rPr>
              <w:t>motion</w:t>
            </w:r>
          </w:p>
        </w:tc>
      </w:tr>
      <w:tr w14:paraId="77F86070" w14:textId="77777777" w:rsidTr="006547D7">
        <w:tblPrEx>
          <w:tblW w:w="5000" w:type="pct"/>
          <w:tblLook w:val="04A0"/>
        </w:tblPrEx>
        <w:tc>
          <w:tcPr>
            <w:tcW w:w="2500" w:type="pct"/>
            <w:shd w:val="clear" w:color="auto" w:fill="auto"/>
          </w:tcPr>
          <w:p w:rsidR="00362CDF" w:rsidRPr="006547D7" w:rsidP="00A73D45" w14:paraId="13B2FDA8" w14:textId="77777777">
            <w:pPr>
              <w:rPr>
                <w:sz w:val="20"/>
                <w:szCs w:val="20"/>
              </w:rPr>
            </w:pPr>
            <w:r w:rsidRPr="006547D7">
              <w:rPr>
                <w:sz w:val="20"/>
                <w:szCs w:val="20"/>
              </w:rPr>
              <w:t>Ostalo</w:t>
            </w:r>
          </w:p>
        </w:tc>
        <w:tc>
          <w:tcPr>
            <w:tcW w:w="2500" w:type="pct"/>
          </w:tcPr>
          <w:p w:rsidR="00362CDF" w:rsidRPr="006547D7" w:rsidP="00A73D45" w14:paraId="54B9D39F" w14:textId="77777777">
            <w:pPr>
              <w:rPr>
                <w:sz w:val="20"/>
                <w:szCs w:val="20"/>
              </w:rPr>
            </w:pPr>
            <w:r w:rsidRPr="006547D7">
              <w:rPr>
                <w:sz w:val="20"/>
                <w:szCs w:val="20"/>
              </w:rPr>
              <w:t>Other</w:t>
            </w:r>
          </w:p>
        </w:tc>
      </w:tr>
    </w:tbl>
    <w:p w:rsidR="00362CDF" w:rsidRPr="006547D7" w:rsidP="00D3690E" w14:paraId="0E989530" w14:textId="77777777"/>
    <w:p w:rsidR="00D3690E" w:rsidRPr="006547D7" w14:paraId="0EA00684" w14:textId="77777777">
      <w:r w:rsidRPr="006547D7">
        <w:rPr>
          <w:noProof/>
          <w:lang w:val="en-US" w:eastAsia="zh-CN" w:bidi="mn-Mong-CN"/>
        </w:rPr>
        <w:drawing>
          <wp:inline distT="0" distB="0" distL="0" distR="0">
            <wp:extent cx="5760720" cy="3276600"/>
            <wp:effectExtent l="0" t="0" r="11430" b="0"/>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Style w:val="TableGrid"/>
        <w:tblW w:w="9070" w:type="dxa"/>
        <w:tblLayout w:type="fixed"/>
        <w:tblLook w:val="04A0"/>
      </w:tblPr>
      <w:tblGrid>
        <w:gridCol w:w="4535"/>
        <w:gridCol w:w="4535"/>
      </w:tblGrid>
      <w:tr w14:paraId="162CAACC" w14:textId="77777777" w:rsidTr="00362CDF">
        <w:tblPrEx>
          <w:tblW w:w="9070" w:type="dxa"/>
          <w:tblLayout w:type="fixed"/>
          <w:tblLook w:val="04A0"/>
        </w:tblPrEx>
        <w:tc>
          <w:tcPr>
            <w:tcW w:w="4535" w:type="dxa"/>
            <w:shd w:val="clear" w:color="auto" w:fill="auto"/>
          </w:tcPr>
          <w:p w:rsidR="00362CDF" w:rsidRPr="00E777B1" w:rsidP="00A73D45" w14:paraId="2C26B2A6" w14:textId="77777777">
            <w:pPr>
              <w:rPr>
                <w:sz w:val="20"/>
                <w:szCs w:val="20"/>
              </w:rPr>
            </w:pPr>
            <w:r w:rsidRPr="00E777B1">
              <w:rPr>
                <w:sz w:val="20"/>
                <w:szCs w:val="20"/>
              </w:rPr>
              <w:t>Potniki</w:t>
            </w:r>
          </w:p>
        </w:tc>
        <w:tc>
          <w:tcPr>
            <w:tcW w:w="4535" w:type="dxa"/>
          </w:tcPr>
          <w:p w:rsidR="00362CDF" w:rsidRPr="00E777B1" w:rsidP="00A73D45" w14:paraId="63A042B9" w14:textId="77777777">
            <w:pPr>
              <w:rPr>
                <w:sz w:val="20"/>
                <w:szCs w:val="20"/>
              </w:rPr>
            </w:pPr>
            <w:r w:rsidRPr="00E777B1">
              <w:rPr>
                <w:sz w:val="20"/>
                <w:szCs w:val="20"/>
              </w:rPr>
              <w:t>Passengers</w:t>
            </w:r>
          </w:p>
        </w:tc>
      </w:tr>
      <w:tr w14:paraId="0179BD56" w14:textId="77777777" w:rsidTr="00362CDF">
        <w:tblPrEx>
          <w:tblW w:w="9070" w:type="dxa"/>
          <w:tblLayout w:type="fixed"/>
          <w:tblLook w:val="04A0"/>
        </w:tblPrEx>
        <w:tc>
          <w:tcPr>
            <w:tcW w:w="4535" w:type="dxa"/>
            <w:shd w:val="clear" w:color="auto" w:fill="auto"/>
          </w:tcPr>
          <w:p w:rsidR="00362CDF" w:rsidRPr="00E777B1" w:rsidP="00A73D45" w14:paraId="4AA103B0" w14:textId="77777777">
            <w:pPr>
              <w:rPr>
                <w:sz w:val="20"/>
                <w:szCs w:val="20"/>
              </w:rPr>
            </w:pPr>
            <w:r w:rsidRPr="00E777B1">
              <w:rPr>
                <w:sz w:val="20"/>
                <w:szCs w:val="20"/>
              </w:rPr>
              <w:t>Zaposleni</w:t>
            </w:r>
          </w:p>
        </w:tc>
        <w:tc>
          <w:tcPr>
            <w:tcW w:w="4535" w:type="dxa"/>
          </w:tcPr>
          <w:p w:rsidR="00362CDF" w:rsidRPr="00E777B1" w:rsidP="00A73D45" w14:paraId="1E175DE4" w14:textId="77777777">
            <w:pPr>
              <w:rPr>
                <w:sz w:val="20"/>
                <w:szCs w:val="20"/>
              </w:rPr>
            </w:pPr>
            <w:r w:rsidRPr="00E777B1">
              <w:rPr>
                <w:sz w:val="20"/>
                <w:szCs w:val="20"/>
              </w:rPr>
              <w:t>Employees</w:t>
            </w:r>
          </w:p>
        </w:tc>
      </w:tr>
      <w:tr w14:paraId="3F309734" w14:textId="77777777" w:rsidTr="00362CDF">
        <w:tblPrEx>
          <w:tblW w:w="9070" w:type="dxa"/>
          <w:tblLayout w:type="fixed"/>
          <w:tblLook w:val="04A0"/>
        </w:tblPrEx>
        <w:tc>
          <w:tcPr>
            <w:tcW w:w="4535" w:type="dxa"/>
            <w:shd w:val="clear" w:color="auto" w:fill="auto"/>
          </w:tcPr>
          <w:p w:rsidR="00362CDF" w:rsidRPr="00E777B1" w:rsidP="00A73D45" w14:paraId="366146FD" w14:textId="77777777">
            <w:pPr>
              <w:rPr>
                <w:sz w:val="20"/>
                <w:szCs w:val="20"/>
              </w:rPr>
            </w:pPr>
            <w:r w:rsidRPr="00E777B1">
              <w:rPr>
                <w:sz w:val="20"/>
                <w:szCs w:val="20"/>
              </w:rPr>
              <w:t>Uporabniki nivojskih prehodov</w:t>
            </w:r>
          </w:p>
        </w:tc>
        <w:tc>
          <w:tcPr>
            <w:tcW w:w="4535" w:type="dxa"/>
          </w:tcPr>
          <w:p w:rsidR="00362CDF" w:rsidRPr="00E777B1" w:rsidP="00A73D45" w14:paraId="4CED1AF9" w14:textId="77777777">
            <w:pPr>
              <w:rPr>
                <w:sz w:val="20"/>
                <w:szCs w:val="20"/>
              </w:rPr>
            </w:pPr>
            <w:r w:rsidRPr="00E777B1">
              <w:rPr>
                <w:sz w:val="20"/>
                <w:szCs w:val="20"/>
              </w:rPr>
              <w:t>Level</w:t>
            </w:r>
            <w:r w:rsidRPr="00E777B1">
              <w:rPr>
                <w:sz w:val="20"/>
                <w:szCs w:val="20"/>
              </w:rPr>
              <w:t xml:space="preserve"> </w:t>
            </w:r>
            <w:r w:rsidRPr="00E777B1">
              <w:rPr>
                <w:sz w:val="20"/>
                <w:szCs w:val="20"/>
              </w:rPr>
              <w:t>crossing</w:t>
            </w:r>
            <w:r w:rsidRPr="00E777B1">
              <w:rPr>
                <w:sz w:val="20"/>
                <w:szCs w:val="20"/>
              </w:rPr>
              <w:t xml:space="preserve"> </w:t>
            </w:r>
            <w:r w:rsidRPr="00E777B1">
              <w:rPr>
                <w:sz w:val="20"/>
                <w:szCs w:val="20"/>
              </w:rPr>
              <w:t>users</w:t>
            </w:r>
          </w:p>
        </w:tc>
      </w:tr>
      <w:tr w14:paraId="0E9A5B4D" w14:textId="77777777" w:rsidTr="00362CDF">
        <w:tblPrEx>
          <w:tblW w:w="9070" w:type="dxa"/>
          <w:tblLayout w:type="fixed"/>
          <w:tblLook w:val="04A0"/>
        </w:tblPrEx>
        <w:tc>
          <w:tcPr>
            <w:tcW w:w="4535" w:type="dxa"/>
            <w:shd w:val="clear" w:color="auto" w:fill="auto"/>
          </w:tcPr>
          <w:p w:rsidR="00362CDF" w:rsidRPr="00E777B1" w:rsidP="00A73D45" w14:paraId="46256A13" w14:textId="77777777">
            <w:pPr>
              <w:rPr>
                <w:sz w:val="20"/>
                <w:szCs w:val="20"/>
              </w:rPr>
            </w:pPr>
            <w:r w:rsidRPr="00E777B1">
              <w:rPr>
                <w:sz w:val="20"/>
                <w:szCs w:val="20"/>
              </w:rPr>
              <w:t>Nepooblaščene osebe</w:t>
            </w:r>
          </w:p>
        </w:tc>
        <w:tc>
          <w:tcPr>
            <w:tcW w:w="4535" w:type="dxa"/>
          </w:tcPr>
          <w:p w:rsidR="00362CDF" w:rsidRPr="00E777B1" w:rsidP="00A73D45" w14:paraId="24633FFC" w14:textId="77777777">
            <w:pPr>
              <w:rPr>
                <w:sz w:val="20"/>
                <w:szCs w:val="20"/>
              </w:rPr>
            </w:pPr>
            <w:r w:rsidRPr="00E777B1">
              <w:rPr>
                <w:sz w:val="20"/>
                <w:szCs w:val="20"/>
              </w:rPr>
              <w:t>Unauthorised</w:t>
            </w:r>
            <w:r w:rsidRPr="00E777B1">
              <w:rPr>
                <w:sz w:val="20"/>
                <w:szCs w:val="20"/>
              </w:rPr>
              <w:t xml:space="preserve"> </w:t>
            </w:r>
            <w:r w:rsidRPr="00E777B1">
              <w:rPr>
                <w:sz w:val="20"/>
                <w:szCs w:val="20"/>
              </w:rPr>
              <w:t>persons</w:t>
            </w:r>
          </w:p>
        </w:tc>
      </w:tr>
      <w:tr w14:paraId="6889012A" w14:textId="77777777" w:rsidTr="00362CDF">
        <w:tblPrEx>
          <w:tblW w:w="9070" w:type="dxa"/>
          <w:tblLayout w:type="fixed"/>
          <w:tblLook w:val="04A0"/>
        </w:tblPrEx>
        <w:tc>
          <w:tcPr>
            <w:tcW w:w="4535" w:type="dxa"/>
            <w:shd w:val="clear" w:color="auto" w:fill="auto"/>
          </w:tcPr>
          <w:p w:rsidR="00362CDF" w:rsidRPr="00E777B1" w:rsidP="00A73D45" w14:paraId="52AD47A7" w14:textId="77777777">
            <w:pPr>
              <w:rPr>
                <w:sz w:val="20"/>
                <w:szCs w:val="20"/>
              </w:rPr>
            </w:pPr>
            <w:r w:rsidRPr="00E777B1">
              <w:rPr>
                <w:sz w:val="20"/>
                <w:szCs w:val="20"/>
              </w:rPr>
              <w:t>Ostali</w:t>
            </w:r>
          </w:p>
        </w:tc>
        <w:tc>
          <w:tcPr>
            <w:tcW w:w="4535" w:type="dxa"/>
          </w:tcPr>
          <w:p w:rsidR="00362CDF" w:rsidRPr="00E777B1" w:rsidP="00973D22" w14:paraId="5CA2B1BA" w14:textId="77777777">
            <w:pPr>
              <w:rPr>
                <w:sz w:val="20"/>
                <w:szCs w:val="20"/>
              </w:rPr>
            </w:pPr>
            <w:r w:rsidRPr="00E777B1">
              <w:rPr>
                <w:sz w:val="20"/>
                <w:szCs w:val="20"/>
              </w:rPr>
              <w:t>Other</w:t>
            </w:r>
          </w:p>
        </w:tc>
      </w:tr>
    </w:tbl>
    <w:p w:rsidR="00E05C12" w:rsidRPr="006547D7" w:rsidP="00E777B1" w14:paraId="6AFE84DE" w14:textId="77777777">
      <w:pPr>
        <w:spacing w:after="0"/>
      </w:pPr>
    </w:p>
    <w:p w:rsidR="00D3690E" w:rsidRPr="006547D7" w:rsidP="003807CA" w14:paraId="413C25F8" w14:textId="77777777">
      <w:r w:rsidRPr="006547D7">
        <w:rPr>
          <w:noProof/>
          <w:lang w:val="en-US" w:eastAsia="zh-CN" w:bidi="mn-Mong-CN"/>
        </w:rPr>
        <w:drawing>
          <wp:inline distT="0" distB="0" distL="0" distR="0">
            <wp:extent cx="5760720" cy="3371850"/>
            <wp:effectExtent l="0" t="0" r="11430" b="0"/>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Style w:val="TableGrid"/>
        <w:tblW w:w="9070" w:type="dxa"/>
        <w:tblLayout w:type="fixed"/>
        <w:tblLook w:val="04A0"/>
      </w:tblPr>
      <w:tblGrid>
        <w:gridCol w:w="4535"/>
        <w:gridCol w:w="4535"/>
      </w:tblGrid>
      <w:tr w14:paraId="1296BDE5" w14:textId="77777777" w:rsidTr="00E777B1">
        <w:tblPrEx>
          <w:tblW w:w="9070" w:type="dxa"/>
          <w:tblLayout w:type="fixed"/>
          <w:tblLook w:val="04A0"/>
        </w:tblPrEx>
        <w:tc>
          <w:tcPr>
            <w:tcW w:w="4535" w:type="dxa"/>
            <w:shd w:val="clear" w:color="auto" w:fill="auto"/>
          </w:tcPr>
          <w:p w:rsidR="00E777B1" w:rsidRPr="00E777B1" w:rsidP="00973D22" w14:paraId="3B897588" w14:textId="77777777">
            <w:pPr>
              <w:rPr>
                <w:sz w:val="20"/>
                <w:szCs w:val="20"/>
              </w:rPr>
            </w:pPr>
            <w:r w:rsidRPr="00E777B1">
              <w:rPr>
                <w:sz w:val="20"/>
                <w:szCs w:val="20"/>
              </w:rPr>
              <w:t>Trki</w:t>
            </w:r>
          </w:p>
        </w:tc>
        <w:tc>
          <w:tcPr>
            <w:tcW w:w="4535" w:type="dxa"/>
          </w:tcPr>
          <w:p w:rsidR="00E777B1" w:rsidRPr="00E777B1" w:rsidP="00973D22" w14:paraId="236EC577" w14:textId="77777777">
            <w:pPr>
              <w:rPr>
                <w:sz w:val="20"/>
                <w:szCs w:val="20"/>
              </w:rPr>
            </w:pPr>
            <w:r w:rsidRPr="00E777B1">
              <w:rPr>
                <w:sz w:val="20"/>
                <w:szCs w:val="20"/>
              </w:rPr>
              <w:t>Collisions</w:t>
            </w:r>
          </w:p>
        </w:tc>
      </w:tr>
      <w:tr w14:paraId="3E49ED66" w14:textId="77777777" w:rsidTr="00E777B1">
        <w:tblPrEx>
          <w:tblW w:w="9070" w:type="dxa"/>
          <w:tblLayout w:type="fixed"/>
          <w:tblLook w:val="04A0"/>
        </w:tblPrEx>
        <w:tc>
          <w:tcPr>
            <w:tcW w:w="4535" w:type="dxa"/>
            <w:shd w:val="clear" w:color="auto" w:fill="auto"/>
          </w:tcPr>
          <w:p w:rsidR="00E777B1" w:rsidRPr="00E777B1" w:rsidP="00973D22" w14:paraId="3BFFA9C5" w14:textId="77777777">
            <w:pPr>
              <w:rPr>
                <w:sz w:val="20"/>
                <w:szCs w:val="20"/>
              </w:rPr>
            </w:pPr>
            <w:r w:rsidRPr="00E777B1">
              <w:rPr>
                <w:sz w:val="20"/>
                <w:szCs w:val="20"/>
              </w:rPr>
              <w:t>Nesreče na nivojskih prehodih</w:t>
            </w:r>
          </w:p>
        </w:tc>
        <w:tc>
          <w:tcPr>
            <w:tcW w:w="4535" w:type="dxa"/>
          </w:tcPr>
          <w:p w:rsidR="00E777B1" w:rsidRPr="00E777B1" w:rsidP="00973D22" w14:paraId="5A20D184" w14:textId="77777777">
            <w:pPr>
              <w:rPr>
                <w:sz w:val="20"/>
                <w:szCs w:val="20"/>
              </w:rPr>
            </w:pPr>
            <w:r w:rsidRPr="00E777B1">
              <w:rPr>
                <w:sz w:val="20"/>
                <w:szCs w:val="20"/>
              </w:rPr>
              <w:t>Level</w:t>
            </w:r>
            <w:r w:rsidRPr="00E777B1">
              <w:rPr>
                <w:sz w:val="20"/>
                <w:szCs w:val="20"/>
              </w:rPr>
              <w:t xml:space="preserve"> </w:t>
            </w:r>
            <w:r w:rsidRPr="00E777B1">
              <w:rPr>
                <w:sz w:val="20"/>
                <w:szCs w:val="20"/>
              </w:rPr>
              <w:t>crossing</w:t>
            </w:r>
            <w:r w:rsidRPr="00E777B1">
              <w:rPr>
                <w:sz w:val="20"/>
                <w:szCs w:val="20"/>
              </w:rPr>
              <w:t xml:space="preserve"> </w:t>
            </w:r>
            <w:r w:rsidRPr="00E777B1">
              <w:rPr>
                <w:sz w:val="20"/>
                <w:szCs w:val="20"/>
              </w:rPr>
              <w:t>accidents</w:t>
            </w:r>
          </w:p>
        </w:tc>
      </w:tr>
      <w:tr w14:paraId="25D21182" w14:textId="77777777" w:rsidTr="00E777B1">
        <w:tblPrEx>
          <w:tblW w:w="9070" w:type="dxa"/>
          <w:tblLayout w:type="fixed"/>
          <w:tblLook w:val="04A0"/>
        </w:tblPrEx>
        <w:tc>
          <w:tcPr>
            <w:tcW w:w="4535" w:type="dxa"/>
            <w:shd w:val="clear" w:color="auto" w:fill="auto"/>
          </w:tcPr>
          <w:p w:rsidR="00E777B1" w:rsidRPr="00E777B1" w:rsidP="00973D22" w14:paraId="3525251E" w14:textId="77777777">
            <w:pPr>
              <w:rPr>
                <w:sz w:val="20"/>
                <w:szCs w:val="20"/>
              </w:rPr>
            </w:pPr>
            <w:r w:rsidRPr="00E777B1">
              <w:rPr>
                <w:sz w:val="20"/>
                <w:szCs w:val="20"/>
              </w:rPr>
              <w:t>Požari na vozilih</w:t>
            </w:r>
          </w:p>
        </w:tc>
        <w:tc>
          <w:tcPr>
            <w:tcW w:w="4535" w:type="dxa"/>
          </w:tcPr>
          <w:p w:rsidR="00E777B1" w:rsidRPr="00E777B1" w:rsidP="00973D22" w14:paraId="6D0DB92D" w14:textId="77777777">
            <w:pPr>
              <w:rPr>
                <w:sz w:val="20"/>
                <w:szCs w:val="20"/>
              </w:rPr>
            </w:pPr>
            <w:r w:rsidRPr="00E777B1">
              <w:rPr>
                <w:rFonts w:ascii="Calibri" w:hAnsi="Calibri"/>
                <w:color w:val="000000"/>
                <w:sz w:val="20"/>
                <w:szCs w:val="20"/>
              </w:rPr>
              <w:t>Fires</w:t>
            </w:r>
            <w:r w:rsidRPr="00E777B1">
              <w:rPr>
                <w:rFonts w:ascii="Calibri" w:hAnsi="Calibri"/>
                <w:color w:val="000000"/>
                <w:sz w:val="20"/>
                <w:szCs w:val="20"/>
              </w:rPr>
              <w:t xml:space="preserve"> on </w:t>
            </w:r>
            <w:r w:rsidRPr="00E777B1">
              <w:rPr>
                <w:rFonts w:ascii="Calibri" w:hAnsi="Calibri"/>
                <w:color w:val="000000"/>
                <w:sz w:val="20"/>
                <w:szCs w:val="20"/>
              </w:rPr>
              <w:t>vehicles</w:t>
            </w:r>
          </w:p>
        </w:tc>
      </w:tr>
      <w:tr w14:paraId="36FD40F0" w14:textId="77777777" w:rsidTr="00E777B1">
        <w:tblPrEx>
          <w:tblW w:w="9070" w:type="dxa"/>
          <w:tblLayout w:type="fixed"/>
          <w:tblLook w:val="04A0"/>
        </w:tblPrEx>
        <w:tc>
          <w:tcPr>
            <w:tcW w:w="4535" w:type="dxa"/>
            <w:shd w:val="clear" w:color="auto" w:fill="auto"/>
          </w:tcPr>
          <w:p w:rsidR="00E777B1" w:rsidRPr="00E777B1" w:rsidP="00973D22" w14:paraId="06F6775B" w14:textId="77777777">
            <w:pPr>
              <w:rPr>
                <w:sz w:val="20"/>
                <w:szCs w:val="20"/>
              </w:rPr>
            </w:pPr>
            <w:r w:rsidRPr="00E777B1">
              <w:rPr>
                <w:sz w:val="20"/>
                <w:szCs w:val="20"/>
              </w:rPr>
              <w:t>Iztirjenja</w:t>
            </w:r>
          </w:p>
        </w:tc>
        <w:tc>
          <w:tcPr>
            <w:tcW w:w="4535" w:type="dxa"/>
          </w:tcPr>
          <w:p w:rsidR="00E777B1" w:rsidRPr="00E777B1" w:rsidP="00973D22" w14:paraId="384D8A58" w14:textId="77777777">
            <w:pPr>
              <w:rPr>
                <w:sz w:val="20"/>
                <w:szCs w:val="20"/>
              </w:rPr>
            </w:pPr>
            <w:r w:rsidRPr="00E777B1">
              <w:rPr>
                <w:sz w:val="20"/>
                <w:szCs w:val="20"/>
              </w:rPr>
              <w:t>Derailments</w:t>
            </w:r>
          </w:p>
        </w:tc>
      </w:tr>
      <w:tr w14:paraId="520A7FCC" w14:textId="77777777" w:rsidTr="00E777B1">
        <w:tblPrEx>
          <w:tblW w:w="9070" w:type="dxa"/>
          <w:tblLayout w:type="fixed"/>
          <w:tblLook w:val="04A0"/>
        </w:tblPrEx>
        <w:tc>
          <w:tcPr>
            <w:tcW w:w="4535" w:type="dxa"/>
            <w:shd w:val="clear" w:color="auto" w:fill="auto"/>
          </w:tcPr>
          <w:p w:rsidR="00E777B1" w:rsidRPr="00E777B1" w:rsidP="00973D22" w14:paraId="2CB107D0" w14:textId="77777777">
            <w:pPr>
              <w:rPr>
                <w:sz w:val="20"/>
                <w:szCs w:val="20"/>
              </w:rPr>
            </w:pPr>
            <w:r w:rsidRPr="00E777B1">
              <w:rPr>
                <w:sz w:val="20"/>
                <w:szCs w:val="20"/>
              </w:rPr>
              <w:t>Nesreče, ki so jih povzročila vozila v gibanju</w:t>
            </w:r>
          </w:p>
        </w:tc>
        <w:tc>
          <w:tcPr>
            <w:tcW w:w="4535" w:type="dxa"/>
          </w:tcPr>
          <w:p w:rsidR="00E777B1" w:rsidRPr="00E777B1" w:rsidP="00973D22" w14:paraId="1E857B20" w14:textId="77777777">
            <w:pPr>
              <w:rPr>
                <w:sz w:val="20"/>
                <w:szCs w:val="20"/>
              </w:rPr>
            </w:pPr>
            <w:r w:rsidRPr="00E777B1">
              <w:rPr>
                <w:sz w:val="20"/>
                <w:szCs w:val="20"/>
              </w:rPr>
              <w:t>Accidents</w:t>
            </w:r>
            <w:r w:rsidRPr="00E777B1">
              <w:rPr>
                <w:sz w:val="20"/>
                <w:szCs w:val="20"/>
              </w:rPr>
              <w:t xml:space="preserve"> </w:t>
            </w:r>
            <w:r w:rsidRPr="00E777B1">
              <w:rPr>
                <w:sz w:val="20"/>
                <w:szCs w:val="20"/>
              </w:rPr>
              <w:t>caused</w:t>
            </w:r>
            <w:r w:rsidRPr="00E777B1">
              <w:rPr>
                <w:sz w:val="20"/>
                <w:szCs w:val="20"/>
              </w:rPr>
              <w:t xml:space="preserve"> </w:t>
            </w:r>
            <w:r w:rsidRPr="00E777B1">
              <w:rPr>
                <w:sz w:val="20"/>
                <w:szCs w:val="20"/>
              </w:rPr>
              <w:t>by</w:t>
            </w:r>
            <w:r w:rsidRPr="00E777B1">
              <w:rPr>
                <w:sz w:val="20"/>
                <w:szCs w:val="20"/>
              </w:rPr>
              <w:t xml:space="preserve"> </w:t>
            </w:r>
            <w:r w:rsidRPr="00E777B1">
              <w:rPr>
                <w:sz w:val="20"/>
                <w:szCs w:val="20"/>
              </w:rPr>
              <w:t>vehicles</w:t>
            </w:r>
            <w:r w:rsidRPr="00E777B1">
              <w:rPr>
                <w:sz w:val="20"/>
                <w:szCs w:val="20"/>
              </w:rPr>
              <w:t xml:space="preserve"> in </w:t>
            </w:r>
            <w:r w:rsidRPr="00E777B1">
              <w:rPr>
                <w:sz w:val="20"/>
                <w:szCs w:val="20"/>
              </w:rPr>
              <w:t>motion</w:t>
            </w:r>
          </w:p>
        </w:tc>
      </w:tr>
      <w:tr w14:paraId="7926629C" w14:textId="77777777" w:rsidTr="00E777B1">
        <w:tblPrEx>
          <w:tblW w:w="9070" w:type="dxa"/>
          <w:tblLayout w:type="fixed"/>
          <w:tblLook w:val="04A0"/>
        </w:tblPrEx>
        <w:tc>
          <w:tcPr>
            <w:tcW w:w="4535" w:type="dxa"/>
            <w:shd w:val="clear" w:color="auto" w:fill="auto"/>
          </w:tcPr>
          <w:p w:rsidR="00E777B1" w:rsidRPr="00E777B1" w:rsidP="00973D22" w14:paraId="77D58C07" w14:textId="77777777">
            <w:pPr>
              <w:rPr>
                <w:sz w:val="20"/>
                <w:szCs w:val="20"/>
              </w:rPr>
            </w:pPr>
            <w:r w:rsidRPr="00E777B1">
              <w:rPr>
                <w:sz w:val="20"/>
                <w:szCs w:val="20"/>
              </w:rPr>
              <w:t>Ostalo</w:t>
            </w:r>
          </w:p>
        </w:tc>
        <w:tc>
          <w:tcPr>
            <w:tcW w:w="4535" w:type="dxa"/>
          </w:tcPr>
          <w:p w:rsidR="00E777B1" w:rsidRPr="00E777B1" w:rsidP="00973D22" w14:paraId="5669CDFF" w14:textId="77777777">
            <w:pPr>
              <w:rPr>
                <w:sz w:val="20"/>
                <w:szCs w:val="20"/>
              </w:rPr>
            </w:pPr>
            <w:r w:rsidRPr="00E777B1">
              <w:rPr>
                <w:sz w:val="20"/>
                <w:szCs w:val="20"/>
              </w:rPr>
              <w:t>Other</w:t>
            </w:r>
          </w:p>
        </w:tc>
      </w:tr>
    </w:tbl>
    <w:p w:rsidR="00D3690E" w:rsidRPr="00E777B1" w14:paraId="711C7561" w14:textId="77777777">
      <w:pPr>
        <w:rPr>
          <w:sz w:val="20"/>
          <w:szCs w:val="20"/>
        </w:rPr>
      </w:pPr>
      <w:r w:rsidRPr="00E777B1">
        <w:rPr>
          <w:noProof/>
          <w:sz w:val="20"/>
          <w:szCs w:val="20"/>
          <w:lang w:val="en-US" w:eastAsia="zh-CN" w:bidi="mn-Mong-CN"/>
        </w:rPr>
        <w:drawing>
          <wp:inline distT="0" distB="0" distL="0" distR="0">
            <wp:extent cx="5760720" cy="3162300"/>
            <wp:effectExtent l="0" t="0" r="11430" b="0"/>
            <wp:docPr id="11" name="Grafikon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Style w:val="TableGrid"/>
        <w:tblW w:w="9070" w:type="dxa"/>
        <w:tblLayout w:type="fixed"/>
        <w:tblLook w:val="04A0"/>
      </w:tblPr>
      <w:tblGrid>
        <w:gridCol w:w="4535"/>
        <w:gridCol w:w="4535"/>
      </w:tblGrid>
      <w:tr w14:paraId="628CE11C" w14:textId="77777777" w:rsidTr="00362CDF">
        <w:tblPrEx>
          <w:tblW w:w="9070" w:type="dxa"/>
          <w:tblLayout w:type="fixed"/>
          <w:tblLook w:val="04A0"/>
        </w:tblPrEx>
        <w:tc>
          <w:tcPr>
            <w:tcW w:w="4535" w:type="dxa"/>
            <w:shd w:val="clear" w:color="auto" w:fill="auto"/>
          </w:tcPr>
          <w:p w:rsidR="00362CDF" w:rsidRPr="00E777B1" w:rsidP="00A73D45" w14:paraId="6BCFF2D6" w14:textId="77777777">
            <w:pPr>
              <w:rPr>
                <w:sz w:val="20"/>
                <w:szCs w:val="20"/>
              </w:rPr>
            </w:pPr>
            <w:r w:rsidRPr="00E777B1">
              <w:rPr>
                <w:sz w:val="20"/>
                <w:szCs w:val="20"/>
              </w:rPr>
              <w:t>Število hudo poškodovanih po uporabnikih</w:t>
            </w:r>
          </w:p>
        </w:tc>
        <w:tc>
          <w:tcPr>
            <w:tcW w:w="4535" w:type="dxa"/>
          </w:tcPr>
          <w:p w:rsidR="00362CDF" w:rsidRPr="00E777B1" w:rsidP="00A73D45" w14:paraId="23A3EB76" w14:textId="1028ED6E">
            <w:pPr>
              <w:rPr>
                <w:sz w:val="20"/>
                <w:szCs w:val="20"/>
              </w:rPr>
            </w:pPr>
            <w:r w:rsidRPr="00E777B1">
              <w:rPr>
                <w:sz w:val="20"/>
                <w:szCs w:val="20"/>
              </w:rPr>
              <w:t>Number</w:t>
            </w:r>
            <w:r w:rsidRPr="00E777B1">
              <w:rPr>
                <w:sz w:val="20"/>
                <w:szCs w:val="20"/>
              </w:rPr>
              <w:t xml:space="preserve"> </w:t>
            </w:r>
            <w:r w:rsidRPr="00E777B1">
              <w:rPr>
                <w:sz w:val="20"/>
                <w:szCs w:val="20"/>
              </w:rPr>
              <w:t>of</w:t>
            </w:r>
            <w:r w:rsidRPr="00E777B1">
              <w:rPr>
                <w:sz w:val="20"/>
                <w:szCs w:val="20"/>
              </w:rPr>
              <w:t xml:space="preserve"> </w:t>
            </w:r>
            <w:r w:rsidRPr="00E777B1">
              <w:rPr>
                <w:sz w:val="20"/>
                <w:szCs w:val="20"/>
              </w:rPr>
              <w:t>seriously</w:t>
            </w:r>
            <w:r w:rsidRPr="00E777B1">
              <w:rPr>
                <w:sz w:val="20"/>
                <w:szCs w:val="20"/>
              </w:rPr>
              <w:t xml:space="preserve"> </w:t>
            </w:r>
            <w:r w:rsidRPr="00E777B1">
              <w:rPr>
                <w:sz w:val="20"/>
                <w:szCs w:val="20"/>
              </w:rPr>
              <w:t>injured</w:t>
            </w:r>
            <w:r w:rsidRPr="00E777B1">
              <w:rPr>
                <w:sz w:val="20"/>
                <w:szCs w:val="20"/>
              </w:rPr>
              <w:t xml:space="preserve"> </w:t>
            </w:r>
            <w:r w:rsidRPr="00E777B1">
              <w:rPr>
                <w:sz w:val="20"/>
                <w:szCs w:val="20"/>
              </w:rPr>
              <w:t>persons</w:t>
            </w:r>
            <w:r w:rsidRPr="00E777B1" w:rsidR="00C10E9D">
              <w:rPr>
                <w:sz w:val="20"/>
                <w:szCs w:val="20"/>
              </w:rPr>
              <w:t xml:space="preserve"> per </w:t>
            </w:r>
            <w:r w:rsidRPr="00E777B1" w:rsidR="00C10E9D">
              <w:rPr>
                <w:sz w:val="20"/>
                <w:szCs w:val="20"/>
              </w:rPr>
              <w:t>type</w:t>
            </w:r>
            <w:r w:rsidRPr="00E777B1" w:rsidR="00C10E9D">
              <w:rPr>
                <w:sz w:val="20"/>
                <w:szCs w:val="20"/>
              </w:rPr>
              <w:t xml:space="preserve"> </w:t>
            </w:r>
            <w:r w:rsidRPr="00E777B1" w:rsidR="00C10E9D">
              <w:rPr>
                <w:sz w:val="20"/>
                <w:szCs w:val="20"/>
              </w:rPr>
              <w:t>of</w:t>
            </w:r>
            <w:r w:rsidRPr="00E777B1" w:rsidR="00C10E9D">
              <w:rPr>
                <w:sz w:val="20"/>
                <w:szCs w:val="20"/>
              </w:rPr>
              <w:t xml:space="preserve"> </w:t>
            </w:r>
            <w:r w:rsidRPr="00E777B1" w:rsidR="00C10E9D">
              <w:rPr>
                <w:sz w:val="20"/>
                <w:szCs w:val="20"/>
              </w:rPr>
              <w:t>user</w:t>
            </w:r>
          </w:p>
        </w:tc>
      </w:tr>
      <w:tr w14:paraId="2BE6984B" w14:textId="77777777" w:rsidTr="00362CDF">
        <w:tblPrEx>
          <w:tblW w:w="9070" w:type="dxa"/>
          <w:tblLayout w:type="fixed"/>
          <w:tblLook w:val="04A0"/>
        </w:tblPrEx>
        <w:tc>
          <w:tcPr>
            <w:tcW w:w="4535" w:type="dxa"/>
            <w:shd w:val="clear" w:color="auto" w:fill="auto"/>
          </w:tcPr>
          <w:p w:rsidR="00C9041F" w:rsidRPr="00E777B1" w:rsidP="00C9041F" w14:paraId="51A4E7CE" w14:textId="77777777">
            <w:pPr>
              <w:rPr>
                <w:sz w:val="20"/>
                <w:szCs w:val="20"/>
              </w:rPr>
            </w:pPr>
            <w:r w:rsidRPr="00E777B1">
              <w:rPr>
                <w:sz w:val="20"/>
                <w:szCs w:val="20"/>
              </w:rPr>
              <w:t>Potniki</w:t>
            </w:r>
          </w:p>
        </w:tc>
        <w:tc>
          <w:tcPr>
            <w:tcW w:w="4535" w:type="dxa"/>
          </w:tcPr>
          <w:p w:rsidR="00C9041F" w:rsidRPr="00E777B1" w:rsidP="00C9041F" w14:paraId="3E5DB49C" w14:textId="77777777">
            <w:pPr>
              <w:rPr>
                <w:sz w:val="20"/>
                <w:szCs w:val="20"/>
              </w:rPr>
            </w:pPr>
            <w:r w:rsidRPr="00E777B1">
              <w:rPr>
                <w:sz w:val="20"/>
                <w:szCs w:val="20"/>
              </w:rPr>
              <w:t>Passengers</w:t>
            </w:r>
          </w:p>
        </w:tc>
      </w:tr>
      <w:tr w14:paraId="15BFAB55" w14:textId="77777777" w:rsidTr="00362CDF">
        <w:tblPrEx>
          <w:tblW w:w="9070" w:type="dxa"/>
          <w:tblLayout w:type="fixed"/>
          <w:tblLook w:val="04A0"/>
        </w:tblPrEx>
        <w:tc>
          <w:tcPr>
            <w:tcW w:w="4535" w:type="dxa"/>
            <w:shd w:val="clear" w:color="auto" w:fill="auto"/>
          </w:tcPr>
          <w:p w:rsidR="00C9041F" w:rsidRPr="00E777B1" w:rsidP="00C9041F" w14:paraId="486D43FF" w14:textId="77777777">
            <w:pPr>
              <w:rPr>
                <w:sz w:val="20"/>
                <w:szCs w:val="20"/>
              </w:rPr>
            </w:pPr>
            <w:r w:rsidRPr="00E777B1">
              <w:rPr>
                <w:sz w:val="20"/>
                <w:szCs w:val="20"/>
              </w:rPr>
              <w:t>Zaposleni</w:t>
            </w:r>
          </w:p>
        </w:tc>
        <w:tc>
          <w:tcPr>
            <w:tcW w:w="4535" w:type="dxa"/>
          </w:tcPr>
          <w:p w:rsidR="00C9041F" w:rsidRPr="00E777B1" w:rsidP="00C9041F" w14:paraId="22D663CE" w14:textId="77777777">
            <w:pPr>
              <w:rPr>
                <w:sz w:val="20"/>
                <w:szCs w:val="20"/>
              </w:rPr>
            </w:pPr>
            <w:r w:rsidRPr="00E777B1">
              <w:rPr>
                <w:sz w:val="20"/>
                <w:szCs w:val="20"/>
              </w:rPr>
              <w:t>Employees</w:t>
            </w:r>
          </w:p>
        </w:tc>
      </w:tr>
      <w:tr w14:paraId="2C77A64C" w14:textId="77777777" w:rsidTr="00362CDF">
        <w:tblPrEx>
          <w:tblW w:w="9070" w:type="dxa"/>
          <w:tblLayout w:type="fixed"/>
          <w:tblLook w:val="04A0"/>
        </w:tblPrEx>
        <w:tc>
          <w:tcPr>
            <w:tcW w:w="4535" w:type="dxa"/>
            <w:shd w:val="clear" w:color="auto" w:fill="auto"/>
          </w:tcPr>
          <w:p w:rsidR="00C9041F" w:rsidRPr="00E777B1" w:rsidP="00C9041F" w14:paraId="751C9904" w14:textId="77777777">
            <w:pPr>
              <w:rPr>
                <w:sz w:val="20"/>
                <w:szCs w:val="20"/>
              </w:rPr>
            </w:pPr>
            <w:r w:rsidRPr="00E777B1">
              <w:rPr>
                <w:sz w:val="20"/>
                <w:szCs w:val="20"/>
              </w:rPr>
              <w:t>Uporabniki nivojskih prehodov</w:t>
            </w:r>
          </w:p>
        </w:tc>
        <w:tc>
          <w:tcPr>
            <w:tcW w:w="4535" w:type="dxa"/>
          </w:tcPr>
          <w:p w:rsidR="00C9041F" w:rsidRPr="00E777B1" w:rsidP="00C9041F" w14:paraId="6527370C" w14:textId="77777777">
            <w:pPr>
              <w:rPr>
                <w:sz w:val="20"/>
                <w:szCs w:val="20"/>
              </w:rPr>
            </w:pPr>
            <w:r w:rsidRPr="00E777B1">
              <w:rPr>
                <w:sz w:val="20"/>
                <w:szCs w:val="20"/>
              </w:rPr>
              <w:t>Level</w:t>
            </w:r>
            <w:r w:rsidRPr="00E777B1">
              <w:rPr>
                <w:sz w:val="20"/>
                <w:szCs w:val="20"/>
              </w:rPr>
              <w:t xml:space="preserve"> </w:t>
            </w:r>
            <w:r w:rsidRPr="00E777B1">
              <w:rPr>
                <w:sz w:val="20"/>
                <w:szCs w:val="20"/>
              </w:rPr>
              <w:t>crossing</w:t>
            </w:r>
            <w:r w:rsidRPr="00E777B1">
              <w:rPr>
                <w:sz w:val="20"/>
                <w:szCs w:val="20"/>
              </w:rPr>
              <w:t xml:space="preserve"> </w:t>
            </w:r>
            <w:r w:rsidRPr="00E777B1">
              <w:rPr>
                <w:sz w:val="20"/>
                <w:szCs w:val="20"/>
              </w:rPr>
              <w:t>users</w:t>
            </w:r>
          </w:p>
        </w:tc>
      </w:tr>
      <w:tr w14:paraId="4BC18762" w14:textId="77777777" w:rsidTr="00362CDF">
        <w:tblPrEx>
          <w:tblW w:w="9070" w:type="dxa"/>
          <w:tblLayout w:type="fixed"/>
          <w:tblLook w:val="04A0"/>
        </w:tblPrEx>
        <w:tc>
          <w:tcPr>
            <w:tcW w:w="4535" w:type="dxa"/>
            <w:shd w:val="clear" w:color="auto" w:fill="auto"/>
          </w:tcPr>
          <w:p w:rsidR="00C9041F" w:rsidRPr="00E777B1" w:rsidP="00C9041F" w14:paraId="05336A69" w14:textId="77777777">
            <w:pPr>
              <w:rPr>
                <w:sz w:val="20"/>
                <w:szCs w:val="20"/>
              </w:rPr>
            </w:pPr>
            <w:r w:rsidRPr="00E777B1">
              <w:rPr>
                <w:sz w:val="20"/>
                <w:szCs w:val="20"/>
              </w:rPr>
              <w:t>Nepooblaščene osebe</w:t>
            </w:r>
          </w:p>
        </w:tc>
        <w:tc>
          <w:tcPr>
            <w:tcW w:w="4535" w:type="dxa"/>
          </w:tcPr>
          <w:p w:rsidR="00C9041F" w:rsidRPr="00E777B1" w:rsidP="00C9041F" w14:paraId="2085E57C" w14:textId="77777777">
            <w:pPr>
              <w:rPr>
                <w:sz w:val="20"/>
                <w:szCs w:val="20"/>
              </w:rPr>
            </w:pPr>
            <w:r w:rsidRPr="00E777B1">
              <w:rPr>
                <w:sz w:val="20"/>
                <w:szCs w:val="20"/>
              </w:rPr>
              <w:t>Unauthorised</w:t>
            </w:r>
            <w:r w:rsidRPr="00E777B1">
              <w:rPr>
                <w:sz w:val="20"/>
                <w:szCs w:val="20"/>
              </w:rPr>
              <w:t xml:space="preserve"> </w:t>
            </w:r>
            <w:r w:rsidRPr="00E777B1">
              <w:rPr>
                <w:sz w:val="20"/>
                <w:szCs w:val="20"/>
              </w:rPr>
              <w:t>persons</w:t>
            </w:r>
          </w:p>
        </w:tc>
      </w:tr>
      <w:tr w14:paraId="4B7D40BB" w14:textId="77777777" w:rsidTr="00362CDF">
        <w:tblPrEx>
          <w:tblW w:w="9070" w:type="dxa"/>
          <w:tblLayout w:type="fixed"/>
          <w:tblLook w:val="04A0"/>
        </w:tblPrEx>
        <w:tc>
          <w:tcPr>
            <w:tcW w:w="4535" w:type="dxa"/>
            <w:shd w:val="clear" w:color="auto" w:fill="auto"/>
          </w:tcPr>
          <w:p w:rsidR="00C9041F" w:rsidRPr="00E777B1" w:rsidP="00C9041F" w14:paraId="5A73A36D" w14:textId="77777777">
            <w:pPr>
              <w:rPr>
                <w:sz w:val="20"/>
                <w:szCs w:val="20"/>
              </w:rPr>
            </w:pPr>
            <w:r w:rsidRPr="00E777B1">
              <w:rPr>
                <w:sz w:val="20"/>
                <w:szCs w:val="20"/>
              </w:rPr>
              <w:t>Ostali</w:t>
            </w:r>
          </w:p>
        </w:tc>
        <w:tc>
          <w:tcPr>
            <w:tcW w:w="4535" w:type="dxa"/>
          </w:tcPr>
          <w:p w:rsidR="00C9041F" w:rsidRPr="00E777B1" w:rsidP="00C9041F" w14:paraId="21516ADC" w14:textId="77777777">
            <w:pPr>
              <w:rPr>
                <w:sz w:val="20"/>
                <w:szCs w:val="20"/>
              </w:rPr>
            </w:pPr>
            <w:r w:rsidRPr="00E777B1">
              <w:rPr>
                <w:sz w:val="20"/>
                <w:szCs w:val="20"/>
              </w:rPr>
              <w:t>Other</w:t>
            </w:r>
          </w:p>
        </w:tc>
      </w:tr>
    </w:tbl>
    <w:p w:rsidR="00362CDF" w:rsidRPr="00E777B1" w:rsidP="00E777B1" w14:paraId="1F29125D" w14:textId="77777777">
      <w:pPr>
        <w:spacing w:after="0"/>
        <w:rPr>
          <w:sz w:val="18"/>
          <w:szCs w:val="18"/>
        </w:rPr>
      </w:pPr>
    </w:p>
    <w:p w:rsidR="00D3690E" w:rsidRPr="006547D7" w:rsidP="003807CA" w14:paraId="05B237C1" w14:textId="77777777">
      <w:pPr>
        <w:rPr>
          <w:b/>
        </w:rPr>
      </w:pPr>
      <w:r w:rsidRPr="006547D7">
        <w:rPr>
          <w:noProof/>
          <w:lang w:val="en-US" w:eastAsia="zh-CN" w:bidi="mn-Mong-CN"/>
        </w:rPr>
        <w:drawing>
          <wp:inline distT="0" distB="0" distL="0" distR="0">
            <wp:extent cx="5760720" cy="3381375"/>
            <wp:effectExtent l="0" t="0" r="11430" b="9525"/>
            <wp:docPr id="12" name="Grafikon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Style w:val="TableGrid"/>
        <w:tblW w:w="9070" w:type="dxa"/>
        <w:tblLayout w:type="fixed"/>
        <w:tblLook w:val="04A0"/>
      </w:tblPr>
      <w:tblGrid>
        <w:gridCol w:w="4535"/>
        <w:gridCol w:w="4535"/>
      </w:tblGrid>
      <w:tr w14:paraId="28D6FF0F" w14:textId="77777777" w:rsidTr="00E777B1">
        <w:tblPrEx>
          <w:tblW w:w="9070" w:type="dxa"/>
          <w:tblLayout w:type="fixed"/>
          <w:tblLook w:val="04A0"/>
        </w:tblPrEx>
        <w:tc>
          <w:tcPr>
            <w:tcW w:w="4535" w:type="dxa"/>
            <w:shd w:val="clear" w:color="auto" w:fill="auto"/>
          </w:tcPr>
          <w:p w:rsidR="00E777B1" w:rsidRPr="00E777B1" w:rsidP="00E775DE" w14:paraId="2111A2E9" w14:textId="77777777">
            <w:pPr>
              <w:rPr>
                <w:sz w:val="20"/>
                <w:szCs w:val="20"/>
              </w:rPr>
            </w:pPr>
            <w:r w:rsidRPr="00E777B1">
              <w:rPr>
                <w:sz w:val="20"/>
                <w:szCs w:val="20"/>
              </w:rPr>
              <w:t>Trki</w:t>
            </w:r>
          </w:p>
        </w:tc>
        <w:tc>
          <w:tcPr>
            <w:tcW w:w="4535" w:type="dxa"/>
          </w:tcPr>
          <w:p w:rsidR="00E777B1" w:rsidRPr="00E777B1" w:rsidP="00E775DE" w14:paraId="3CA3762C" w14:textId="77777777">
            <w:pPr>
              <w:rPr>
                <w:sz w:val="20"/>
                <w:szCs w:val="20"/>
              </w:rPr>
            </w:pPr>
            <w:r w:rsidRPr="00E777B1">
              <w:rPr>
                <w:sz w:val="20"/>
                <w:szCs w:val="20"/>
              </w:rPr>
              <w:t>Collisions</w:t>
            </w:r>
          </w:p>
        </w:tc>
      </w:tr>
      <w:tr w14:paraId="05626F43" w14:textId="77777777" w:rsidTr="00E777B1">
        <w:tblPrEx>
          <w:tblW w:w="9070" w:type="dxa"/>
          <w:tblLayout w:type="fixed"/>
          <w:tblLook w:val="04A0"/>
        </w:tblPrEx>
        <w:tc>
          <w:tcPr>
            <w:tcW w:w="4535" w:type="dxa"/>
            <w:shd w:val="clear" w:color="auto" w:fill="auto"/>
          </w:tcPr>
          <w:p w:rsidR="00E777B1" w:rsidRPr="00E777B1" w:rsidP="00E775DE" w14:paraId="5B03A6EF" w14:textId="77777777">
            <w:pPr>
              <w:rPr>
                <w:sz w:val="20"/>
                <w:szCs w:val="20"/>
              </w:rPr>
            </w:pPr>
            <w:r w:rsidRPr="00E777B1">
              <w:rPr>
                <w:sz w:val="20"/>
                <w:szCs w:val="20"/>
              </w:rPr>
              <w:t>Nesreče na nivojskih prehodih</w:t>
            </w:r>
          </w:p>
        </w:tc>
        <w:tc>
          <w:tcPr>
            <w:tcW w:w="4535" w:type="dxa"/>
          </w:tcPr>
          <w:p w:rsidR="00E777B1" w:rsidRPr="00E777B1" w:rsidP="00E775DE" w14:paraId="3627F96A" w14:textId="77777777">
            <w:pPr>
              <w:rPr>
                <w:sz w:val="20"/>
                <w:szCs w:val="20"/>
              </w:rPr>
            </w:pPr>
            <w:r w:rsidRPr="00E777B1">
              <w:rPr>
                <w:sz w:val="20"/>
                <w:szCs w:val="20"/>
              </w:rPr>
              <w:t>Level</w:t>
            </w:r>
            <w:r w:rsidRPr="00E777B1">
              <w:rPr>
                <w:sz w:val="20"/>
                <w:szCs w:val="20"/>
              </w:rPr>
              <w:t xml:space="preserve"> </w:t>
            </w:r>
            <w:r w:rsidRPr="00E777B1">
              <w:rPr>
                <w:sz w:val="20"/>
                <w:szCs w:val="20"/>
              </w:rPr>
              <w:t>crossing</w:t>
            </w:r>
            <w:r w:rsidRPr="00E777B1">
              <w:rPr>
                <w:sz w:val="20"/>
                <w:szCs w:val="20"/>
              </w:rPr>
              <w:t xml:space="preserve"> </w:t>
            </w:r>
            <w:r w:rsidRPr="00E777B1">
              <w:rPr>
                <w:sz w:val="20"/>
                <w:szCs w:val="20"/>
              </w:rPr>
              <w:t>accidents</w:t>
            </w:r>
          </w:p>
        </w:tc>
      </w:tr>
      <w:tr w14:paraId="66E5F264" w14:textId="77777777" w:rsidTr="00E777B1">
        <w:tblPrEx>
          <w:tblW w:w="9070" w:type="dxa"/>
          <w:tblLayout w:type="fixed"/>
          <w:tblLook w:val="04A0"/>
        </w:tblPrEx>
        <w:tc>
          <w:tcPr>
            <w:tcW w:w="4535" w:type="dxa"/>
            <w:shd w:val="clear" w:color="auto" w:fill="auto"/>
          </w:tcPr>
          <w:p w:rsidR="00E777B1" w:rsidRPr="00E777B1" w:rsidP="00E775DE" w14:paraId="2C5308F3" w14:textId="77777777">
            <w:pPr>
              <w:rPr>
                <w:sz w:val="20"/>
                <w:szCs w:val="20"/>
              </w:rPr>
            </w:pPr>
            <w:r w:rsidRPr="00E777B1">
              <w:rPr>
                <w:sz w:val="20"/>
                <w:szCs w:val="20"/>
              </w:rPr>
              <w:t>Požari na vozilih</w:t>
            </w:r>
          </w:p>
        </w:tc>
        <w:tc>
          <w:tcPr>
            <w:tcW w:w="4535" w:type="dxa"/>
          </w:tcPr>
          <w:p w:rsidR="00E777B1" w:rsidRPr="00E777B1" w:rsidP="00E775DE" w14:paraId="088B212E" w14:textId="77777777">
            <w:pPr>
              <w:rPr>
                <w:sz w:val="20"/>
                <w:szCs w:val="20"/>
              </w:rPr>
            </w:pPr>
            <w:r w:rsidRPr="00E777B1">
              <w:rPr>
                <w:rFonts w:ascii="Calibri" w:hAnsi="Calibri"/>
                <w:color w:val="000000"/>
                <w:sz w:val="20"/>
                <w:szCs w:val="20"/>
              </w:rPr>
              <w:t>Fires</w:t>
            </w:r>
            <w:r w:rsidRPr="00E777B1">
              <w:rPr>
                <w:rFonts w:ascii="Calibri" w:hAnsi="Calibri"/>
                <w:color w:val="000000"/>
                <w:sz w:val="20"/>
                <w:szCs w:val="20"/>
              </w:rPr>
              <w:t xml:space="preserve"> on </w:t>
            </w:r>
            <w:r w:rsidRPr="00E777B1">
              <w:rPr>
                <w:rFonts w:ascii="Calibri" w:hAnsi="Calibri"/>
                <w:color w:val="000000"/>
                <w:sz w:val="20"/>
                <w:szCs w:val="20"/>
              </w:rPr>
              <w:t>vehicles</w:t>
            </w:r>
          </w:p>
        </w:tc>
      </w:tr>
      <w:tr w14:paraId="370320A0" w14:textId="77777777" w:rsidTr="00E777B1">
        <w:tblPrEx>
          <w:tblW w:w="9070" w:type="dxa"/>
          <w:tblLayout w:type="fixed"/>
          <w:tblLook w:val="04A0"/>
        </w:tblPrEx>
        <w:tc>
          <w:tcPr>
            <w:tcW w:w="4535" w:type="dxa"/>
            <w:shd w:val="clear" w:color="auto" w:fill="auto"/>
          </w:tcPr>
          <w:p w:rsidR="00E777B1" w:rsidRPr="00E777B1" w:rsidP="00E775DE" w14:paraId="1E90CA96" w14:textId="77777777">
            <w:pPr>
              <w:rPr>
                <w:sz w:val="20"/>
                <w:szCs w:val="20"/>
              </w:rPr>
            </w:pPr>
            <w:r w:rsidRPr="00E777B1">
              <w:rPr>
                <w:sz w:val="20"/>
                <w:szCs w:val="20"/>
              </w:rPr>
              <w:t>Iztirjenja</w:t>
            </w:r>
          </w:p>
        </w:tc>
        <w:tc>
          <w:tcPr>
            <w:tcW w:w="4535" w:type="dxa"/>
          </w:tcPr>
          <w:p w:rsidR="00E777B1" w:rsidRPr="00E777B1" w:rsidP="00E775DE" w14:paraId="33B89151" w14:textId="77777777">
            <w:pPr>
              <w:rPr>
                <w:sz w:val="20"/>
                <w:szCs w:val="20"/>
              </w:rPr>
            </w:pPr>
            <w:r w:rsidRPr="00E777B1">
              <w:rPr>
                <w:sz w:val="20"/>
                <w:szCs w:val="20"/>
              </w:rPr>
              <w:t>Derailments</w:t>
            </w:r>
          </w:p>
        </w:tc>
      </w:tr>
      <w:tr w14:paraId="41201A3F" w14:textId="77777777" w:rsidTr="00E777B1">
        <w:tblPrEx>
          <w:tblW w:w="9070" w:type="dxa"/>
          <w:tblLayout w:type="fixed"/>
          <w:tblLook w:val="04A0"/>
        </w:tblPrEx>
        <w:tc>
          <w:tcPr>
            <w:tcW w:w="4535" w:type="dxa"/>
            <w:shd w:val="clear" w:color="auto" w:fill="auto"/>
          </w:tcPr>
          <w:p w:rsidR="00E777B1" w:rsidRPr="00E777B1" w:rsidP="00E775DE" w14:paraId="0E076F19" w14:textId="77777777">
            <w:pPr>
              <w:rPr>
                <w:sz w:val="20"/>
                <w:szCs w:val="20"/>
              </w:rPr>
            </w:pPr>
            <w:r w:rsidRPr="00E777B1">
              <w:rPr>
                <w:sz w:val="20"/>
                <w:szCs w:val="20"/>
              </w:rPr>
              <w:t>Nesreče, ki so jih povzročila vozila v gibanju</w:t>
            </w:r>
          </w:p>
        </w:tc>
        <w:tc>
          <w:tcPr>
            <w:tcW w:w="4535" w:type="dxa"/>
          </w:tcPr>
          <w:p w:rsidR="00E777B1" w:rsidRPr="00E777B1" w:rsidP="00E775DE" w14:paraId="4E3DC4CF" w14:textId="77777777">
            <w:pPr>
              <w:rPr>
                <w:sz w:val="20"/>
                <w:szCs w:val="20"/>
              </w:rPr>
            </w:pPr>
            <w:r w:rsidRPr="00E777B1">
              <w:rPr>
                <w:sz w:val="20"/>
                <w:szCs w:val="20"/>
              </w:rPr>
              <w:t>Accidents</w:t>
            </w:r>
            <w:r w:rsidRPr="00E777B1">
              <w:rPr>
                <w:sz w:val="20"/>
                <w:szCs w:val="20"/>
              </w:rPr>
              <w:t xml:space="preserve"> </w:t>
            </w:r>
            <w:r w:rsidRPr="00E777B1">
              <w:rPr>
                <w:sz w:val="20"/>
                <w:szCs w:val="20"/>
              </w:rPr>
              <w:t>caused</w:t>
            </w:r>
            <w:r w:rsidRPr="00E777B1">
              <w:rPr>
                <w:sz w:val="20"/>
                <w:szCs w:val="20"/>
              </w:rPr>
              <w:t xml:space="preserve"> </w:t>
            </w:r>
            <w:r w:rsidRPr="00E777B1">
              <w:rPr>
                <w:sz w:val="20"/>
                <w:szCs w:val="20"/>
              </w:rPr>
              <w:t>by</w:t>
            </w:r>
            <w:r w:rsidRPr="00E777B1">
              <w:rPr>
                <w:sz w:val="20"/>
                <w:szCs w:val="20"/>
              </w:rPr>
              <w:t xml:space="preserve"> </w:t>
            </w:r>
            <w:r w:rsidRPr="00E777B1">
              <w:rPr>
                <w:sz w:val="20"/>
                <w:szCs w:val="20"/>
              </w:rPr>
              <w:t>vehicles</w:t>
            </w:r>
            <w:r w:rsidRPr="00E777B1">
              <w:rPr>
                <w:sz w:val="20"/>
                <w:szCs w:val="20"/>
              </w:rPr>
              <w:t xml:space="preserve"> in </w:t>
            </w:r>
            <w:r w:rsidRPr="00E777B1">
              <w:rPr>
                <w:sz w:val="20"/>
                <w:szCs w:val="20"/>
              </w:rPr>
              <w:t>motion</w:t>
            </w:r>
          </w:p>
        </w:tc>
      </w:tr>
      <w:tr w14:paraId="48DB01AA" w14:textId="77777777" w:rsidTr="00E777B1">
        <w:tblPrEx>
          <w:tblW w:w="9070" w:type="dxa"/>
          <w:tblLayout w:type="fixed"/>
          <w:tblLook w:val="04A0"/>
        </w:tblPrEx>
        <w:tc>
          <w:tcPr>
            <w:tcW w:w="4535" w:type="dxa"/>
            <w:shd w:val="clear" w:color="auto" w:fill="auto"/>
          </w:tcPr>
          <w:p w:rsidR="00E777B1" w:rsidRPr="00E777B1" w:rsidP="00E775DE" w14:paraId="079BAD5F" w14:textId="77777777">
            <w:pPr>
              <w:rPr>
                <w:sz w:val="20"/>
                <w:szCs w:val="20"/>
              </w:rPr>
            </w:pPr>
            <w:r w:rsidRPr="00E777B1">
              <w:rPr>
                <w:sz w:val="20"/>
                <w:szCs w:val="20"/>
              </w:rPr>
              <w:t>Ostalo</w:t>
            </w:r>
          </w:p>
        </w:tc>
        <w:tc>
          <w:tcPr>
            <w:tcW w:w="4535" w:type="dxa"/>
          </w:tcPr>
          <w:p w:rsidR="00E777B1" w:rsidRPr="00E777B1" w:rsidP="00E775DE" w14:paraId="7A56B7C0" w14:textId="77777777">
            <w:pPr>
              <w:rPr>
                <w:sz w:val="20"/>
                <w:szCs w:val="20"/>
              </w:rPr>
            </w:pPr>
            <w:r w:rsidRPr="00E777B1">
              <w:rPr>
                <w:sz w:val="20"/>
                <w:szCs w:val="20"/>
              </w:rPr>
              <w:t>Other</w:t>
            </w:r>
          </w:p>
        </w:tc>
      </w:tr>
    </w:tbl>
    <w:p w:rsidR="00E05C12" w:rsidRPr="006547D7" w:rsidP="003807CA" w14:paraId="4DAD9140" w14:textId="77777777">
      <w:pPr>
        <w:rPr>
          <w:b/>
        </w:rPr>
      </w:pPr>
      <w:r w:rsidRPr="006547D7">
        <w:rPr>
          <w:noProof/>
          <w:lang w:val="en-US" w:eastAsia="zh-CN" w:bidi="mn-Mong-CN"/>
        </w:rPr>
        <w:drawing>
          <wp:inline distT="0" distB="0" distL="0" distR="0">
            <wp:extent cx="5760720" cy="3599180"/>
            <wp:effectExtent l="0" t="0" r="11430" b="1270"/>
            <wp:docPr id="14" name="Grafikon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bl>
      <w:tblPr>
        <w:tblStyle w:val="TableGrid"/>
        <w:tblW w:w="5000" w:type="pct"/>
        <w:tblLook w:val="04A0"/>
      </w:tblPr>
      <w:tblGrid>
        <w:gridCol w:w="4531"/>
        <w:gridCol w:w="4531"/>
      </w:tblGrid>
      <w:tr w14:paraId="45203837" w14:textId="77777777" w:rsidTr="003807CA">
        <w:tblPrEx>
          <w:tblW w:w="5000" w:type="pct"/>
          <w:tblLook w:val="04A0"/>
        </w:tblPrEx>
        <w:trPr>
          <w:trHeight w:val="64"/>
        </w:trPr>
        <w:tc>
          <w:tcPr>
            <w:tcW w:w="2500" w:type="pct"/>
            <w:shd w:val="clear" w:color="auto" w:fill="auto"/>
          </w:tcPr>
          <w:p w:rsidR="00362CDF" w:rsidRPr="006547D7" w:rsidP="003807CA" w14:paraId="16AA20A4" w14:textId="77777777">
            <w:pPr>
              <w:rPr>
                <w:sz w:val="20"/>
                <w:szCs w:val="20"/>
              </w:rPr>
            </w:pPr>
            <w:r w:rsidRPr="006547D7">
              <w:rPr>
                <w:sz w:val="20"/>
                <w:szCs w:val="20"/>
              </w:rPr>
              <w:t>Potniški vlakovni kilometri</w:t>
            </w:r>
          </w:p>
        </w:tc>
        <w:tc>
          <w:tcPr>
            <w:tcW w:w="2500" w:type="pct"/>
          </w:tcPr>
          <w:p w:rsidR="00362CDF" w:rsidRPr="006547D7" w:rsidP="00C1319B" w14:paraId="17B2E5A2" w14:textId="77777777">
            <w:pPr>
              <w:rPr>
                <w:sz w:val="20"/>
                <w:szCs w:val="20"/>
              </w:rPr>
            </w:pPr>
            <w:r w:rsidRPr="006547D7">
              <w:rPr>
                <w:sz w:val="20"/>
                <w:szCs w:val="20"/>
              </w:rPr>
              <w:t>Train</w:t>
            </w:r>
            <w:r w:rsidRPr="006547D7">
              <w:rPr>
                <w:sz w:val="20"/>
                <w:szCs w:val="20"/>
              </w:rPr>
              <w:t xml:space="preserve"> </w:t>
            </w:r>
            <w:r w:rsidRPr="006547D7">
              <w:rPr>
                <w:sz w:val="20"/>
                <w:szCs w:val="20"/>
              </w:rPr>
              <w:t>p</w:t>
            </w:r>
            <w:r w:rsidRPr="006547D7" w:rsidR="00C2390A">
              <w:rPr>
                <w:sz w:val="20"/>
                <w:szCs w:val="20"/>
              </w:rPr>
              <w:t>assenger</w:t>
            </w:r>
            <w:r w:rsidRPr="006547D7" w:rsidR="00E775DE">
              <w:rPr>
                <w:sz w:val="20"/>
                <w:szCs w:val="20"/>
              </w:rPr>
              <w:t>-kilometres</w:t>
            </w:r>
          </w:p>
        </w:tc>
      </w:tr>
      <w:tr w14:paraId="2F29971F" w14:textId="77777777" w:rsidTr="0093491C">
        <w:tblPrEx>
          <w:tblW w:w="5000" w:type="pct"/>
          <w:tblLook w:val="04A0"/>
        </w:tblPrEx>
        <w:tc>
          <w:tcPr>
            <w:tcW w:w="2500" w:type="pct"/>
            <w:shd w:val="clear" w:color="auto" w:fill="auto"/>
          </w:tcPr>
          <w:p w:rsidR="00362CDF" w:rsidRPr="006547D7" w:rsidP="00A73D45" w14:paraId="001970F3" w14:textId="77777777">
            <w:pPr>
              <w:rPr>
                <w:sz w:val="20"/>
                <w:szCs w:val="20"/>
              </w:rPr>
            </w:pPr>
            <w:r w:rsidRPr="006547D7">
              <w:rPr>
                <w:sz w:val="20"/>
                <w:szCs w:val="20"/>
              </w:rPr>
              <w:t>Tovorni vlakovni kilometri</w:t>
            </w:r>
          </w:p>
        </w:tc>
        <w:tc>
          <w:tcPr>
            <w:tcW w:w="2500" w:type="pct"/>
          </w:tcPr>
          <w:p w:rsidR="00362CDF" w:rsidRPr="006547D7" w:rsidP="00A73D45" w14:paraId="6B0EBB05" w14:textId="77777777">
            <w:pPr>
              <w:rPr>
                <w:sz w:val="20"/>
                <w:szCs w:val="20"/>
              </w:rPr>
            </w:pPr>
            <w:r w:rsidRPr="006547D7">
              <w:rPr>
                <w:sz w:val="20"/>
                <w:szCs w:val="20"/>
              </w:rPr>
              <w:t>Train</w:t>
            </w:r>
            <w:r w:rsidRPr="006547D7">
              <w:rPr>
                <w:sz w:val="20"/>
                <w:szCs w:val="20"/>
              </w:rPr>
              <w:t xml:space="preserve"> </w:t>
            </w:r>
            <w:r w:rsidRPr="006547D7">
              <w:rPr>
                <w:sz w:val="20"/>
                <w:szCs w:val="20"/>
              </w:rPr>
              <w:t>t</w:t>
            </w:r>
            <w:r w:rsidRPr="006547D7" w:rsidR="00C2390A">
              <w:rPr>
                <w:sz w:val="20"/>
                <w:szCs w:val="20"/>
              </w:rPr>
              <w:t>onne-kilometres</w:t>
            </w:r>
          </w:p>
        </w:tc>
      </w:tr>
    </w:tbl>
    <w:p w:rsidR="00E05C12" w:rsidRPr="006547D7" w14:paraId="69973B87" w14:textId="77777777">
      <w:pPr>
        <w:rPr>
          <w:b/>
        </w:rPr>
      </w:pPr>
    </w:p>
    <w:p w:rsidR="00E05C12" w:rsidRPr="006547D7" w14:paraId="69D39DE1" w14:textId="77777777">
      <w:pPr>
        <w:rPr>
          <w:b/>
        </w:rPr>
      </w:pPr>
      <w:r w:rsidRPr="006547D7">
        <w:rPr>
          <w:noProof/>
          <w:lang w:val="en-US" w:eastAsia="zh-CN" w:bidi="mn-Mong-CN"/>
        </w:rPr>
        <w:drawing>
          <wp:inline distT="0" distB="0" distL="0" distR="0">
            <wp:extent cx="5760720" cy="3599180"/>
            <wp:effectExtent l="0" t="0" r="11430" b="1270"/>
            <wp:docPr id="15" name="Grafikon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Style w:val="TableGrid"/>
        <w:tblW w:w="9070" w:type="dxa"/>
        <w:tblLayout w:type="fixed"/>
        <w:tblLook w:val="04A0"/>
      </w:tblPr>
      <w:tblGrid>
        <w:gridCol w:w="4535"/>
        <w:gridCol w:w="4535"/>
      </w:tblGrid>
      <w:tr w14:paraId="6A0E155F" w14:textId="77777777" w:rsidTr="00362CDF">
        <w:tblPrEx>
          <w:tblW w:w="9070" w:type="dxa"/>
          <w:tblLayout w:type="fixed"/>
          <w:tblLook w:val="04A0"/>
        </w:tblPrEx>
        <w:tc>
          <w:tcPr>
            <w:tcW w:w="4535" w:type="dxa"/>
            <w:shd w:val="clear" w:color="auto" w:fill="auto"/>
          </w:tcPr>
          <w:p w:rsidR="00362CDF" w:rsidRPr="006547D7" w:rsidP="00A73D45" w14:paraId="765CB9E5" w14:textId="77777777">
            <w:pPr>
              <w:rPr>
                <w:sz w:val="20"/>
                <w:szCs w:val="20"/>
              </w:rPr>
            </w:pPr>
            <w:r w:rsidRPr="006547D7">
              <w:rPr>
                <w:sz w:val="20"/>
                <w:szCs w:val="20"/>
              </w:rPr>
              <w:t>Potniški kilometri</w:t>
            </w:r>
          </w:p>
        </w:tc>
        <w:tc>
          <w:tcPr>
            <w:tcW w:w="4535" w:type="dxa"/>
          </w:tcPr>
          <w:p w:rsidR="00362CDF" w:rsidRPr="006547D7" w:rsidP="00A73D45" w14:paraId="5E547B61" w14:textId="77777777">
            <w:pPr>
              <w:rPr>
                <w:sz w:val="20"/>
                <w:szCs w:val="20"/>
              </w:rPr>
            </w:pPr>
            <w:r w:rsidRPr="006547D7">
              <w:rPr>
                <w:sz w:val="20"/>
                <w:szCs w:val="20"/>
              </w:rPr>
              <w:t>Passenger-kilometres</w:t>
            </w:r>
          </w:p>
        </w:tc>
      </w:tr>
    </w:tbl>
    <w:p w:rsidR="00362CDF" w:rsidRPr="006547D7" w14:paraId="3956D53F" w14:textId="77777777">
      <w:pPr>
        <w:rPr>
          <w:b/>
        </w:rPr>
      </w:pPr>
    </w:p>
    <w:p w:rsidR="00E05C12" w:rsidRPr="006547D7" w14:paraId="533FB5C4" w14:textId="77777777">
      <w:pPr>
        <w:rPr>
          <w:b/>
        </w:rPr>
      </w:pPr>
      <w:r w:rsidRPr="006547D7">
        <w:rPr>
          <w:noProof/>
          <w:lang w:val="en-US" w:eastAsia="zh-CN" w:bidi="mn-Mong-CN"/>
        </w:rPr>
        <w:drawing>
          <wp:inline distT="0" distB="0" distL="0" distR="0">
            <wp:extent cx="5760720" cy="3599180"/>
            <wp:effectExtent l="0" t="0" r="11430" b="1270"/>
            <wp:docPr id="16" name="Grafikon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bl>
      <w:tblPr>
        <w:tblStyle w:val="TableGrid"/>
        <w:tblW w:w="5000" w:type="pct"/>
        <w:tblLook w:val="04A0"/>
      </w:tblPr>
      <w:tblGrid>
        <w:gridCol w:w="4531"/>
        <w:gridCol w:w="4531"/>
      </w:tblGrid>
      <w:tr w14:paraId="30D4E168" w14:textId="77777777" w:rsidTr="0093491C">
        <w:tblPrEx>
          <w:tblW w:w="5000" w:type="pct"/>
          <w:tblLook w:val="04A0"/>
        </w:tblPrEx>
        <w:tc>
          <w:tcPr>
            <w:tcW w:w="2500" w:type="pct"/>
            <w:shd w:val="clear" w:color="auto" w:fill="auto"/>
          </w:tcPr>
          <w:p w:rsidR="00362CDF" w:rsidRPr="006547D7" w:rsidP="00A73D45" w14:paraId="4E2CFEE9" w14:textId="77777777">
            <w:pPr>
              <w:rPr>
                <w:sz w:val="20"/>
                <w:szCs w:val="20"/>
              </w:rPr>
            </w:pPr>
            <w:r w:rsidRPr="006547D7">
              <w:rPr>
                <w:sz w:val="20"/>
                <w:szCs w:val="20"/>
              </w:rPr>
              <w:t>Progovni kilometri</w:t>
            </w:r>
          </w:p>
        </w:tc>
        <w:tc>
          <w:tcPr>
            <w:tcW w:w="2500" w:type="pct"/>
          </w:tcPr>
          <w:p w:rsidR="00362CDF" w:rsidRPr="006547D7" w:rsidP="00A73D45" w14:paraId="2F3C2143" w14:textId="77777777">
            <w:pPr>
              <w:rPr>
                <w:sz w:val="20"/>
                <w:szCs w:val="20"/>
              </w:rPr>
            </w:pPr>
            <w:r w:rsidRPr="006547D7">
              <w:rPr>
                <w:sz w:val="20"/>
                <w:szCs w:val="20"/>
              </w:rPr>
              <w:t>Line-</w:t>
            </w:r>
            <w:r w:rsidRPr="006547D7">
              <w:rPr>
                <w:sz w:val="20"/>
                <w:szCs w:val="20"/>
              </w:rPr>
              <w:t>kilometres</w:t>
            </w:r>
          </w:p>
        </w:tc>
      </w:tr>
    </w:tbl>
    <w:p w:rsidR="00E05C12" w:rsidRPr="006547D7" w14:paraId="71D812FE" w14:textId="77777777">
      <w:pPr>
        <w:rPr>
          <w:b/>
        </w:rPr>
      </w:pPr>
    </w:p>
    <w:p w:rsidR="00E05C12" w:rsidRPr="006547D7" w14:paraId="095D8DAB" w14:textId="77777777">
      <w:pPr>
        <w:rPr>
          <w:b/>
        </w:rPr>
      </w:pPr>
      <w:r w:rsidRPr="006547D7">
        <w:rPr>
          <w:noProof/>
          <w:lang w:val="en-US" w:eastAsia="zh-CN" w:bidi="mn-Mong-CN"/>
        </w:rPr>
        <w:drawing>
          <wp:inline distT="0" distB="0" distL="0" distR="0">
            <wp:extent cx="5760720" cy="3599180"/>
            <wp:effectExtent l="0" t="0" r="11430" b="1270"/>
            <wp:docPr id="17" name="Grafikon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bl>
      <w:tblPr>
        <w:tblStyle w:val="TableGrid"/>
        <w:tblW w:w="9070" w:type="dxa"/>
        <w:tblLayout w:type="fixed"/>
        <w:tblLook w:val="04A0"/>
      </w:tblPr>
      <w:tblGrid>
        <w:gridCol w:w="4535"/>
        <w:gridCol w:w="4535"/>
      </w:tblGrid>
      <w:tr w14:paraId="7C44FD4E" w14:textId="77777777" w:rsidTr="00362CDF">
        <w:tblPrEx>
          <w:tblW w:w="9070" w:type="dxa"/>
          <w:tblLayout w:type="fixed"/>
          <w:tblLook w:val="04A0"/>
        </w:tblPrEx>
        <w:tc>
          <w:tcPr>
            <w:tcW w:w="4535" w:type="dxa"/>
            <w:shd w:val="clear" w:color="auto" w:fill="auto"/>
          </w:tcPr>
          <w:p w:rsidR="00362CDF" w:rsidRPr="006547D7" w:rsidP="00A73D45" w14:paraId="6510821B" w14:textId="77777777">
            <w:pPr>
              <w:rPr>
                <w:sz w:val="20"/>
                <w:szCs w:val="20"/>
              </w:rPr>
            </w:pPr>
            <w:r w:rsidRPr="006547D7">
              <w:rPr>
                <w:sz w:val="20"/>
                <w:szCs w:val="20"/>
              </w:rPr>
              <w:t>Tirni kilometri</w:t>
            </w:r>
          </w:p>
        </w:tc>
        <w:tc>
          <w:tcPr>
            <w:tcW w:w="4535" w:type="dxa"/>
          </w:tcPr>
          <w:p w:rsidR="00362CDF" w:rsidRPr="006547D7" w:rsidP="00A73D45" w14:paraId="455C2D5C" w14:textId="77777777">
            <w:pPr>
              <w:rPr>
                <w:sz w:val="20"/>
                <w:szCs w:val="20"/>
              </w:rPr>
            </w:pPr>
            <w:r w:rsidRPr="006547D7">
              <w:rPr>
                <w:sz w:val="20"/>
                <w:szCs w:val="20"/>
              </w:rPr>
              <w:t>Track-kilometres</w:t>
            </w:r>
          </w:p>
        </w:tc>
      </w:tr>
    </w:tbl>
    <w:p w:rsidR="00362CDF" w:rsidRPr="006547D7" w14:paraId="7DB6A633" w14:textId="77777777">
      <w:pPr>
        <w:rPr>
          <w:b/>
        </w:rPr>
      </w:pPr>
    </w:p>
    <w:p w:rsidR="00E05C12" w:rsidRPr="006547D7" w14:paraId="6312DEF2" w14:textId="77777777">
      <w:pPr>
        <w:rPr>
          <w:b/>
        </w:rPr>
      </w:pPr>
      <w:r w:rsidRPr="006547D7">
        <w:rPr>
          <w:noProof/>
          <w:lang w:val="en-US" w:eastAsia="zh-CN" w:bidi="mn-Mong-CN"/>
        </w:rPr>
        <w:drawing>
          <wp:inline distT="0" distB="0" distL="0" distR="0">
            <wp:extent cx="5760720" cy="3599180"/>
            <wp:effectExtent l="0" t="0" r="11430" b="1270"/>
            <wp:docPr id="18" name="Grafikon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bl>
      <w:tblPr>
        <w:tblStyle w:val="TableGrid"/>
        <w:tblW w:w="9070" w:type="dxa"/>
        <w:tblLayout w:type="fixed"/>
        <w:tblLook w:val="04A0"/>
      </w:tblPr>
      <w:tblGrid>
        <w:gridCol w:w="4535"/>
        <w:gridCol w:w="4535"/>
      </w:tblGrid>
      <w:tr w14:paraId="6EE2C59C" w14:textId="77777777" w:rsidTr="0093491C">
        <w:tblPrEx>
          <w:tblW w:w="9070" w:type="dxa"/>
          <w:tblLayout w:type="fixed"/>
          <w:tblLook w:val="04A0"/>
        </w:tblPrEx>
        <w:tc>
          <w:tcPr>
            <w:tcW w:w="4535" w:type="dxa"/>
            <w:shd w:val="clear" w:color="auto" w:fill="auto"/>
          </w:tcPr>
          <w:p w:rsidR="00362CDF" w:rsidRPr="006547D7" w:rsidP="00A73D45" w14:paraId="65FFE3D2" w14:textId="77777777">
            <w:pPr>
              <w:rPr>
                <w:sz w:val="20"/>
                <w:szCs w:val="20"/>
              </w:rPr>
            </w:pPr>
            <w:r w:rsidRPr="006547D7">
              <w:rPr>
                <w:sz w:val="20"/>
                <w:szCs w:val="20"/>
              </w:rPr>
              <w:t>FWSI na vlakovni potniški kilometer (v milijardah)</w:t>
            </w:r>
          </w:p>
        </w:tc>
        <w:tc>
          <w:tcPr>
            <w:tcW w:w="4535" w:type="dxa"/>
          </w:tcPr>
          <w:p w:rsidR="00362CDF" w:rsidRPr="006547D7" w:rsidP="00A73D45" w14:paraId="24D3DD70" w14:textId="77777777">
            <w:pPr>
              <w:rPr>
                <w:sz w:val="20"/>
                <w:szCs w:val="20"/>
              </w:rPr>
            </w:pPr>
            <w:r w:rsidRPr="006547D7">
              <w:rPr>
                <w:sz w:val="20"/>
                <w:szCs w:val="20"/>
              </w:rPr>
              <w:t xml:space="preserve">FWSI per </w:t>
            </w:r>
            <w:r w:rsidRPr="006547D7">
              <w:rPr>
                <w:sz w:val="20"/>
                <w:szCs w:val="20"/>
              </w:rPr>
              <w:t>billion</w:t>
            </w:r>
            <w:r w:rsidRPr="006547D7">
              <w:rPr>
                <w:sz w:val="20"/>
                <w:szCs w:val="20"/>
              </w:rPr>
              <w:t xml:space="preserve"> </w:t>
            </w:r>
            <w:r w:rsidRPr="006547D7">
              <w:rPr>
                <w:sz w:val="20"/>
                <w:szCs w:val="20"/>
              </w:rPr>
              <w:t>train</w:t>
            </w:r>
            <w:r w:rsidRPr="006547D7">
              <w:rPr>
                <w:sz w:val="20"/>
                <w:szCs w:val="20"/>
              </w:rPr>
              <w:t xml:space="preserve"> </w:t>
            </w:r>
            <w:r w:rsidRPr="006547D7">
              <w:rPr>
                <w:sz w:val="20"/>
                <w:szCs w:val="20"/>
              </w:rPr>
              <w:t>passenger-kilometres</w:t>
            </w:r>
          </w:p>
        </w:tc>
      </w:tr>
    </w:tbl>
    <w:p w:rsidR="00E05C12" w14:paraId="0CC3ED28" w14:textId="77777777">
      <w:pPr>
        <w:rPr>
          <w:b/>
        </w:rPr>
      </w:pPr>
    </w:p>
    <w:p w:rsidR="00E05C12" w:rsidRPr="006547D7" w14:paraId="536DD832" w14:textId="77777777">
      <w:pPr>
        <w:rPr>
          <w:b/>
        </w:rPr>
      </w:pPr>
      <w:r w:rsidRPr="006547D7">
        <w:rPr>
          <w:noProof/>
          <w:lang w:val="en-US" w:eastAsia="zh-CN" w:bidi="mn-Mong-CN"/>
        </w:rPr>
        <w:drawing>
          <wp:inline distT="0" distB="0" distL="0" distR="0">
            <wp:extent cx="5760720" cy="3599180"/>
            <wp:effectExtent l="0" t="0" r="11430" b="1270"/>
            <wp:docPr id="19" name="Grafikon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bl>
      <w:tblPr>
        <w:tblStyle w:val="TableGrid"/>
        <w:tblW w:w="5000" w:type="pct"/>
        <w:tblLook w:val="04A0"/>
      </w:tblPr>
      <w:tblGrid>
        <w:gridCol w:w="4531"/>
        <w:gridCol w:w="4531"/>
      </w:tblGrid>
      <w:tr w14:paraId="6D08E653" w14:textId="77777777" w:rsidTr="0093491C">
        <w:tblPrEx>
          <w:tblW w:w="5000" w:type="pct"/>
          <w:tblLook w:val="04A0"/>
        </w:tblPrEx>
        <w:tc>
          <w:tcPr>
            <w:tcW w:w="2500" w:type="pct"/>
            <w:shd w:val="clear" w:color="auto" w:fill="auto"/>
          </w:tcPr>
          <w:p w:rsidR="00362CDF" w:rsidRPr="006547D7" w:rsidP="00A73D45" w14:paraId="380BC6A3" w14:textId="77777777">
            <w:pPr>
              <w:rPr>
                <w:sz w:val="20"/>
                <w:szCs w:val="20"/>
              </w:rPr>
            </w:pPr>
            <w:r w:rsidRPr="006547D7">
              <w:rPr>
                <w:sz w:val="20"/>
                <w:szCs w:val="20"/>
              </w:rPr>
              <w:t>FWSI na potniški kilometer (v milijardah)</w:t>
            </w:r>
          </w:p>
        </w:tc>
        <w:tc>
          <w:tcPr>
            <w:tcW w:w="2500" w:type="pct"/>
          </w:tcPr>
          <w:p w:rsidR="00362CDF" w:rsidRPr="006547D7" w:rsidP="00A73D45" w14:paraId="36D03834" w14:textId="77777777">
            <w:pPr>
              <w:rPr>
                <w:sz w:val="20"/>
                <w:szCs w:val="20"/>
              </w:rPr>
            </w:pPr>
            <w:r w:rsidRPr="006547D7">
              <w:rPr>
                <w:sz w:val="20"/>
                <w:szCs w:val="20"/>
              </w:rPr>
              <w:t xml:space="preserve">FWSI per </w:t>
            </w:r>
            <w:r w:rsidRPr="006547D7">
              <w:rPr>
                <w:sz w:val="20"/>
                <w:szCs w:val="20"/>
              </w:rPr>
              <w:t>billion</w:t>
            </w:r>
            <w:r w:rsidRPr="006547D7">
              <w:rPr>
                <w:sz w:val="20"/>
                <w:szCs w:val="20"/>
              </w:rPr>
              <w:t xml:space="preserve"> </w:t>
            </w:r>
            <w:r w:rsidRPr="006547D7">
              <w:rPr>
                <w:sz w:val="20"/>
                <w:szCs w:val="20"/>
              </w:rPr>
              <w:t>passenger-kilometres</w:t>
            </w:r>
          </w:p>
        </w:tc>
      </w:tr>
    </w:tbl>
    <w:p w:rsidR="00362CDF" w:rsidRPr="006547D7" w14:paraId="0978EA47" w14:textId="77777777">
      <w:pPr>
        <w:rPr>
          <w:b/>
          <w:lang w:val="de-DE"/>
        </w:rPr>
      </w:pPr>
    </w:p>
    <w:p w:rsidR="00E05C12" w:rsidRPr="006547D7" w14:paraId="7EC05D76" w14:textId="77777777">
      <w:pPr>
        <w:rPr>
          <w:b/>
        </w:rPr>
      </w:pPr>
      <w:r w:rsidRPr="006547D7">
        <w:rPr>
          <w:noProof/>
          <w:lang w:val="en-US" w:eastAsia="zh-CN" w:bidi="mn-Mong-CN"/>
        </w:rPr>
        <w:drawing>
          <wp:inline distT="0" distB="0" distL="0" distR="0">
            <wp:extent cx="5760720" cy="3599180"/>
            <wp:effectExtent l="0" t="0" r="11430" b="1270"/>
            <wp:docPr id="20" name="Grafikon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bl>
      <w:tblPr>
        <w:tblStyle w:val="TableGrid"/>
        <w:tblW w:w="5000" w:type="pct"/>
        <w:tblLook w:val="04A0"/>
      </w:tblPr>
      <w:tblGrid>
        <w:gridCol w:w="4531"/>
        <w:gridCol w:w="4531"/>
      </w:tblGrid>
      <w:tr w14:paraId="1E432D0C" w14:textId="77777777" w:rsidTr="0093491C">
        <w:tblPrEx>
          <w:tblW w:w="5000" w:type="pct"/>
          <w:tblLook w:val="04A0"/>
        </w:tblPrEx>
        <w:tc>
          <w:tcPr>
            <w:tcW w:w="2500" w:type="pct"/>
            <w:shd w:val="clear" w:color="auto" w:fill="auto"/>
          </w:tcPr>
          <w:p w:rsidR="00362CDF" w:rsidRPr="006547D7" w:rsidP="00A73D45" w14:paraId="34CE767F" w14:textId="77777777">
            <w:pPr>
              <w:rPr>
                <w:sz w:val="20"/>
                <w:szCs w:val="20"/>
              </w:rPr>
            </w:pPr>
            <w:r w:rsidRPr="006547D7">
              <w:rPr>
                <w:sz w:val="20"/>
                <w:szCs w:val="20"/>
              </w:rPr>
              <w:t>FWSI na vlakovni kilometer (v milijardah)</w:t>
            </w:r>
          </w:p>
        </w:tc>
        <w:tc>
          <w:tcPr>
            <w:tcW w:w="2500" w:type="pct"/>
          </w:tcPr>
          <w:p w:rsidR="00362CDF" w:rsidRPr="006547D7" w:rsidP="00A73D45" w14:paraId="6FA4BF13" w14:textId="77777777">
            <w:pPr>
              <w:rPr>
                <w:sz w:val="20"/>
                <w:szCs w:val="20"/>
              </w:rPr>
            </w:pPr>
            <w:r w:rsidRPr="006547D7">
              <w:rPr>
                <w:sz w:val="20"/>
                <w:szCs w:val="20"/>
              </w:rPr>
              <w:t xml:space="preserve">FWSI per </w:t>
            </w:r>
            <w:r w:rsidRPr="006547D7">
              <w:rPr>
                <w:sz w:val="20"/>
                <w:szCs w:val="20"/>
              </w:rPr>
              <w:t>billion</w:t>
            </w:r>
            <w:r w:rsidRPr="006547D7">
              <w:rPr>
                <w:sz w:val="20"/>
                <w:szCs w:val="20"/>
              </w:rPr>
              <w:t xml:space="preserve"> </w:t>
            </w:r>
            <w:r w:rsidRPr="006547D7">
              <w:rPr>
                <w:sz w:val="20"/>
                <w:szCs w:val="20"/>
              </w:rPr>
              <w:t>train-kilometres</w:t>
            </w:r>
          </w:p>
        </w:tc>
      </w:tr>
    </w:tbl>
    <w:p w:rsidR="00E05C12" w:rsidRPr="006547D7" w14:paraId="1223E3A1" w14:textId="77777777">
      <w:pPr>
        <w:rPr>
          <w:b/>
          <w:lang w:val="fi-FI"/>
        </w:rPr>
      </w:pPr>
    </w:p>
    <w:p w:rsidR="00E05C12" w:rsidRPr="006547D7" w14:paraId="08555B28" w14:textId="77777777">
      <w:pPr>
        <w:rPr>
          <w:b/>
        </w:rPr>
      </w:pPr>
      <w:r w:rsidRPr="006547D7">
        <w:rPr>
          <w:noProof/>
          <w:lang w:val="en-US" w:eastAsia="zh-CN" w:bidi="mn-Mong-CN"/>
        </w:rPr>
        <w:drawing>
          <wp:inline distT="0" distB="0" distL="0" distR="0">
            <wp:extent cx="5760720" cy="3599180"/>
            <wp:effectExtent l="0" t="0" r="11430" b="1270"/>
            <wp:docPr id="21" name="Grafikon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bl>
      <w:tblPr>
        <w:tblStyle w:val="TableGrid"/>
        <w:tblW w:w="9070" w:type="dxa"/>
        <w:tblLayout w:type="fixed"/>
        <w:tblLook w:val="04A0"/>
      </w:tblPr>
      <w:tblGrid>
        <w:gridCol w:w="4535"/>
        <w:gridCol w:w="4535"/>
      </w:tblGrid>
      <w:tr w14:paraId="6CC27DA6" w14:textId="77777777" w:rsidTr="0093491C">
        <w:tblPrEx>
          <w:tblW w:w="9070" w:type="dxa"/>
          <w:tblLayout w:type="fixed"/>
          <w:tblLook w:val="04A0"/>
        </w:tblPrEx>
        <w:tc>
          <w:tcPr>
            <w:tcW w:w="4535" w:type="dxa"/>
            <w:shd w:val="clear" w:color="auto" w:fill="auto"/>
          </w:tcPr>
          <w:p w:rsidR="00362CDF" w:rsidRPr="006547D7" w:rsidP="00A73D45" w14:paraId="4D96C4FA" w14:textId="77777777">
            <w:pPr>
              <w:rPr>
                <w:sz w:val="20"/>
                <w:szCs w:val="20"/>
              </w:rPr>
            </w:pPr>
            <w:r w:rsidRPr="006547D7">
              <w:rPr>
                <w:sz w:val="20"/>
                <w:szCs w:val="20"/>
              </w:rPr>
              <w:t>FWSI na vlakovni kilometer (v milijardah)</w:t>
            </w:r>
          </w:p>
        </w:tc>
        <w:tc>
          <w:tcPr>
            <w:tcW w:w="4535" w:type="dxa"/>
          </w:tcPr>
          <w:p w:rsidR="00362CDF" w:rsidRPr="006547D7" w:rsidP="00A73D45" w14:paraId="2C0F948C" w14:textId="77777777">
            <w:pPr>
              <w:rPr>
                <w:sz w:val="20"/>
                <w:szCs w:val="20"/>
              </w:rPr>
            </w:pPr>
            <w:r w:rsidRPr="006547D7">
              <w:rPr>
                <w:sz w:val="20"/>
                <w:szCs w:val="20"/>
              </w:rPr>
              <w:t xml:space="preserve">FWSI per </w:t>
            </w:r>
            <w:r w:rsidRPr="006547D7">
              <w:rPr>
                <w:sz w:val="20"/>
                <w:szCs w:val="20"/>
              </w:rPr>
              <w:t>billion</w:t>
            </w:r>
            <w:r w:rsidRPr="006547D7">
              <w:rPr>
                <w:sz w:val="20"/>
                <w:szCs w:val="20"/>
              </w:rPr>
              <w:t xml:space="preserve"> </w:t>
            </w:r>
            <w:r w:rsidRPr="006547D7">
              <w:rPr>
                <w:sz w:val="20"/>
                <w:szCs w:val="20"/>
              </w:rPr>
              <w:t>train-kilometres</w:t>
            </w:r>
          </w:p>
        </w:tc>
      </w:tr>
    </w:tbl>
    <w:p w:rsidR="00362CDF" w:rsidRPr="006547D7" w14:paraId="7C5B2B62" w14:textId="77777777">
      <w:pPr>
        <w:rPr>
          <w:b/>
          <w:lang w:val="fi-FI"/>
        </w:rPr>
      </w:pPr>
    </w:p>
    <w:p w:rsidR="00E05C12" w:rsidRPr="006547D7" w14:paraId="509C45F6" w14:textId="77777777">
      <w:pPr>
        <w:rPr>
          <w:b/>
        </w:rPr>
      </w:pPr>
      <w:r w:rsidRPr="006547D7">
        <w:rPr>
          <w:noProof/>
          <w:lang w:val="en-US" w:eastAsia="zh-CN" w:bidi="mn-Mong-CN"/>
        </w:rPr>
        <w:drawing>
          <wp:inline distT="0" distB="0" distL="0" distR="0">
            <wp:extent cx="5760720" cy="3599180"/>
            <wp:effectExtent l="0" t="0" r="11430" b="1270"/>
            <wp:docPr id="22" name="Grafikon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bl>
      <w:tblPr>
        <w:tblStyle w:val="TableGrid"/>
        <w:tblW w:w="9070" w:type="dxa"/>
        <w:tblLayout w:type="fixed"/>
        <w:tblLook w:val="04A0"/>
      </w:tblPr>
      <w:tblGrid>
        <w:gridCol w:w="4535"/>
        <w:gridCol w:w="4535"/>
      </w:tblGrid>
      <w:tr w14:paraId="0BAF2797" w14:textId="77777777" w:rsidTr="00362CDF">
        <w:tblPrEx>
          <w:tblW w:w="9070" w:type="dxa"/>
          <w:tblLayout w:type="fixed"/>
          <w:tblLook w:val="04A0"/>
        </w:tblPrEx>
        <w:tc>
          <w:tcPr>
            <w:tcW w:w="4535" w:type="dxa"/>
            <w:shd w:val="clear" w:color="auto" w:fill="auto"/>
          </w:tcPr>
          <w:p w:rsidR="00362CDF" w:rsidRPr="006547D7" w:rsidP="00A73D45" w14:paraId="1634D5D9" w14:textId="77777777">
            <w:pPr>
              <w:rPr>
                <w:sz w:val="20"/>
                <w:szCs w:val="20"/>
              </w:rPr>
            </w:pPr>
            <w:r w:rsidRPr="006547D7">
              <w:rPr>
                <w:sz w:val="20"/>
                <w:szCs w:val="20"/>
              </w:rPr>
              <w:t xml:space="preserve">FWSI na izpostavljenost nevarnosti </w:t>
            </w:r>
          </w:p>
        </w:tc>
        <w:tc>
          <w:tcPr>
            <w:tcW w:w="4535" w:type="dxa"/>
          </w:tcPr>
          <w:p w:rsidR="00362CDF" w:rsidRPr="006547D7" w:rsidP="00A73D45" w14:paraId="03FC9364" w14:textId="77777777">
            <w:pPr>
              <w:rPr>
                <w:sz w:val="20"/>
                <w:szCs w:val="20"/>
              </w:rPr>
            </w:pPr>
            <w:r w:rsidRPr="006547D7">
              <w:rPr>
                <w:sz w:val="20"/>
                <w:szCs w:val="20"/>
              </w:rPr>
              <w:t xml:space="preserve">FWSI per </w:t>
            </w:r>
            <w:r w:rsidRPr="006547D7">
              <w:rPr>
                <w:sz w:val="20"/>
                <w:szCs w:val="20"/>
              </w:rPr>
              <w:t>exposure</w:t>
            </w:r>
            <w:r w:rsidRPr="006547D7" w:rsidR="00432BC7">
              <w:rPr>
                <w:sz w:val="20"/>
                <w:szCs w:val="20"/>
              </w:rPr>
              <w:t xml:space="preserve"> to hazard</w:t>
            </w:r>
          </w:p>
        </w:tc>
      </w:tr>
    </w:tbl>
    <w:p w:rsidR="007A2868" w:rsidRPr="006547D7" w14:paraId="598E918A" w14:textId="77777777">
      <w:pPr>
        <w:rPr>
          <w:b/>
        </w:rPr>
      </w:pPr>
    </w:p>
    <w:p w:rsidR="007A2868" w:rsidRPr="006547D7" w14:paraId="4D723220" w14:textId="77777777">
      <w:pPr>
        <w:rPr>
          <w:b/>
        </w:rPr>
      </w:pPr>
      <w:r w:rsidRPr="006547D7">
        <w:rPr>
          <w:noProof/>
          <w:lang w:val="en-US" w:eastAsia="zh-CN" w:bidi="mn-Mong-CN"/>
        </w:rPr>
        <w:drawing>
          <wp:inline distT="0" distB="0" distL="0" distR="0">
            <wp:extent cx="5760720" cy="3599180"/>
            <wp:effectExtent l="0" t="0" r="11430" b="1270"/>
            <wp:docPr id="24" name="Grafikon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bl>
      <w:tblPr>
        <w:tblStyle w:val="TableGrid"/>
        <w:tblW w:w="9070" w:type="dxa"/>
        <w:tblLayout w:type="fixed"/>
        <w:tblLook w:val="04A0"/>
      </w:tblPr>
      <w:tblGrid>
        <w:gridCol w:w="4535"/>
        <w:gridCol w:w="4535"/>
      </w:tblGrid>
      <w:tr w14:paraId="6AB1E4C2" w14:textId="77777777" w:rsidTr="00362CDF">
        <w:tblPrEx>
          <w:tblW w:w="9070" w:type="dxa"/>
          <w:tblLayout w:type="fixed"/>
          <w:tblLook w:val="04A0"/>
        </w:tblPrEx>
        <w:tc>
          <w:tcPr>
            <w:tcW w:w="4535" w:type="dxa"/>
            <w:shd w:val="clear" w:color="auto" w:fill="auto"/>
          </w:tcPr>
          <w:p w:rsidR="00362CDF" w:rsidRPr="006547D7" w:rsidP="00A73D45" w14:paraId="30F9CB0B" w14:textId="77777777">
            <w:pPr>
              <w:rPr>
                <w:sz w:val="20"/>
                <w:szCs w:val="20"/>
              </w:rPr>
            </w:pPr>
            <w:r w:rsidRPr="006547D7">
              <w:rPr>
                <w:sz w:val="20"/>
                <w:szCs w:val="20"/>
              </w:rPr>
              <w:t>FWSI na vlakovni kilometer (v milijardah)</w:t>
            </w:r>
          </w:p>
        </w:tc>
        <w:tc>
          <w:tcPr>
            <w:tcW w:w="4535" w:type="dxa"/>
          </w:tcPr>
          <w:p w:rsidR="00362CDF" w:rsidRPr="006547D7" w:rsidP="00397148" w14:paraId="79EF4188" w14:textId="77777777">
            <w:pPr>
              <w:rPr>
                <w:sz w:val="20"/>
                <w:szCs w:val="20"/>
              </w:rPr>
            </w:pPr>
            <w:r w:rsidRPr="006547D7">
              <w:rPr>
                <w:sz w:val="20"/>
                <w:szCs w:val="20"/>
              </w:rPr>
              <w:t xml:space="preserve">FWSI per </w:t>
            </w:r>
            <w:r w:rsidRPr="006547D7">
              <w:rPr>
                <w:sz w:val="20"/>
                <w:szCs w:val="20"/>
              </w:rPr>
              <w:t>billion</w:t>
            </w:r>
            <w:r w:rsidRPr="006547D7">
              <w:rPr>
                <w:sz w:val="20"/>
                <w:szCs w:val="20"/>
              </w:rPr>
              <w:t xml:space="preserve"> </w:t>
            </w:r>
            <w:r w:rsidRPr="006547D7">
              <w:rPr>
                <w:sz w:val="20"/>
                <w:szCs w:val="20"/>
              </w:rPr>
              <w:t>train-kilometres</w:t>
            </w:r>
          </w:p>
        </w:tc>
      </w:tr>
    </w:tbl>
    <w:p w:rsidR="00362CDF" w:rsidRPr="006547D7" w14:paraId="45A1C51C" w14:textId="77777777">
      <w:pPr>
        <w:rPr>
          <w:b/>
          <w:lang w:val="fi-FI"/>
        </w:rPr>
      </w:pPr>
    </w:p>
    <w:p w:rsidR="007A2868" w:rsidRPr="006547D7" w14:paraId="6A13ACD2" w14:textId="77777777">
      <w:pPr>
        <w:rPr>
          <w:b/>
        </w:rPr>
      </w:pPr>
      <w:r w:rsidRPr="006547D7">
        <w:rPr>
          <w:noProof/>
          <w:lang w:val="en-US" w:eastAsia="zh-CN" w:bidi="mn-Mong-CN"/>
        </w:rPr>
        <w:drawing>
          <wp:inline distT="0" distB="0" distL="0" distR="0">
            <wp:extent cx="5760720" cy="3599180"/>
            <wp:effectExtent l="0" t="0" r="11430" b="1270"/>
            <wp:docPr id="25" name="Grafikon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bl>
      <w:tblPr>
        <w:tblStyle w:val="TableGrid"/>
        <w:tblW w:w="9070" w:type="dxa"/>
        <w:tblLayout w:type="fixed"/>
        <w:tblLook w:val="04A0"/>
      </w:tblPr>
      <w:tblGrid>
        <w:gridCol w:w="4535"/>
        <w:gridCol w:w="4535"/>
      </w:tblGrid>
      <w:tr w14:paraId="0098BF72" w14:textId="77777777" w:rsidTr="00362CDF">
        <w:tblPrEx>
          <w:tblW w:w="9070" w:type="dxa"/>
          <w:tblLayout w:type="fixed"/>
          <w:tblLook w:val="04A0"/>
        </w:tblPrEx>
        <w:tc>
          <w:tcPr>
            <w:tcW w:w="4535" w:type="dxa"/>
            <w:shd w:val="clear" w:color="auto" w:fill="auto"/>
          </w:tcPr>
          <w:p w:rsidR="00362CDF" w:rsidRPr="006547D7" w:rsidP="00A73D45" w14:paraId="0FD9D27A" w14:textId="77777777">
            <w:pPr>
              <w:rPr>
                <w:sz w:val="20"/>
                <w:szCs w:val="20"/>
              </w:rPr>
            </w:pPr>
            <w:r w:rsidRPr="006547D7">
              <w:rPr>
                <w:sz w:val="20"/>
                <w:szCs w:val="20"/>
              </w:rPr>
              <w:t>FWSI na vlakovni kilometer (v milijardah)</w:t>
            </w:r>
          </w:p>
        </w:tc>
        <w:tc>
          <w:tcPr>
            <w:tcW w:w="4535" w:type="dxa"/>
          </w:tcPr>
          <w:p w:rsidR="00362CDF" w:rsidRPr="006547D7" w:rsidP="00A73D45" w14:paraId="326C5229" w14:textId="77777777">
            <w:pPr>
              <w:rPr>
                <w:sz w:val="20"/>
                <w:szCs w:val="20"/>
              </w:rPr>
            </w:pPr>
            <w:r w:rsidRPr="006547D7">
              <w:rPr>
                <w:sz w:val="20"/>
                <w:szCs w:val="20"/>
              </w:rPr>
              <w:t xml:space="preserve">FWSI per </w:t>
            </w:r>
            <w:r w:rsidRPr="006547D7">
              <w:rPr>
                <w:sz w:val="20"/>
                <w:szCs w:val="20"/>
              </w:rPr>
              <w:t>billion</w:t>
            </w:r>
            <w:r w:rsidRPr="006547D7">
              <w:rPr>
                <w:sz w:val="20"/>
                <w:szCs w:val="20"/>
              </w:rPr>
              <w:t xml:space="preserve"> </w:t>
            </w:r>
            <w:r w:rsidRPr="006547D7">
              <w:rPr>
                <w:sz w:val="20"/>
                <w:szCs w:val="20"/>
              </w:rPr>
              <w:t>train-kilometres</w:t>
            </w:r>
          </w:p>
        </w:tc>
      </w:tr>
    </w:tbl>
    <w:p w:rsidR="007A2868" w:rsidRPr="006547D7" w14:paraId="7EF53600" w14:textId="77777777">
      <w:pPr>
        <w:rPr>
          <w:b/>
          <w:lang w:val="fi-FI"/>
        </w:rPr>
      </w:pPr>
    </w:p>
    <w:p w:rsidR="007A2868" w:rsidRPr="006547D7" w:rsidP="0093491C" w14:paraId="2025AA0B" w14:textId="77777777">
      <w:pPr>
        <w:spacing w:after="120"/>
        <w:rPr>
          <w:b/>
        </w:rPr>
      </w:pPr>
      <w:r w:rsidRPr="006547D7">
        <w:rPr>
          <w:noProof/>
          <w:lang w:val="en-US" w:eastAsia="zh-CN" w:bidi="mn-Mong-CN"/>
        </w:rPr>
        <w:drawing>
          <wp:inline distT="0" distB="0" distL="0" distR="0">
            <wp:extent cx="5760720" cy="3599180"/>
            <wp:effectExtent l="0" t="0" r="11430" b="1270"/>
            <wp:docPr id="26" name="Grafikon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bl>
      <w:tblPr>
        <w:tblStyle w:val="TableGrid"/>
        <w:tblW w:w="9070" w:type="dxa"/>
        <w:tblLayout w:type="fixed"/>
        <w:tblLook w:val="04A0"/>
      </w:tblPr>
      <w:tblGrid>
        <w:gridCol w:w="4535"/>
        <w:gridCol w:w="4535"/>
      </w:tblGrid>
      <w:tr w14:paraId="7D198FB4" w14:textId="77777777" w:rsidTr="00362CDF">
        <w:tblPrEx>
          <w:tblW w:w="9070" w:type="dxa"/>
          <w:tblLayout w:type="fixed"/>
          <w:tblLook w:val="04A0"/>
        </w:tblPrEx>
        <w:tc>
          <w:tcPr>
            <w:tcW w:w="4535" w:type="dxa"/>
            <w:shd w:val="clear" w:color="auto" w:fill="auto"/>
          </w:tcPr>
          <w:p w:rsidR="00397148" w:rsidRPr="00E777B1" w:rsidP="00397148" w14:paraId="5FF939BE" w14:textId="77777777">
            <w:pPr>
              <w:rPr>
                <w:sz w:val="20"/>
                <w:szCs w:val="20"/>
              </w:rPr>
            </w:pPr>
            <w:r w:rsidRPr="00E777B1">
              <w:rPr>
                <w:sz w:val="20"/>
                <w:szCs w:val="20"/>
              </w:rPr>
              <w:t>Zlomi tirnic</w:t>
            </w:r>
          </w:p>
        </w:tc>
        <w:tc>
          <w:tcPr>
            <w:tcW w:w="4535" w:type="dxa"/>
          </w:tcPr>
          <w:p w:rsidR="00397148" w:rsidRPr="00E777B1" w:rsidP="00397148" w14:paraId="77290E61" w14:textId="77777777">
            <w:pPr>
              <w:rPr>
                <w:rFonts w:ascii="Calibri" w:eastAsia="Times New Roman" w:hAnsi="Calibri" w:cs="Times New Roman"/>
                <w:color w:val="000000"/>
                <w:sz w:val="20"/>
                <w:szCs w:val="20"/>
              </w:rPr>
            </w:pPr>
            <w:r w:rsidRPr="00E777B1">
              <w:rPr>
                <w:rFonts w:ascii="Calibri" w:hAnsi="Calibri"/>
                <w:color w:val="000000"/>
                <w:sz w:val="20"/>
                <w:szCs w:val="20"/>
              </w:rPr>
              <w:t>Broken</w:t>
            </w:r>
            <w:r w:rsidRPr="00E777B1">
              <w:rPr>
                <w:rFonts w:ascii="Calibri" w:hAnsi="Calibri"/>
                <w:color w:val="000000"/>
                <w:sz w:val="20"/>
                <w:szCs w:val="20"/>
              </w:rPr>
              <w:t xml:space="preserve"> </w:t>
            </w:r>
            <w:r w:rsidRPr="00E777B1">
              <w:rPr>
                <w:rFonts w:ascii="Calibri" w:hAnsi="Calibri"/>
                <w:color w:val="000000"/>
                <w:sz w:val="20"/>
                <w:szCs w:val="20"/>
              </w:rPr>
              <w:t>rails</w:t>
            </w:r>
          </w:p>
        </w:tc>
      </w:tr>
      <w:tr w14:paraId="3C101FFD" w14:textId="77777777" w:rsidTr="00362CDF">
        <w:tblPrEx>
          <w:tblW w:w="9070" w:type="dxa"/>
          <w:tblLayout w:type="fixed"/>
          <w:tblLook w:val="04A0"/>
        </w:tblPrEx>
        <w:tc>
          <w:tcPr>
            <w:tcW w:w="4535" w:type="dxa"/>
            <w:shd w:val="clear" w:color="auto" w:fill="auto"/>
          </w:tcPr>
          <w:p w:rsidR="00397148" w:rsidRPr="00E777B1" w:rsidP="00397148" w14:paraId="58AADEF4" w14:textId="77777777">
            <w:pPr>
              <w:rPr>
                <w:sz w:val="20"/>
                <w:szCs w:val="20"/>
              </w:rPr>
            </w:pPr>
            <w:r w:rsidRPr="00E777B1">
              <w:rPr>
                <w:sz w:val="20"/>
                <w:szCs w:val="20"/>
              </w:rPr>
              <w:t>Napačna signalizacija signalnih znakov</w:t>
            </w:r>
          </w:p>
        </w:tc>
        <w:tc>
          <w:tcPr>
            <w:tcW w:w="4535" w:type="dxa"/>
          </w:tcPr>
          <w:p w:rsidR="00397148" w:rsidRPr="00E777B1" w:rsidP="00397148" w14:paraId="2E382C81" w14:textId="77777777">
            <w:pPr>
              <w:rPr>
                <w:rFonts w:ascii="Calibri" w:eastAsia="Times New Roman" w:hAnsi="Calibri" w:cs="Times New Roman"/>
                <w:color w:val="000000"/>
                <w:sz w:val="20"/>
                <w:szCs w:val="20"/>
              </w:rPr>
            </w:pPr>
            <w:r w:rsidRPr="00E777B1">
              <w:rPr>
                <w:rFonts w:ascii="Calibri" w:hAnsi="Calibri"/>
                <w:color w:val="000000"/>
                <w:sz w:val="20"/>
                <w:szCs w:val="20"/>
              </w:rPr>
              <w:t>Wrong</w:t>
            </w:r>
            <w:r w:rsidRPr="00E777B1">
              <w:rPr>
                <w:rFonts w:ascii="Calibri" w:hAnsi="Calibri"/>
                <w:color w:val="000000"/>
                <w:sz w:val="20"/>
                <w:szCs w:val="20"/>
              </w:rPr>
              <w:t xml:space="preserve"> </w:t>
            </w:r>
            <w:r w:rsidRPr="00E777B1">
              <w:rPr>
                <w:rFonts w:ascii="Calibri" w:hAnsi="Calibri"/>
                <w:color w:val="000000"/>
                <w:sz w:val="20"/>
                <w:szCs w:val="20"/>
              </w:rPr>
              <w:t>signalisation</w:t>
            </w:r>
            <w:r w:rsidRPr="00E777B1">
              <w:rPr>
                <w:rFonts w:ascii="Calibri" w:hAnsi="Calibri"/>
                <w:color w:val="000000"/>
                <w:sz w:val="20"/>
                <w:szCs w:val="20"/>
              </w:rPr>
              <w:t xml:space="preserve"> </w:t>
            </w:r>
            <w:r w:rsidRPr="00E777B1">
              <w:rPr>
                <w:rFonts w:ascii="Calibri" w:hAnsi="Calibri"/>
                <w:color w:val="000000"/>
                <w:sz w:val="20"/>
                <w:szCs w:val="20"/>
              </w:rPr>
              <w:t>by</w:t>
            </w:r>
            <w:r w:rsidRPr="00E777B1">
              <w:rPr>
                <w:rFonts w:ascii="Calibri" w:hAnsi="Calibri"/>
                <w:color w:val="000000"/>
                <w:sz w:val="20"/>
                <w:szCs w:val="20"/>
              </w:rPr>
              <w:t xml:space="preserve"> </w:t>
            </w:r>
            <w:r w:rsidRPr="00E777B1">
              <w:rPr>
                <w:rFonts w:ascii="Calibri" w:hAnsi="Calibri"/>
                <w:color w:val="000000"/>
                <w:sz w:val="20"/>
                <w:szCs w:val="20"/>
              </w:rPr>
              <w:t>signalling</w:t>
            </w:r>
            <w:r w:rsidRPr="00E777B1">
              <w:rPr>
                <w:rFonts w:ascii="Calibri" w:hAnsi="Calibri"/>
                <w:color w:val="000000"/>
                <w:sz w:val="20"/>
                <w:szCs w:val="20"/>
              </w:rPr>
              <w:t xml:space="preserve"> </w:t>
            </w:r>
            <w:r w:rsidRPr="00E777B1">
              <w:rPr>
                <w:rFonts w:ascii="Calibri" w:hAnsi="Calibri"/>
                <w:color w:val="000000"/>
                <w:sz w:val="20"/>
                <w:szCs w:val="20"/>
              </w:rPr>
              <w:t>markers</w:t>
            </w:r>
          </w:p>
        </w:tc>
      </w:tr>
      <w:tr w14:paraId="6E95E41E" w14:textId="77777777" w:rsidTr="00362CDF">
        <w:tblPrEx>
          <w:tblW w:w="9070" w:type="dxa"/>
          <w:tblLayout w:type="fixed"/>
          <w:tblLook w:val="04A0"/>
        </w:tblPrEx>
        <w:tc>
          <w:tcPr>
            <w:tcW w:w="4535" w:type="dxa"/>
            <w:shd w:val="clear" w:color="auto" w:fill="auto"/>
          </w:tcPr>
          <w:p w:rsidR="00397148" w:rsidRPr="00E777B1" w:rsidP="00397148" w14:paraId="51A7FF8E" w14:textId="77777777">
            <w:pPr>
              <w:rPr>
                <w:sz w:val="20"/>
                <w:szCs w:val="20"/>
              </w:rPr>
            </w:pPr>
            <w:r w:rsidRPr="00E777B1">
              <w:rPr>
                <w:sz w:val="20"/>
                <w:szCs w:val="20"/>
              </w:rPr>
              <w:t>Zlomi koles na vozilih</w:t>
            </w:r>
          </w:p>
        </w:tc>
        <w:tc>
          <w:tcPr>
            <w:tcW w:w="4535" w:type="dxa"/>
          </w:tcPr>
          <w:p w:rsidR="00397148" w:rsidRPr="00E777B1" w:rsidP="00397148" w14:paraId="3503D1D7" w14:textId="77777777">
            <w:pPr>
              <w:rPr>
                <w:rFonts w:ascii="Calibri" w:eastAsia="Times New Roman" w:hAnsi="Calibri" w:cs="Times New Roman"/>
                <w:color w:val="000000"/>
                <w:sz w:val="20"/>
                <w:szCs w:val="20"/>
              </w:rPr>
            </w:pPr>
            <w:r w:rsidRPr="00E777B1">
              <w:rPr>
                <w:rFonts w:ascii="Calibri" w:hAnsi="Calibri"/>
                <w:color w:val="000000"/>
                <w:sz w:val="20"/>
                <w:szCs w:val="20"/>
              </w:rPr>
              <w:t>Broken</w:t>
            </w:r>
            <w:r w:rsidRPr="00E777B1">
              <w:rPr>
                <w:rFonts w:ascii="Calibri" w:hAnsi="Calibri"/>
                <w:color w:val="000000"/>
                <w:sz w:val="20"/>
                <w:szCs w:val="20"/>
              </w:rPr>
              <w:t xml:space="preserve"> </w:t>
            </w:r>
            <w:r w:rsidRPr="00E777B1">
              <w:rPr>
                <w:rFonts w:ascii="Calibri" w:hAnsi="Calibri"/>
                <w:color w:val="000000"/>
                <w:sz w:val="20"/>
                <w:szCs w:val="20"/>
              </w:rPr>
              <w:t>wheels</w:t>
            </w:r>
            <w:r w:rsidRPr="00E777B1">
              <w:rPr>
                <w:rFonts w:ascii="Calibri" w:hAnsi="Calibri"/>
                <w:color w:val="000000"/>
                <w:sz w:val="20"/>
                <w:szCs w:val="20"/>
              </w:rPr>
              <w:t xml:space="preserve"> on </w:t>
            </w:r>
            <w:r w:rsidRPr="00E777B1">
              <w:rPr>
                <w:rFonts w:ascii="Calibri" w:hAnsi="Calibri"/>
                <w:color w:val="000000"/>
                <w:sz w:val="20"/>
                <w:szCs w:val="20"/>
              </w:rPr>
              <w:t>vehicles</w:t>
            </w:r>
          </w:p>
        </w:tc>
      </w:tr>
      <w:tr w14:paraId="0B061DBD" w14:textId="77777777" w:rsidTr="00362CDF">
        <w:tblPrEx>
          <w:tblW w:w="9070" w:type="dxa"/>
          <w:tblLayout w:type="fixed"/>
          <w:tblLook w:val="04A0"/>
        </w:tblPrEx>
        <w:tc>
          <w:tcPr>
            <w:tcW w:w="4535" w:type="dxa"/>
            <w:shd w:val="clear" w:color="auto" w:fill="auto"/>
          </w:tcPr>
          <w:p w:rsidR="00397148" w:rsidRPr="00E777B1" w:rsidP="00397148" w14:paraId="075D49E3" w14:textId="77777777">
            <w:pPr>
              <w:rPr>
                <w:sz w:val="20"/>
                <w:szCs w:val="20"/>
              </w:rPr>
            </w:pPr>
            <w:r w:rsidRPr="00E777B1">
              <w:rPr>
                <w:sz w:val="20"/>
                <w:szCs w:val="20"/>
              </w:rPr>
              <w:t>Deformacije tirov</w:t>
            </w:r>
          </w:p>
        </w:tc>
        <w:tc>
          <w:tcPr>
            <w:tcW w:w="4535" w:type="dxa"/>
          </w:tcPr>
          <w:p w:rsidR="00397148" w:rsidRPr="00E777B1" w:rsidP="00397148" w14:paraId="20E84E07" w14:textId="77777777">
            <w:pPr>
              <w:rPr>
                <w:rFonts w:ascii="Calibri" w:eastAsia="Times New Roman" w:hAnsi="Calibri" w:cs="Times New Roman"/>
                <w:color w:val="000000"/>
                <w:sz w:val="20"/>
                <w:szCs w:val="20"/>
              </w:rPr>
            </w:pPr>
            <w:r w:rsidRPr="00E777B1">
              <w:rPr>
                <w:rFonts w:ascii="Calibri" w:hAnsi="Calibri"/>
                <w:color w:val="000000"/>
                <w:sz w:val="20"/>
                <w:szCs w:val="20"/>
              </w:rPr>
              <w:t>Track</w:t>
            </w:r>
            <w:r w:rsidRPr="00E777B1">
              <w:rPr>
                <w:rFonts w:ascii="Calibri" w:hAnsi="Calibri"/>
                <w:color w:val="000000"/>
                <w:sz w:val="20"/>
                <w:szCs w:val="20"/>
              </w:rPr>
              <w:t xml:space="preserve"> </w:t>
            </w:r>
            <w:r w:rsidRPr="00E777B1">
              <w:rPr>
                <w:rFonts w:ascii="Calibri" w:hAnsi="Calibri"/>
                <w:color w:val="000000"/>
                <w:sz w:val="20"/>
                <w:szCs w:val="20"/>
              </w:rPr>
              <w:t>deformations</w:t>
            </w:r>
          </w:p>
        </w:tc>
      </w:tr>
      <w:tr w14:paraId="0452D696" w14:textId="77777777" w:rsidTr="00362CDF">
        <w:tblPrEx>
          <w:tblW w:w="9070" w:type="dxa"/>
          <w:tblLayout w:type="fixed"/>
          <w:tblLook w:val="04A0"/>
        </w:tblPrEx>
        <w:tc>
          <w:tcPr>
            <w:tcW w:w="4535" w:type="dxa"/>
            <w:shd w:val="clear" w:color="auto" w:fill="auto"/>
          </w:tcPr>
          <w:p w:rsidR="00397148" w:rsidRPr="00E777B1" w:rsidP="00397148" w14:paraId="04AFA22C" w14:textId="77777777">
            <w:pPr>
              <w:rPr>
                <w:sz w:val="20"/>
                <w:szCs w:val="20"/>
              </w:rPr>
            </w:pPr>
            <w:r w:rsidRPr="00E777B1">
              <w:rPr>
                <w:sz w:val="20"/>
                <w:szCs w:val="20"/>
              </w:rPr>
              <w:t>Prevozi signalov</w:t>
            </w:r>
          </w:p>
        </w:tc>
        <w:tc>
          <w:tcPr>
            <w:tcW w:w="4535" w:type="dxa"/>
          </w:tcPr>
          <w:p w:rsidR="00397148" w:rsidRPr="00E777B1" w:rsidP="00397148" w14:paraId="60ED2289" w14:textId="77777777">
            <w:pPr>
              <w:rPr>
                <w:rFonts w:ascii="Calibri" w:eastAsia="Times New Roman" w:hAnsi="Calibri" w:cs="Times New Roman"/>
                <w:color w:val="000000"/>
                <w:sz w:val="20"/>
                <w:szCs w:val="20"/>
              </w:rPr>
            </w:pPr>
            <w:r w:rsidRPr="00E777B1">
              <w:rPr>
                <w:rFonts w:ascii="Calibri" w:eastAsia="Times New Roman" w:hAnsi="Calibri" w:cs="Times New Roman"/>
                <w:color w:val="000000"/>
                <w:sz w:val="20"/>
                <w:szCs w:val="20"/>
              </w:rPr>
              <w:t>SPADs</w:t>
            </w:r>
          </w:p>
        </w:tc>
      </w:tr>
      <w:tr w14:paraId="23418EB8" w14:textId="77777777" w:rsidTr="00362CDF">
        <w:tblPrEx>
          <w:tblW w:w="9070" w:type="dxa"/>
          <w:tblLayout w:type="fixed"/>
          <w:tblLook w:val="04A0"/>
        </w:tblPrEx>
        <w:tc>
          <w:tcPr>
            <w:tcW w:w="4535" w:type="dxa"/>
            <w:shd w:val="clear" w:color="auto" w:fill="auto"/>
          </w:tcPr>
          <w:p w:rsidR="00397148" w:rsidRPr="00E777B1" w:rsidP="00397148" w14:paraId="78FEF2C9" w14:textId="77777777">
            <w:pPr>
              <w:rPr>
                <w:sz w:val="20"/>
                <w:szCs w:val="20"/>
              </w:rPr>
            </w:pPr>
            <w:r w:rsidRPr="00E777B1">
              <w:rPr>
                <w:sz w:val="20"/>
                <w:szCs w:val="20"/>
              </w:rPr>
              <w:t>Zlomi osi na vozilih</w:t>
            </w:r>
          </w:p>
        </w:tc>
        <w:tc>
          <w:tcPr>
            <w:tcW w:w="4535" w:type="dxa"/>
          </w:tcPr>
          <w:p w:rsidR="00397148" w:rsidRPr="00E777B1" w:rsidP="00397148" w14:paraId="67B4EEFF" w14:textId="77777777">
            <w:pPr>
              <w:rPr>
                <w:rFonts w:ascii="Calibri" w:eastAsia="Times New Roman" w:hAnsi="Calibri" w:cs="Times New Roman"/>
                <w:color w:val="000000"/>
                <w:sz w:val="20"/>
                <w:szCs w:val="20"/>
              </w:rPr>
            </w:pPr>
            <w:r w:rsidRPr="00E777B1">
              <w:rPr>
                <w:rFonts w:ascii="Calibri" w:hAnsi="Calibri"/>
                <w:color w:val="000000"/>
                <w:sz w:val="20"/>
                <w:szCs w:val="20"/>
              </w:rPr>
              <w:t>Broken</w:t>
            </w:r>
            <w:r w:rsidRPr="00E777B1">
              <w:rPr>
                <w:rFonts w:ascii="Calibri" w:hAnsi="Calibri"/>
                <w:color w:val="000000"/>
                <w:sz w:val="20"/>
                <w:szCs w:val="20"/>
              </w:rPr>
              <w:t xml:space="preserve"> </w:t>
            </w:r>
            <w:r w:rsidRPr="00E777B1">
              <w:rPr>
                <w:rFonts w:ascii="Calibri" w:hAnsi="Calibri"/>
                <w:color w:val="000000"/>
                <w:sz w:val="20"/>
                <w:szCs w:val="20"/>
              </w:rPr>
              <w:t>axles</w:t>
            </w:r>
            <w:r w:rsidRPr="00E777B1">
              <w:rPr>
                <w:rFonts w:ascii="Calibri" w:hAnsi="Calibri"/>
                <w:color w:val="000000"/>
                <w:sz w:val="20"/>
                <w:szCs w:val="20"/>
              </w:rPr>
              <w:t xml:space="preserve"> on </w:t>
            </w:r>
            <w:r w:rsidRPr="00E777B1">
              <w:rPr>
                <w:rFonts w:ascii="Calibri" w:hAnsi="Calibri"/>
                <w:color w:val="000000"/>
                <w:sz w:val="20"/>
                <w:szCs w:val="20"/>
              </w:rPr>
              <w:t>vehicles</w:t>
            </w:r>
          </w:p>
        </w:tc>
      </w:tr>
    </w:tbl>
    <w:p w:rsidR="007A2868" w:rsidP="0093491C" w14:paraId="7DD6B4A2" w14:textId="77777777">
      <w:pPr>
        <w:spacing w:after="120"/>
        <w:rPr>
          <w:b/>
        </w:rPr>
      </w:pPr>
      <w:r w:rsidRPr="006547D7">
        <w:rPr>
          <w:noProof/>
          <w:lang w:val="en-US" w:eastAsia="zh-CN" w:bidi="mn-Mong-CN"/>
        </w:rPr>
        <w:drawing>
          <wp:inline distT="0" distB="0" distL="0" distR="0">
            <wp:extent cx="5760720" cy="3599180"/>
            <wp:effectExtent l="0" t="0" r="11430" b="1270"/>
            <wp:docPr id="13" name="Grafikon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777B1" w:rsidRPr="006547D7" w:rsidP="00E777B1" w14:paraId="404AFF2C" w14:textId="77777777">
      <w:pPr>
        <w:spacing w:after="0"/>
        <w:rPr>
          <w:b/>
        </w:rPr>
      </w:pPr>
    </w:p>
    <w:tbl>
      <w:tblPr>
        <w:tblStyle w:val="TableGrid"/>
        <w:tblW w:w="9070" w:type="dxa"/>
        <w:tblLayout w:type="fixed"/>
        <w:tblLook w:val="04A0"/>
      </w:tblPr>
      <w:tblGrid>
        <w:gridCol w:w="4535"/>
        <w:gridCol w:w="4535"/>
      </w:tblGrid>
      <w:tr w14:paraId="1CA98B67" w14:textId="77777777" w:rsidTr="0093491C">
        <w:tblPrEx>
          <w:tblW w:w="9070" w:type="dxa"/>
          <w:tblLayout w:type="fixed"/>
          <w:tblLook w:val="04A0"/>
        </w:tblPrEx>
        <w:tc>
          <w:tcPr>
            <w:tcW w:w="4535" w:type="dxa"/>
            <w:shd w:val="clear" w:color="auto" w:fill="auto"/>
          </w:tcPr>
          <w:p w:rsidR="00362CDF" w:rsidRPr="006547D7" w:rsidP="00A73D45" w14:paraId="30DCA24A" w14:textId="77777777">
            <w:pPr>
              <w:rPr>
                <w:sz w:val="20"/>
                <w:szCs w:val="20"/>
              </w:rPr>
            </w:pPr>
            <w:r w:rsidRPr="006547D7">
              <w:rPr>
                <w:sz w:val="20"/>
                <w:szCs w:val="20"/>
              </w:rPr>
              <w:t>Skupno število aktivnih nivojskih prehodov</w:t>
            </w:r>
          </w:p>
        </w:tc>
        <w:tc>
          <w:tcPr>
            <w:tcW w:w="4535" w:type="dxa"/>
          </w:tcPr>
          <w:p w:rsidR="00362CDF" w:rsidRPr="006547D7" w:rsidP="00A73D45" w14:paraId="1B4AB90B" w14:textId="77777777">
            <w:pPr>
              <w:rPr>
                <w:sz w:val="20"/>
                <w:szCs w:val="20"/>
              </w:rPr>
            </w:pPr>
            <w:r w:rsidRPr="006547D7">
              <w:rPr>
                <w:sz w:val="20"/>
                <w:szCs w:val="20"/>
              </w:rPr>
              <w:t xml:space="preserve">Total </w:t>
            </w:r>
            <w:r w:rsidRPr="006547D7">
              <w:rPr>
                <w:sz w:val="20"/>
                <w:szCs w:val="20"/>
              </w:rPr>
              <w:t>number</w:t>
            </w:r>
            <w:r w:rsidRPr="006547D7">
              <w:rPr>
                <w:sz w:val="20"/>
                <w:szCs w:val="20"/>
              </w:rPr>
              <w:t xml:space="preserve"> </w:t>
            </w:r>
            <w:r w:rsidRPr="006547D7">
              <w:rPr>
                <w:sz w:val="20"/>
                <w:szCs w:val="20"/>
              </w:rPr>
              <w:t>of</w:t>
            </w:r>
            <w:r w:rsidRPr="006547D7">
              <w:rPr>
                <w:sz w:val="20"/>
                <w:szCs w:val="20"/>
              </w:rPr>
              <w:t xml:space="preserve"> </w:t>
            </w:r>
            <w:r w:rsidRPr="006547D7">
              <w:rPr>
                <w:sz w:val="20"/>
                <w:szCs w:val="20"/>
              </w:rPr>
              <w:t>active</w:t>
            </w:r>
            <w:r w:rsidRPr="006547D7">
              <w:rPr>
                <w:sz w:val="20"/>
                <w:szCs w:val="20"/>
              </w:rPr>
              <w:t xml:space="preserve"> </w:t>
            </w:r>
            <w:r w:rsidRPr="006547D7">
              <w:rPr>
                <w:sz w:val="20"/>
                <w:szCs w:val="20"/>
              </w:rPr>
              <w:t>level</w:t>
            </w:r>
            <w:r w:rsidRPr="006547D7">
              <w:rPr>
                <w:sz w:val="20"/>
                <w:szCs w:val="20"/>
              </w:rPr>
              <w:t xml:space="preserve"> </w:t>
            </w:r>
            <w:r w:rsidRPr="006547D7">
              <w:rPr>
                <w:sz w:val="20"/>
                <w:szCs w:val="20"/>
              </w:rPr>
              <w:t>crossings</w:t>
            </w:r>
          </w:p>
        </w:tc>
      </w:tr>
      <w:tr w14:paraId="6F4DB3A6" w14:textId="77777777" w:rsidTr="0093491C">
        <w:tblPrEx>
          <w:tblW w:w="9070" w:type="dxa"/>
          <w:tblLayout w:type="fixed"/>
          <w:tblLook w:val="04A0"/>
        </w:tblPrEx>
        <w:tc>
          <w:tcPr>
            <w:tcW w:w="4535" w:type="dxa"/>
            <w:shd w:val="clear" w:color="auto" w:fill="auto"/>
          </w:tcPr>
          <w:p w:rsidR="00362CDF" w:rsidRPr="006547D7" w:rsidP="00A73D45" w14:paraId="2F55AEEF" w14:textId="77777777">
            <w:pPr>
              <w:rPr>
                <w:sz w:val="20"/>
                <w:szCs w:val="20"/>
              </w:rPr>
            </w:pPr>
            <w:r w:rsidRPr="006547D7">
              <w:rPr>
                <w:sz w:val="20"/>
                <w:szCs w:val="20"/>
              </w:rPr>
              <w:t>Skupno število pasivnih nivojskih prehodov</w:t>
            </w:r>
          </w:p>
        </w:tc>
        <w:tc>
          <w:tcPr>
            <w:tcW w:w="4535" w:type="dxa"/>
          </w:tcPr>
          <w:p w:rsidR="00362CDF" w:rsidRPr="006547D7" w:rsidP="00A73D45" w14:paraId="0524C95D" w14:textId="77777777">
            <w:pPr>
              <w:rPr>
                <w:sz w:val="20"/>
                <w:szCs w:val="20"/>
              </w:rPr>
            </w:pPr>
            <w:r w:rsidRPr="006547D7">
              <w:rPr>
                <w:sz w:val="20"/>
                <w:szCs w:val="20"/>
              </w:rPr>
              <w:t xml:space="preserve">Total </w:t>
            </w:r>
            <w:r w:rsidRPr="006547D7">
              <w:rPr>
                <w:sz w:val="20"/>
                <w:szCs w:val="20"/>
              </w:rPr>
              <w:t>number</w:t>
            </w:r>
            <w:r w:rsidRPr="006547D7">
              <w:rPr>
                <w:sz w:val="20"/>
                <w:szCs w:val="20"/>
              </w:rPr>
              <w:t xml:space="preserve"> </w:t>
            </w:r>
            <w:r w:rsidRPr="006547D7">
              <w:rPr>
                <w:sz w:val="20"/>
                <w:szCs w:val="20"/>
              </w:rPr>
              <w:t>of</w:t>
            </w:r>
            <w:r w:rsidRPr="006547D7">
              <w:rPr>
                <w:sz w:val="20"/>
                <w:szCs w:val="20"/>
              </w:rPr>
              <w:t xml:space="preserve"> </w:t>
            </w:r>
            <w:r w:rsidRPr="006547D7">
              <w:rPr>
                <w:sz w:val="20"/>
                <w:szCs w:val="20"/>
              </w:rPr>
              <w:t>passive</w:t>
            </w:r>
            <w:r w:rsidRPr="006547D7">
              <w:rPr>
                <w:sz w:val="20"/>
                <w:szCs w:val="20"/>
              </w:rPr>
              <w:t xml:space="preserve"> </w:t>
            </w:r>
            <w:r w:rsidRPr="006547D7">
              <w:rPr>
                <w:sz w:val="20"/>
                <w:szCs w:val="20"/>
              </w:rPr>
              <w:t>level</w:t>
            </w:r>
            <w:r w:rsidRPr="006547D7">
              <w:rPr>
                <w:sz w:val="20"/>
                <w:szCs w:val="20"/>
              </w:rPr>
              <w:t xml:space="preserve"> </w:t>
            </w:r>
            <w:r w:rsidRPr="006547D7">
              <w:rPr>
                <w:sz w:val="20"/>
                <w:szCs w:val="20"/>
              </w:rPr>
              <w:t>crossings</w:t>
            </w:r>
          </w:p>
        </w:tc>
      </w:tr>
    </w:tbl>
    <w:p w:rsidR="0001536A" w:rsidRPr="006547D7" w:rsidP="0093491C" w14:paraId="12F1D05B" w14:textId="77777777">
      <w:pPr>
        <w:pStyle w:val="Heading1"/>
        <w:pageBreakBefore/>
      </w:pPr>
      <w:bookmarkStart w:id="19" w:name="_Toc524421173"/>
      <w:bookmarkStart w:id="20" w:name="_Toc528759592"/>
      <w:r w:rsidRPr="006547D7">
        <w:t>Annex B: Changes in legislation</w:t>
      </w:r>
      <w:bookmarkEnd w:id="19"/>
      <w:bookmarkEnd w:id="20"/>
    </w:p>
    <w:p w:rsidR="0001536A" w:rsidRPr="006547D7" w:rsidP="0001536A" w14:paraId="61D30002" w14:textId="77777777"/>
    <w:p w:rsidR="0001536A" w:rsidRPr="006547D7" w:rsidP="0001536A" w14:paraId="76B43B78" w14:textId="77777777"/>
    <w:tbl>
      <w:tblPr>
        <w:tblStyle w:val="Svetlosenenjepoudarek11"/>
        <w:tblW w:w="9296" w:type="dxa"/>
        <w:tblLook w:val="0420"/>
      </w:tblPr>
      <w:tblGrid>
        <w:gridCol w:w="2324"/>
        <w:gridCol w:w="2324"/>
        <w:gridCol w:w="2324"/>
        <w:gridCol w:w="2324"/>
      </w:tblGrid>
      <w:tr w14:paraId="65A02F12" w14:textId="77777777" w:rsidTr="001B5919">
        <w:tblPrEx>
          <w:tblW w:w="9296" w:type="dxa"/>
          <w:tblLook w:val="0420"/>
        </w:tblPrEx>
        <w:trPr>
          <w:trHeight w:val="713"/>
        </w:trPr>
        <w:tc>
          <w:tcPr>
            <w:tcW w:w="2324" w:type="dxa"/>
          </w:tcPr>
          <w:p w:rsidR="0001536A" w:rsidRPr="006547D7" w:rsidP="00E05C12" w14:paraId="7B5A5643" w14:textId="77777777">
            <w:pPr>
              <w:pStyle w:val="naslov2"/>
              <w:jc w:val="center"/>
            </w:pPr>
            <w:r w:rsidRPr="006547D7">
              <w:t>Supplements to the Railway Safety Directive</w:t>
            </w:r>
          </w:p>
        </w:tc>
        <w:tc>
          <w:tcPr>
            <w:tcW w:w="2324" w:type="dxa"/>
          </w:tcPr>
          <w:p w:rsidR="0001536A" w:rsidRPr="006547D7" w:rsidP="00E05C12" w14:paraId="53AC494A" w14:textId="77777777">
            <w:pPr>
              <w:pStyle w:val="naslov2"/>
              <w:jc w:val="center"/>
            </w:pPr>
            <w:r w:rsidRPr="006547D7">
              <w:t>Transposition performed</w:t>
            </w:r>
          </w:p>
          <w:p w:rsidR="0001536A" w:rsidRPr="006547D7" w:rsidP="00E05C12" w14:paraId="13848CF4" w14:textId="77777777">
            <w:pPr>
              <w:jc w:val="center"/>
            </w:pPr>
            <w:r w:rsidRPr="006547D7">
              <w:t>(YES/NO)</w:t>
            </w:r>
          </w:p>
        </w:tc>
        <w:tc>
          <w:tcPr>
            <w:tcW w:w="2324" w:type="dxa"/>
          </w:tcPr>
          <w:p w:rsidR="0001536A" w:rsidRPr="006547D7" w:rsidP="00E05C12" w14:paraId="5F2023C9" w14:textId="77777777">
            <w:pPr>
              <w:pStyle w:val="naslov2"/>
              <w:jc w:val="center"/>
            </w:pPr>
            <w:r w:rsidRPr="006547D7">
              <w:t>Legal basis</w:t>
            </w:r>
          </w:p>
        </w:tc>
        <w:tc>
          <w:tcPr>
            <w:tcW w:w="2324" w:type="dxa"/>
          </w:tcPr>
          <w:p w:rsidR="0001536A" w:rsidRPr="006547D7" w:rsidP="00E05C12" w14:paraId="6F09CA3B" w14:textId="77777777">
            <w:pPr>
              <w:pStyle w:val="naslov2"/>
              <w:jc w:val="center"/>
            </w:pPr>
            <w:r w:rsidRPr="006547D7">
              <w:t>Date of entry into force</w:t>
            </w:r>
          </w:p>
        </w:tc>
      </w:tr>
      <w:tr w14:paraId="59BDD9D6" w14:textId="77777777" w:rsidTr="001B5919">
        <w:tblPrEx>
          <w:tblW w:w="9296" w:type="dxa"/>
          <w:tblLook w:val="0420"/>
        </w:tblPrEx>
        <w:trPr>
          <w:trHeight w:val="713"/>
        </w:trPr>
        <w:tc>
          <w:tcPr>
            <w:tcW w:w="2324" w:type="dxa"/>
            <w:vAlign w:val="center"/>
          </w:tcPr>
          <w:p w:rsidR="0001536A" w:rsidRPr="006547D7" w:rsidP="00E05C12" w14:paraId="4D3AA645" w14:textId="77777777">
            <w:pPr>
              <w:pStyle w:val="Heading2"/>
              <w:jc w:val="center"/>
              <w:outlineLvl w:val="1"/>
              <w:rPr>
                <w:sz w:val="22"/>
              </w:rPr>
            </w:pPr>
            <w:r w:rsidRPr="006547D7">
              <w:rPr>
                <w:sz w:val="22"/>
              </w:rPr>
              <w:t>/</w:t>
            </w:r>
          </w:p>
        </w:tc>
        <w:tc>
          <w:tcPr>
            <w:tcW w:w="2324" w:type="dxa"/>
            <w:vAlign w:val="center"/>
          </w:tcPr>
          <w:p w:rsidR="0001536A" w:rsidRPr="006547D7" w:rsidP="00E05C12" w14:paraId="5E099203" w14:textId="77777777">
            <w:pPr>
              <w:pStyle w:val="Heading2"/>
              <w:jc w:val="center"/>
              <w:outlineLvl w:val="1"/>
              <w:rPr>
                <w:sz w:val="22"/>
              </w:rPr>
            </w:pPr>
            <w:r w:rsidRPr="006547D7">
              <w:rPr>
                <w:sz w:val="22"/>
              </w:rPr>
              <w:t>/</w:t>
            </w:r>
          </w:p>
        </w:tc>
        <w:tc>
          <w:tcPr>
            <w:tcW w:w="2324" w:type="dxa"/>
            <w:vAlign w:val="center"/>
          </w:tcPr>
          <w:p w:rsidR="0001536A" w:rsidRPr="006547D7" w:rsidP="00E05C12" w14:paraId="30335AFA" w14:textId="77777777">
            <w:pPr>
              <w:pStyle w:val="Heading2"/>
              <w:jc w:val="center"/>
              <w:outlineLvl w:val="1"/>
              <w:rPr>
                <w:sz w:val="22"/>
              </w:rPr>
            </w:pPr>
            <w:r w:rsidRPr="006547D7">
              <w:rPr>
                <w:sz w:val="22"/>
              </w:rPr>
              <w:t>/</w:t>
            </w:r>
          </w:p>
        </w:tc>
        <w:tc>
          <w:tcPr>
            <w:tcW w:w="2324" w:type="dxa"/>
            <w:vAlign w:val="center"/>
          </w:tcPr>
          <w:p w:rsidR="0001536A" w:rsidRPr="006547D7" w:rsidP="00E05C12" w14:paraId="3D35F326" w14:textId="77777777">
            <w:pPr>
              <w:pStyle w:val="Heading2"/>
              <w:jc w:val="center"/>
              <w:outlineLvl w:val="1"/>
              <w:rPr>
                <w:sz w:val="22"/>
              </w:rPr>
            </w:pPr>
            <w:r w:rsidRPr="006547D7">
              <w:rPr>
                <w:sz w:val="22"/>
              </w:rPr>
              <w:t>/</w:t>
            </w:r>
          </w:p>
        </w:tc>
      </w:tr>
    </w:tbl>
    <w:p w:rsidR="0001536A" w:rsidRPr="006547D7" w:rsidP="0001536A" w14:paraId="635AC932" w14:textId="77777777">
      <w:pPr>
        <w:pStyle w:val="Besedilotabeledecimalno"/>
        <w:jc w:val="center"/>
      </w:pPr>
      <w:r w:rsidRPr="006547D7">
        <w:t>Table 7: Supplements to the Railway Safety Directive</w:t>
      </w:r>
    </w:p>
    <w:p w:rsidR="0001536A" w:rsidRPr="006547D7" w:rsidP="0001536A" w14:paraId="2CE576EE" w14:textId="77777777">
      <w:pPr>
        <w:jc w:val="center"/>
      </w:pPr>
    </w:p>
    <w:tbl>
      <w:tblPr>
        <w:tblStyle w:val="Svetlosenenjepoudarek11"/>
        <w:tblW w:w="8883" w:type="dxa"/>
        <w:tblLook w:val="0420"/>
      </w:tblPr>
      <w:tblGrid>
        <w:gridCol w:w="1851"/>
        <w:gridCol w:w="1758"/>
        <w:gridCol w:w="1758"/>
        <w:gridCol w:w="1758"/>
        <w:gridCol w:w="1758"/>
      </w:tblGrid>
      <w:tr w14:paraId="64A6F2FC" w14:textId="77777777" w:rsidTr="001B5919">
        <w:tblPrEx>
          <w:tblW w:w="8883" w:type="dxa"/>
          <w:tblLook w:val="0420"/>
        </w:tblPrEx>
        <w:trPr>
          <w:trHeight w:val="713"/>
        </w:trPr>
        <w:tc>
          <w:tcPr>
            <w:tcW w:w="1851" w:type="dxa"/>
          </w:tcPr>
          <w:p w:rsidR="0001536A" w:rsidRPr="006547D7" w:rsidP="00E05C12" w14:paraId="7A105449" w14:textId="77777777">
            <w:pPr>
              <w:pStyle w:val="naslov2"/>
              <w:jc w:val="center"/>
            </w:pPr>
            <w:r w:rsidRPr="006547D7">
              <w:t>Legislation and regulations</w:t>
            </w:r>
          </w:p>
        </w:tc>
        <w:tc>
          <w:tcPr>
            <w:tcW w:w="1758" w:type="dxa"/>
          </w:tcPr>
          <w:p w:rsidR="0001536A" w:rsidRPr="006547D7" w:rsidP="00E05C12" w14:paraId="5F7E6DD4" w14:textId="77777777">
            <w:pPr>
              <w:pStyle w:val="naslov2"/>
              <w:jc w:val="center"/>
            </w:pPr>
            <w:r w:rsidRPr="006547D7">
              <w:t>LEGAL BASIS</w:t>
            </w:r>
          </w:p>
        </w:tc>
        <w:tc>
          <w:tcPr>
            <w:tcW w:w="1758" w:type="dxa"/>
          </w:tcPr>
          <w:p w:rsidR="0001536A" w:rsidRPr="006547D7" w:rsidP="00E05C12" w14:paraId="10483ADB" w14:textId="77777777">
            <w:pPr>
              <w:pStyle w:val="naslov2"/>
              <w:jc w:val="center"/>
            </w:pPr>
            <w:r w:rsidRPr="006547D7">
              <w:t>Date of entry into force</w:t>
            </w:r>
          </w:p>
        </w:tc>
        <w:tc>
          <w:tcPr>
            <w:tcW w:w="1758" w:type="dxa"/>
          </w:tcPr>
          <w:p w:rsidR="0001536A" w:rsidRPr="006547D7" w:rsidP="00E05C12" w14:paraId="3E06990F" w14:textId="77777777">
            <w:pPr>
              <w:pStyle w:val="naslov2"/>
              <w:jc w:val="center"/>
            </w:pPr>
            <w:r w:rsidRPr="006547D7">
              <w:t>MODIFICATION DESCRIPTION</w:t>
            </w:r>
          </w:p>
        </w:tc>
        <w:tc>
          <w:tcPr>
            <w:tcW w:w="1758" w:type="dxa"/>
          </w:tcPr>
          <w:p w:rsidR="0001536A" w:rsidRPr="006547D7" w:rsidP="00E05C12" w14:paraId="1E2AA274" w14:textId="77777777">
            <w:pPr>
              <w:pStyle w:val="naslov2"/>
              <w:jc w:val="center"/>
            </w:pPr>
            <w:r w:rsidRPr="006547D7">
              <w:t>Reason for modification</w:t>
            </w:r>
          </w:p>
        </w:tc>
      </w:tr>
      <w:tr w14:paraId="31253608" w14:textId="77777777" w:rsidTr="001B5919">
        <w:tblPrEx>
          <w:tblW w:w="8883" w:type="dxa"/>
          <w:tblLook w:val="0420"/>
        </w:tblPrEx>
        <w:trPr>
          <w:trHeight w:val="713"/>
        </w:trPr>
        <w:tc>
          <w:tcPr>
            <w:tcW w:w="1851" w:type="dxa"/>
          </w:tcPr>
          <w:p w:rsidR="0001536A" w:rsidRPr="006547D7" w:rsidP="00E05C12" w14:paraId="73C4AC3F" w14:textId="77777777">
            <w:pPr>
              <w:pStyle w:val="Heading2"/>
              <w:outlineLvl w:val="1"/>
              <w:rPr>
                <w:rStyle w:val="Krepko1"/>
                <w:b w:val="0"/>
                <w:bCs w:val="0"/>
                <w:sz w:val="22"/>
              </w:rPr>
            </w:pPr>
            <w:r w:rsidRPr="006547D7">
              <w:rPr>
                <w:rStyle w:val="Krepko1"/>
                <w:sz w:val="22"/>
              </w:rPr>
              <w:t>On the work of the safety authority</w:t>
            </w:r>
          </w:p>
        </w:tc>
        <w:tc>
          <w:tcPr>
            <w:tcW w:w="1758" w:type="dxa"/>
            <w:vAlign w:val="center"/>
          </w:tcPr>
          <w:p w:rsidR="0001536A" w:rsidRPr="006547D7" w:rsidP="00E05C12" w14:paraId="5B10F302" w14:textId="77777777">
            <w:pPr>
              <w:pStyle w:val="Heading2"/>
              <w:jc w:val="center"/>
              <w:outlineLvl w:val="1"/>
              <w:rPr>
                <w:sz w:val="22"/>
              </w:rPr>
            </w:pPr>
            <w:r w:rsidRPr="006547D7">
              <w:rPr>
                <w:sz w:val="22"/>
              </w:rPr>
              <w:t>/</w:t>
            </w:r>
          </w:p>
        </w:tc>
        <w:tc>
          <w:tcPr>
            <w:tcW w:w="1758" w:type="dxa"/>
            <w:vAlign w:val="center"/>
          </w:tcPr>
          <w:p w:rsidR="0001536A" w:rsidRPr="006547D7" w:rsidP="00E05C12" w14:paraId="344772F6" w14:textId="77777777">
            <w:pPr>
              <w:pStyle w:val="Heading2"/>
              <w:jc w:val="center"/>
              <w:outlineLvl w:val="1"/>
              <w:rPr>
                <w:sz w:val="22"/>
              </w:rPr>
            </w:pPr>
            <w:r w:rsidRPr="006547D7">
              <w:rPr>
                <w:sz w:val="22"/>
              </w:rPr>
              <w:t>/</w:t>
            </w:r>
          </w:p>
        </w:tc>
        <w:tc>
          <w:tcPr>
            <w:tcW w:w="1758" w:type="dxa"/>
            <w:vAlign w:val="center"/>
          </w:tcPr>
          <w:p w:rsidR="0001536A" w:rsidRPr="006547D7" w:rsidP="00E05C12" w14:paraId="34121C0A" w14:textId="77777777">
            <w:pPr>
              <w:pStyle w:val="Heading2"/>
              <w:jc w:val="center"/>
              <w:outlineLvl w:val="1"/>
              <w:rPr>
                <w:sz w:val="22"/>
              </w:rPr>
            </w:pPr>
            <w:r w:rsidRPr="006547D7">
              <w:rPr>
                <w:sz w:val="22"/>
              </w:rPr>
              <w:t>/</w:t>
            </w:r>
          </w:p>
        </w:tc>
        <w:tc>
          <w:tcPr>
            <w:tcW w:w="1758" w:type="dxa"/>
            <w:vAlign w:val="center"/>
          </w:tcPr>
          <w:p w:rsidR="0001536A" w:rsidRPr="006547D7" w:rsidP="00E05C12" w14:paraId="35CA68DA" w14:textId="77777777">
            <w:pPr>
              <w:pStyle w:val="Heading2"/>
              <w:jc w:val="center"/>
              <w:outlineLvl w:val="1"/>
              <w:rPr>
                <w:sz w:val="22"/>
              </w:rPr>
            </w:pPr>
            <w:r w:rsidRPr="006547D7">
              <w:rPr>
                <w:sz w:val="22"/>
              </w:rPr>
              <w:t>/</w:t>
            </w:r>
          </w:p>
        </w:tc>
      </w:tr>
      <w:tr w14:paraId="65720F1C" w14:textId="77777777" w:rsidTr="001B5919">
        <w:tblPrEx>
          <w:tblW w:w="8883" w:type="dxa"/>
          <w:tblLook w:val="0420"/>
        </w:tblPrEx>
        <w:trPr>
          <w:trHeight w:val="713"/>
        </w:trPr>
        <w:tc>
          <w:tcPr>
            <w:tcW w:w="1851" w:type="dxa"/>
          </w:tcPr>
          <w:p w:rsidR="0001536A" w:rsidRPr="006547D7" w:rsidP="00E05C12" w14:paraId="7B96ABA4" w14:textId="77777777">
            <w:pPr>
              <w:pStyle w:val="Heading2"/>
              <w:outlineLvl w:val="1"/>
              <w:rPr>
                <w:sz w:val="22"/>
              </w:rPr>
            </w:pPr>
            <w:r w:rsidRPr="006547D7">
              <w:rPr>
                <w:sz w:val="22"/>
              </w:rPr>
              <w:t xml:space="preserve">On the work of the </w:t>
            </w:r>
            <w:r w:rsidRPr="006547D7">
              <w:rPr>
                <w:sz w:val="22"/>
              </w:rPr>
              <w:t>NoBo</w:t>
            </w:r>
            <w:r w:rsidRPr="006547D7">
              <w:rPr>
                <w:sz w:val="22"/>
              </w:rPr>
              <w:t xml:space="preserve">, </w:t>
            </w:r>
            <w:r w:rsidRPr="006547D7">
              <w:rPr>
                <w:sz w:val="22"/>
              </w:rPr>
              <w:t>DeBo</w:t>
            </w:r>
            <w:r w:rsidRPr="006547D7">
              <w:rPr>
                <w:sz w:val="22"/>
              </w:rPr>
              <w:t xml:space="preserve">, </w:t>
            </w:r>
            <w:r w:rsidRPr="006547D7">
              <w:rPr>
                <w:sz w:val="22"/>
              </w:rPr>
              <w:t>AsBo</w:t>
            </w:r>
            <w:r w:rsidRPr="006547D7">
              <w:rPr>
                <w:sz w:val="22"/>
              </w:rPr>
              <w:t>, third entities for registration, overviews, etc.</w:t>
            </w:r>
          </w:p>
        </w:tc>
        <w:tc>
          <w:tcPr>
            <w:tcW w:w="1758" w:type="dxa"/>
            <w:vAlign w:val="center"/>
          </w:tcPr>
          <w:p w:rsidR="0001536A" w:rsidRPr="006547D7" w:rsidP="00E05C12" w14:paraId="5E43B181" w14:textId="77777777">
            <w:pPr>
              <w:pStyle w:val="Heading2"/>
              <w:jc w:val="center"/>
              <w:outlineLvl w:val="1"/>
              <w:rPr>
                <w:sz w:val="22"/>
              </w:rPr>
            </w:pPr>
            <w:r w:rsidRPr="006547D7">
              <w:rPr>
                <w:sz w:val="22"/>
              </w:rPr>
              <w:t>/</w:t>
            </w:r>
          </w:p>
        </w:tc>
        <w:tc>
          <w:tcPr>
            <w:tcW w:w="1758" w:type="dxa"/>
            <w:vAlign w:val="center"/>
          </w:tcPr>
          <w:p w:rsidR="0001536A" w:rsidRPr="006547D7" w:rsidP="00E05C12" w14:paraId="65FD96AD" w14:textId="77777777">
            <w:pPr>
              <w:pStyle w:val="Heading2"/>
              <w:jc w:val="center"/>
              <w:outlineLvl w:val="1"/>
              <w:rPr>
                <w:sz w:val="22"/>
              </w:rPr>
            </w:pPr>
            <w:r w:rsidRPr="006547D7">
              <w:rPr>
                <w:sz w:val="22"/>
              </w:rPr>
              <w:t>/</w:t>
            </w:r>
          </w:p>
        </w:tc>
        <w:tc>
          <w:tcPr>
            <w:tcW w:w="1758" w:type="dxa"/>
            <w:vAlign w:val="center"/>
          </w:tcPr>
          <w:p w:rsidR="0001536A" w:rsidRPr="006547D7" w:rsidP="00E05C12" w14:paraId="4C8A4B81" w14:textId="77777777">
            <w:pPr>
              <w:pStyle w:val="Heading2"/>
              <w:jc w:val="center"/>
              <w:outlineLvl w:val="1"/>
              <w:rPr>
                <w:sz w:val="22"/>
              </w:rPr>
            </w:pPr>
            <w:r w:rsidRPr="006547D7">
              <w:rPr>
                <w:sz w:val="22"/>
              </w:rPr>
              <w:t>/</w:t>
            </w:r>
          </w:p>
        </w:tc>
        <w:tc>
          <w:tcPr>
            <w:tcW w:w="1758" w:type="dxa"/>
            <w:vAlign w:val="center"/>
          </w:tcPr>
          <w:p w:rsidR="0001536A" w:rsidRPr="006547D7" w:rsidP="00E05C12" w14:paraId="707F79D7" w14:textId="77777777">
            <w:pPr>
              <w:pStyle w:val="Heading2"/>
              <w:jc w:val="center"/>
              <w:outlineLvl w:val="1"/>
              <w:rPr>
                <w:sz w:val="22"/>
              </w:rPr>
            </w:pPr>
            <w:r w:rsidRPr="006547D7">
              <w:rPr>
                <w:sz w:val="22"/>
              </w:rPr>
              <w:t>/</w:t>
            </w:r>
          </w:p>
        </w:tc>
      </w:tr>
      <w:tr w14:paraId="152A26B8" w14:textId="77777777" w:rsidTr="001B5919">
        <w:tblPrEx>
          <w:tblW w:w="8883" w:type="dxa"/>
          <w:tblLook w:val="0420"/>
        </w:tblPrEx>
        <w:trPr>
          <w:trHeight w:val="713"/>
        </w:trPr>
        <w:tc>
          <w:tcPr>
            <w:tcW w:w="1851" w:type="dxa"/>
          </w:tcPr>
          <w:p w:rsidR="0001536A" w:rsidRPr="006547D7" w:rsidP="00E05C12" w14:paraId="63BA957D" w14:textId="77777777">
            <w:pPr>
              <w:pStyle w:val="Heading2"/>
              <w:outlineLvl w:val="1"/>
              <w:rPr>
                <w:sz w:val="22"/>
              </w:rPr>
            </w:pPr>
            <w:r w:rsidRPr="006547D7">
              <w:rPr>
                <w:sz w:val="22"/>
              </w:rPr>
              <w:t>On the work of the RU/</w:t>
            </w:r>
            <w:r w:rsidRPr="006547D7">
              <w:rPr>
                <w:sz w:val="22"/>
              </w:rPr>
              <w:t>lM</w:t>
            </w:r>
            <w:r w:rsidRPr="006547D7">
              <w:rPr>
                <w:sz w:val="22"/>
              </w:rPr>
              <w:t>/ECM</w:t>
            </w:r>
          </w:p>
        </w:tc>
        <w:tc>
          <w:tcPr>
            <w:tcW w:w="1758" w:type="dxa"/>
            <w:vAlign w:val="center"/>
          </w:tcPr>
          <w:p w:rsidR="0001536A" w:rsidRPr="006547D7" w:rsidP="00E05C12" w14:paraId="0805C0F8" w14:textId="77777777">
            <w:pPr>
              <w:pStyle w:val="Heading2"/>
              <w:jc w:val="center"/>
              <w:outlineLvl w:val="1"/>
              <w:rPr>
                <w:sz w:val="22"/>
              </w:rPr>
            </w:pPr>
            <w:r w:rsidRPr="006547D7">
              <w:rPr>
                <w:sz w:val="22"/>
              </w:rPr>
              <w:t>/</w:t>
            </w:r>
          </w:p>
        </w:tc>
        <w:tc>
          <w:tcPr>
            <w:tcW w:w="1758" w:type="dxa"/>
            <w:vAlign w:val="center"/>
          </w:tcPr>
          <w:p w:rsidR="0001536A" w:rsidRPr="006547D7" w:rsidP="00E05C12" w14:paraId="5FC8946D" w14:textId="77777777">
            <w:pPr>
              <w:pStyle w:val="Heading2"/>
              <w:jc w:val="center"/>
              <w:outlineLvl w:val="1"/>
              <w:rPr>
                <w:sz w:val="22"/>
              </w:rPr>
            </w:pPr>
            <w:r w:rsidRPr="006547D7">
              <w:rPr>
                <w:sz w:val="22"/>
              </w:rPr>
              <w:t>/</w:t>
            </w:r>
          </w:p>
        </w:tc>
        <w:tc>
          <w:tcPr>
            <w:tcW w:w="1758" w:type="dxa"/>
            <w:vAlign w:val="center"/>
          </w:tcPr>
          <w:p w:rsidR="0001536A" w:rsidRPr="006547D7" w:rsidP="00E05C12" w14:paraId="2CF30B7D" w14:textId="77777777">
            <w:pPr>
              <w:pStyle w:val="Heading2"/>
              <w:jc w:val="center"/>
              <w:outlineLvl w:val="1"/>
              <w:rPr>
                <w:sz w:val="22"/>
              </w:rPr>
            </w:pPr>
            <w:r w:rsidRPr="006547D7">
              <w:rPr>
                <w:sz w:val="22"/>
              </w:rPr>
              <w:t>/</w:t>
            </w:r>
          </w:p>
        </w:tc>
        <w:tc>
          <w:tcPr>
            <w:tcW w:w="1758" w:type="dxa"/>
            <w:vAlign w:val="center"/>
          </w:tcPr>
          <w:p w:rsidR="0001536A" w:rsidRPr="006547D7" w:rsidP="00E05C12" w14:paraId="030C97DA" w14:textId="77777777">
            <w:pPr>
              <w:pStyle w:val="Heading2"/>
              <w:jc w:val="center"/>
              <w:outlineLvl w:val="1"/>
              <w:rPr>
                <w:sz w:val="22"/>
              </w:rPr>
            </w:pPr>
            <w:r w:rsidRPr="006547D7">
              <w:rPr>
                <w:sz w:val="22"/>
              </w:rPr>
              <w:t>/</w:t>
            </w:r>
          </w:p>
        </w:tc>
      </w:tr>
      <w:tr w14:paraId="618AC93F" w14:textId="77777777" w:rsidTr="001B5919">
        <w:tblPrEx>
          <w:tblW w:w="8883" w:type="dxa"/>
          <w:tblLook w:val="0420"/>
        </w:tblPrEx>
        <w:trPr>
          <w:trHeight w:val="713"/>
        </w:trPr>
        <w:tc>
          <w:tcPr>
            <w:tcW w:w="1851" w:type="dxa"/>
          </w:tcPr>
          <w:p w:rsidR="0001536A" w:rsidRPr="006547D7" w:rsidP="00E05C12" w14:paraId="0D1C0DE2" w14:textId="77777777">
            <w:pPr>
              <w:pStyle w:val="Heading2"/>
              <w:outlineLvl w:val="1"/>
              <w:rPr>
                <w:sz w:val="22"/>
              </w:rPr>
            </w:pPr>
            <w:r w:rsidRPr="006547D7">
              <w:rPr>
                <w:sz w:val="22"/>
              </w:rPr>
              <w:t>Implementation of other EU requirements (if it impacts safety)</w:t>
            </w:r>
          </w:p>
        </w:tc>
        <w:tc>
          <w:tcPr>
            <w:tcW w:w="1758" w:type="dxa"/>
            <w:vAlign w:val="center"/>
          </w:tcPr>
          <w:p w:rsidR="0001536A" w:rsidRPr="006547D7" w:rsidP="00E05C12" w14:paraId="084D4197" w14:textId="77777777">
            <w:pPr>
              <w:pStyle w:val="Heading2"/>
              <w:jc w:val="center"/>
              <w:outlineLvl w:val="1"/>
              <w:rPr>
                <w:sz w:val="22"/>
              </w:rPr>
            </w:pPr>
            <w:r w:rsidRPr="006547D7">
              <w:rPr>
                <w:sz w:val="22"/>
              </w:rPr>
              <w:t>/</w:t>
            </w:r>
          </w:p>
        </w:tc>
        <w:tc>
          <w:tcPr>
            <w:tcW w:w="1758" w:type="dxa"/>
            <w:vAlign w:val="center"/>
          </w:tcPr>
          <w:p w:rsidR="0001536A" w:rsidRPr="006547D7" w:rsidP="00E05C12" w14:paraId="16D9F0F6" w14:textId="77777777">
            <w:pPr>
              <w:pStyle w:val="Heading2"/>
              <w:jc w:val="center"/>
              <w:outlineLvl w:val="1"/>
              <w:rPr>
                <w:sz w:val="22"/>
              </w:rPr>
            </w:pPr>
            <w:r w:rsidRPr="006547D7">
              <w:rPr>
                <w:sz w:val="22"/>
              </w:rPr>
              <w:t>/</w:t>
            </w:r>
          </w:p>
        </w:tc>
        <w:tc>
          <w:tcPr>
            <w:tcW w:w="1758" w:type="dxa"/>
            <w:vAlign w:val="center"/>
          </w:tcPr>
          <w:p w:rsidR="0001536A" w:rsidRPr="006547D7" w:rsidP="00E05C12" w14:paraId="41FDBC33" w14:textId="77777777">
            <w:pPr>
              <w:pStyle w:val="Heading2"/>
              <w:jc w:val="center"/>
              <w:outlineLvl w:val="1"/>
              <w:rPr>
                <w:sz w:val="22"/>
              </w:rPr>
            </w:pPr>
            <w:r w:rsidRPr="006547D7">
              <w:rPr>
                <w:sz w:val="22"/>
              </w:rPr>
              <w:t>/</w:t>
            </w:r>
          </w:p>
        </w:tc>
        <w:tc>
          <w:tcPr>
            <w:tcW w:w="1758" w:type="dxa"/>
            <w:vAlign w:val="center"/>
          </w:tcPr>
          <w:p w:rsidR="0001536A" w:rsidRPr="006547D7" w:rsidP="00E05C12" w14:paraId="3E29B829" w14:textId="77777777">
            <w:pPr>
              <w:pStyle w:val="Heading2"/>
              <w:jc w:val="center"/>
              <w:outlineLvl w:val="1"/>
              <w:rPr>
                <w:sz w:val="22"/>
              </w:rPr>
            </w:pPr>
            <w:r w:rsidRPr="006547D7">
              <w:rPr>
                <w:sz w:val="22"/>
              </w:rPr>
              <w:t>/</w:t>
            </w:r>
          </w:p>
        </w:tc>
      </w:tr>
    </w:tbl>
    <w:p w:rsidR="0001536A" w:rsidRPr="006547D7" w:rsidP="0001536A" w14:paraId="24575340" w14:textId="77777777">
      <w:pPr>
        <w:pStyle w:val="Besedilotabeledecimalno"/>
        <w:jc w:val="center"/>
      </w:pPr>
      <w:r w:rsidRPr="006547D7">
        <w:t>Table 8: Changes of legislation and regulations.</w:t>
      </w:r>
    </w:p>
    <w:p w:rsidR="00215AA7" w:rsidRPr="006547D7" w:rsidP="00215AA7" w14:paraId="45217E2A" w14:textId="77777777"/>
    <w:sectPr w:rsidSect="000517C6">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C6A9B" w:rsidRPr="006547D7" w:rsidP="00013884" w14:paraId="08C7C411" w14:textId="77777777">
      <w:pPr>
        <w:spacing w:after="0" w:line="240" w:lineRule="auto"/>
      </w:pPr>
      <w:r w:rsidRPr="006547D7">
        <w:separator/>
      </w:r>
    </w:p>
  </w:footnote>
  <w:footnote w:type="continuationSeparator" w:id="1">
    <w:p w:rsidR="002C6A9B" w:rsidRPr="006547D7" w:rsidP="00013884" w14:paraId="52511FEA" w14:textId="77777777">
      <w:pPr>
        <w:spacing w:after="0" w:line="240" w:lineRule="auto"/>
      </w:pPr>
      <w:r w:rsidRPr="006547D7">
        <w:continuationSeparator/>
      </w:r>
    </w:p>
  </w:footnote>
  <w:footnote w:id="2">
    <w:p w:rsidR="002C6A9B" w:rsidRPr="006547D7" w:rsidP="00013884" w14:paraId="1793607C" w14:textId="77777777">
      <w:pPr>
        <w:pStyle w:val="NoSpacing"/>
        <w:rPr>
          <w:sz w:val="20"/>
        </w:rPr>
      </w:pPr>
      <w:r w:rsidRPr="006547D7">
        <w:rPr>
          <w:rStyle w:val="FootnoteReference"/>
          <w:sz w:val="20"/>
        </w:rPr>
        <w:footnoteRef/>
      </w:r>
      <w:r w:rsidRPr="006547D7">
        <w:rPr>
          <w:sz w:val="20"/>
        </w:rPr>
        <w:t xml:space="preserve"> The NRV </w:t>
      </w:r>
      <w:r w:rsidRPr="006547D7">
        <w:rPr>
          <w:sz w:val="20"/>
        </w:rPr>
        <w:t>is expressed</w:t>
      </w:r>
      <w:r w:rsidRPr="006547D7">
        <w:rPr>
          <w:sz w:val="20"/>
        </w:rPr>
        <w:t xml:space="preserve"> as the number of fatalities and serious injuries per risk category per year resulting from serious accidents/billion (10</w:t>
      </w:r>
      <w:r w:rsidRPr="006547D7">
        <w:rPr>
          <w:sz w:val="20"/>
          <w:vertAlign w:val="superscript"/>
        </w:rPr>
        <w:t>9</w:t>
      </w:r>
      <w:r w:rsidRPr="006547D7">
        <w:rPr>
          <w:sz w:val="20"/>
        </w:rPr>
        <w:t>) train-kilometres per year.</w:t>
      </w:r>
    </w:p>
  </w:footnote>
  <w:footnote w:id="3">
    <w:p w:rsidR="002C6A9B" w:rsidRPr="006547D7" w:rsidP="00013884" w14:paraId="0BE931F8" w14:textId="77777777">
      <w:pPr>
        <w:pStyle w:val="NoSpacing"/>
      </w:pPr>
      <w:r w:rsidRPr="006547D7">
        <w:rPr>
          <w:rStyle w:val="FootnoteReference"/>
          <w:sz w:val="20"/>
        </w:rPr>
        <w:footnoteRef/>
      </w:r>
      <w:r w:rsidRPr="006547D7">
        <w:rPr>
          <w:sz w:val="20"/>
        </w:rPr>
        <w:t xml:space="preserve"> The FWSI </w:t>
      </w:r>
      <w:r w:rsidRPr="006547D7">
        <w:rPr>
          <w:sz w:val="20"/>
        </w:rPr>
        <w:t>is expressed</w:t>
      </w:r>
      <w:r w:rsidRPr="006547D7">
        <w:rPr>
          <w:sz w:val="20"/>
        </w:rPr>
        <w:t xml:space="preserve"> as the weighted number of fatalities and injuries per year/billion (10</w:t>
      </w:r>
      <w:r w:rsidRPr="006547D7">
        <w:rPr>
          <w:sz w:val="20"/>
          <w:vertAlign w:val="superscript"/>
        </w:rPr>
        <w:t>9</w:t>
      </w:r>
      <w:r w:rsidRPr="006547D7">
        <w:rPr>
          <w:sz w:val="20"/>
        </w:rPr>
        <w:t>) train-kilometres, where one injured person is considered equivalent to 0.1 fatalities.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02F029AE"/>
    <w:lvl w:ilvl="0">
      <w:start w:val="0"/>
      <w:numFmt w:val="bullet"/>
      <w:lvlText w:val="*"/>
      <w:lvlJc w:val="left"/>
    </w:lvl>
  </w:abstractNum>
  <w:abstractNum w:abstractNumId="1">
    <w:nsid w:val="06FC15CC"/>
    <w:multiLevelType w:val="hybridMultilevel"/>
    <w:tmpl w:val="BCE2CF26"/>
    <w:lvl w:ilvl="0">
      <w:start w:val="4"/>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8D13B0"/>
    <w:multiLevelType w:val="hybridMultilevel"/>
    <w:tmpl w:val="112C1A7E"/>
    <w:lvl w:ilvl="0">
      <w:start w:val="1"/>
      <w:numFmt w:val="bullet"/>
      <w:lvlText w:val=""/>
      <w:lvlJc w:val="left"/>
      <w:pPr>
        <w:ind w:left="864" w:hanging="360"/>
      </w:pPr>
      <w:rPr>
        <w:rFonts w:ascii="Symbol" w:hAnsi="Symbol"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3">
    <w:nsid w:val="0FFC5BD2"/>
    <w:multiLevelType w:val="hybridMultilevel"/>
    <w:tmpl w:val="ADEA8E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6651AC"/>
    <w:multiLevelType w:val="hybridMultilevel"/>
    <w:tmpl w:val="06F2B5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13B296C"/>
    <w:multiLevelType w:val="hybridMultilevel"/>
    <w:tmpl w:val="B5D66F4E"/>
    <w:lvl w:ilvl="0">
      <w:start w:val="1"/>
      <w:numFmt w:val="bullet"/>
      <w:lvlText w:val=""/>
      <w:lvlJc w:val="left"/>
      <w:pPr>
        <w:ind w:left="864" w:hanging="360"/>
      </w:pPr>
      <w:rPr>
        <w:rFonts w:ascii="Symbol" w:hAnsi="Symbol"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6">
    <w:nsid w:val="5A471AD9"/>
    <w:multiLevelType w:val="hybridMultilevel"/>
    <w:tmpl w:val="7A3845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53437B8"/>
    <w:multiLevelType w:val="hybridMultilevel"/>
    <w:tmpl w:val="CB4E2E6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0"/>
    <w:lvlOverride w:ilvl="0">
      <w:lvl w:ilvl="0">
        <w:start w:val="0"/>
        <w:numFmt w:val="bullet"/>
        <w:lvlText w:val=""/>
        <w:legacy w:legacy="1" w:legacySpace="0" w:legacyIndent="0"/>
        <w:lvlJc w:val="left"/>
        <w:rPr>
          <w:rFonts w:ascii="Symbol" w:hAnsi="Symbol" w:hint="default"/>
          <w:sz w:val="22"/>
        </w:rPr>
      </w:lvl>
    </w:lvlOverride>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7C6"/>
    <w:rsid w:val="00000B4D"/>
    <w:rsid w:val="00012138"/>
    <w:rsid w:val="00013884"/>
    <w:rsid w:val="0001536A"/>
    <w:rsid w:val="000517C6"/>
    <w:rsid w:val="0005448D"/>
    <w:rsid w:val="00073C7A"/>
    <w:rsid w:val="000A2F63"/>
    <w:rsid w:val="000A5D9E"/>
    <w:rsid w:val="000D052B"/>
    <w:rsid w:val="00115F5D"/>
    <w:rsid w:val="00117F44"/>
    <w:rsid w:val="00151919"/>
    <w:rsid w:val="001B5919"/>
    <w:rsid w:val="001B7793"/>
    <w:rsid w:val="001B7D40"/>
    <w:rsid w:val="001E0770"/>
    <w:rsid w:val="001E5448"/>
    <w:rsid w:val="00215AA7"/>
    <w:rsid w:val="002232AF"/>
    <w:rsid w:val="0022466D"/>
    <w:rsid w:val="00225DC4"/>
    <w:rsid w:val="00251D76"/>
    <w:rsid w:val="0027442E"/>
    <w:rsid w:val="002B2287"/>
    <w:rsid w:val="002B5A05"/>
    <w:rsid w:val="002C30C8"/>
    <w:rsid w:val="002C6A9B"/>
    <w:rsid w:val="002D6F48"/>
    <w:rsid w:val="002E061B"/>
    <w:rsid w:val="002E439A"/>
    <w:rsid w:val="002E439B"/>
    <w:rsid w:val="003351D7"/>
    <w:rsid w:val="00362CDF"/>
    <w:rsid w:val="003807CA"/>
    <w:rsid w:val="00397148"/>
    <w:rsid w:val="00404F66"/>
    <w:rsid w:val="00405717"/>
    <w:rsid w:val="00432BC7"/>
    <w:rsid w:val="00454A73"/>
    <w:rsid w:val="004603AB"/>
    <w:rsid w:val="004B0FE3"/>
    <w:rsid w:val="004F4295"/>
    <w:rsid w:val="004F5143"/>
    <w:rsid w:val="00500112"/>
    <w:rsid w:val="00500DBA"/>
    <w:rsid w:val="00506242"/>
    <w:rsid w:val="00535078"/>
    <w:rsid w:val="00537EA9"/>
    <w:rsid w:val="00543009"/>
    <w:rsid w:val="00566FF5"/>
    <w:rsid w:val="00570ED5"/>
    <w:rsid w:val="005A79DA"/>
    <w:rsid w:val="005D0E99"/>
    <w:rsid w:val="00635749"/>
    <w:rsid w:val="006547D7"/>
    <w:rsid w:val="00665E78"/>
    <w:rsid w:val="00681C26"/>
    <w:rsid w:val="00692515"/>
    <w:rsid w:val="00693920"/>
    <w:rsid w:val="006956DA"/>
    <w:rsid w:val="006D5FDF"/>
    <w:rsid w:val="006E0475"/>
    <w:rsid w:val="0071726F"/>
    <w:rsid w:val="00726307"/>
    <w:rsid w:val="00754E1F"/>
    <w:rsid w:val="0076113C"/>
    <w:rsid w:val="007A2868"/>
    <w:rsid w:val="007B32BE"/>
    <w:rsid w:val="007C32CC"/>
    <w:rsid w:val="007C6C61"/>
    <w:rsid w:val="007D293F"/>
    <w:rsid w:val="007F4221"/>
    <w:rsid w:val="008156D7"/>
    <w:rsid w:val="00820386"/>
    <w:rsid w:val="008D30C5"/>
    <w:rsid w:val="008F1753"/>
    <w:rsid w:val="0090020A"/>
    <w:rsid w:val="00930A1E"/>
    <w:rsid w:val="00932230"/>
    <w:rsid w:val="0093491C"/>
    <w:rsid w:val="00945734"/>
    <w:rsid w:val="009506AF"/>
    <w:rsid w:val="00973D22"/>
    <w:rsid w:val="00982B06"/>
    <w:rsid w:val="00985BC3"/>
    <w:rsid w:val="00986C3E"/>
    <w:rsid w:val="0098722B"/>
    <w:rsid w:val="009C2CC1"/>
    <w:rsid w:val="00A146C4"/>
    <w:rsid w:val="00A73D45"/>
    <w:rsid w:val="00B24D09"/>
    <w:rsid w:val="00B365F3"/>
    <w:rsid w:val="00B43005"/>
    <w:rsid w:val="00B43DA8"/>
    <w:rsid w:val="00B71938"/>
    <w:rsid w:val="00B71ACB"/>
    <w:rsid w:val="00B76E5F"/>
    <w:rsid w:val="00BE0A90"/>
    <w:rsid w:val="00BE13E9"/>
    <w:rsid w:val="00BE1723"/>
    <w:rsid w:val="00C10E9D"/>
    <w:rsid w:val="00C1319B"/>
    <w:rsid w:val="00C2390A"/>
    <w:rsid w:val="00C43E43"/>
    <w:rsid w:val="00C61234"/>
    <w:rsid w:val="00C8765B"/>
    <w:rsid w:val="00C9041F"/>
    <w:rsid w:val="00C9156E"/>
    <w:rsid w:val="00CC73B7"/>
    <w:rsid w:val="00CE0945"/>
    <w:rsid w:val="00CE3CE7"/>
    <w:rsid w:val="00D3690E"/>
    <w:rsid w:val="00D63364"/>
    <w:rsid w:val="00E05C12"/>
    <w:rsid w:val="00E21968"/>
    <w:rsid w:val="00E2430D"/>
    <w:rsid w:val="00E36674"/>
    <w:rsid w:val="00E41A9F"/>
    <w:rsid w:val="00E51C1E"/>
    <w:rsid w:val="00E740AD"/>
    <w:rsid w:val="00E74B9F"/>
    <w:rsid w:val="00E775DE"/>
    <w:rsid w:val="00E777B1"/>
    <w:rsid w:val="00EA7062"/>
    <w:rsid w:val="00EC23CC"/>
    <w:rsid w:val="00ED01CD"/>
    <w:rsid w:val="00EE1785"/>
    <w:rsid w:val="00F063B1"/>
    <w:rsid w:val="00F31E3E"/>
    <w:rsid w:val="00F34598"/>
    <w:rsid w:val="00F858C0"/>
    <w:rsid w:val="00F90987"/>
    <w:rsid w:val="00FA3B3F"/>
    <w:rsid w:val="00FE04FF"/>
    <w:rsid w:val="00FE3895"/>
  </w:rsids>
  <m:mathPr>
    <m:mathFont m:val="Cambria Math"/>
  </m:mathPr>
  <w:themeFontLang w:val="sl-SI" w:bidi="mn-Mong-CN"/>
  <w:clrSchemeMapping w:bg1="light1" w:t1="dark1" w:bg2="light2" w:t2="dark2" w:accent1="accent1" w:accent2="accent2" w:accent3="accent3" w:accent4="accent4" w:accent5="accent5" w:accent6="accent6" w:hyperlink="hyperlink" w:followedHyperlink="followedHyperlink"/>
  <w15:chartTrackingRefBased/>
  <w15:docId w15:val="{A34064E5-9387-455F-8BDF-D4B307AD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44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44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820386"/>
    <w:pPr>
      <w:keepNext/>
      <w:keepLines/>
      <w:spacing w:before="40" w:after="0" w:line="288" w:lineRule="auto"/>
      <w:outlineLvl w:val="2"/>
    </w:pPr>
    <w:rPr>
      <w:rFonts w:asciiTheme="majorHAnsi" w:eastAsiaTheme="majorEastAsia" w:hAnsiTheme="majorHAnsi" w:cstheme="majorBidi"/>
      <w:color w:val="1F4D78" w:themeColor="accent1" w:themeShade="7F"/>
      <w:kern w:val="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517C6"/>
    <w:pPr>
      <w:spacing w:after="0" w:line="240" w:lineRule="auto"/>
    </w:pPr>
    <w:rPr>
      <w:rFonts w:eastAsiaTheme="minorEastAsia"/>
    </w:rPr>
  </w:style>
  <w:style w:type="character" w:customStyle="1" w:styleId="NoSpacingChar">
    <w:name w:val="No Spacing Char"/>
    <w:basedOn w:val="DefaultParagraphFont"/>
    <w:link w:val="NoSpacing"/>
    <w:uiPriority w:val="1"/>
    <w:rsid w:val="000517C6"/>
    <w:rPr>
      <w:rFonts w:eastAsiaTheme="minorEastAsia"/>
      <w:lang w:eastAsia="en-GB"/>
    </w:rPr>
  </w:style>
  <w:style w:type="character" w:customStyle="1" w:styleId="Heading1Char">
    <w:name w:val="Heading 1 Char"/>
    <w:basedOn w:val="DefaultParagraphFont"/>
    <w:link w:val="Heading1"/>
    <w:uiPriority w:val="9"/>
    <w:rsid w:val="0005448D"/>
    <w:rPr>
      <w:rFonts w:asciiTheme="majorHAnsi" w:eastAsiaTheme="majorEastAsia" w:hAnsiTheme="majorHAnsi" w:cstheme="majorBidi"/>
      <w:color w:val="2E74B5" w:themeColor="accent1" w:themeShade="BF"/>
      <w:sz w:val="32"/>
      <w:szCs w:val="32"/>
    </w:rPr>
  </w:style>
  <w:style w:type="paragraph" w:styleId="TOCHeading">
    <w:name w:val="TOC Heading"/>
    <w:aliases w:val="Naslov stranske vrstice"/>
    <w:basedOn w:val="Heading1"/>
    <w:next w:val="Normal"/>
    <w:uiPriority w:val="39"/>
    <w:unhideWhenUsed/>
    <w:qFormat/>
    <w:rsid w:val="0005448D"/>
    <w:pPr>
      <w:spacing w:before="480" w:line="276" w:lineRule="auto"/>
      <w:outlineLvl w:val="9"/>
    </w:pPr>
    <w:rPr>
      <w:b/>
      <w:bCs/>
      <w:sz w:val="28"/>
      <w:szCs w:val="28"/>
    </w:rPr>
  </w:style>
  <w:style w:type="paragraph" w:styleId="TOC1">
    <w:name w:val="toc 1"/>
    <w:basedOn w:val="Normal"/>
    <w:next w:val="Normal"/>
    <w:autoRedefine/>
    <w:uiPriority w:val="39"/>
    <w:unhideWhenUsed/>
    <w:rsid w:val="0005448D"/>
    <w:pPr>
      <w:spacing w:before="40" w:after="100" w:line="288" w:lineRule="auto"/>
    </w:pPr>
    <w:rPr>
      <w:color w:val="595959" w:themeColor="text1" w:themeTint="A6"/>
      <w:kern w:val="20"/>
      <w:sz w:val="20"/>
      <w:szCs w:val="20"/>
    </w:rPr>
  </w:style>
  <w:style w:type="character" w:styleId="Hyperlink">
    <w:name w:val="Hyperlink"/>
    <w:basedOn w:val="DefaultParagraphFont"/>
    <w:uiPriority w:val="99"/>
    <w:unhideWhenUsed/>
    <w:rsid w:val="0005448D"/>
    <w:rPr>
      <w:color w:val="0563C1" w:themeColor="hyperlink"/>
      <w:u w:val="single"/>
    </w:rPr>
  </w:style>
  <w:style w:type="character" w:customStyle="1" w:styleId="Heading2Char">
    <w:name w:val="Heading 2 Char"/>
    <w:basedOn w:val="DefaultParagraphFont"/>
    <w:link w:val="Heading2"/>
    <w:uiPriority w:val="9"/>
    <w:rsid w:val="0005448D"/>
    <w:rPr>
      <w:rFonts w:asciiTheme="majorHAnsi" w:eastAsiaTheme="majorEastAsia" w:hAnsiTheme="majorHAnsi" w:cstheme="majorBidi"/>
      <w:color w:val="2E74B5" w:themeColor="accent1" w:themeShade="BF"/>
      <w:sz w:val="26"/>
      <w:szCs w:val="26"/>
    </w:rPr>
  </w:style>
  <w:style w:type="paragraph" w:customStyle="1" w:styleId="naslov2">
    <w:name w:val="naslov 2"/>
    <w:basedOn w:val="Normal"/>
    <w:next w:val="Normal"/>
    <w:link w:val="Znakivnaslovu2"/>
    <w:uiPriority w:val="1"/>
    <w:unhideWhenUsed/>
    <w:qFormat/>
    <w:rsid w:val="0001536A"/>
    <w:pPr>
      <w:keepNext/>
      <w:keepLines/>
      <w:spacing w:before="360" w:after="60" w:line="240" w:lineRule="auto"/>
      <w:outlineLvl w:val="1"/>
    </w:pPr>
    <w:rPr>
      <w:rFonts w:asciiTheme="majorHAnsi" w:eastAsiaTheme="majorEastAsia" w:hAnsiTheme="majorHAnsi" w:cstheme="majorBidi"/>
      <w:caps/>
      <w:color w:val="2E74B5" w:themeColor="accent1" w:themeShade="BF"/>
      <w:kern w:val="20"/>
      <w:sz w:val="24"/>
      <w:szCs w:val="20"/>
      <w14:ligatures w14:val="standardContextual"/>
    </w:rPr>
  </w:style>
  <w:style w:type="character" w:customStyle="1" w:styleId="Znakivnaslovu2">
    <w:name w:val="Znaki v naslovu 2"/>
    <w:basedOn w:val="DefaultParagraphFont"/>
    <w:link w:val="naslov2"/>
    <w:uiPriority w:val="1"/>
    <w:rsid w:val="0001536A"/>
    <w:rPr>
      <w:rFonts w:asciiTheme="majorHAnsi" w:eastAsiaTheme="majorEastAsia" w:hAnsiTheme="majorHAnsi" w:cstheme="majorBidi"/>
      <w:caps/>
      <w:color w:val="2E74B5" w:themeColor="accent1" w:themeShade="BF"/>
      <w:kern w:val="20"/>
      <w:sz w:val="24"/>
      <w:szCs w:val="20"/>
      <w:lang w:eastAsia="en-GB"/>
      <w14:ligatures w14:val="standardContextual"/>
    </w:rPr>
  </w:style>
  <w:style w:type="table" w:customStyle="1" w:styleId="Svetlosenenjepoudarek11">
    <w:name w:val="Svetlo senčenje – poudarek 11"/>
    <w:basedOn w:val="TableNormal"/>
    <w:uiPriority w:val="60"/>
    <w:rsid w:val="0001536A"/>
    <w:pPr>
      <w:spacing w:before="40" w:after="0" w:line="240" w:lineRule="auto"/>
    </w:pPr>
    <w:rPr>
      <w:color w:val="2E74B5" w:themeColor="accent1" w:themeShade="BF"/>
      <w:sz w:val="20"/>
      <w:szCs w:val="20"/>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Krepko1">
    <w:name w:val="Krepko1"/>
    <w:basedOn w:val="DefaultParagraphFont"/>
    <w:uiPriority w:val="1"/>
    <w:unhideWhenUsed/>
    <w:qFormat/>
    <w:rsid w:val="0001536A"/>
    <w:rPr>
      <w:b/>
      <w:bCs/>
    </w:rPr>
  </w:style>
  <w:style w:type="paragraph" w:customStyle="1" w:styleId="Besedilotabeledecimalno">
    <w:name w:val="Besedilo tabele – decimalno"/>
    <w:basedOn w:val="Normal"/>
    <w:uiPriority w:val="1"/>
    <w:qFormat/>
    <w:rsid w:val="0001536A"/>
    <w:pPr>
      <w:tabs>
        <w:tab w:val="decimal" w:pos="1252"/>
      </w:tabs>
      <w:spacing w:before="60" w:after="60" w:line="240" w:lineRule="auto"/>
      <w:ind w:left="144" w:right="144"/>
    </w:pPr>
    <w:rPr>
      <w:color w:val="595959" w:themeColor="text1" w:themeTint="A6"/>
      <w:kern w:val="20"/>
      <w:sz w:val="20"/>
      <w:szCs w:val="20"/>
    </w:rPr>
  </w:style>
  <w:style w:type="paragraph" w:styleId="TOC2">
    <w:name w:val="toc 2"/>
    <w:basedOn w:val="Normal"/>
    <w:next w:val="Normal"/>
    <w:autoRedefine/>
    <w:uiPriority w:val="39"/>
    <w:unhideWhenUsed/>
    <w:rsid w:val="00506242"/>
    <w:pPr>
      <w:spacing w:after="100"/>
      <w:ind w:left="220"/>
    </w:pPr>
    <w:rPr>
      <w:rFonts w:eastAsiaTheme="minorEastAsia" w:cs="Times New Roman"/>
    </w:rPr>
  </w:style>
  <w:style w:type="paragraph" w:styleId="TOC3">
    <w:name w:val="toc 3"/>
    <w:basedOn w:val="Normal"/>
    <w:next w:val="Normal"/>
    <w:autoRedefine/>
    <w:uiPriority w:val="39"/>
    <w:unhideWhenUsed/>
    <w:rsid w:val="00506242"/>
    <w:pPr>
      <w:spacing w:after="100"/>
      <w:ind w:left="440"/>
    </w:pPr>
    <w:rPr>
      <w:rFonts w:eastAsiaTheme="minorEastAsia" w:cs="Times New Roman"/>
    </w:rPr>
  </w:style>
  <w:style w:type="table" w:customStyle="1" w:styleId="Svetelseznampoudarek11">
    <w:name w:val="Svetel seznam – poudarek 11"/>
    <w:basedOn w:val="TableNormal"/>
    <w:uiPriority w:val="61"/>
    <w:rsid w:val="002E439A"/>
    <w:pPr>
      <w:spacing w:before="40" w:after="0" w:line="240" w:lineRule="auto"/>
    </w:pPr>
    <w:rPr>
      <w:color w:val="595959" w:themeColor="text1" w:themeTint="A6"/>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FootnoteReference">
    <w:name w:val="footnote reference"/>
    <w:basedOn w:val="DefaultParagraphFont"/>
    <w:uiPriority w:val="99"/>
    <w:semiHidden/>
    <w:unhideWhenUsed/>
    <w:rsid w:val="00013884"/>
    <w:rPr>
      <w:vertAlign w:val="superscript"/>
    </w:rPr>
  </w:style>
  <w:style w:type="character" w:customStyle="1" w:styleId="Heading3Char">
    <w:name w:val="Heading 3 Char"/>
    <w:basedOn w:val="DefaultParagraphFont"/>
    <w:link w:val="Heading3"/>
    <w:rsid w:val="00820386"/>
    <w:rPr>
      <w:rFonts w:asciiTheme="majorHAnsi" w:eastAsiaTheme="majorEastAsia" w:hAnsiTheme="majorHAnsi" w:cstheme="majorBidi"/>
      <w:color w:val="1F4D78" w:themeColor="accent1" w:themeShade="7F"/>
      <w:kern w:val="20"/>
      <w:sz w:val="24"/>
      <w:szCs w:val="24"/>
      <w:lang w:eastAsia="en-GB"/>
    </w:rPr>
  </w:style>
  <w:style w:type="table" w:customStyle="1" w:styleId="Srednjamrea3poudarek11">
    <w:name w:val="Srednja mreža 3 – poudarek 11"/>
    <w:basedOn w:val="TableNormal"/>
    <w:uiPriority w:val="69"/>
    <w:rsid w:val="001E0770"/>
    <w:pPr>
      <w:spacing w:before="40" w:after="0" w:line="240" w:lineRule="auto"/>
    </w:pPr>
    <w:rPr>
      <w:color w:val="595959" w:themeColor="text1" w:themeTint="A6"/>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customStyle="1" w:styleId="zSisennys">
    <w:name w:val="zSisennys"/>
    <w:basedOn w:val="Normal"/>
    <w:rsid w:val="001E0770"/>
    <w:pPr>
      <w:spacing w:after="240" w:line="280" w:lineRule="exact"/>
      <w:ind w:left="851"/>
      <w:jc w:val="both"/>
    </w:pPr>
    <w:rPr>
      <w:rFonts w:ascii="Arial" w:eastAsia="Times New Roman" w:hAnsi="Arial" w:cs="Times New Roman"/>
      <w:sz w:val="21"/>
      <w:szCs w:val="20"/>
    </w:rPr>
  </w:style>
  <w:style w:type="paragraph" w:styleId="ListParagraph">
    <w:name w:val="List Paragraph"/>
    <w:basedOn w:val="Normal"/>
    <w:uiPriority w:val="34"/>
    <w:qFormat/>
    <w:rsid w:val="007F4221"/>
    <w:pPr>
      <w:spacing w:before="40" w:line="288" w:lineRule="auto"/>
      <w:ind w:left="720"/>
      <w:contextualSpacing/>
    </w:pPr>
    <w:rPr>
      <w:color w:val="595959" w:themeColor="text1" w:themeTint="A6"/>
      <w:kern w:val="20"/>
      <w:sz w:val="20"/>
      <w:szCs w:val="20"/>
    </w:rPr>
  </w:style>
  <w:style w:type="character" w:customStyle="1" w:styleId="fontstyle01">
    <w:name w:val="fontstyle01"/>
    <w:basedOn w:val="DefaultParagraphFont"/>
    <w:rsid w:val="007F4221"/>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D63364"/>
    <w:rPr>
      <w:rFonts w:ascii="SymbolMT" w:hAnsi="SymbolMT" w:hint="default"/>
      <w:b w:val="0"/>
      <w:bCs w:val="0"/>
      <w:i w:val="0"/>
      <w:iCs w:val="0"/>
      <w:color w:val="000000"/>
      <w:sz w:val="22"/>
      <w:szCs w:val="22"/>
    </w:rPr>
  </w:style>
  <w:style w:type="paragraph" w:styleId="BalloonText">
    <w:name w:val="Balloon Text"/>
    <w:basedOn w:val="Normal"/>
    <w:link w:val="BalloonTextChar"/>
    <w:uiPriority w:val="99"/>
    <w:semiHidden/>
    <w:unhideWhenUsed/>
    <w:rsid w:val="00335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1D7"/>
    <w:rPr>
      <w:rFonts w:ascii="Segoe UI" w:hAnsi="Segoe UI" w:cs="Segoe UI"/>
      <w:sz w:val="18"/>
      <w:szCs w:val="18"/>
    </w:rPr>
  </w:style>
  <w:style w:type="paragraph" w:styleId="Header">
    <w:name w:val="header"/>
    <w:basedOn w:val="Normal"/>
    <w:link w:val="HeaderChar"/>
    <w:uiPriority w:val="99"/>
    <w:unhideWhenUsed/>
    <w:rsid w:val="00F31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E3E"/>
  </w:style>
  <w:style w:type="paragraph" w:styleId="Footer">
    <w:name w:val="footer"/>
    <w:basedOn w:val="Normal"/>
    <w:link w:val="FooterChar"/>
    <w:uiPriority w:val="99"/>
    <w:unhideWhenUsed/>
    <w:rsid w:val="00F31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E3E"/>
  </w:style>
  <w:style w:type="table" w:styleId="TableGrid">
    <w:name w:val="Table Grid"/>
    <w:basedOn w:val="TableNormal"/>
    <w:uiPriority w:val="39"/>
    <w:rsid w:val="00932230"/>
    <w:pPr>
      <w:spacing w:after="0" w:line="240" w:lineRule="auto"/>
    </w:pPr>
    <w:rPr>
      <w:lang w:val="sl-SI"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6E5F"/>
    <w:rPr>
      <w:sz w:val="16"/>
      <w:szCs w:val="16"/>
    </w:rPr>
  </w:style>
  <w:style w:type="paragraph" w:styleId="CommentText">
    <w:name w:val="annotation text"/>
    <w:basedOn w:val="Normal"/>
    <w:link w:val="CommentTextChar"/>
    <w:uiPriority w:val="99"/>
    <w:semiHidden/>
    <w:unhideWhenUsed/>
    <w:rsid w:val="00B76E5F"/>
    <w:pPr>
      <w:spacing w:line="240" w:lineRule="auto"/>
    </w:pPr>
    <w:rPr>
      <w:sz w:val="20"/>
      <w:szCs w:val="20"/>
    </w:rPr>
  </w:style>
  <w:style w:type="character" w:customStyle="1" w:styleId="CommentTextChar">
    <w:name w:val="Comment Text Char"/>
    <w:basedOn w:val="DefaultParagraphFont"/>
    <w:link w:val="CommentText"/>
    <w:uiPriority w:val="99"/>
    <w:semiHidden/>
    <w:rsid w:val="00B76E5F"/>
    <w:rPr>
      <w:sz w:val="20"/>
      <w:szCs w:val="20"/>
    </w:rPr>
  </w:style>
  <w:style w:type="paragraph" w:styleId="CommentSubject">
    <w:name w:val="annotation subject"/>
    <w:basedOn w:val="CommentText"/>
    <w:next w:val="CommentText"/>
    <w:link w:val="CommentSubjectChar"/>
    <w:uiPriority w:val="99"/>
    <w:semiHidden/>
    <w:unhideWhenUsed/>
    <w:rsid w:val="00B76E5F"/>
    <w:rPr>
      <w:b/>
      <w:bCs/>
    </w:rPr>
  </w:style>
  <w:style w:type="character" w:customStyle="1" w:styleId="CommentSubjectChar">
    <w:name w:val="Comment Subject Char"/>
    <w:basedOn w:val="CommentTextChar"/>
    <w:link w:val="CommentSubject"/>
    <w:uiPriority w:val="99"/>
    <w:semiHidden/>
    <w:rsid w:val="00B76E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hart" Target="charts/chart4.xml" /><Relationship Id="rId11" Type="http://schemas.openxmlformats.org/officeDocument/2006/relationships/chart" Target="charts/chart5.xml" /><Relationship Id="rId12" Type="http://schemas.openxmlformats.org/officeDocument/2006/relationships/chart" Target="charts/chart6.xml" /><Relationship Id="rId13" Type="http://schemas.openxmlformats.org/officeDocument/2006/relationships/chart" Target="charts/chart7.xml" /><Relationship Id="rId14" Type="http://schemas.openxmlformats.org/officeDocument/2006/relationships/chart" Target="charts/chart8.xml" /><Relationship Id="rId15" Type="http://schemas.openxmlformats.org/officeDocument/2006/relationships/chart" Target="charts/chart9.xml" /><Relationship Id="rId16" Type="http://schemas.openxmlformats.org/officeDocument/2006/relationships/chart" Target="charts/chart10.xml" /><Relationship Id="rId17" Type="http://schemas.openxmlformats.org/officeDocument/2006/relationships/chart" Target="charts/chart11.xml" /><Relationship Id="rId18" Type="http://schemas.openxmlformats.org/officeDocument/2006/relationships/chart" Target="charts/chart12.xml" /><Relationship Id="rId19" Type="http://schemas.openxmlformats.org/officeDocument/2006/relationships/chart" Target="charts/chart13.xml" /><Relationship Id="rId2" Type="http://schemas.openxmlformats.org/officeDocument/2006/relationships/settings" Target="settings.xml" /><Relationship Id="rId20" Type="http://schemas.openxmlformats.org/officeDocument/2006/relationships/chart" Target="charts/chart14.xml" /><Relationship Id="rId21" Type="http://schemas.openxmlformats.org/officeDocument/2006/relationships/chart" Target="charts/chart15.xml" /><Relationship Id="rId22" Type="http://schemas.openxmlformats.org/officeDocument/2006/relationships/chart" Target="charts/chart16.xml" /><Relationship Id="rId23" Type="http://schemas.openxmlformats.org/officeDocument/2006/relationships/chart" Target="charts/chart17.xml" /><Relationship Id="rId24" Type="http://schemas.openxmlformats.org/officeDocument/2006/relationships/chart" Target="charts/chart18.xml" /><Relationship Id="rId25" Type="http://schemas.openxmlformats.org/officeDocument/2006/relationships/chart" Target="charts/chart19.xml" /><Relationship Id="rId26" Type="http://schemas.openxmlformats.org/officeDocument/2006/relationships/chart" Target="charts/chart20.xml" /><Relationship Id="rId27" Type="http://schemas.openxmlformats.org/officeDocument/2006/relationships/chart" Target="charts/chart21.xml" /><Relationship Id="rId28" Type="http://schemas.openxmlformats.org/officeDocument/2006/relationships/chart" Target="charts/chart22.xml" /><Relationship Id="rId29" Type="http://schemas.openxmlformats.org/officeDocument/2006/relationships/chart" Target="charts/chart23.xml" /><Relationship Id="rId3" Type="http://schemas.openxmlformats.org/officeDocument/2006/relationships/webSettings" Target="webSettings.xml" /><Relationship Id="rId30" Type="http://schemas.openxmlformats.org/officeDocument/2006/relationships/chart" Target="charts/chart24.xml" /><Relationship Id="rId31" Type="http://schemas.openxmlformats.org/officeDocument/2006/relationships/chart" Target="charts/chart25.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chart" Target="charts/chart1.xml" /><Relationship Id="rId8" Type="http://schemas.openxmlformats.org/officeDocument/2006/relationships/chart" Target="charts/chart2.xml" /><Relationship Id="rId9" Type="http://schemas.openxmlformats.org/officeDocument/2006/relationships/chart" Target="charts/chart3.xml" /></Relationships>
</file>

<file path=word/charts/_rels/chart1.xml.rels>&#65279;<?xml version="1.0" encoding="utf-8" standalone="yes"?><Relationships xmlns="http://schemas.openxmlformats.org/package/2006/relationships"><Relationship Id="rId1" Type="http://schemas.openxmlformats.org/officeDocument/2006/relationships/oleObject" Target="file:///C:\Users\josipr\Documents\SLU&#381;BA\SPREMLJANJE%20VARNOSTI\LETNO%20VARNOSTNO%20PORO&#268;ILO\2017\VARNOSTNI%20IZVID.xlsx" TargetMode="External" /><Relationship Id="rId2" Type="http://schemas.microsoft.com/office/2011/relationships/chartColorStyle" Target="chart/colors1.xml" /><Relationship Id="rId3" Type="http://schemas.microsoft.com/office/2011/relationships/chartStyle" Target="chart/style1.xml" /></Relationships>
</file>

<file path=word/charts/_rels/chart10.xml.rels>&#65279;<?xml version="1.0" encoding="utf-8" standalone="yes"?><Relationships xmlns="http://schemas.openxmlformats.org/package/2006/relationships"><Relationship Id="rId1" Type="http://schemas.openxmlformats.org/officeDocument/2006/relationships/oleObject" Target="file:///C:\Users\tomazd\Documents\SLU&#381;BA\LVP2017\Slovenia2017_Charts-SLO.xls" TargetMode="External" /></Relationships>
</file>

<file path=word/charts/_rels/chart11.xml.rels>&#65279;<?xml version="1.0" encoding="utf-8" standalone="yes"?><Relationships xmlns="http://schemas.openxmlformats.org/package/2006/relationships"><Relationship Id="rId1" Type="http://schemas.openxmlformats.org/officeDocument/2006/relationships/oleObject" Target="file:///C:\Users\tomazd\Documents\SLU&#381;BA\LVP2017\Slovenia2017_Charts-SLO.xls" TargetMode="External" /><Relationship Id="rId2" Type="http://schemas.openxmlformats.org/officeDocument/2006/relationships/chartUserShapes" Target="../drawings/drawing1.xml" /></Relationships>
</file>

<file path=word/charts/_rels/chart12.xml.rels>&#65279;<?xml version="1.0" encoding="utf-8" standalone="yes"?><Relationships xmlns="http://schemas.openxmlformats.org/package/2006/relationships"><Relationship Id="rId1" Type="http://schemas.openxmlformats.org/officeDocument/2006/relationships/oleObject" Target="file:///C:\Users\tomazd\Documents\SLU&#381;BA\LVP2017\Slovenia2017_Charts-SLO.xls" TargetMode="External" /></Relationships>
</file>

<file path=word/charts/_rels/chart13.xml.rels>&#65279;<?xml version="1.0" encoding="utf-8" standalone="yes"?><Relationships xmlns="http://schemas.openxmlformats.org/package/2006/relationships"><Relationship Id="rId1" Type="http://schemas.openxmlformats.org/officeDocument/2006/relationships/oleObject" Target="file:///C:\Users\tomazd\Documents\SLU&#381;BA\LVP2017\Slovenia2017_Charts-SLO.xls" TargetMode="External" /></Relationships>
</file>

<file path=word/charts/_rels/chart14.xml.rels>&#65279;<?xml version="1.0" encoding="utf-8" standalone="yes"?><Relationships xmlns="http://schemas.openxmlformats.org/package/2006/relationships"><Relationship Id="rId1" Type="http://schemas.openxmlformats.org/officeDocument/2006/relationships/oleObject" Target="file:///C:\Users\tomazd\Documents\SLU&#381;BA\LVP2017\Slovenia2017_Charts-SLO.xls" TargetMode="External" /></Relationships>
</file>

<file path=word/charts/_rels/chart15.xml.rels>&#65279;<?xml version="1.0" encoding="utf-8" standalone="yes"?><Relationships xmlns="http://schemas.openxmlformats.org/package/2006/relationships"><Relationship Id="rId1" Type="http://schemas.openxmlformats.org/officeDocument/2006/relationships/oleObject" Target="file:///C:\Users\tomazd\Documents\SLU&#381;BA\LVP2017\Slovenia2017_Charts-SLO.xls" TargetMode="External" /></Relationships>
</file>

<file path=word/charts/_rels/chart16.xml.rels>&#65279;<?xml version="1.0" encoding="utf-8" standalone="yes"?><Relationships xmlns="http://schemas.openxmlformats.org/package/2006/relationships"><Relationship Id="rId1" Type="http://schemas.openxmlformats.org/officeDocument/2006/relationships/oleObject" Target="file:///C:\Users\tomazd\Documents\SLU&#381;BA\LVP2017\Slovenia2017_Charts-SLO.xls" TargetMode="External" /></Relationships>
</file>

<file path=word/charts/_rels/chart17.xml.rels>&#65279;<?xml version="1.0" encoding="utf-8" standalone="yes"?><Relationships xmlns="http://schemas.openxmlformats.org/package/2006/relationships"><Relationship Id="rId1" Type="http://schemas.openxmlformats.org/officeDocument/2006/relationships/oleObject" Target="file:///C:\Users\tomazd\Documents\SLU&#381;BA\LVP2017\Slovenia2017_Charts-SLO.xls" TargetMode="External" /></Relationships>
</file>

<file path=word/charts/_rels/chart18.xml.rels>&#65279;<?xml version="1.0" encoding="utf-8" standalone="yes"?><Relationships xmlns="http://schemas.openxmlformats.org/package/2006/relationships"><Relationship Id="rId1" Type="http://schemas.openxmlformats.org/officeDocument/2006/relationships/oleObject" Target="file:///C:\Users\tomazd\Documents\SLU&#381;BA\LVP2017\Slovenia2017_Charts-SLO.xls" TargetMode="External" /></Relationships>
</file>

<file path=word/charts/_rels/chart19.xml.rels>&#65279;<?xml version="1.0" encoding="utf-8" standalone="yes"?><Relationships xmlns="http://schemas.openxmlformats.org/package/2006/relationships"><Relationship Id="rId1" Type="http://schemas.openxmlformats.org/officeDocument/2006/relationships/oleObject" Target="file:///C:\Users\tomazd\Documents\SLU&#381;BA\LVP2017\Slovenia2017_Charts-SLO.xls" TargetMode="External" /></Relationships>
</file>

<file path=word/charts/_rels/chart2.xml.rels>&#65279;<?xml version="1.0" encoding="utf-8" standalone="yes"?><Relationships xmlns="http://schemas.openxmlformats.org/package/2006/relationships"><Relationship Id="rId1" Type="http://schemas.openxmlformats.org/officeDocument/2006/relationships/oleObject" Target="file:///C:\Users\josipr\Documents\SLU&#381;BA\SPREMLJANJE%20VARNOSTI\LETNO%20VARNOSTNO%20PORO&#268;ILO\2017\VARNOSTNI%20IZVID.xlsx" TargetMode="External" /><Relationship Id="rId2" Type="http://schemas.microsoft.com/office/2011/relationships/chartColorStyle" Target="chart/colors2.xml" /><Relationship Id="rId3" Type="http://schemas.microsoft.com/office/2011/relationships/chartStyle" Target="chart/style2.xml" /></Relationships>
</file>

<file path=word/charts/_rels/chart20.xml.rels>&#65279;<?xml version="1.0" encoding="utf-8" standalone="yes"?><Relationships xmlns="http://schemas.openxmlformats.org/package/2006/relationships"><Relationship Id="rId1" Type="http://schemas.openxmlformats.org/officeDocument/2006/relationships/oleObject" Target="file:///C:\Users\tomazd\Documents\SLU&#381;BA\LVP2017\Slovenia2017_Charts-SLO.xls" TargetMode="External" /></Relationships>
</file>

<file path=word/charts/_rels/chart21.xml.rels>&#65279;<?xml version="1.0" encoding="utf-8" standalone="yes"?><Relationships xmlns="http://schemas.openxmlformats.org/package/2006/relationships"><Relationship Id="rId1" Type="http://schemas.openxmlformats.org/officeDocument/2006/relationships/oleObject" Target="file:///C:\Users\tomazd\Documents\SLU&#381;BA\LVP2017\Slovenia2017_Charts-SLO.xls" TargetMode="External" /></Relationships>
</file>

<file path=word/charts/_rels/chart22.xml.rels>&#65279;<?xml version="1.0" encoding="utf-8" standalone="yes"?><Relationships xmlns="http://schemas.openxmlformats.org/package/2006/relationships"><Relationship Id="rId1" Type="http://schemas.openxmlformats.org/officeDocument/2006/relationships/oleObject" Target="file:///C:\Users\tomazd\Documents\SLU&#381;BA\LVP2017\Slovenia2017_Charts-SLO.xls" TargetMode="External" /></Relationships>
</file>

<file path=word/charts/_rels/chart23.xml.rels>&#65279;<?xml version="1.0" encoding="utf-8" standalone="yes"?><Relationships xmlns="http://schemas.openxmlformats.org/package/2006/relationships"><Relationship Id="rId1" Type="http://schemas.openxmlformats.org/officeDocument/2006/relationships/oleObject" Target="file:///C:\Users\tomazd\Documents\SLU&#381;BA\LVP2017\Slovenia2017_Charts-SLO.xls" TargetMode="External" /></Relationships>
</file>

<file path=word/charts/_rels/chart24.xml.rels>&#65279;<?xml version="1.0" encoding="utf-8" standalone="yes"?><Relationships xmlns="http://schemas.openxmlformats.org/package/2006/relationships"><Relationship Id="rId1" Type="http://schemas.openxmlformats.org/officeDocument/2006/relationships/oleObject" Target="file:///C:\Users\tomazd\Documents\SLU&#381;BA\LVP2017\Slovenia2017_Charts-SLO.xls" TargetMode="External" /></Relationships>
</file>

<file path=word/charts/_rels/chart25.xml.rels>&#65279;<?xml version="1.0" encoding="utf-8" standalone="yes"?><Relationships xmlns="http://schemas.openxmlformats.org/package/2006/relationships"><Relationship Id="rId1" Type="http://schemas.openxmlformats.org/officeDocument/2006/relationships/oleObject" Target="file:///C:\Users\josipr\Documents\SLU&#381;BA\SPREMLJANJE%20VARNOSTI\LETNO%20VARNOSTNO%20PORO&#268;ILO\2017\Slovenia2017_Charts-SLO.xls" TargetMode="External" /></Relationships>
</file>

<file path=word/charts/_rels/chart3.xml.rels>&#65279;<?xml version="1.0" encoding="utf-8" standalone="yes"?><Relationships xmlns="http://schemas.openxmlformats.org/package/2006/relationships"><Relationship Id="rId1" Type="http://schemas.openxmlformats.org/officeDocument/2006/relationships/oleObject" Target="file:///C:\Users\josipr\Documents\SLU&#381;BA\SPREMLJANJE%20VARNOSTI\LETNO%20VARNOSTNO%20PORO&#268;ILO\2017\VARNOSTNI%20IZVID.xlsx" TargetMode="External" /><Relationship Id="rId2" Type="http://schemas.microsoft.com/office/2011/relationships/chartColorStyle" Target="chart/colors3.xml" /><Relationship Id="rId3" Type="http://schemas.microsoft.com/office/2011/relationships/chartStyle" Target="chart/style3.xml" /></Relationships>
</file>

<file path=word/charts/_rels/chart4.xml.rels>&#65279;<?xml version="1.0" encoding="utf-8" standalone="yes"?><Relationships xmlns="http://schemas.openxmlformats.org/package/2006/relationships"><Relationship Id="rId1" Type="http://schemas.openxmlformats.org/officeDocument/2006/relationships/oleObject" Target="file:///C:\Users\josipr\Documents\SLU&#381;BA\SPREMLJANJE%20VARNOSTI\LETNO%20VARNOSTNO%20PORO&#268;ILO\2017\VARNOSTNI%20IZVID.xlsx" TargetMode="External" /><Relationship Id="rId2" Type="http://schemas.microsoft.com/office/2011/relationships/chartColorStyle" Target="chart/colors4.xml" /><Relationship Id="rId3" Type="http://schemas.microsoft.com/office/2011/relationships/chartStyle" Target="chart/style4.xml" /></Relationships>
</file>

<file path=word/charts/_rels/chart5.xml.rels>&#65279;<?xml version="1.0" encoding="utf-8" standalone="yes"?><Relationships xmlns="http://schemas.openxmlformats.org/package/2006/relationships"><Relationship Id="rId1" Type="http://schemas.openxmlformats.org/officeDocument/2006/relationships/oleObject" Target="file:///C:\Users\josipr\Documents\SLU&#381;BA\SPREMLJANJE%20VARNOSTI\LETNO%20VARNOSTNO%20PORO&#268;ILO\2017\VARNOSTNI%20IZVID.xlsx" TargetMode="External" /><Relationship Id="rId2" Type="http://schemas.microsoft.com/office/2011/relationships/chartColorStyle" Target="chart/colors5.xml" /><Relationship Id="rId3" Type="http://schemas.microsoft.com/office/2011/relationships/chartStyle" Target="chart/style5.xml" /></Relationships>
</file>

<file path=word/charts/_rels/chart6.xml.rels>&#65279;<?xml version="1.0" encoding="utf-8" standalone="yes"?><Relationships xmlns="http://schemas.openxmlformats.org/package/2006/relationships"><Relationship Id="rId1" Type="http://schemas.openxmlformats.org/officeDocument/2006/relationships/oleObject" Target="file:///C:\Users\josipr\Documents\SLU&#381;BA\SPREMLJANJE%20VARNOSTI\LETNO%20VARNOSTNO%20PORO&#268;ILO\2017\VARNOSTNI%20IZVID.xlsx" TargetMode="External" /><Relationship Id="rId2" Type="http://schemas.microsoft.com/office/2011/relationships/chartColorStyle" Target="chart/colors6.xml" /><Relationship Id="rId3" Type="http://schemas.microsoft.com/office/2011/relationships/chartStyle" Target="chart/style6.xml" /></Relationships>
</file>

<file path=word/charts/_rels/chart7.xml.rels>&#65279;<?xml version="1.0" encoding="utf-8" standalone="yes"?><Relationships xmlns="http://schemas.openxmlformats.org/package/2006/relationships"><Relationship Id="rId1" Type="http://schemas.openxmlformats.org/officeDocument/2006/relationships/oleObject" Target="file:///C:\Users\josipr\Documents\SLU&#381;BA\SPREMLJANJE%20VARNOSTI\LETNO%20VARNOSTNO%20PORO&#268;ILO\2017\VARNOSTNI%20IZVID.xlsx" TargetMode="External" /><Relationship Id="rId2" Type="http://schemas.microsoft.com/office/2011/relationships/chartColorStyle" Target="chart/colors7.xml" /><Relationship Id="rId3" Type="http://schemas.microsoft.com/office/2011/relationships/chartStyle" Target="chart/style7.xml" /></Relationships>
</file>

<file path=word/charts/_rels/chart8.xml.rels>&#65279;<?xml version="1.0" encoding="utf-8" standalone="yes"?><Relationships xmlns="http://schemas.openxmlformats.org/package/2006/relationships"><Relationship Id="rId1" Type="http://schemas.openxmlformats.org/officeDocument/2006/relationships/oleObject" Target="file:///C:\Users\tomazd\Documents\SLU&#381;BA\LVP2017\Slovenia2017_Charts-SLO.xls" TargetMode="External" /></Relationships>
</file>

<file path=word/charts/_rels/chart9.xml.rels>&#65279;<?xml version="1.0" encoding="utf-8" standalone="yes"?><Relationships xmlns="http://schemas.openxmlformats.org/package/2006/relationships"><Relationship Id="rId1" Type="http://schemas.openxmlformats.org/officeDocument/2006/relationships/oleObject" Target="file:///C:\Users\tomazd\Documents\SLU&#381;BA\LVP2017\Slovenia2017_Charts-SLO.xls" TargetMode="Externa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dist="0" dir="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chart/style2.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a:solidFill>
          <a:schemeClr val="phClr">
            <a:shade val="95000"/>
          </a:schemeClr>
        </a:solidFill>
        <a:round/>
      </a:ln>
    </cs:spPr>
  </cs:dataPoint>
  <cs:dataPoint3D>
    <cs:lnRef idx="0">
      <cs:styleClr val="auto"/>
    </cs:lnRef>
    <cs:fillRef idx="2">
      <cs:styleClr val="auto"/>
    </cs:fillRef>
    <cs:effectRef idx="1"/>
    <cs:fontRef idx="minor">
      <a:schemeClr val="dk1"/>
    </cs:fontRef>
    <cs:spPr>
      <a:ln w="9525">
        <a:solidFill>
          <a:schemeClr val="phClr">
            <a:shade val="95000"/>
          </a:schemeClr>
        </a:solidFill>
        <a:round/>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rotWithShape="0">
        <a:gsLst>
          <a:gs pos="0">
            <a:schemeClr val="lt1"/>
          </a:gs>
          <a:gs pos="100000">
            <a:schemeClr val="lt1">
              <a:lumMod val="95000"/>
            </a:schemeClr>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chart/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6.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a:solidFill>
          <a:schemeClr val="phClr">
            <a:shade val="95000"/>
          </a:schemeClr>
        </a:solidFill>
        <a:round/>
      </a:ln>
    </cs:spPr>
  </cs:dataPoint>
  <cs:dataPoint3D>
    <cs:lnRef idx="0">
      <cs:styleClr val="auto"/>
    </cs:lnRef>
    <cs:fillRef idx="2">
      <cs:styleClr val="auto"/>
    </cs:fillRef>
    <cs:effectRef idx="1"/>
    <cs:fontRef idx="minor">
      <a:schemeClr val="dk1"/>
    </cs:fontRef>
    <cs:spPr>
      <a:ln w="9525">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chart/style7.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a:solidFill>
          <a:schemeClr val="phClr">
            <a:shade val="95000"/>
          </a:schemeClr>
        </a:solidFill>
        <a:round/>
      </a:ln>
    </cs:spPr>
  </cs:dataPoint>
  <cs:dataPoint3D>
    <cs:lnRef idx="0">
      <cs:styleClr val="auto"/>
    </cs:lnRef>
    <cs:fillRef idx="2">
      <cs:styleClr val="auto"/>
    </cs:fillRef>
    <cs:effectRef idx="1"/>
    <cs:fontRef idx="minor">
      <a:schemeClr val="dk1"/>
    </cs:fontRef>
    <cs:spPr>
      <a:ln w="9525">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List3!$A$3</c:f>
              <c:strCache>
                <c:ptCount val="1"/>
                <c:pt idx="0">
                  <c:v>Trki vlakov</c:v>
                </c:pt>
              </c:strCache>
            </c:strRef>
          </c:tx>
          <c:spPr>
            <a:pattFill prst="narHorz">
              <a:fgClr>
                <a:schemeClr val="accent1"/>
              </a:fgClr>
              <a:bgClr>
                <a:schemeClr val="accent1">
                  <a:lumMod val="20000"/>
                  <a:lumOff val="80000"/>
                </a:schemeClr>
              </a:bgClr>
            </a:pattFill>
            <a:ln>
              <a:noFill/>
            </a:ln>
            <a:effectLst>
              <a:innerShdw blurRad="114300" dist="0" dir="0">
                <a:schemeClr val="accent1"/>
              </a:innerShdw>
            </a:effectLst>
          </c:spPr>
          <c:invertIfNegative val="0"/>
          <c:dLbls>
            <c:dLbl>
              <c:idx val="0"/>
              <c:delete val="1"/>
              <c:extLst>
                <c:ext xmlns:c="http://schemas.openxmlformats.org/drawingml/2006/chart" xmlns:c16="http://schemas.microsoft.com/office/drawing/2014/chart" uri="{C3380CC4-5D6E-409C-BE32-E72D297353CC}">
                  <c16:uniqueId val="{00000000-E365-470C-8D9C-1CCAC0DDD0B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List3!$I$1:$M$1</c:f>
              <c:numCache>
                <c:formatCode>General</c:formatCode>
                <c:ptCount val="5"/>
                <c:pt idx="0">
                  <c:v>2013</c:v>
                </c:pt>
                <c:pt idx="1">
                  <c:v>2014</c:v>
                </c:pt>
                <c:pt idx="2">
                  <c:v>2015</c:v>
                </c:pt>
                <c:pt idx="3">
                  <c:v>2016</c:v>
                </c:pt>
                <c:pt idx="4">
                  <c:v>2017</c:v>
                </c:pt>
              </c:numCache>
            </c:numRef>
          </c:cat>
          <c:val>
            <c:numRef>
              <c:f>List3!$I$3:$M$3</c:f>
              <c:numCache>
                <c:formatCode>General</c:formatCode>
                <c:ptCount val="5"/>
                <c:pt idx="0">
                  <c:v>0</c:v>
                </c:pt>
                <c:pt idx="1">
                  <c:v>4</c:v>
                </c:pt>
                <c:pt idx="2">
                  <c:v>1</c:v>
                </c:pt>
                <c:pt idx="3">
                  <c:v>1</c:v>
                </c:pt>
                <c:pt idx="4">
                  <c:v>1</c:v>
                </c:pt>
              </c:numCache>
            </c:numRef>
          </c:val>
          <c:extLst>
            <c:ext xmlns:c="http://schemas.openxmlformats.org/drawingml/2006/chart" xmlns:c16="http://schemas.microsoft.com/office/drawing/2014/chart" uri="{C3380CC4-5D6E-409C-BE32-E72D297353CC}">
              <c16:uniqueId val="{00000001-E365-470C-8D9C-1CCAC0DDD0B1}"/>
            </c:ext>
          </c:extLst>
        </c:ser>
        <c:ser>
          <c:idx val="1"/>
          <c:order val="1"/>
          <c:tx>
            <c:strRef>
              <c:f>List3!$A$4</c:f>
              <c:strCache>
                <c:ptCount val="1"/>
                <c:pt idx="0">
                  <c:v>Iztirjenja</c:v>
                </c:pt>
              </c:strCache>
            </c:strRef>
          </c:tx>
          <c:spPr>
            <a:pattFill prst="narHorz">
              <a:fgClr>
                <a:schemeClr val="accent2"/>
              </a:fgClr>
              <a:bgClr>
                <a:schemeClr val="accent2">
                  <a:lumMod val="20000"/>
                  <a:lumOff val="80000"/>
                </a:schemeClr>
              </a:bgClr>
            </a:pattFill>
            <a:ln>
              <a:noFill/>
            </a:ln>
            <a:effectLst>
              <a:innerShdw blurRad="114300" dist="0" dir="0">
                <a:schemeClr val="accent2"/>
              </a:innerShdw>
            </a:effectLst>
          </c:spPr>
          <c:invertIfNegative val="0"/>
          <c:dLbls>
            <c:dLbl>
              <c:idx val="2"/>
              <c:delete val="1"/>
              <c:extLst>
                <c:ext xmlns:c="http://schemas.openxmlformats.org/drawingml/2006/chart" xmlns:c16="http://schemas.microsoft.com/office/drawing/2014/chart" uri="{C3380CC4-5D6E-409C-BE32-E72D297353CC}">
                  <c16:uniqueId val="{00000002-E365-470C-8D9C-1CCAC0DDD0B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List3!$I$1:$M$1</c:f>
              <c:numCache>
                <c:formatCode>General</c:formatCode>
                <c:ptCount val="5"/>
                <c:pt idx="0">
                  <c:v>2013</c:v>
                </c:pt>
                <c:pt idx="1">
                  <c:v>2014</c:v>
                </c:pt>
                <c:pt idx="2">
                  <c:v>2015</c:v>
                </c:pt>
                <c:pt idx="3">
                  <c:v>2016</c:v>
                </c:pt>
                <c:pt idx="4">
                  <c:v>2017</c:v>
                </c:pt>
              </c:numCache>
            </c:numRef>
          </c:cat>
          <c:val>
            <c:numRef>
              <c:f>List3!$I$4:$M$4</c:f>
              <c:numCache>
                <c:formatCode>General</c:formatCode>
                <c:ptCount val="5"/>
                <c:pt idx="0">
                  <c:v>1</c:v>
                </c:pt>
                <c:pt idx="1">
                  <c:v>1</c:v>
                </c:pt>
                <c:pt idx="2">
                  <c:v>0</c:v>
                </c:pt>
                <c:pt idx="3">
                  <c:v>1</c:v>
                </c:pt>
                <c:pt idx="4">
                  <c:v>3</c:v>
                </c:pt>
              </c:numCache>
            </c:numRef>
          </c:val>
          <c:extLst>
            <c:ext xmlns:c="http://schemas.openxmlformats.org/drawingml/2006/chart" xmlns:c16="http://schemas.microsoft.com/office/drawing/2014/chart" uri="{C3380CC4-5D6E-409C-BE32-E72D297353CC}">
              <c16:uniqueId val="{00000003-E365-470C-8D9C-1CCAC0DDD0B1}"/>
            </c:ext>
          </c:extLst>
        </c:ser>
        <c:ser>
          <c:idx val="2"/>
          <c:order val="2"/>
          <c:tx>
            <c:strRef>
              <c:f>List3!$A$5</c:f>
              <c:strCache>
                <c:ptCount val="1"/>
                <c:pt idx="0">
                  <c:v>Nesreče na nivojskih prehodih</c:v>
                </c:pt>
              </c:strCache>
            </c:strRef>
          </c:tx>
          <c:spPr>
            <a:pattFill prst="narHorz">
              <a:fgClr>
                <a:schemeClr val="accent3"/>
              </a:fgClr>
              <a:bgClr>
                <a:schemeClr val="accent3">
                  <a:lumMod val="20000"/>
                  <a:lumOff val="80000"/>
                </a:schemeClr>
              </a:bgClr>
            </a:pattFill>
            <a:ln>
              <a:noFill/>
            </a:ln>
            <a:effectLst>
              <a:innerShdw blurRad="114300" dist="0" dir="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List3!$I$1:$M$1</c:f>
              <c:numCache>
                <c:formatCode>General</c:formatCode>
                <c:ptCount val="5"/>
                <c:pt idx="0">
                  <c:v>2013</c:v>
                </c:pt>
                <c:pt idx="1">
                  <c:v>2014</c:v>
                </c:pt>
                <c:pt idx="2">
                  <c:v>2015</c:v>
                </c:pt>
                <c:pt idx="3">
                  <c:v>2016</c:v>
                </c:pt>
                <c:pt idx="4">
                  <c:v>2017</c:v>
                </c:pt>
              </c:numCache>
            </c:numRef>
          </c:cat>
          <c:val>
            <c:numRef>
              <c:f>List3!$I$5:$M$5</c:f>
              <c:numCache>
                <c:formatCode>General</c:formatCode>
                <c:ptCount val="5"/>
                <c:pt idx="0">
                  <c:v>11</c:v>
                </c:pt>
                <c:pt idx="1">
                  <c:v>9</c:v>
                </c:pt>
                <c:pt idx="2">
                  <c:v>10</c:v>
                </c:pt>
                <c:pt idx="3">
                  <c:v>8</c:v>
                </c:pt>
                <c:pt idx="4">
                  <c:v>6</c:v>
                </c:pt>
              </c:numCache>
            </c:numRef>
          </c:val>
          <c:extLst>
            <c:ext xmlns:c="http://schemas.openxmlformats.org/drawingml/2006/chart" xmlns:c16="http://schemas.microsoft.com/office/drawing/2014/chart" uri="{C3380CC4-5D6E-409C-BE32-E72D297353CC}">
              <c16:uniqueId val="{00000004-E365-470C-8D9C-1CCAC0DDD0B1}"/>
            </c:ext>
          </c:extLst>
        </c:ser>
        <c:ser>
          <c:idx val="3"/>
          <c:order val="3"/>
          <c:tx>
            <c:strRef>
              <c:f>List3!$A$6</c:f>
              <c:strCache>
                <c:ptCount val="1"/>
                <c:pt idx="0">
                  <c:v>Nesreče oseb z vozili v gibanju</c:v>
                </c:pt>
              </c:strCache>
            </c:strRef>
          </c:tx>
          <c:spPr>
            <a:pattFill prst="narHorz">
              <a:fgClr>
                <a:schemeClr val="accent4"/>
              </a:fgClr>
              <a:bgClr>
                <a:schemeClr val="accent4">
                  <a:lumMod val="20000"/>
                  <a:lumOff val="80000"/>
                </a:schemeClr>
              </a:bgClr>
            </a:pattFill>
            <a:ln>
              <a:noFill/>
            </a:ln>
            <a:effectLst>
              <a:innerShdw blurRad="114300" dist="0" dir="0">
                <a:schemeClr val="accent4"/>
              </a:innerShdw>
            </a:effectLst>
          </c:spPr>
          <c:invertIfNegative val="0"/>
          <c:dLbls>
            <c:dLbl>
              <c:idx val="0"/>
              <c:delete val="1"/>
              <c:extLst>
                <c:ext xmlns:c="http://schemas.openxmlformats.org/drawingml/2006/chart" xmlns:c16="http://schemas.microsoft.com/office/drawing/2014/chart" uri="{C3380CC4-5D6E-409C-BE32-E72D297353CC}">
                  <c16:uniqueId val="{00000005-E365-470C-8D9C-1CCAC0DDD0B1}"/>
                </c:ext>
                <c:ext xmlns:c15="http://schemas.microsoft.com/office/drawing/2012/chart" uri="{CE6537A1-D6FC-4f65-9D91-7224C49458BB}"/>
              </c:extLst>
            </c:dLbl>
            <c:dLbl>
              <c:idx val="1"/>
              <c:delete val="1"/>
              <c:extLst>
                <c:ext xmlns:c="http://schemas.openxmlformats.org/drawingml/2006/chart" xmlns:c16="http://schemas.microsoft.com/office/drawing/2014/chart" uri="{C3380CC4-5D6E-409C-BE32-E72D297353CC}">
                  <c16:uniqueId val="{00000006-E365-470C-8D9C-1CCAC0DDD0B1}"/>
                </c:ext>
                <c:ext xmlns:c15="http://schemas.microsoft.com/office/drawing/2012/chart" uri="{CE6537A1-D6FC-4f65-9D91-7224C49458BB}"/>
              </c:extLst>
            </c:dLbl>
            <c:dLbl>
              <c:idx val="3"/>
              <c:delete val="1"/>
              <c:extLst>
                <c:ext xmlns:c="http://schemas.openxmlformats.org/drawingml/2006/chart" xmlns:c16="http://schemas.microsoft.com/office/drawing/2014/chart" uri="{C3380CC4-5D6E-409C-BE32-E72D297353CC}">
                  <c16:uniqueId val="{00000007-E365-470C-8D9C-1CCAC0DDD0B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List3!$I$1:$M$1</c:f>
              <c:numCache>
                <c:formatCode>General</c:formatCode>
                <c:ptCount val="5"/>
                <c:pt idx="0">
                  <c:v>2013</c:v>
                </c:pt>
                <c:pt idx="1">
                  <c:v>2014</c:v>
                </c:pt>
                <c:pt idx="2">
                  <c:v>2015</c:v>
                </c:pt>
                <c:pt idx="3">
                  <c:v>2016</c:v>
                </c:pt>
                <c:pt idx="4">
                  <c:v>2017</c:v>
                </c:pt>
              </c:numCache>
            </c:numRef>
          </c:cat>
          <c:val>
            <c:numRef>
              <c:f>List3!$I$6:$M$6</c:f>
              <c:numCache>
                <c:formatCode>General</c:formatCode>
                <c:ptCount val="5"/>
                <c:pt idx="0">
                  <c:v>0</c:v>
                </c:pt>
                <c:pt idx="1">
                  <c:v>0</c:v>
                </c:pt>
                <c:pt idx="2">
                  <c:v>2</c:v>
                </c:pt>
                <c:pt idx="3">
                  <c:v>0</c:v>
                </c:pt>
                <c:pt idx="4">
                  <c:v>1</c:v>
                </c:pt>
              </c:numCache>
            </c:numRef>
          </c:val>
          <c:extLst>
            <c:ext xmlns:c="http://schemas.openxmlformats.org/drawingml/2006/chart" xmlns:c16="http://schemas.microsoft.com/office/drawing/2014/chart" uri="{C3380CC4-5D6E-409C-BE32-E72D297353CC}">
              <c16:uniqueId val="{00000008-E365-470C-8D9C-1CCAC0DDD0B1}"/>
            </c:ext>
          </c:extLst>
        </c:ser>
        <c:ser>
          <c:idx val="4"/>
          <c:order val="4"/>
          <c:tx>
            <c:strRef>
              <c:f>List3!$A$7</c:f>
              <c:strCache>
                <c:ptCount val="1"/>
                <c:pt idx="0">
                  <c:v>Požari na vozilih</c:v>
                </c:pt>
              </c:strCache>
            </c:strRef>
          </c:tx>
          <c:spPr>
            <a:pattFill prst="narHorz">
              <a:fgClr>
                <a:schemeClr val="accent5"/>
              </a:fgClr>
              <a:bgClr>
                <a:schemeClr val="accent5">
                  <a:lumMod val="20000"/>
                  <a:lumOff val="80000"/>
                </a:schemeClr>
              </a:bgClr>
            </a:pattFill>
            <a:ln>
              <a:noFill/>
            </a:ln>
            <a:effectLst>
              <a:innerShdw blurRad="114300" dist="0" dir="0">
                <a:schemeClr val="accent5"/>
              </a:innerShdw>
            </a:effectLst>
          </c:spPr>
          <c:invertIfNegative val="0"/>
          <c:dLbls>
            <c:dLbl>
              <c:idx val="0"/>
              <c:delete val="1"/>
              <c:extLst>
                <c:ext xmlns:c="http://schemas.openxmlformats.org/drawingml/2006/chart" xmlns:c16="http://schemas.microsoft.com/office/drawing/2014/chart" uri="{C3380CC4-5D6E-409C-BE32-E72D297353CC}">
                  <c16:uniqueId val="{00000009-E365-470C-8D9C-1CCAC0DDD0B1}"/>
                </c:ext>
                <c:ext xmlns:c15="http://schemas.microsoft.com/office/drawing/2012/chart" uri="{CE6537A1-D6FC-4f65-9D91-7224C49458BB}"/>
              </c:extLst>
            </c:dLbl>
            <c:dLbl>
              <c:idx val="3"/>
              <c:delete val="1"/>
              <c:extLst>
                <c:ext xmlns:c="http://schemas.openxmlformats.org/drawingml/2006/chart" xmlns:c16="http://schemas.microsoft.com/office/drawing/2014/chart" uri="{C3380CC4-5D6E-409C-BE32-E72D297353CC}">
                  <c16:uniqueId val="{0000000A-E365-470C-8D9C-1CCAC0DDD0B1}"/>
                </c:ext>
                <c:ext xmlns:c15="http://schemas.microsoft.com/office/drawing/2012/chart" uri="{CE6537A1-D6FC-4f65-9D91-7224C49458BB}"/>
              </c:extLst>
            </c:dLbl>
            <c:dLbl>
              <c:idx val="4"/>
              <c:delete val="1"/>
              <c:extLst>
                <c:ext xmlns:c="http://schemas.openxmlformats.org/drawingml/2006/chart" xmlns:c16="http://schemas.microsoft.com/office/drawing/2014/chart" uri="{C3380CC4-5D6E-409C-BE32-E72D297353CC}">
                  <c16:uniqueId val="{0000000B-E365-470C-8D9C-1CCAC0DDD0B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List3!$I$1:$M$1</c:f>
              <c:numCache>
                <c:formatCode>General</c:formatCode>
                <c:ptCount val="5"/>
                <c:pt idx="0">
                  <c:v>2013</c:v>
                </c:pt>
                <c:pt idx="1">
                  <c:v>2014</c:v>
                </c:pt>
                <c:pt idx="2">
                  <c:v>2015</c:v>
                </c:pt>
                <c:pt idx="3">
                  <c:v>2016</c:v>
                </c:pt>
                <c:pt idx="4">
                  <c:v>2017</c:v>
                </c:pt>
              </c:numCache>
            </c:numRef>
          </c:cat>
          <c:val>
            <c:numRef>
              <c:f>List3!$H$7:$L$7</c:f>
              <c:numCache>
                <c:formatCode>General</c:formatCode>
                <c:ptCount val="5"/>
                <c:pt idx="0">
                  <c:v>0</c:v>
                </c:pt>
                <c:pt idx="1">
                  <c:v>1</c:v>
                </c:pt>
                <c:pt idx="2">
                  <c:v>1</c:v>
                </c:pt>
                <c:pt idx="3">
                  <c:v>0</c:v>
                </c:pt>
                <c:pt idx="4">
                  <c:v>0</c:v>
                </c:pt>
              </c:numCache>
            </c:numRef>
          </c:val>
          <c:extLst>
            <c:ext xmlns:c="http://schemas.openxmlformats.org/drawingml/2006/chart" xmlns:c16="http://schemas.microsoft.com/office/drawing/2014/chart" uri="{C3380CC4-5D6E-409C-BE32-E72D297353CC}">
              <c16:uniqueId val="{0000000C-E365-470C-8D9C-1CCAC0DDD0B1}"/>
            </c:ext>
          </c:extLst>
        </c:ser>
        <c:ser>
          <c:idx val="5"/>
          <c:order val="5"/>
          <c:tx>
            <c:strRef>
              <c:f>List3!$A$8</c:f>
              <c:strCache>
                <c:ptCount val="1"/>
                <c:pt idx="0">
                  <c:v>Drugo</c:v>
                </c:pt>
              </c:strCache>
            </c:strRef>
          </c:tx>
          <c:spPr>
            <a:pattFill prst="narHorz">
              <a:fgClr>
                <a:schemeClr val="accent6"/>
              </a:fgClr>
              <a:bgClr>
                <a:schemeClr val="accent6">
                  <a:lumMod val="20000"/>
                  <a:lumOff val="80000"/>
                </a:schemeClr>
              </a:bgClr>
            </a:pattFill>
            <a:ln>
              <a:noFill/>
            </a:ln>
            <a:effectLst>
              <a:innerShdw blurRad="114300" dist="0" dir="0">
                <a:schemeClr val="accent6"/>
              </a:innerShdw>
            </a:effectLst>
          </c:spPr>
          <c:invertIfNegative val="0"/>
          <c:dLbls>
            <c:dLbl>
              <c:idx val="0"/>
              <c:delete val="1"/>
              <c:extLst>
                <c:ext xmlns:c="http://schemas.openxmlformats.org/drawingml/2006/chart" xmlns:c16="http://schemas.microsoft.com/office/drawing/2014/chart" uri="{C3380CC4-5D6E-409C-BE32-E72D297353CC}">
                  <c16:uniqueId val="{0000000D-E365-470C-8D9C-1CCAC0DDD0B1}"/>
                </c:ext>
                <c:ext xmlns:c15="http://schemas.microsoft.com/office/drawing/2012/chart" uri="{CE6537A1-D6FC-4f65-9D91-7224C49458BB}"/>
              </c:extLst>
            </c:dLbl>
            <c:dLbl>
              <c:idx val="1"/>
              <c:delete val="1"/>
              <c:extLst>
                <c:ext xmlns:c="http://schemas.openxmlformats.org/drawingml/2006/chart" xmlns:c16="http://schemas.microsoft.com/office/drawing/2014/chart" uri="{C3380CC4-5D6E-409C-BE32-E72D297353CC}">
                  <c16:uniqueId val="{0000000E-E365-470C-8D9C-1CCAC0DDD0B1}"/>
                </c:ext>
                <c:ext xmlns:c15="http://schemas.microsoft.com/office/drawing/2012/chart" uri="{CE6537A1-D6FC-4f65-9D91-7224C49458BB}"/>
              </c:extLst>
            </c:dLbl>
            <c:dLbl>
              <c:idx val="4"/>
              <c:delete val="1"/>
              <c:extLst>
                <c:ext xmlns:c="http://schemas.openxmlformats.org/drawingml/2006/chart" xmlns:c16="http://schemas.microsoft.com/office/drawing/2014/chart" uri="{C3380CC4-5D6E-409C-BE32-E72D297353CC}">
                  <c16:uniqueId val="{0000000F-E365-470C-8D9C-1CCAC0DDD0B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List3!$I$1:$M$1</c:f>
              <c:numCache>
                <c:formatCode>General</c:formatCode>
                <c:ptCount val="5"/>
                <c:pt idx="0">
                  <c:v>2013</c:v>
                </c:pt>
                <c:pt idx="1">
                  <c:v>2014</c:v>
                </c:pt>
                <c:pt idx="2">
                  <c:v>2015</c:v>
                </c:pt>
                <c:pt idx="3">
                  <c:v>2016</c:v>
                </c:pt>
                <c:pt idx="4">
                  <c:v>2017</c:v>
                </c:pt>
              </c:numCache>
            </c:numRef>
          </c:cat>
          <c:val>
            <c:numRef>
              <c:f>List3!$I$8:$M$8</c:f>
              <c:numCache>
                <c:formatCode>General</c:formatCode>
                <c:ptCount val="5"/>
                <c:pt idx="0">
                  <c:v>0</c:v>
                </c:pt>
                <c:pt idx="1">
                  <c:v>0</c:v>
                </c:pt>
                <c:pt idx="2">
                  <c:v>1</c:v>
                </c:pt>
                <c:pt idx="3">
                  <c:v>1</c:v>
                </c:pt>
                <c:pt idx="4">
                  <c:v>0</c:v>
                </c:pt>
              </c:numCache>
            </c:numRef>
          </c:val>
          <c:extLst>
            <c:ext xmlns:c="http://schemas.openxmlformats.org/drawingml/2006/chart" xmlns:c16="http://schemas.microsoft.com/office/drawing/2014/chart" uri="{C3380CC4-5D6E-409C-BE32-E72D297353CC}">
              <c16:uniqueId val="{00000010-E365-470C-8D9C-1CCAC0DDD0B1}"/>
            </c:ext>
          </c:extLst>
        </c:ser>
        <c:dLbls>
          <c:showLegendKey val="0"/>
          <c:showVal val="0"/>
          <c:showCatName val="0"/>
          <c:showSerName val="0"/>
          <c:showPercent val="0"/>
          <c:showBubbleSize val="0"/>
        </c:dLbls>
        <c:gapWidth val="150"/>
        <c:overlap val="100"/>
        <c:axId val="828293856"/>
        <c:axId val="828289152"/>
      </c:barChart>
      <c:catAx>
        <c:axId val="828293856"/>
        <c:scaling>
          <c:orientation val="minMax"/>
        </c:scaling>
        <c:delete val="0"/>
        <c:axPos val="b"/>
        <c:numFmt formatCode="General" sourceLinked="1"/>
        <c:majorTickMark val="none"/>
        <c:minorTickMark val="none"/>
        <c:tickLblPos val="nextTo"/>
        <c:spPr>
          <a:noFill/>
          <a:ln w="19050">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8289152"/>
        <c:crosses val="autoZero"/>
        <c:auto val="1"/>
        <c:lblAlgn val="ctr"/>
        <c:lblOffset val="100"/>
        <c:noMultiLvlLbl val="0"/>
      </c:catAx>
      <c:valAx>
        <c:axId val="828289152"/>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8293856"/>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Calibri"/>
                <a:ea typeface="Calibri"/>
                <a:cs typeface="Calibri"/>
              </a:defRPr>
            </a:pPr>
            <a:r>
              <a:rPr lang="en-GB" sz="1200" b="1" i="0" kern="1200" baseline="0">
                <a:solidFill>
                  <a:srgbClr val="000000"/>
                </a:solidFill>
                <a:effectLst/>
                <a:latin typeface="Calibri" panose="020F0502020204030204" pitchFamily="34" charset="0"/>
                <a:ea typeface="Calibri" panose="020F0502020204030204" pitchFamily="34" charset="0"/>
              </a:rPr>
              <a:t>Number of seriously injured persons per type of accident</a:t>
            </a:r>
          </a:p>
        </c:rich>
      </c:tx>
      <c:layout>
        <c:manualLayout>
          <c:xMode val="edge"/>
          <c:yMode val="edge"/>
          <c:x val="0.21255693732727854"/>
          <c:y val="0.03060530454159003"/>
        </c:manualLayout>
      </c:layout>
      <c:overlay val="0"/>
      <c:spPr>
        <a:noFill/>
        <a:ln w="25400">
          <a:noFill/>
        </a:ln>
      </c:spPr>
    </c:title>
    <c:autoTitleDeleted val="0"/>
    <c:plotArea>
      <c:layout>
        <c:manualLayout>
          <c:layoutTarget val="inner"/>
          <c:xMode val="edge"/>
          <c:yMode val="edge"/>
          <c:x val="0.069271208867486611"/>
          <c:y val="0.1216494845360825"/>
          <c:w val="0.92191336413526825"/>
          <c:h val="0.60618556701030923"/>
        </c:manualLayout>
      </c:layout>
      <c:barChart>
        <c:barDir val="col"/>
        <c:grouping val="stacked"/>
        <c:varyColors val="0"/>
        <c:ser>
          <c:idx val="0"/>
          <c:order val="0"/>
          <c:tx>
            <c:strRef>
              <c:f>'1.3'!$C$30</c:f>
              <c:strCache>
                <c:ptCount val="1"/>
                <c:pt idx="0">
                  <c:v>Trki</c:v>
                </c:pt>
              </c:strCache>
            </c:strRef>
          </c:tx>
          <c:spPr>
            <a:solidFill>
              <a:srgbClr val="4572A7"/>
            </a:solidFill>
            <a:ln w="25400">
              <a:noFill/>
            </a:ln>
          </c:spPr>
          <c:invertIfNegative val="0"/>
          <c:cat>
            <c:numRef>
              <c:f>'1.3'!$B$31:$B$35</c:f>
              <c:numCache>
                <c:formatCode>0</c:formatCode>
                <c:ptCount val="5"/>
                <c:pt idx="0">
                  <c:v>2013</c:v>
                </c:pt>
                <c:pt idx="1">
                  <c:v>2014</c:v>
                </c:pt>
                <c:pt idx="2">
                  <c:v>2015</c:v>
                </c:pt>
                <c:pt idx="3">
                  <c:v>2016</c:v>
                </c:pt>
                <c:pt idx="4">
                  <c:v>2017</c:v>
                </c:pt>
              </c:numCache>
            </c:numRef>
          </c:cat>
          <c:val>
            <c:numRef>
              <c:f>'1.3'!$C$31:$C$35</c:f>
              <c:numCache>
                <c:formatCode>0</c:formatCode>
                <c:ptCount val="5"/>
                <c:pt idx="0">
                  <c:v>0</c:v>
                </c:pt>
                <c:pt idx="1">
                  <c:v>1</c:v>
                </c:pt>
                <c:pt idx="2">
                  <c:v>1</c:v>
                </c:pt>
                <c:pt idx="3">
                  <c:v>0</c:v>
                </c:pt>
                <c:pt idx="4">
                  <c:v>0</c:v>
                </c:pt>
              </c:numCache>
            </c:numRef>
          </c:val>
          <c:extLst>
            <c:ext xmlns:c="http://schemas.openxmlformats.org/drawingml/2006/chart" xmlns:c16="http://schemas.microsoft.com/office/drawing/2014/chart" uri="{C3380CC4-5D6E-409C-BE32-E72D297353CC}">
              <c16:uniqueId val="{00000000-E662-4466-B71C-A554A5A80E32}"/>
            </c:ext>
          </c:extLst>
        </c:ser>
        <c:ser>
          <c:idx val="1"/>
          <c:order val="1"/>
          <c:tx>
            <c:strRef>
              <c:f>'1.3'!$D$30</c:f>
              <c:strCache>
                <c:ptCount val="1"/>
                <c:pt idx="0">
                  <c:v>Iztirjenja</c:v>
                </c:pt>
              </c:strCache>
            </c:strRef>
          </c:tx>
          <c:spPr>
            <a:solidFill>
              <a:srgbClr val="AA4643"/>
            </a:solidFill>
            <a:ln w="25400">
              <a:noFill/>
            </a:ln>
          </c:spPr>
          <c:invertIfNegative val="0"/>
          <c:cat>
            <c:numRef>
              <c:f>'1.3'!$B$31:$B$35</c:f>
              <c:numCache>
                <c:formatCode>0</c:formatCode>
                <c:ptCount val="5"/>
                <c:pt idx="0">
                  <c:v>2013</c:v>
                </c:pt>
                <c:pt idx="1">
                  <c:v>2014</c:v>
                </c:pt>
                <c:pt idx="2">
                  <c:v>2015</c:v>
                </c:pt>
                <c:pt idx="3">
                  <c:v>2016</c:v>
                </c:pt>
                <c:pt idx="4">
                  <c:v>2017</c:v>
                </c:pt>
              </c:numCache>
            </c:numRef>
          </c:cat>
          <c:val>
            <c:numRef>
              <c:f>'1.3'!$D$31:$D$35</c:f>
              <c:numCache>
                <c:formatCode>0</c:formatCode>
                <c:ptCount val="5"/>
                <c:pt idx="0">
                  <c:v>0</c:v>
                </c:pt>
                <c:pt idx="1">
                  <c:v>0</c:v>
                </c:pt>
                <c:pt idx="2">
                  <c:v>0</c:v>
                </c:pt>
                <c:pt idx="3">
                  <c:v>0</c:v>
                </c:pt>
                <c:pt idx="4">
                  <c:v>0</c:v>
                </c:pt>
              </c:numCache>
            </c:numRef>
          </c:val>
          <c:extLst>
            <c:ext xmlns:c="http://schemas.openxmlformats.org/drawingml/2006/chart" xmlns:c16="http://schemas.microsoft.com/office/drawing/2014/chart" uri="{C3380CC4-5D6E-409C-BE32-E72D297353CC}">
              <c16:uniqueId val="{00000001-E662-4466-B71C-A554A5A80E32}"/>
            </c:ext>
          </c:extLst>
        </c:ser>
        <c:ser>
          <c:idx val="2"/>
          <c:order val="2"/>
          <c:tx>
            <c:strRef>
              <c:f>'1.3'!$E$30</c:f>
              <c:strCache>
                <c:ptCount val="1"/>
                <c:pt idx="0">
                  <c:v>Nesreče na nivojskih prehodih</c:v>
                </c:pt>
              </c:strCache>
            </c:strRef>
          </c:tx>
          <c:spPr>
            <a:solidFill>
              <a:srgbClr val="89A54E"/>
            </a:solidFill>
            <a:ln w="25400">
              <a:noFill/>
            </a:ln>
          </c:spPr>
          <c:invertIfNegative val="0"/>
          <c:cat>
            <c:numRef>
              <c:f>'1.3'!$B$31:$B$35</c:f>
              <c:numCache>
                <c:formatCode>0</c:formatCode>
                <c:ptCount val="5"/>
                <c:pt idx="0">
                  <c:v>2013</c:v>
                </c:pt>
                <c:pt idx="1">
                  <c:v>2014</c:v>
                </c:pt>
                <c:pt idx="2">
                  <c:v>2015</c:v>
                </c:pt>
                <c:pt idx="3">
                  <c:v>2016</c:v>
                </c:pt>
                <c:pt idx="4">
                  <c:v>2017</c:v>
                </c:pt>
              </c:numCache>
            </c:numRef>
          </c:cat>
          <c:val>
            <c:numRef>
              <c:f>'1.3'!$E$31:$E$35</c:f>
              <c:numCache>
                <c:formatCode>0</c:formatCode>
                <c:ptCount val="5"/>
                <c:pt idx="0">
                  <c:v>9</c:v>
                </c:pt>
                <c:pt idx="1">
                  <c:v>7</c:v>
                </c:pt>
                <c:pt idx="2">
                  <c:v>12</c:v>
                </c:pt>
                <c:pt idx="3">
                  <c:v>4</c:v>
                </c:pt>
                <c:pt idx="4">
                  <c:v>2</c:v>
                </c:pt>
              </c:numCache>
            </c:numRef>
          </c:val>
          <c:extLst>
            <c:ext xmlns:c="http://schemas.openxmlformats.org/drawingml/2006/chart" xmlns:c16="http://schemas.microsoft.com/office/drawing/2014/chart" uri="{C3380CC4-5D6E-409C-BE32-E72D297353CC}">
              <c16:uniqueId val="{00000002-E662-4466-B71C-A554A5A80E32}"/>
            </c:ext>
          </c:extLst>
        </c:ser>
        <c:ser>
          <c:idx val="3"/>
          <c:order val="3"/>
          <c:tx>
            <c:strRef>
              <c:f>'1.3'!$F$30</c:f>
              <c:strCache>
                <c:ptCount val="1"/>
                <c:pt idx="0">
                  <c:v>Nesreče, ki so jih povzročila vozila v gibanju</c:v>
                </c:pt>
              </c:strCache>
            </c:strRef>
          </c:tx>
          <c:spPr>
            <a:solidFill>
              <a:srgbClr val="71588F"/>
            </a:solidFill>
            <a:ln w="25400">
              <a:noFill/>
            </a:ln>
          </c:spPr>
          <c:invertIfNegative val="0"/>
          <c:cat>
            <c:numRef>
              <c:f>'1.3'!$B$31:$B$35</c:f>
              <c:numCache>
                <c:formatCode>0</c:formatCode>
                <c:ptCount val="5"/>
                <c:pt idx="0">
                  <c:v>2013</c:v>
                </c:pt>
                <c:pt idx="1">
                  <c:v>2014</c:v>
                </c:pt>
                <c:pt idx="2">
                  <c:v>2015</c:v>
                </c:pt>
                <c:pt idx="3">
                  <c:v>2016</c:v>
                </c:pt>
                <c:pt idx="4">
                  <c:v>2017</c:v>
                </c:pt>
              </c:numCache>
            </c:numRef>
          </c:cat>
          <c:val>
            <c:numRef>
              <c:f>'1.3'!$F$31:$F$35</c:f>
              <c:numCache>
                <c:formatCode>0</c:formatCode>
                <c:ptCount val="5"/>
                <c:pt idx="0">
                  <c:v>0</c:v>
                </c:pt>
                <c:pt idx="1">
                  <c:v>0</c:v>
                </c:pt>
                <c:pt idx="2">
                  <c:v>0</c:v>
                </c:pt>
                <c:pt idx="3">
                  <c:v>0</c:v>
                </c:pt>
                <c:pt idx="4">
                  <c:v>1</c:v>
                </c:pt>
              </c:numCache>
            </c:numRef>
          </c:val>
          <c:extLst>
            <c:ext xmlns:c="http://schemas.openxmlformats.org/drawingml/2006/chart" xmlns:c16="http://schemas.microsoft.com/office/drawing/2014/chart" uri="{C3380CC4-5D6E-409C-BE32-E72D297353CC}">
              <c16:uniqueId val="{00000003-E662-4466-B71C-A554A5A80E32}"/>
            </c:ext>
          </c:extLst>
        </c:ser>
        <c:ser>
          <c:idx val="4"/>
          <c:order val="4"/>
          <c:tx>
            <c:strRef>
              <c:f>'1.3'!$G$30</c:f>
              <c:strCache>
                <c:ptCount val="1"/>
                <c:pt idx="0">
                  <c:v>Požari na vozilih</c:v>
                </c:pt>
              </c:strCache>
            </c:strRef>
          </c:tx>
          <c:spPr>
            <a:solidFill>
              <a:srgbClr val="4198AF"/>
            </a:solidFill>
            <a:ln w="25400">
              <a:noFill/>
            </a:ln>
          </c:spPr>
          <c:invertIfNegative val="0"/>
          <c:cat>
            <c:numRef>
              <c:f>'1.3'!$B$31:$B$35</c:f>
              <c:numCache>
                <c:formatCode>0</c:formatCode>
                <c:ptCount val="5"/>
                <c:pt idx="0">
                  <c:v>2013</c:v>
                </c:pt>
                <c:pt idx="1">
                  <c:v>2014</c:v>
                </c:pt>
                <c:pt idx="2">
                  <c:v>2015</c:v>
                </c:pt>
                <c:pt idx="3">
                  <c:v>2016</c:v>
                </c:pt>
                <c:pt idx="4">
                  <c:v>2017</c:v>
                </c:pt>
              </c:numCache>
            </c:numRef>
          </c:cat>
          <c:val>
            <c:numRef>
              <c:f>'1.3'!$G$31:$G$35</c:f>
              <c:numCache>
                <c:formatCode>0</c:formatCode>
                <c:ptCount val="5"/>
                <c:pt idx="0">
                  <c:v>1</c:v>
                </c:pt>
                <c:pt idx="1">
                  <c:v>0</c:v>
                </c:pt>
                <c:pt idx="2">
                  <c:v>0</c:v>
                </c:pt>
                <c:pt idx="3">
                  <c:v>0</c:v>
                </c:pt>
                <c:pt idx="4">
                  <c:v>0</c:v>
                </c:pt>
              </c:numCache>
            </c:numRef>
          </c:val>
          <c:extLst>
            <c:ext xmlns:c="http://schemas.openxmlformats.org/drawingml/2006/chart" xmlns:c16="http://schemas.microsoft.com/office/drawing/2014/chart" uri="{C3380CC4-5D6E-409C-BE32-E72D297353CC}">
              <c16:uniqueId val="{00000004-E662-4466-B71C-A554A5A80E32}"/>
            </c:ext>
          </c:extLst>
        </c:ser>
        <c:ser>
          <c:idx val="5"/>
          <c:order val="5"/>
          <c:tx>
            <c:strRef>
              <c:f>'1.3'!$H$30</c:f>
              <c:strCache>
                <c:ptCount val="1"/>
                <c:pt idx="0">
                  <c:v> Ostalo</c:v>
                </c:pt>
              </c:strCache>
            </c:strRef>
          </c:tx>
          <c:spPr>
            <a:solidFill>
              <a:srgbClr val="DB843D"/>
            </a:solidFill>
            <a:ln w="25400">
              <a:noFill/>
            </a:ln>
          </c:spPr>
          <c:invertIfNegative val="0"/>
          <c:cat>
            <c:numRef>
              <c:f>'1.3'!$B$31:$B$35</c:f>
              <c:numCache>
                <c:formatCode>0</c:formatCode>
                <c:ptCount val="5"/>
                <c:pt idx="0">
                  <c:v>2013</c:v>
                </c:pt>
                <c:pt idx="1">
                  <c:v>2014</c:v>
                </c:pt>
                <c:pt idx="2">
                  <c:v>2015</c:v>
                </c:pt>
                <c:pt idx="3">
                  <c:v>2016</c:v>
                </c:pt>
                <c:pt idx="4">
                  <c:v>2017</c:v>
                </c:pt>
              </c:numCache>
            </c:numRef>
          </c:cat>
          <c:val>
            <c:numRef>
              <c:f>'1.3'!$H$31:$H$35</c:f>
              <c:numCache>
                <c:formatCode>0</c:formatCode>
                <c:ptCount val="5"/>
                <c:pt idx="0">
                  <c:v>0</c:v>
                </c:pt>
                <c:pt idx="1">
                  <c:v>0</c:v>
                </c:pt>
                <c:pt idx="2">
                  <c:v>0</c:v>
                </c:pt>
                <c:pt idx="3">
                  <c:v>0</c:v>
                </c:pt>
                <c:pt idx="4">
                  <c:v>0</c:v>
                </c:pt>
              </c:numCache>
            </c:numRef>
          </c:val>
          <c:extLst>
            <c:ext xmlns:c="http://schemas.openxmlformats.org/drawingml/2006/chart" xmlns:c16="http://schemas.microsoft.com/office/drawing/2014/chart" uri="{C3380CC4-5D6E-409C-BE32-E72D297353CC}">
              <c16:uniqueId val="{00000005-E662-4466-B71C-A554A5A80E32}"/>
            </c:ext>
          </c:extLst>
        </c:ser>
        <c:ser>
          <c:idx val="6"/>
          <c:order val="6"/>
          <c:tx>
            <c:strRef>
              <c:f>'1.3'!$I$30</c:f>
              <c:strCache>
                <c:ptCount val="1"/>
                <c:pt idx="0">
                  <c:v>Skupaj</c:v>
                </c:pt>
              </c:strCache>
            </c:strRef>
          </c:tx>
          <c:spPr>
            <a:no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'1.3'!$B$31:$B$35</c:f>
              <c:numCache>
                <c:formatCode>0</c:formatCode>
                <c:ptCount val="5"/>
                <c:pt idx="0">
                  <c:v>2013</c:v>
                </c:pt>
                <c:pt idx="1">
                  <c:v>2014</c:v>
                </c:pt>
                <c:pt idx="2">
                  <c:v>2015</c:v>
                </c:pt>
                <c:pt idx="3">
                  <c:v>2016</c:v>
                </c:pt>
                <c:pt idx="4">
                  <c:v>2017</c:v>
                </c:pt>
              </c:numCache>
            </c:numRef>
          </c:cat>
          <c:val>
            <c:numRef>
              <c:f>'1.3'!$I$31:$I$35</c:f>
              <c:numCache>
                <c:formatCode>0</c:formatCode>
                <c:ptCount val="5"/>
                <c:pt idx="0">
                  <c:v>10</c:v>
                </c:pt>
                <c:pt idx="1">
                  <c:v>8</c:v>
                </c:pt>
                <c:pt idx="2">
                  <c:v>13</c:v>
                </c:pt>
                <c:pt idx="3">
                  <c:v>4</c:v>
                </c:pt>
                <c:pt idx="4">
                  <c:v>3</c:v>
                </c:pt>
              </c:numCache>
            </c:numRef>
          </c:val>
          <c:extLst>
            <c:ext xmlns:c="http://schemas.openxmlformats.org/drawingml/2006/chart" xmlns:c16="http://schemas.microsoft.com/office/drawing/2014/chart" uri="{C3380CC4-5D6E-409C-BE32-E72D297353CC}">
              <c16:uniqueId val="{00000006-E662-4466-B71C-A554A5A80E32}"/>
            </c:ext>
          </c:extLst>
        </c:ser>
        <c:dLbls>
          <c:showLegendKey val="0"/>
          <c:showVal val="0"/>
          <c:showCatName val="0"/>
          <c:showSerName val="0"/>
          <c:showPercent val="0"/>
          <c:showBubbleSize val="0"/>
        </c:dLbls>
        <c:gapWidth val="76"/>
        <c:overlap val="100"/>
        <c:axId val="531032456"/>
        <c:axId val="531032848"/>
      </c:barChart>
      <c:catAx>
        <c:axId val="531032456"/>
        <c:scaling>
          <c:orientation val="minMax"/>
        </c:scaling>
        <c:delete val="0"/>
        <c:axPos val="b"/>
        <c:numFmt formatCode="0" sourceLinked="1"/>
        <c:majorTickMark val="none"/>
        <c:minorTickMark val="none"/>
        <c:tickLblPos val="nextTo"/>
        <c:spPr>
          <a:ln w="3175">
            <a:solidFill>
              <a:srgbClr val="808080"/>
            </a:solidFill>
          </a:ln>
        </c:spPr>
        <c:txPr>
          <a:bodyPr rot="0" vert="horz"/>
          <a:lstStyle/>
          <a:p>
            <a:pPr>
              <a:defRPr sz="1100" b="0" i="0" u="none" strike="noStrike" baseline="0">
                <a:solidFill>
                  <a:srgbClr val="000000"/>
                </a:solidFill>
                <a:latin typeface="Calibri"/>
                <a:ea typeface="Calibri"/>
                <a:cs typeface="Calibri"/>
              </a:defRPr>
            </a:pPr>
            <a:endParaRPr lang="en-US"/>
          </a:p>
        </c:txPr>
        <c:crossAx val="531032848"/>
        <c:crosses val="autoZero"/>
        <c:auto val="1"/>
        <c:lblAlgn val="ctr"/>
        <c:lblOffset val="100"/>
        <c:tickLblSkip val="1"/>
        <c:tickMarkSkip val="1"/>
        <c:noMultiLvlLbl val="0"/>
      </c:catAx>
      <c:valAx>
        <c:axId val="531032848"/>
        <c:scaling>
          <c:orientation val="minMax"/>
          <c:max val="16"/>
          <c:min val="0"/>
        </c:scaling>
        <c:delete val="0"/>
        <c:axPos val="l"/>
        <c:majorGridlines>
          <c:spPr>
            <a:ln w="3175">
              <a:solidFill>
                <a:srgbClr val="808080"/>
              </a:solidFill>
            </a:ln>
          </c:spPr>
        </c:majorGridlines>
        <c:numFmt formatCode="0" sourceLinked="1"/>
        <c:majorTickMark val="none"/>
        <c:minorTickMark val="none"/>
        <c:tickLblPos val="nextTo"/>
        <c:spPr>
          <a:ln w="6350">
            <a:noFill/>
          </a:ln>
        </c:spPr>
        <c:txPr>
          <a:bodyPr rot="0" vert="horz"/>
          <a:lstStyle/>
          <a:p>
            <a:pPr>
              <a:defRPr sz="1100" b="0" i="0" u="none" strike="noStrike" baseline="0">
                <a:solidFill>
                  <a:srgbClr val="000000"/>
                </a:solidFill>
                <a:latin typeface="Calibri"/>
                <a:ea typeface="Calibri"/>
                <a:cs typeface="Calibri"/>
              </a:defRPr>
            </a:pPr>
            <a:endParaRPr lang="en-US"/>
          </a:p>
        </c:txPr>
        <c:crossAx val="531032456"/>
        <c:crosses val="autoZero"/>
        <c:crossBetween val="between"/>
      </c:valAx>
      <c:spPr>
        <a:solidFill>
          <a:srgbClr val="FFFFFF"/>
        </a:solidFill>
        <a:ln w="25400">
          <a:noFill/>
        </a:ln>
      </c:spPr>
    </c:plotArea>
    <c:legend>
      <c:legendPos val="b"/>
      <c:legendEntry>
        <c:idx val="6"/>
        <c:delete val="1"/>
      </c:legendEntry>
      <c:layout>
        <c:manualLayout>
          <c:xMode val="edge"/>
          <c:yMode val="edge"/>
          <c:x val="0.0082644628099173556"/>
          <c:y val="0.79100723520671024"/>
          <c:w val="0.99173553719008267"/>
          <c:h val="0.20105875654432082"/>
        </c:manualLayout>
      </c:layout>
      <c:overlay val="0"/>
      <c:spPr>
        <a:noFill/>
        <a:ln w="25400">
          <a:noFill/>
        </a:ln>
      </c:spPr>
    </c:legend>
    <c:plotVisOnly val="1"/>
    <c:dispBlanksAs val="gap"/>
    <c:showDLblsOverMax val="0"/>
  </c:chart>
  <c:spPr>
    <a:solidFill>
      <a:srgbClr val="FFFFFF"/>
    </a:solidFill>
    <a:ln w="3175">
      <a:solidFill>
        <a:srgbClr val="808080"/>
      </a:solid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064863495368864016"/>
          <c:y val="0.12266112266112272"/>
          <c:w val="0.92632107763389082"/>
          <c:h val="0.72557172557172567"/>
        </c:manualLayout>
      </c:layout>
      <c:barChart>
        <c:barDir val="col"/>
        <c:grouping val="stacked"/>
        <c:varyColors val="0"/>
        <c:ser>
          <c:idx val="0"/>
          <c:order val="0"/>
          <c:tx>
            <c:strRef>
              <c:f>'1.4'!$C$30</c:f>
              <c:strCache>
                <c:ptCount val="1"/>
                <c:pt idx="0">
                  <c:v>Potniki</c:v>
                </c:pt>
              </c:strCache>
            </c:strRef>
          </c:tx>
          <c:spPr>
            <a:solidFill>
              <a:srgbClr val="4572A7"/>
            </a:solidFill>
            <a:ln w="25400">
              <a:noFill/>
            </a:ln>
          </c:spPr>
          <c:invertIfNegative val="0"/>
          <c:cat>
            <c:numRef>
              <c:f>'1.4'!$B$31:$B$35</c:f>
              <c:numCache>
                <c:formatCode>0</c:formatCode>
                <c:ptCount val="5"/>
                <c:pt idx="0">
                  <c:v>2013</c:v>
                </c:pt>
                <c:pt idx="1">
                  <c:v>2014</c:v>
                </c:pt>
                <c:pt idx="2">
                  <c:v>2015</c:v>
                </c:pt>
                <c:pt idx="3">
                  <c:v>2016</c:v>
                </c:pt>
                <c:pt idx="4">
                  <c:v>2017</c:v>
                </c:pt>
              </c:numCache>
            </c:numRef>
          </c:cat>
          <c:val>
            <c:numRef>
              <c:f>'1.4'!$C$31:$C$35</c:f>
              <c:numCache>
                <c:formatCode>0</c:formatCode>
                <c:ptCount val="5"/>
                <c:pt idx="0">
                  <c:v>0</c:v>
                </c:pt>
                <c:pt idx="1">
                  <c:v>1</c:v>
                </c:pt>
                <c:pt idx="2">
                  <c:v>0</c:v>
                </c:pt>
                <c:pt idx="3">
                  <c:v>0</c:v>
                </c:pt>
                <c:pt idx="4">
                  <c:v>0</c:v>
                </c:pt>
              </c:numCache>
            </c:numRef>
          </c:val>
          <c:extLst>
            <c:ext xmlns:c="http://schemas.openxmlformats.org/drawingml/2006/chart" xmlns:c16="http://schemas.microsoft.com/office/drawing/2014/chart" uri="{C3380CC4-5D6E-409C-BE32-E72D297353CC}">
              <c16:uniqueId val="{00000000-D26A-4327-B7E9-FB0F1ADCB761}"/>
            </c:ext>
          </c:extLst>
        </c:ser>
        <c:ser>
          <c:idx val="1"/>
          <c:order val="1"/>
          <c:tx>
            <c:strRef>
              <c:f>'1.4'!$D$30</c:f>
              <c:strCache>
                <c:ptCount val="1"/>
                <c:pt idx="0">
                  <c:v>Zaposleni</c:v>
                </c:pt>
              </c:strCache>
            </c:strRef>
          </c:tx>
          <c:spPr>
            <a:solidFill>
              <a:srgbClr val="AA4643"/>
            </a:solidFill>
            <a:ln w="25400">
              <a:noFill/>
            </a:ln>
          </c:spPr>
          <c:invertIfNegative val="0"/>
          <c:cat>
            <c:numRef>
              <c:f>'1.4'!$B$31:$B$35</c:f>
              <c:numCache>
                <c:formatCode>0</c:formatCode>
                <c:ptCount val="5"/>
                <c:pt idx="0">
                  <c:v>2013</c:v>
                </c:pt>
                <c:pt idx="1">
                  <c:v>2014</c:v>
                </c:pt>
                <c:pt idx="2">
                  <c:v>2015</c:v>
                </c:pt>
                <c:pt idx="3">
                  <c:v>2016</c:v>
                </c:pt>
                <c:pt idx="4">
                  <c:v>2017</c:v>
                </c:pt>
              </c:numCache>
            </c:numRef>
          </c:cat>
          <c:val>
            <c:numRef>
              <c:f>'1.4'!$D$31:$D$35</c:f>
              <c:numCache>
                <c:formatCode>0</c:formatCode>
                <c:ptCount val="5"/>
                <c:pt idx="0">
                  <c:v>1</c:v>
                </c:pt>
                <c:pt idx="1">
                  <c:v>0</c:v>
                </c:pt>
                <c:pt idx="2">
                  <c:v>0</c:v>
                </c:pt>
                <c:pt idx="3">
                  <c:v>0</c:v>
                </c:pt>
                <c:pt idx="4">
                  <c:v>1</c:v>
                </c:pt>
              </c:numCache>
            </c:numRef>
          </c:val>
          <c:extLst>
            <c:ext xmlns:c="http://schemas.openxmlformats.org/drawingml/2006/chart" xmlns:c16="http://schemas.microsoft.com/office/drawing/2014/chart" uri="{C3380CC4-5D6E-409C-BE32-E72D297353CC}">
              <c16:uniqueId val="{00000001-D26A-4327-B7E9-FB0F1ADCB761}"/>
            </c:ext>
          </c:extLst>
        </c:ser>
        <c:ser>
          <c:idx val="2"/>
          <c:order val="2"/>
          <c:tx>
            <c:strRef>
              <c:f>'1.4'!$E$30</c:f>
              <c:strCache>
                <c:ptCount val="1"/>
                <c:pt idx="0">
                  <c:v>Uporabniki nivojskih prehodov</c:v>
                </c:pt>
              </c:strCache>
            </c:strRef>
          </c:tx>
          <c:spPr>
            <a:solidFill>
              <a:srgbClr val="89A54E"/>
            </a:solidFill>
            <a:ln w="25400">
              <a:noFill/>
            </a:ln>
          </c:spPr>
          <c:invertIfNegative val="0"/>
          <c:cat>
            <c:numRef>
              <c:f>'1.4'!$B$31:$B$35</c:f>
              <c:numCache>
                <c:formatCode>0</c:formatCode>
                <c:ptCount val="5"/>
                <c:pt idx="0">
                  <c:v>2013</c:v>
                </c:pt>
                <c:pt idx="1">
                  <c:v>2014</c:v>
                </c:pt>
                <c:pt idx="2">
                  <c:v>2015</c:v>
                </c:pt>
                <c:pt idx="3">
                  <c:v>2016</c:v>
                </c:pt>
                <c:pt idx="4">
                  <c:v>2017</c:v>
                </c:pt>
              </c:numCache>
            </c:numRef>
          </c:cat>
          <c:val>
            <c:numRef>
              <c:f>'1.4'!$E$31:$E$35</c:f>
              <c:numCache>
                <c:formatCode>0</c:formatCode>
                <c:ptCount val="5"/>
                <c:pt idx="0">
                  <c:v>9</c:v>
                </c:pt>
                <c:pt idx="1">
                  <c:v>7</c:v>
                </c:pt>
                <c:pt idx="2">
                  <c:v>12</c:v>
                </c:pt>
                <c:pt idx="3">
                  <c:v>4</c:v>
                </c:pt>
                <c:pt idx="4">
                  <c:v>2</c:v>
                </c:pt>
              </c:numCache>
            </c:numRef>
          </c:val>
          <c:extLst>
            <c:ext xmlns:c="http://schemas.openxmlformats.org/drawingml/2006/chart" xmlns:c16="http://schemas.microsoft.com/office/drawing/2014/chart" uri="{C3380CC4-5D6E-409C-BE32-E72D297353CC}">
              <c16:uniqueId val="{00000002-D26A-4327-B7E9-FB0F1ADCB761}"/>
            </c:ext>
          </c:extLst>
        </c:ser>
        <c:ser>
          <c:idx val="3"/>
          <c:order val="3"/>
          <c:tx>
            <c:strRef>
              <c:f>'1.4'!$F$30</c:f>
              <c:strCache>
                <c:ptCount val="1"/>
                <c:pt idx="0">
                  <c:v>Nepooblaščene osebe</c:v>
                </c:pt>
              </c:strCache>
            </c:strRef>
          </c:tx>
          <c:spPr>
            <a:solidFill>
              <a:srgbClr val="71588F"/>
            </a:solidFill>
            <a:ln w="25400">
              <a:noFill/>
            </a:ln>
          </c:spPr>
          <c:invertIfNegative val="0"/>
          <c:cat>
            <c:numRef>
              <c:f>'1.4'!$B$31:$B$35</c:f>
              <c:numCache>
                <c:formatCode>0</c:formatCode>
                <c:ptCount val="5"/>
                <c:pt idx="0">
                  <c:v>2013</c:v>
                </c:pt>
                <c:pt idx="1">
                  <c:v>2014</c:v>
                </c:pt>
                <c:pt idx="2">
                  <c:v>2015</c:v>
                </c:pt>
                <c:pt idx="3">
                  <c:v>2016</c:v>
                </c:pt>
                <c:pt idx="4">
                  <c:v>2017</c:v>
                </c:pt>
              </c:numCache>
            </c:numRef>
          </c:cat>
          <c:val>
            <c:numRef>
              <c:f>'1.4'!$F$31:$F$35</c:f>
              <c:numCache>
                <c:formatCode>0</c:formatCode>
                <c:ptCount val="5"/>
                <c:pt idx="0">
                  <c:v>0</c:v>
                </c:pt>
                <c:pt idx="1">
                  <c:v>0</c:v>
                </c:pt>
                <c:pt idx="2">
                  <c:v>1</c:v>
                </c:pt>
                <c:pt idx="3">
                  <c:v>0</c:v>
                </c:pt>
                <c:pt idx="4">
                  <c:v>0</c:v>
                </c:pt>
              </c:numCache>
            </c:numRef>
          </c:val>
          <c:extLst>
            <c:ext xmlns:c="http://schemas.openxmlformats.org/drawingml/2006/chart" xmlns:c16="http://schemas.microsoft.com/office/drawing/2014/chart" uri="{C3380CC4-5D6E-409C-BE32-E72D297353CC}">
              <c16:uniqueId val="{00000003-D26A-4327-B7E9-FB0F1ADCB761}"/>
            </c:ext>
          </c:extLst>
        </c:ser>
        <c:ser>
          <c:idx val="5"/>
          <c:order val="4"/>
          <c:tx>
            <c:strRef>
              <c:f>'1.4'!$G$30</c:f>
              <c:strCache>
                <c:ptCount val="1"/>
                <c:pt idx="0">
                  <c:v>Ostali</c:v>
                </c:pt>
              </c:strCache>
            </c:strRef>
          </c:tx>
          <c:spPr>
            <a:solidFill>
              <a:srgbClr val="DB843D"/>
            </a:solidFill>
            <a:ln w="25400">
              <a:noFill/>
            </a:ln>
          </c:spPr>
          <c:invertIfNegative val="0"/>
          <c:cat>
            <c:numRef>
              <c:f>'1.4'!$B$31:$B$35</c:f>
              <c:numCache>
                <c:formatCode>0</c:formatCode>
                <c:ptCount val="5"/>
                <c:pt idx="0">
                  <c:v>2013</c:v>
                </c:pt>
                <c:pt idx="1">
                  <c:v>2014</c:v>
                </c:pt>
                <c:pt idx="2">
                  <c:v>2015</c:v>
                </c:pt>
                <c:pt idx="3">
                  <c:v>2016</c:v>
                </c:pt>
                <c:pt idx="4">
                  <c:v>2017</c:v>
                </c:pt>
              </c:numCache>
            </c:numRef>
          </c:cat>
          <c:val>
            <c:numRef>
              <c:f>'1.4'!$G$31:$G$35</c:f>
              <c:numCache>
                <c:formatCode>0</c:formatCode>
                <c:ptCount val="5"/>
                <c:pt idx="0">
                  <c:v>0</c:v>
                </c:pt>
                <c:pt idx="1">
                  <c:v>0</c:v>
                </c:pt>
                <c:pt idx="2">
                  <c:v>0</c:v>
                </c:pt>
                <c:pt idx="3">
                  <c:v>0</c:v>
                </c:pt>
                <c:pt idx="4">
                  <c:v>0</c:v>
                </c:pt>
              </c:numCache>
            </c:numRef>
          </c:val>
          <c:extLst>
            <c:ext xmlns:c="http://schemas.openxmlformats.org/drawingml/2006/chart" xmlns:c16="http://schemas.microsoft.com/office/drawing/2014/chart" uri="{C3380CC4-5D6E-409C-BE32-E72D297353CC}">
              <c16:uniqueId val="{00000004-D26A-4327-B7E9-FB0F1ADCB761}"/>
            </c:ext>
          </c:extLst>
        </c:ser>
        <c:ser>
          <c:idx val="4"/>
          <c:order val="5"/>
          <c:tx>
            <c:strRef>
              <c:f>'1.4'!$H$30</c:f>
              <c:strCache>
                <c:ptCount val="1"/>
                <c:pt idx="0">
                  <c:v>Skupaj</c:v>
                </c:pt>
              </c:strCache>
            </c:strRef>
          </c:tx>
          <c:spPr>
            <a:noFill/>
            <a:ln w="25400">
              <a:noFill/>
            </a:ln>
          </c:spPr>
          <c:invertIfNegative val="0"/>
          <c:dLbls>
            <c:spPr>
              <a:noFill/>
              <a:ln w="25400">
                <a:noFill/>
              </a:ln>
            </c:sp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'1.4'!$B$31:$B$35</c:f>
              <c:numCache>
                <c:formatCode>0</c:formatCode>
                <c:ptCount val="5"/>
                <c:pt idx="0">
                  <c:v>2013</c:v>
                </c:pt>
                <c:pt idx="1">
                  <c:v>2014</c:v>
                </c:pt>
                <c:pt idx="2">
                  <c:v>2015</c:v>
                </c:pt>
                <c:pt idx="3">
                  <c:v>2016</c:v>
                </c:pt>
                <c:pt idx="4">
                  <c:v>2017</c:v>
                </c:pt>
              </c:numCache>
            </c:numRef>
          </c:cat>
          <c:val>
            <c:numRef>
              <c:f>'1.4'!$H$31:$H$35</c:f>
              <c:numCache>
                <c:formatCode>0</c:formatCode>
                <c:ptCount val="5"/>
                <c:pt idx="0">
                  <c:v>10</c:v>
                </c:pt>
                <c:pt idx="1">
                  <c:v>8</c:v>
                </c:pt>
                <c:pt idx="2">
                  <c:v>13</c:v>
                </c:pt>
                <c:pt idx="3">
                  <c:v>4</c:v>
                </c:pt>
                <c:pt idx="4">
                  <c:v>3</c:v>
                </c:pt>
              </c:numCache>
            </c:numRef>
          </c:val>
          <c:extLst>
            <c:ext xmlns:c="http://schemas.openxmlformats.org/drawingml/2006/chart" xmlns:c16="http://schemas.microsoft.com/office/drawing/2014/chart" uri="{C3380CC4-5D6E-409C-BE32-E72D297353CC}">
              <c16:uniqueId val="{00000005-D26A-4327-B7E9-FB0F1ADCB761}"/>
            </c:ext>
          </c:extLst>
        </c:ser>
        <c:dLbls>
          <c:showLegendKey val="0"/>
          <c:showVal val="0"/>
          <c:showCatName val="0"/>
          <c:showSerName val="0"/>
          <c:showPercent val="0"/>
          <c:showBubbleSize val="0"/>
        </c:dLbls>
        <c:gapWidth val="75"/>
        <c:overlap val="100"/>
        <c:axId val="531029712"/>
        <c:axId val="531030104"/>
      </c:barChart>
      <c:catAx>
        <c:axId val="531029712"/>
        <c:scaling>
          <c:orientation val="minMax"/>
        </c:scaling>
        <c:delete val="0"/>
        <c:axPos val="b"/>
        <c:numFmt formatCode="0" sourceLinked="1"/>
        <c:majorTickMark val="none"/>
        <c:minorTickMark val="none"/>
        <c:tickLblPos val="nextTo"/>
        <c:spPr>
          <a:ln w="3175">
            <a:solidFill>
              <a:srgbClr val="808080"/>
            </a:solidFill>
          </a:ln>
        </c:spPr>
        <c:txPr>
          <a:bodyPr rot="0" vert="horz"/>
          <a:lstStyle/>
          <a:p>
            <a:pPr>
              <a:defRPr/>
            </a:pPr>
            <a:endParaRPr lang="en-US"/>
          </a:p>
        </c:txPr>
        <c:crossAx val="531030104"/>
        <c:crosses val="autoZero"/>
        <c:auto val="1"/>
        <c:lblAlgn val="ctr"/>
        <c:lblOffset val="100"/>
        <c:tickLblSkip val="1"/>
        <c:tickMarkSkip val="1"/>
        <c:noMultiLvlLbl val="0"/>
      </c:catAx>
      <c:valAx>
        <c:axId val="531030104"/>
        <c:scaling>
          <c:orientation val="minMax"/>
          <c:max val="16"/>
          <c:min val="0"/>
        </c:scaling>
        <c:delete val="0"/>
        <c:axPos val="l"/>
        <c:majorGridlines>
          <c:spPr>
            <a:ln w="3175">
              <a:solidFill>
                <a:srgbClr val="808080"/>
              </a:solidFill>
            </a:ln>
          </c:spPr>
        </c:majorGridlines>
        <c:numFmt formatCode="0" sourceLinked="1"/>
        <c:majorTickMark val="none"/>
        <c:minorTickMark val="none"/>
        <c:tickLblPos val="nextTo"/>
        <c:spPr>
          <a:ln w="6350">
            <a:noFill/>
          </a:ln>
        </c:spPr>
        <c:txPr>
          <a:bodyPr rot="0" vert="horz"/>
          <a:lstStyle/>
          <a:p>
            <a:pPr>
              <a:defRPr/>
            </a:pPr>
            <a:endParaRPr lang="en-US"/>
          </a:p>
        </c:txPr>
        <c:crossAx val="531029712"/>
        <c:crosses val="autoZero"/>
        <c:crossBetween val="between"/>
      </c:valAx>
      <c:spPr>
        <a:solidFill>
          <a:srgbClr val="FFFFFF"/>
        </a:solidFill>
        <a:ln w="25400">
          <a:noFill/>
        </a:ln>
      </c:spPr>
    </c:plotArea>
    <c:legend>
      <c:legendPos val="b"/>
      <c:legendEntry>
        <c:idx val="5"/>
        <c:delete val="1"/>
      </c:legendEntry>
      <c:layout>
        <c:manualLayout>
          <c:xMode val="edge"/>
          <c:yMode val="edge"/>
          <c:x val="0.087603305785123972"/>
          <c:y val="0.91799191767695709"/>
          <c:w val="0.83801652892561984"/>
          <c:h val="0.063492341235123373"/>
        </c:manualLayout>
      </c:layout>
      <c:overlay val="0"/>
      <c:spPr>
        <a:noFill/>
        <a:ln w="25400">
          <a:noFill/>
        </a:ln>
      </c:spPr>
    </c:legend>
    <c:plotVisOnly val="1"/>
    <c:dispBlanksAs val="gap"/>
    <c:showDLblsOverMax val="0"/>
  </c:chart>
  <c:spPr>
    <a:solidFill>
      <a:srgbClr val="FFFFFF"/>
    </a:solidFill>
    <a:ln w="3175">
      <a:solidFill>
        <a:srgbClr val="808080"/>
      </a:solid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Calibri"/>
                <a:ea typeface="Calibri"/>
                <a:cs typeface="Calibri"/>
              </a:defRPr>
            </a:pPr>
            <a:r>
              <a:rPr lang="en-GB" sz="1200" b="1" i="0" kern="1200" baseline="0">
                <a:solidFill>
                  <a:srgbClr val="000000"/>
                </a:solidFill>
                <a:effectLst/>
                <a:latin typeface="Calibri" panose="020F0502020204030204" pitchFamily="34" charset="0"/>
                <a:ea typeface="Calibri" panose="020F0502020204030204" pitchFamily="34" charset="0"/>
              </a:rPr>
              <a:t>Number of railway accidents</a:t>
            </a:r>
          </a:p>
        </c:rich>
      </c:tx>
      <c:layout>
        <c:manualLayout>
          <c:xMode val="edge"/>
          <c:yMode val="edge"/>
          <c:x val="0.34442812703967557"/>
          <c:y val="0.023185281091804243"/>
        </c:manualLayout>
      </c:layout>
      <c:overlay val="0"/>
      <c:spPr>
        <a:noFill/>
        <a:ln w="25400">
          <a:noFill/>
        </a:ln>
      </c:spPr>
    </c:title>
    <c:autoTitleDeleted val="0"/>
    <c:plotArea>
      <c:layout>
        <c:manualLayout>
          <c:layoutTarget val="inner"/>
          <c:xMode val="edge"/>
          <c:yMode val="edge"/>
          <c:x val="0.069271208867486611"/>
          <c:y val="0.1216494845360825"/>
          <c:w val="0.91970950738595691"/>
          <c:h val="0.60618556701030923"/>
        </c:manualLayout>
      </c:layout>
      <c:barChart>
        <c:barDir val="col"/>
        <c:grouping val="stacked"/>
        <c:varyColors val="0"/>
        <c:ser>
          <c:idx val="0"/>
          <c:order val="0"/>
          <c:tx>
            <c:strRef>
              <c:f>'1.5'!$C$30</c:f>
              <c:strCache>
                <c:ptCount val="1"/>
                <c:pt idx="0">
                  <c:v>Trki</c:v>
                </c:pt>
              </c:strCache>
            </c:strRef>
          </c:tx>
          <c:spPr>
            <a:solidFill>
              <a:srgbClr val="4572A7"/>
            </a:solidFill>
            <a:ln w="25400">
              <a:noFill/>
            </a:ln>
          </c:spPr>
          <c:invertIfNegative val="0"/>
          <c:cat>
            <c:numRef>
              <c:f>'1.5'!$B$31:$B$35</c:f>
              <c:numCache>
                <c:formatCode>0</c:formatCode>
                <c:ptCount val="5"/>
                <c:pt idx="0">
                  <c:v>2013</c:v>
                </c:pt>
                <c:pt idx="1">
                  <c:v>2014</c:v>
                </c:pt>
                <c:pt idx="2">
                  <c:v>2015</c:v>
                </c:pt>
                <c:pt idx="3">
                  <c:v>2016</c:v>
                </c:pt>
                <c:pt idx="4">
                  <c:v>2017</c:v>
                </c:pt>
              </c:numCache>
            </c:numRef>
          </c:cat>
          <c:val>
            <c:numRef>
              <c:f>'1.5'!$C$31:$C$35</c:f>
              <c:numCache>
                <c:formatCode>0</c:formatCode>
                <c:ptCount val="5"/>
                <c:pt idx="0">
                  <c:v>0</c:v>
                </c:pt>
                <c:pt idx="1">
                  <c:v>4</c:v>
                </c:pt>
                <c:pt idx="2">
                  <c:v>1</c:v>
                </c:pt>
                <c:pt idx="3">
                  <c:v>1</c:v>
                </c:pt>
                <c:pt idx="4">
                  <c:v>1</c:v>
                </c:pt>
              </c:numCache>
            </c:numRef>
          </c:val>
          <c:extLst>
            <c:ext xmlns:c="http://schemas.openxmlformats.org/drawingml/2006/chart" xmlns:c16="http://schemas.microsoft.com/office/drawing/2014/chart" uri="{C3380CC4-5D6E-409C-BE32-E72D297353CC}">
              <c16:uniqueId val="{00000000-3456-465E-A49C-4AE9B03F44DD}"/>
            </c:ext>
          </c:extLst>
        </c:ser>
        <c:ser>
          <c:idx val="1"/>
          <c:order val="1"/>
          <c:tx>
            <c:strRef>
              <c:f>'1.5'!$D$30</c:f>
              <c:strCache>
                <c:ptCount val="1"/>
                <c:pt idx="0">
                  <c:v>Iztirjenja</c:v>
                </c:pt>
              </c:strCache>
            </c:strRef>
          </c:tx>
          <c:spPr>
            <a:solidFill>
              <a:srgbClr val="AA4643"/>
            </a:solidFill>
            <a:ln w="25400">
              <a:noFill/>
            </a:ln>
          </c:spPr>
          <c:invertIfNegative val="0"/>
          <c:cat>
            <c:numRef>
              <c:f>'1.5'!$B$31:$B$35</c:f>
              <c:numCache>
                <c:formatCode>0</c:formatCode>
                <c:ptCount val="5"/>
                <c:pt idx="0">
                  <c:v>2013</c:v>
                </c:pt>
                <c:pt idx="1">
                  <c:v>2014</c:v>
                </c:pt>
                <c:pt idx="2">
                  <c:v>2015</c:v>
                </c:pt>
                <c:pt idx="3">
                  <c:v>2016</c:v>
                </c:pt>
                <c:pt idx="4">
                  <c:v>2017</c:v>
                </c:pt>
              </c:numCache>
            </c:numRef>
          </c:cat>
          <c:val>
            <c:numRef>
              <c:f>'1.5'!$D$31:$D$35</c:f>
              <c:numCache>
                <c:formatCode>0</c:formatCode>
                <c:ptCount val="5"/>
                <c:pt idx="0">
                  <c:v>1</c:v>
                </c:pt>
                <c:pt idx="1">
                  <c:v>1</c:v>
                </c:pt>
                <c:pt idx="2">
                  <c:v>0</c:v>
                </c:pt>
                <c:pt idx="3">
                  <c:v>1</c:v>
                </c:pt>
                <c:pt idx="4">
                  <c:v>3</c:v>
                </c:pt>
              </c:numCache>
            </c:numRef>
          </c:val>
          <c:extLst>
            <c:ext xmlns:c="http://schemas.openxmlformats.org/drawingml/2006/chart" xmlns:c16="http://schemas.microsoft.com/office/drawing/2014/chart" uri="{C3380CC4-5D6E-409C-BE32-E72D297353CC}">
              <c16:uniqueId val="{00000001-3456-465E-A49C-4AE9B03F44DD}"/>
            </c:ext>
          </c:extLst>
        </c:ser>
        <c:ser>
          <c:idx val="2"/>
          <c:order val="2"/>
          <c:tx>
            <c:strRef>
              <c:f>'1.5'!$E$30</c:f>
              <c:strCache>
                <c:ptCount val="1"/>
                <c:pt idx="0">
                  <c:v>Nesreče na nivojskih prehodih</c:v>
                </c:pt>
              </c:strCache>
            </c:strRef>
          </c:tx>
          <c:spPr>
            <a:solidFill>
              <a:srgbClr val="89A54E"/>
            </a:solidFill>
            <a:ln w="25400">
              <a:noFill/>
            </a:ln>
          </c:spPr>
          <c:invertIfNegative val="0"/>
          <c:cat>
            <c:numRef>
              <c:f>'1.5'!$B$31:$B$35</c:f>
              <c:numCache>
                <c:formatCode>0</c:formatCode>
                <c:ptCount val="5"/>
                <c:pt idx="0">
                  <c:v>2013</c:v>
                </c:pt>
                <c:pt idx="1">
                  <c:v>2014</c:v>
                </c:pt>
                <c:pt idx="2">
                  <c:v>2015</c:v>
                </c:pt>
                <c:pt idx="3">
                  <c:v>2016</c:v>
                </c:pt>
                <c:pt idx="4">
                  <c:v>2017</c:v>
                </c:pt>
              </c:numCache>
            </c:numRef>
          </c:cat>
          <c:val>
            <c:numRef>
              <c:f>'1.5'!$E$31:$E$35</c:f>
              <c:numCache>
                <c:formatCode>0</c:formatCode>
                <c:ptCount val="5"/>
                <c:pt idx="0">
                  <c:v>11</c:v>
                </c:pt>
                <c:pt idx="1">
                  <c:v>9</c:v>
                </c:pt>
                <c:pt idx="2">
                  <c:v>10</c:v>
                </c:pt>
                <c:pt idx="3">
                  <c:v>8</c:v>
                </c:pt>
                <c:pt idx="4">
                  <c:v>6</c:v>
                </c:pt>
              </c:numCache>
            </c:numRef>
          </c:val>
          <c:extLst>
            <c:ext xmlns:c="http://schemas.openxmlformats.org/drawingml/2006/chart" xmlns:c16="http://schemas.microsoft.com/office/drawing/2014/chart" uri="{C3380CC4-5D6E-409C-BE32-E72D297353CC}">
              <c16:uniqueId val="{00000002-3456-465E-A49C-4AE9B03F44DD}"/>
            </c:ext>
          </c:extLst>
        </c:ser>
        <c:ser>
          <c:idx val="3"/>
          <c:order val="3"/>
          <c:tx>
            <c:strRef>
              <c:f>'1.5'!$F$30</c:f>
              <c:strCache>
                <c:ptCount val="1"/>
                <c:pt idx="0">
                  <c:v>Nesreče, ki so jih povzročila vozila v gibanju</c:v>
                </c:pt>
              </c:strCache>
            </c:strRef>
          </c:tx>
          <c:spPr>
            <a:solidFill>
              <a:srgbClr val="71588F"/>
            </a:solidFill>
            <a:ln w="25400">
              <a:noFill/>
            </a:ln>
          </c:spPr>
          <c:invertIfNegative val="0"/>
          <c:cat>
            <c:numRef>
              <c:f>'1.5'!$B$31:$B$35</c:f>
              <c:numCache>
                <c:formatCode>0</c:formatCode>
                <c:ptCount val="5"/>
                <c:pt idx="0">
                  <c:v>2013</c:v>
                </c:pt>
                <c:pt idx="1">
                  <c:v>2014</c:v>
                </c:pt>
                <c:pt idx="2">
                  <c:v>2015</c:v>
                </c:pt>
                <c:pt idx="3">
                  <c:v>2016</c:v>
                </c:pt>
                <c:pt idx="4">
                  <c:v>2017</c:v>
                </c:pt>
              </c:numCache>
            </c:numRef>
          </c:cat>
          <c:val>
            <c:numRef>
              <c:f>'1.5'!$F$31:$F$35</c:f>
              <c:numCache>
                <c:formatCode>0</c:formatCode>
                <c:ptCount val="5"/>
                <c:pt idx="0">
                  <c:v>0</c:v>
                </c:pt>
                <c:pt idx="1">
                  <c:v>0</c:v>
                </c:pt>
                <c:pt idx="2">
                  <c:v>2</c:v>
                </c:pt>
                <c:pt idx="3">
                  <c:v>0</c:v>
                </c:pt>
                <c:pt idx="4">
                  <c:v>1</c:v>
                </c:pt>
              </c:numCache>
            </c:numRef>
          </c:val>
          <c:extLst>
            <c:ext xmlns:c="http://schemas.openxmlformats.org/drawingml/2006/chart" xmlns:c16="http://schemas.microsoft.com/office/drawing/2014/chart" uri="{C3380CC4-5D6E-409C-BE32-E72D297353CC}">
              <c16:uniqueId val="{00000003-3456-465E-A49C-4AE9B03F44DD}"/>
            </c:ext>
          </c:extLst>
        </c:ser>
        <c:ser>
          <c:idx val="4"/>
          <c:order val="4"/>
          <c:tx>
            <c:strRef>
              <c:f>'1.5'!$G$30</c:f>
              <c:strCache>
                <c:ptCount val="1"/>
                <c:pt idx="0">
                  <c:v>Požari na vozilih</c:v>
                </c:pt>
              </c:strCache>
            </c:strRef>
          </c:tx>
          <c:spPr>
            <a:solidFill>
              <a:srgbClr val="4198AF"/>
            </a:solidFill>
            <a:ln w="25400">
              <a:noFill/>
            </a:ln>
          </c:spPr>
          <c:invertIfNegative val="0"/>
          <c:cat>
            <c:numRef>
              <c:f>'1.5'!$B$31:$B$35</c:f>
              <c:numCache>
                <c:formatCode>0</c:formatCode>
                <c:ptCount val="5"/>
                <c:pt idx="0">
                  <c:v>2013</c:v>
                </c:pt>
                <c:pt idx="1">
                  <c:v>2014</c:v>
                </c:pt>
                <c:pt idx="2">
                  <c:v>2015</c:v>
                </c:pt>
                <c:pt idx="3">
                  <c:v>2016</c:v>
                </c:pt>
                <c:pt idx="4">
                  <c:v>2017</c:v>
                </c:pt>
              </c:numCache>
            </c:numRef>
          </c:cat>
          <c:val>
            <c:numRef>
              <c:f>'1.5'!$G$31:$G$35</c:f>
              <c:numCache>
                <c:formatCode>0</c:formatCode>
                <c:ptCount val="5"/>
                <c:pt idx="0">
                  <c:v>1</c:v>
                </c:pt>
                <c:pt idx="1">
                  <c:v>1</c:v>
                </c:pt>
                <c:pt idx="2">
                  <c:v>0</c:v>
                </c:pt>
                <c:pt idx="3">
                  <c:v>0</c:v>
                </c:pt>
                <c:pt idx="4">
                  <c:v>0</c:v>
                </c:pt>
              </c:numCache>
            </c:numRef>
          </c:val>
          <c:extLst>
            <c:ext xmlns:c="http://schemas.openxmlformats.org/drawingml/2006/chart" xmlns:c16="http://schemas.microsoft.com/office/drawing/2014/chart" uri="{C3380CC4-5D6E-409C-BE32-E72D297353CC}">
              <c16:uniqueId val="{00000004-3456-465E-A49C-4AE9B03F44DD}"/>
            </c:ext>
          </c:extLst>
        </c:ser>
        <c:ser>
          <c:idx val="5"/>
          <c:order val="5"/>
          <c:tx>
            <c:strRef>
              <c:f>'1.5'!$H$30</c:f>
              <c:strCache>
                <c:ptCount val="1"/>
                <c:pt idx="0">
                  <c:v> Ostalo</c:v>
                </c:pt>
              </c:strCache>
            </c:strRef>
          </c:tx>
          <c:spPr>
            <a:solidFill>
              <a:srgbClr val="DB843D"/>
            </a:solidFill>
            <a:ln w="25400">
              <a:noFill/>
            </a:ln>
          </c:spPr>
          <c:invertIfNegative val="0"/>
          <c:cat>
            <c:numRef>
              <c:f>'1.5'!$B$31:$B$35</c:f>
              <c:numCache>
                <c:formatCode>0</c:formatCode>
                <c:ptCount val="5"/>
                <c:pt idx="0">
                  <c:v>2013</c:v>
                </c:pt>
                <c:pt idx="1">
                  <c:v>2014</c:v>
                </c:pt>
                <c:pt idx="2">
                  <c:v>2015</c:v>
                </c:pt>
                <c:pt idx="3">
                  <c:v>2016</c:v>
                </c:pt>
                <c:pt idx="4">
                  <c:v>2017</c:v>
                </c:pt>
              </c:numCache>
            </c:numRef>
          </c:cat>
          <c:val>
            <c:numRef>
              <c:f>'1.5'!$H$31:$H$35</c:f>
              <c:numCache>
                <c:formatCode>0</c:formatCode>
                <c:ptCount val="5"/>
                <c:pt idx="0">
                  <c:v>0</c:v>
                </c:pt>
                <c:pt idx="1">
                  <c:v>0</c:v>
                </c:pt>
                <c:pt idx="2">
                  <c:v>1</c:v>
                </c:pt>
                <c:pt idx="3">
                  <c:v>1</c:v>
                </c:pt>
                <c:pt idx="4">
                  <c:v>0</c:v>
                </c:pt>
              </c:numCache>
            </c:numRef>
          </c:val>
          <c:extLst>
            <c:ext xmlns:c="http://schemas.openxmlformats.org/drawingml/2006/chart" xmlns:c16="http://schemas.microsoft.com/office/drawing/2014/chart" uri="{C3380CC4-5D6E-409C-BE32-E72D297353CC}">
              <c16:uniqueId val="{00000005-3456-465E-A49C-4AE9B03F44DD}"/>
            </c:ext>
          </c:extLst>
        </c:ser>
        <c:ser>
          <c:idx val="6"/>
          <c:order val="6"/>
          <c:tx>
            <c:strRef>
              <c:f>'1.5'!$I$30</c:f>
              <c:strCache>
                <c:ptCount val="1"/>
                <c:pt idx="0">
                  <c:v>Skupaj</c:v>
                </c:pt>
              </c:strCache>
            </c:strRef>
          </c:tx>
          <c:spPr>
            <a:no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'1.5'!$B$31:$B$35</c:f>
              <c:numCache>
                <c:formatCode>0</c:formatCode>
                <c:ptCount val="5"/>
                <c:pt idx="0">
                  <c:v>2013</c:v>
                </c:pt>
                <c:pt idx="1">
                  <c:v>2014</c:v>
                </c:pt>
                <c:pt idx="2">
                  <c:v>2015</c:v>
                </c:pt>
                <c:pt idx="3">
                  <c:v>2016</c:v>
                </c:pt>
                <c:pt idx="4">
                  <c:v>2017</c:v>
                </c:pt>
              </c:numCache>
            </c:numRef>
          </c:cat>
          <c:val>
            <c:numRef>
              <c:f>'1.5'!$I$31:$I$35</c:f>
              <c:numCache>
                <c:formatCode>0</c:formatCode>
                <c:ptCount val="5"/>
                <c:pt idx="0">
                  <c:v>13</c:v>
                </c:pt>
                <c:pt idx="1">
                  <c:v>15</c:v>
                </c:pt>
                <c:pt idx="2">
                  <c:v>14</c:v>
                </c:pt>
                <c:pt idx="3">
                  <c:v>11</c:v>
                </c:pt>
                <c:pt idx="4">
                  <c:v>11</c:v>
                </c:pt>
              </c:numCache>
            </c:numRef>
          </c:val>
          <c:extLst>
            <c:ext xmlns:c="http://schemas.openxmlformats.org/drawingml/2006/chart" xmlns:c16="http://schemas.microsoft.com/office/drawing/2014/chart" uri="{C3380CC4-5D6E-409C-BE32-E72D297353CC}">
              <c16:uniqueId val="{00000006-3456-465E-A49C-4AE9B03F44DD}"/>
            </c:ext>
          </c:extLst>
        </c:ser>
        <c:dLbls>
          <c:showLegendKey val="0"/>
          <c:showVal val="0"/>
          <c:showCatName val="0"/>
          <c:showSerName val="0"/>
          <c:showPercent val="0"/>
          <c:showBubbleSize val="0"/>
        </c:dLbls>
        <c:gapWidth val="76"/>
        <c:overlap val="100"/>
        <c:axId val="531031280"/>
        <c:axId val="531032064"/>
      </c:barChart>
      <c:catAx>
        <c:axId val="531031280"/>
        <c:scaling>
          <c:orientation val="minMax"/>
        </c:scaling>
        <c:delete val="0"/>
        <c:axPos val="b"/>
        <c:numFmt formatCode="0" sourceLinked="1"/>
        <c:majorTickMark val="none"/>
        <c:minorTickMark val="none"/>
        <c:tickLblPos val="nextTo"/>
        <c:spPr>
          <a:ln w="3175">
            <a:solidFill>
              <a:srgbClr val="808080"/>
            </a:solidFill>
          </a:ln>
        </c:spPr>
        <c:txPr>
          <a:bodyPr rot="0" vert="horz"/>
          <a:lstStyle/>
          <a:p>
            <a:pPr>
              <a:defRPr sz="1100" b="0" i="0" u="none" strike="noStrike" baseline="0">
                <a:solidFill>
                  <a:srgbClr val="000000"/>
                </a:solidFill>
                <a:latin typeface="Calibri"/>
                <a:ea typeface="Calibri"/>
                <a:cs typeface="Calibri"/>
              </a:defRPr>
            </a:pPr>
            <a:endParaRPr lang="en-US"/>
          </a:p>
        </c:txPr>
        <c:crossAx val="531032064"/>
        <c:crosses val="autoZero"/>
        <c:auto val="1"/>
        <c:lblAlgn val="ctr"/>
        <c:lblOffset val="100"/>
        <c:tickLblSkip val="1"/>
        <c:tickMarkSkip val="1"/>
        <c:noMultiLvlLbl val="0"/>
      </c:catAx>
      <c:valAx>
        <c:axId val="531032064"/>
        <c:scaling>
          <c:orientation val="minMax"/>
          <c:max val="18"/>
          <c:min val="0"/>
        </c:scaling>
        <c:delete val="0"/>
        <c:axPos val="l"/>
        <c:majorGridlines>
          <c:spPr>
            <a:ln w="3175">
              <a:solidFill>
                <a:srgbClr val="808080"/>
              </a:solidFill>
            </a:ln>
          </c:spPr>
        </c:majorGridlines>
        <c:numFmt formatCode="0" sourceLinked="1"/>
        <c:majorTickMark val="none"/>
        <c:minorTickMark val="none"/>
        <c:tickLblPos val="nextTo"/>
        <c:spPr>
          <a:ln w="6350">
            <a:noFill/>
          </a:ln>
        </c:spPr>
        <c:txPr>
          <a:bodyPr rot="0" vert="horz"/>
          <a:lstStyle/>
          <a:p>
            <a:pPr>
              <a:defRPr sz="1100" b="0" i="0" u="none" strike="noStrike" baseline="0">
                <a:solidFill>
                  <a:srgbClr val="000000"/>
                </a:solidFill>
                <a:latin typeface="Calibri"/>
                <a:ea typeface="Calibri"/>
                <a:cs typeface="Calibri"/>
              </a:defRPr>
            </a:pPr>
            <a:endParaRPr lang="en-US"/>
          </a:p>
        </c:txPr>
        <c:crossAx val="531031280"/>
        <c:crosses val="autoZero"/>
        <c:crossBetween val="between"/>
      </c:valAx>
      <c:spPr>
        <a:solidFill>
          <a:srgbClr val="FFFFFF"/>
        </a:solidFill>
        <a:ln w="25400">
          <a:noFill/>
        </a:ln>
      </c:spPr>
    </c:plotArea>
    <c:legend>
      <c:legendPos val="b"/>
      <c:legendEntry>
        <c:idx val="6"/>
        <c:delete val="1"/>
      </c:legendEntry>
      <c:layout>
        <c:manualLayout>
          <c:xMode val="edge"/>
          <c:yMode val="edge"/>
          <c:x val="0.0082644628099173556"/>
          <c:y val="0.79100723520671024"/>
          <c:w val="0.99173553719008267"/>
          <c:h val="0.20105875654432082"/>
        </c:manualLayout>
      </c:layout>
      <c:overlay val="0"/>
      <c:spPr>
        <a:noFill/>
        <a:ln w="25400">
          <a:noFill/>
        </a:ln>
      </c:spPr>
    </c:legend>
    <c:plotVisOnly val="1"/>
    <c:dispBlanksAs val="gap"/>
    <c:showDLblsOverMax val="0"/>
  </c:chart>
  <c:spPr>
    <a:solidFill>
      <a:srgbClr val="FFFFFF"/>
    </a:solidFill>
    <a:ln w="3175">
      <a:solidFill>
        <a:srgbClr val="808080"/>
      </a:solid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Calibri"/>
                <a:ea typeface="Calibri"/>
                <a:cs typeface="Calibri"/>
              </a:defRPr>
            </a:pPr>
            <a:r>
              <a:rPr lang="en-GB" sz="1200" b="1" i="0" kern="1200" baseline="0">
                <a:solidFill>
                  <a:srgbClr val="000000"/>
                </a:solidFill>
                <a:effectLst/>
                <a:latin typeface="Calibri" panose="020F0502020204030204" pitchFamily="34" charset="0"/>
                <a:ea typeface="Calibri" panose="020F0502020204030204" pitchFamily="34" charset="0"/>
              </a:rPr>
              <a:t>Number of train-kilometres (in millions)</a:t>
            </a:r>
          </a:p>
        </c:rich>
      </c:tx>
      <c:layout>
        <c:manualLayout>
          <c:xMode val="edge"/>
          <c:yMode val="edge"/>
          <c:x val="0.28970547276631742"/>
          <c:y val="0.030605896485161578"/>
        </c:manualLayout>
      </c:layout>
      <c:overlay val="0"/>
      <c:spPr>
        <a:noFill/>
        <a:ln w="25400">
          <a:noFill/>
        </a:ln>
      </c:spPr>
    </c:title>
    <c:autoTitleDeleted val="0"/>
    <c:plotArea>
      <c:layout>
        <c:manualLayout>
          <c:layoutTarget val="inner"/>
          <c:xMode val="edge"/>
          <c:yMode val="edge"/>
          <c:x val="0.0714750656167979"/>
          <c:y val="0.1216494845360825"/>
          <c:w val="0.91970950738595691"/>
          <c:h val="0.7120057215070339"/>
        </c:manualLayout>
      </c:layout>
      <c:barChart>
        <c:barDir val="col"/>
        <c:grouping val="stacked"/>
        <c:varyColors val="0"/>
        <c:ser>
          <c:idx val="0"/>
          <c:order val="0"/>
          <c:tx>
            <c:strRef>
              <c:f>'2.1'!$E$30</c:f>
              <c:strCache>
                <c:ptCount val="1"/>
                <c:pt idx="0">
                  <c:v>Potniški vlakovni kilometri</c:v>
                </c:pt>
              </c:strCache>
            </c:strRef>
          </c:tx>
          <c:spPr>
            <a:solidFill>
              <a:srgbClr val="4572A7"/>
            </a:solidFill>
            <a:ln w="25400">
              <a:noFill/>
            </a:ln>
          </c:spPr>
          <c:invertIfNegative val="0"/>
          <c:cat>
            <c:numRef>
              <c:f>'2.1'!$D$31:$D$35</c:f>
              <c:numCache>
                <c:formatCode>0</c:formatCode>
                <c:ptCount val="5"/>
                <c:pt idx="0">
                  <c:v>2013</c:v>
                </c:pt>
                <c:pt idx="1">
                  <c:v>2014</c:v>
                </c:pt>
                <c:pt idx="2">
                  <c:v>2015</c:v>
                </c:pt>
                <c:pt idx="3">
                  <c:v>2016</c:v>
                </c:pt>
                <c:pt idx="4">
                  <c:v>2017</c:v>
                </c:pt>
              </c:numCache>
            </c:numRef>
          </c:cat>
          <c:val>
            <c:numRef>
              <c:f>'2.1'!$E$31:$E$35</c:f>
              <c:numCache>
                <c:formatCode>0</c:formatCode>
                <c:ptCount val="5"/>
                <c:pt idx="0">
                  <c:v>10.68329</c:v>
                </c:pt>
                <c:pt idx="1">
                  <c:v>10.827</c:v>
                </c:pt>
                <c:pt idx="2">
                  <c:v>11.039</c:v>
                </c:pt>
                <c:pt idx="3">
                  <c:v>11</c:v>
                </c:pt>
                <c:pt idx="4">
                  <c:v>10.283</c:v>
                </c:pt>
              </c:numCache>
            </c:numRef>
          </c:val>
          <c:extLst>
            <c:ext xmlns:c="http://schemas.openxmlformats.org/drawingml/2006/chart" xmlns:c16="http://schemas.microsoft.com/office/drawing/2014/chart" uri="{C3380CC4-5D6E-409C-BE32-E72D297353CC}">
              <c16:uniqueId val="{00000000-D549-4CC5-88C4-E3F06F78A0BB}"/>
            </c:ext>
          </c:extLst>
        </c:ser>
        <c:ser>
          <c:idx val="1"/>
          <c:order val="1"/>
          <c:tx>
            <c:strRef>
              <c:f>'2.1'!$F$30</c:f>
              <c:strCache>
                <c:ptCount val="1"/>
                <c:pt idx="0">
                  <c:v>Tovorni vlakovni kilometri</c:v>
                </c:pt>
              </c:strCache>
            </c:strRef>
          </c:tx>
          <c:spPr>
            <a:solidFill>
              <a:srgbClr val="AA4643"/>
            </a:solidFill>
            <a:ln w="25400">
              <a:noFill/>
            </a:ln>
          </c:spPr>
          <c:invertIfNegative val="0"/>
          <c:cat>
            <c:numRef>
              <c:f>'2.1'!$D$31:$D$35</c:f>
              <c:numCache>
                <c:formatCode>0</c:formatCode>
                <c:ptCount val="5"/>
                <c:pt idx="0">
                  <c:v>2013</c:v>
                </c:pt>
                <c:pt idx="1">
                  <c:v>2014</c:v>
                </c:pt>
                <c:pt idx="2">
                  <c:v>2015</c:v>
                </c:pt>
                <c:pt idx="3">
                  <c:v>2016</c:v>
                </c:pt>
                <c:pt idx="4">
                  <c:v>2017</c:v>
                </c:pt>
              </c:numCache>
            </c:numRef>
          </c:cat>
          <c:val>
            <c:numRef>
              <c:f>'2.1'!$F$31:$F$35</c:f>
              <c:numCache>
                <c:formatCode>0</c:formatCode>
                <c:ptCount val="5"/>
                <c:pt idx="0">
                  <c:v>9.45599</c:v>
                </c:pt>
                <c:pt idx="1">
                  <c:v>9.6951</c:v>
                </c:pt>
                <c:pt idx="2">
                  <c:v>10.50633</c:v>
                </c:pt>
                <c:pt idx="3">
                  <c:v>10.28276</c:v>
                </c:pt>
                <c:pt idx="4">
                  <c:v>11.71898</c:v>
                </c:pt>
              </c:numCache>
            </c:numRef>
          </c:val>
          <c:extLst>
            <c:ext xmlns:c="http://schemas.openxmlformats.org/drawingml/2006/chart" xmlns:c16="http://schemas.microsoft.com/office/drawing/2014/chart" uri="{C3380CC4-5D6E-409C-BE32-E72D297353CC}">
              <c16:uniqueId val="{00000001-D549-4CC5-88C4-E3F06F78A0BB}"/>
            </c:ext>
          </c:extLst>
        </c:ser>
        <c:ser>
          <c:idx val="2"/>
          <c:order val="2"/>
          <c:tx>
            <c:strRef>
              <c:f>'2.1'!$G$30</c:f>
              <c:strCache>
                <c:ptCount val="1"/>
                <c:pt idx="0">
                  <c:v>Skupaj</c:v>
                </c:pt>
              </c:strCache>
            </c:strRef>
          </c:tx>
          <c:spPr>
            <a:no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'2.1'!$D$31:$D$35</c:f>
              <c:numCache>
                <c:formatCode>0</c:formatCode>
                <c:ptCount val="5"/>
                <c:pt idx="0">
                  <c:v>2013</c:v>
                </c:pt>
                <c:pt idx="1">
                  <c:v>2014</c:v>
                </c:pt>
                <c:pt idx="2">
                  <c:v>2015</c:v>
                </c:pt>
                <c:pt idx="3">
                  <c:v>2016</c:v>
                </c:pt>
                <c:pt idx="4">
                  <c:v>2017</c:v>
                </c:pt>
              </c:numCache>
            </c:numRef>
          </c:cat>
          <c:val>
            <c:numRef>
              <c:f>'2.1'!$G$31:$G$35</c:f>
              <c:numCache>
                <c:formatCode>0</c:formatCode>
                <c:ptCount val="5"/>
                <c:pt idx="0">
                  <c:v>20.13928</c:v>
                </c:pt>
                <c:pt idx="1">
                  <c:v>20.522100000000002</c:v>
                </c:pt>
                <c:pt idx="2">
                  <c:v>21.54533</c:v>
                </c:pt>
                <c:pt idx="3">
                  <c:v>21.28276</c:v>
                </c:pt>
                <c:pt idx="4">
                  <c:v>22.00198</c:v>
                </c:pt>
              </c:numCache>
            </c:numRef>
          </c:val>
          <c:extLst>
            <c:ext xmlns:c="http://schemas.openxmlformats.org/drawingml/2006/chart" xmlns:c16="http://schemas.microsoft.com/office/drawing/2014/chart" uri="{C3380CC4-5D6E-409C-BE32-E72D297353CC}">
              <c16:uniqueId val="{00000002-D549-4CC5-88C4-E3F06F78A0BB}"/>
            </c:ext>
          </c:extLst>
        </c:ser>
        <c:dLbls>
          <c:showLegendKey val="0"/>
          <c:showVal val="0"/>
          <c:showCatName val="0"/>
          <c:showSerName val="0"/>
          <c:showPercent val="0"/>
          <c:showBubbleSize val="0"/>
        </c:dLbls>
        <c:gapWidth val="76"/>
        <c:overlap val="100"/>
        <c:axId val="872461752"/>
        <c:axId val="872462536"/>
      </c:barChart>
      <c:catAx>
        <c:axId val="872461752"/>
        <c:scaling>
          <c:orientation val="minMax"/>
        </c:scaling>
        <c:delete val="0"/>
        <c:axPos val="b"/>
        <c:numFmt formatCode="0" sourceLinked="1"/>
        <c:majorTickMark val="none"/>
        <c:minorTickMark val="none"/>
        <c:tickLblPos val="nextTo"/>
        <c:spPr>
          <a:ln w="3175">
            <a:solidFill>
              <a:srgbClr val="808080"/>
            </a:solidFill>
          </a:ln>
        </c:spPr>
        <c:txPr>
          <a:bodyPr rot="0" vert="horz"/>
          <a:lstStyle/>
          <a:p>
            <a:pPr>
              <a:defRPr sz="1100" b="0" i="0" u="none" strike="noStrike" baseline="0">
                <a:solidFill>
                  <a:srgbClr val="000000"/>
                </a:solidFill>
                <a:latin typeface="Calibri"/>
                <a:ea typeface="Calibri"/>
                <a:cs typeface="Calibri"/>
              </a:defRPr>
            </a:pPr>
            <a:endParaRPr lang="en-US"/>
          </a:p>
        </c:txPr>
        <c:crossAx val="872462536"/>
        <c:crosses val="autoZero"/>
        <c:auto val="1"/>
        <c:lblAlgn val="ctr"/>
        <c:lblOffset val="100"/>
        <c:tickLblSkip val="1"/>
        <c:tickMarkSkip val="1"/>
        <c:noMultiLvlLbl val="0"/>
      </c:catAx>
      <c:valAx>
        <c:axId val="872462536"/>
        <c:scaling>
          <c:orientation val="minMax"/>
          <c:max val="26"/>
          <c:min val="0"/>
        </c:scaling>
        <c:delete val="0"/>
        <c:axPos val="l"/>
        <c:majorGridlines>
          <c:spPr>
            <a:ln w="3175">
              <a:solidFill>
                <a:srgbClr val="808080"/>
              </a:solidFill>
            </a:ln>
          </c:spPr>
        </c:majorGridlines>
        <c:numFmt formatCode="0" sourceLinked="1"/>
        <c:majorTickMark val="none"/>
        <c:minorTickMark val="none"/>
        <c:tickLblPos val="nextTo"/>
        <c:spPr>
          <a:ln w="6350">
            <a:noFill/>
          </a:ln>
        </c:spPr>
        <c:txPr>
          <a:bodyPr rot="0" vert="horz"/>
          <a:lstStyle/>
          <a:p>
            <a:pPr>
              <a:defRPr sz="1100" b="0" i="0" u="none" strike="noStrike" baseline="0">
                <a:solidFill>
                  <a:srgbClr val="000000"/>
                </a:solidFill>
                <a:latin typeface="Calibri"/>
                <a:ea typeface="Calibri"/>
                <a:cs typeface="Calibri"/>
              </a:defRPr>
            </a:pPr>
            <a:endParaRPr lang="en-US"/>
          </a:p>
        </c:txPr>
        <c:crossAx val="872461752"/>
        <c:crosses val="autoZero"/>
        <c:crossBetween val="between"/>
      </c:valAx>
      <c:spPr>
        <a:solidFill>
          <a:srgbClr val="FFFFFF"/>
        </a:solidFill>
        <a:ln w="25400">
          <a:noFill/>
        </a:ln>
      </c:spPr>
    </c:plotArea>
    <c:legend>
      <c:legendPos val="b"/>
      <c:legendEntry>
        <c:idx val="2"/>
        <c:delete val="1"/>
      </c:legendEntry>
      <c:layout>
        <c:manualLayout>
          <c:xMode val="edge"/>
          <c:yMode val="edge"/>
          <c:x val="0.021487603305785124"/>
          <c:y val="0.91534641503145442"/>
          <c:w val="0.95206611570247934"/>
          <c:h val="0.063492341235123373"/>
        </c:manualLayout>
      </c:layout>
      <c:overlay val="0"/>
      <c:spPr>
        <a:noFill/>
        <a:ln w="25400">
          <a:noFill/>
        </a:ln>
      </c:spPr>
    </c:legend>
    <c:plotVisOnly val="1"/>
    <c:dispBlanksAs val="gap"/>
    <c:showDLblsOverMax val="0"/>
  </c:chart>
  <c:spPr>
    <a:solidFill>
      <a:srgbClr val="FFFFFF"/>
    </a:solidFill>
    <a:ln w="3175">
      <a:solidFill>
        <a:srgbClr val="808080"/>
      </a:solid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Calibri"/>
                <a:ea typeface="Calibri"/>
                <a:cs typeface="Calibri"/>
              </a:defRPr>
            </a:pPr>
            <a:r>
              <a:rPr lang="en-GB" sz="1200" b="1" i="0" kern="1200" baseline="0">
                <a:solidFill>
                  <a:srgbClr val="000000"/>
                </a:solidFill>
                <a:effectLst/>
                <a:latin typeface="Calibri" panose="020F0502020204030204" pitchFamily="34" charset="0"/>
                <a:ea typeface="Calibri" panose="020F0502020204030204" pitchFamily="34" charset="0"/>
              </a:rPr>
              <a:t>Number of passenger-kilometres (in millions)</a:t>
            </a:r>
          </a:p>
        </c:rich>
      </c:tx>
      <c:layout>
        <c:manualLayout>
          <c:xMode val="edge"/>
          <c:yMode val="edge"/>
          <c:x val="0.27190837508947746"/>
          <c:y val="0.030604785512921995"/>
        </c:manualLayout>
      </c:layout>
      <c:overlay val="0"/>
      <c:spPr>
        <a:noFill/>
        <a:ln w="25400">
          <a:noFill/>
        </a:ln>
      </c:spPr>
    </c:title>
    <c:autoTitleDeleted val="0"/>
    <c:plotArea>
      <c:layout>
        <c:manualLayout>
          <c:layoutTarget val="inner"/>
          <c:xMode val="edge"/>
          <c:yMode val="edge"/>
          <c:x val="0.081557797010910829"/>
          <c:y val="0.12164948453608253"/>
          <c:w val="0.909626775991844"/>
          <c:h val="0.71553305836770409"/>
        </c:manualLayout>
      </c:layout>
      <c:barChart>
        <c:barDir val="col"/>
        <c:grouping val="clustered"/>
        <c:varyColors val="0"/>
        <c:ser>
          <c:idx val="0"/>
          <c:order val="0"/>
          <c:tx>
            <c:strRef>
              <c:f>'2.2'!$E$30</c:f>
              <c:strCache>
                <c:ptCount val="1"/>
                <c:pt idx="0">
                  <c:v>Potniški kilometri</c:v>
                </c:pt>
              </c:strCache>
            </c:strRef>
          </c:tx>
          <c:spPr>
            <a:solidFill>
              <a:srgbClr val="4572A7"/>
            </a:solid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'2.2'!$D$31:$D$35</c:f>
              <c:numCache>
                <c:formatCode>0</c:formatCode>
                <c:ptCount val="5"/>
                <c:pt idx="0">
                  <c:v>2013</c:v>
                </c:pt>
                <c:pt idx="1">
                  <c:v>2014</c:v>
                </c:pt>
                <c:pt idx="2">
                  <c:v>2015</c:v>
                </c:pt>
                <c:pt idx="3">
                  <c:v>2016</c:v>
                </c:pt>
                <c:pt idx="4">
                  <c:v>2017</c:v>
                </c:pt>
              </c:numCache>
            </c:numRef>
          </c:cat>
          <c:val>
            <c:numRef>
              <c:f>'2.2'!$E$31:$E$35</c:f>
              <c:numCache>
                <c:formatCode>0</c:formatCode>
                <c:ptCount val="5"/>
                <c:pt idx="0">
                  <c:v>760.302</c:v>
                </c:pt>
                <c:pt idx="1">
                  <c:v>696.7</c:v>
                </c:pt>
                <c:pt idx="2">
                  <c:v>709.28</c:v>
                </c:pt>
                <c:pt idx="3">
                  <c:v>680.098</c:v>
                </c:pt>
                <c:pt idx="4">
                  <c:v>650.098</c:v>
                </c:pt>
              </c:numCache>
            </c:numRef>
          </c:val>
          <c:extLst>
            <c:ext xmlns:c="http://schemas.openxmlformats.org/drawingml/2006/chart" xmlns:c16="http://schemas.microsoft.com/office/drawing/2014/chart" uri="{C3380CC4-5D6E-409C-BE32-E72D297353CC}">
              <c16:uniqueId val="{00000000-B56A-4D43-9021-96F21471E5AD}"/>
            </c:ext>
          </c:extLst>
        </c:ser>
        <c:dLbls>
          <c:showLegendKey val="0"/>
          <c:showVal val="0"/>
          <c:showCatName val="0"/>
          <c:showSerName val="0"/>
          <c:showPercent val="0"/>
          <c:showBubbleSize val="0"/>
        </c:dLbls>
        <c:gapWidth val="76"/>
        <c:axId val="872463320"/>
        <c:axId val="872463712"/>
      </c:barChart>
      <c:catAx>
        <c:axId val="872463320"/>
        <c:scaling>
          <c:orientation val="minMax"/>
        </c:scaling>
        <c:delete val="0"/>
        <c:axPos val="b"/>
        <c:numFmt formatCode="0" sourceLinked="1"/>
        <c:majorTickMark val="none"/>
        <c:minorTickMark val="none"/>
        <c:tickLblPos val="nextTo"/>
        <c:spPr>
          <a:ln w="3175">
            <a:solidFill>
              <a:srgbClr val="808080"/>
            </a:solidFill>
          </a:ln>
        </c:spPr>
        <c:txPr>
          <a:bodyPr rot="0" vert="horz"/>
          <a:lstStyle/>
          <a:p>
            <a:pPr>
              <a:defRPr sz="1100" b="0" i="0" u="none" strike="noStrike" baseline="0">
                <a:solidFill>
                  <a:srgbClr val="000000"/>
                </a:solidFill>
                <a:latin typeface="Calibri"/>
                <a:ea typeface="Calibri"/>
                <a:cs typeface="Calibri"/>
              </a:defRPr>
            </a:pPr>
            <a:endParaRPr lang="en-US"/>
          </a:p>
        </c:txPr>
        <c:crossAx val="872463712"/>
        <c:crosses val="autoZero"/>
        <c:auto val="1"/>
        <c:lblAlgn val="ctr"/>
        <c:lblOffset val="100"/>
        <c:tickLblSkip val="1"/>
        <c:tickMarkSkip val="1"/>
        <c:noMultiLvlLbl val="0"/>
      </c:catAx>
      <c:valAx>
        <c:axId val="872463712"/>
        <c:scaling>
          <c:orientation val="minMax"/>
          <c:max val="912"/>
          <c:min val="0"/>
        </c:scaling>
        <c:delete val="0"/>
        <c:axPos val="l"/>
        <c:majorGridlines>
          <c:spPr>
            <a:ln w="3175">
              <a:solidFill>
                <a:srgbClr val="808080"/>
              </a:solidFill>
            </a:ln>
          </c:spPr>
        </c:majorGridlines>
        <c:numFmt formatCode="0" sourceLinked="1"/>
        <c:majorTickMark val="none"/>
        <c:minorTickMark val="none"/>
        <c:tickLblPos val="nextTo"/>
        <c:spPr>
          <a:ln w="6350">
            <a:noFill/>
          </a:ln>
        </c:spPr>
        <c:txPr>
          <a:bodyPr rot="0" vert="horz"/>
          <a:lstStyle/>
          <a:p>
            <a:pPr>
              <a:defRPr sz="1100" b="0" i="0" u="none" strike="noStrike" baseline="0">
                <a:solidFill>
                  <a:srgbClr val="000000"/>
                </a:solidFill>
                <a:latin typeface="Calibri"/>
                <a:ea typeface="Calibri"/>
                <a:cs typeface="Calibri"/>
              </a:defRPr>
            </a:pPr>
            <a:endParaRPr lang="en-US"/>
          </a:p>
        </c:txPr>
        <c:crossAx val="872463320"/>
        <c:crosses val="autoZero"/>
        <c:crossBetween val="between"/>
      </c:valAx>
      <c:spPr>
        <a:solidFill>
          <a:srgbClr val="FFFFFF"/>
        </a:solidFill>
        <a:ln w="25400">
          <a:noFill/>
        </a:ln>
      </c:spPr>
    </c:plotArea>
    <c:legend>
      <c:legendPos val="r"/>
      <c:layout>
        <c:manualLayout>
          <c:xMode val="edge"/>
          <c:yMode val="edge"/>
          <c:x val="0.01487603305785124"/>
          <c:y val="0.92857392825896767"/>
          <c:w val="0.97685950413223144"/>
          <c:h val="0.063492341235123373"/>
        </c:manualLayout>
      </c:layout>
      <c:overlay val="0"/>
      <c:spPr>
        <a:noFill/>
        <a:ln w="25400">
          <a:noFill/>
        </a:ln>
      </c:spPr>
    </c:legend>
    <c:plotVisOnly val="1"/>
    <c:dispBlanksAs val="gap"/>
    <c:showDLblsOverMax val="0"/>
  </c:chart>
  <c:spPr>
    <a:solidFill>
      <a:srgbClr val="FFFFFF"/>
    </a:solidFill>
    <a:ln w="3175">
      <a:solidFill>
        <a:srgbClr val="808080"/>
      </a:solid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Calibri"/>
                <a:ea typeface="Calibri"/>
                <a:cs typeface="Calibri"/>
              </a:defRPr>
            </a:pPr>
            <a:r>
              <a:rPr lang="en-GB" sz="1200" b="1" i="0" kern="1200" baseline="0">
                <a:solidFill>
                  <a:srgbClr val="000000"/>
                </a:solidFill>
                <a:effectLst/>
                <a:latin typeface="Calibri" panose="020F0502020204030204" pitchFamily="34" charset="0"/>
                <a:ea typeface="Calibri" panose="020F0502020204030204" pitchFamily="34" charset="0"/>
              </a:rPr>
              <a:t>Number of line-kilometres</a:t>
            </a:r>
          </a:p>
        </c:rich>
      </c:tx>
      <c:layout>
        <c:manualLayout>
          <c:xMode val="edge"/>
          <c:yMode val="edge"/>
          <c:x val="0.33259599574846532"/>
          <c:y val="0.025305170187059953"/>
        </c:manualLayout>
      </c:layout>
      <c:overlay val="0"/>
      <c:spPr>
        <a:noFill/>
        <a:ln w="25400">
          <a:noFill/>
        </a:ln>
      </c:spPr>
    </c:title>
    <c:autoTitleDeleted val="0"/>
    <c:plotArea>
      <c:layout>
        <c:manualLayout>
          <c:layoutTarget val="inner"/>
          <c:xMode val="edge"/>
          <c:yMode val="edge"/>
          <c:x val="0.098252098652957642"/>
          <c:y val="0.12164948453608256"/>
          <c:w val="0.89293247434979717"/>
          <c:h val="0.7084783846463637"/>
        </c:manualLayout>
      </c:layout>
      <c:barChart>
        <c:barDir val="col"/>
        <c:grouping val="clustered"/>
        <c:varyColors val="0"/>
        <c:ser>
          <c:idx val="0"/>
          <c:order val="0"/>
          <c:tx>
            <c:strRef>
              <c:f>'2.3'!$E$30</c:f>
              <c:strCache>
                <c:ptCount val="1"/>
                <c:pt idx="0">
                  <c:v>Progovni kilometri</c:v>
                </c:pt>
              </c:strCache>
            </c:strRef>
          </c:tx>
          <c:spPr>
            <a:solidFill>
              <a:srgbClr val="4572A7"/>
            </a:solid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'2.3'!$D$31:$D$35</c:f>
              <c:numCache>
                <c:formatCode>0</c:formatCode>
                <c:ptCount val="5"/>
                <c:pt idx="0">
                  <c:v>2013</c:v>
                </c:pt>
                <c:pt idx="1">
                  <c:v>2014</c:v>
                </c:pt>
                <c:pt idx="2">
                  <c:v>2015</c:v>
                </c:pt>
                <c:pt idx="3">
                  <c:v>2016</c:v>
                </c:pt>
                <c:pt idx="4">
                  <c:v>2017</c:v>
                </c:pt>
              </c:numCache>
            </c:numRef>
          </c:cat>
          <c:val>
            <c:numRef>
              <c:f>'2.3'!$E$31:$E$35</c:f>
              <c:numCache>
                <c:formatCode>0</c:formatCode>
                <c:ptCount val="5"/>
                <c:pt idx="0">
                  <c:v>1209.135</c:v>
                </c:pt>
                <c:pt idx="1">
                  <c:v>1209.135</c:v>
                </c:pt>
                <c:pt idx="2">
                  <c:v>1209.135</c:v>
                </c:pt>
                <c:pt idx="3">
                  <c:v>1209.135</c:v>
                </c:pt>
                <c:pt idx="4">
                  <c:v>1209.046</c:v>
                </c:pt>
              </c:numCache>
            </c:numRef>
          </c:val>
          <c:extLst>
            <c:ext xmlns:c="http://schemas.openxmlformats.org/drawingml/2006/chart" xmlns:c16="http://schemas.microsoft.com/office/drawing/2014/chart" uri="{C3380CC4-5D6E-409C-BE32-E72D297353CC}">
              <c16:uniqueId val="{00000000-A91E-4D55-A33C-0FF7E4C3E668}"/>
            </c:ext>
          </c:extLst>
        </c:ser>
        <c:dLbls>
          <c:showLegendKey val="0"/>
          <c:showVal val="0"/>
          <c:showCatName val="0"/>
          <c:showSerName val="0"/>
          <c:showPercent val="0"/>
          <c:showBubbleSize val="0"/>
        </c:dLbls>
        <c:gapWidth val="76"/>
        <c:axId val="872460576"/>
        <c:axId val="872460968"/>
      </c:barChart>
      <c:catAx>
        <c:axId val="872460576"/>
        <c:scaling>
          <c:orientation val="minMax"/>
        </c:scaling>
        <c:delete val="0"/>
        <c:axPos val="b"/>
        <c:numFmt formatCode="0" sourceLinked="1"/>
        <c:majorTickMark val="none"/>
        <c:minorTickMark val="none"/>
        <c:tickLblPos val="nextTo"/>
        <c:spPr>
          <a:ln w="3175">
            <a:solidFill>
              <a:srgbClr val="808080"/>
            </a:solidFill>
          </a:ln>
        </c:spPr>
        <c:txPr>
          <a:bodyPr rot="0" vert="horz"/>
          <a:lstStyle/>
          <a:p>
            <a:pPr>
              <a:defRPr sz="1100" b="0" i="0" u="none" strike="noStrike" baseline="0">
                <a:solidFill>
                  <a:srgbClr val="000000"/>
                </a:solidFill>
                <a:latin typeface="Calibri"/>
                <a:ea typeface="Calibri"/>
                <a:cs typeface="Calibri"/>
              </a:defRPr>
            </a:pPr>
            <a:endParaRPr lang="en-US"/>
          </a:p>
        </c:txPr>
        <c:crossAx val="872460968"/>
        <c:crosses val="autoZero"/>
        <c:auto val="1"/>
        <c:lblAlgn val="ctr"/>
        <c:lblOffset val="100"/>
        <c:tickLblSkip val="1"/>
        <c:tickMarkSkip val="1"/>
        <c:noMultiLvlLbl val="0"/>
      </c:catAx>
      <c:valAx>
        <c:axId val="872460968"/>
        <c:scaling>
          <c:orientation val="minMax"/>
          <c:max val="1451"/>
          <c:min val="0"/>
        </c:scaling>
        <c:delete val="0"/>
        <c:axPos val="l"/>
        <c:majorGridlines>
          <c:spPr>
            <a:ln w="3175">
              <a:solidFill>
                <a:srgbClr val="808080"/>
              </a:solidFill>
            </a:ln>
          </c:spPr>
        </c:majorGridlines>
        <c:numFmt formatCode="0" sourceLinked="1"/>
        <c:majorTickMark val="none"/>
        <c:minorTickMark val="none"/>
        <c:tickLblPos val="nextTo"/>
        <c:spPr>
          <a:ln w="6350">
            <a:noFill/>
          </a:ln>
        </c:spPr>
        <c:txPr>
          <a:bodyPr rot="0" vert="horz"/>
          <a:lstStyle/>
          <a:p>
            <a:pPr>
              <a:defRPr sz="1100" b="0" i="0" u="none" strike="noStrike" baseline="0">
                <a:solidFill>
                  <a:srgbClr val="000000"/>
                </a:solidFill>
                <a:latin typeface="Calibri"/>
                <a:ea typeface="Calibri"/>
                <a:cs typeface="Calibri"/>
              </a:defRPr>
            </a:pPr>
            <a:endParaRPr lang="en-US"/>
          </a:p>
        </c:txPr>
        <c:crossAx val="872460576"/>
        <c:crosses val="autoZero"/>
        <c:crossBetween val="between"/>
      </c:valAx>
      <c:spPr>
        <a:solidFill>
          <a:srgbClr val="FFFFFF"/>
        </a:solidFill>
        <a:ln w="25400">
          <a:noFill/>
        </a:ln>
      </c:spPr>
    </c:plotArea>
    <c:legend>
      <c:legendPos val="r"/>
      <c:layout>
        <c:manualLayout>
          <c:xMode val="edge"/>
          <c:yMode val="edge"/>
          <c:x val="0.0082644628099173556"/>
          <c:y val="0.92063742032245965"/>
          <c:w val="0.97685950413223144"/>
          <c:h val="0.063492341235123373"/>
        </c:manualLayout>
      </c:layout>
      <c:overlay val="0"/>
      <c:spPr>
        <a:noFill/>
        <a:ln w="25400">
          <a:noFill/>
        </a:ln>
      </c:spPr>
    </c:legend>
    <c:plotVisOnly val="1"/>
    <c:dispBlanksAs val="gap"/>
    <c:showDLblsOverMax val="0"/>
  </c:chart>
  <c:spPr>
    <a:solidFill>
      <a:srgbClr val="FFFFFF"/>
    </a:solidFill>
    <a:ln w="3175">
      <a:solidFill>
        <a:srgbClr val="808080"/>
      </a:solid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Calibri"/>
                <a:ea typeface="Calibri"/>
                <a:cs typeface="Calibri"/>
              </a:defRPr>
            </a:pPr>
            <a:r>
              <a:rPr lang="en-GB" sz="1200" b="1" i="0" kern="1200" baseline="0">
                <a:solidFill>
                  <a:srgbClr val="000000"/>
                </a:solidFill>
                <a:effectLst/>
                <a:latin typeface="Calibri" panose="020F0502020204030204" pitchFamily="34" charset="0"/>
                <a:ea typeface="Calibri" panose="020F0502020204030204" pitchFamily="34" charset="0"/>
              </a:rPr>
              <a:t>Number of track-kilometres</a:t>
            </a:r>
          </a:p>
        </c:rich>
      </c:tx>
      <c:layout>
        <c:manualLayout>
          <c:xMode val="edge"/>
          <c:yMode val="edge"/>
          <c:x val="0.33919180241358721"/>
          <c:y val="0.028831289349240657"/>
        </c:manualLayout>
      </c:layout>
      <c:overlay val="0"/>
      <c:spPr>
        <a:noFill/>
        <a:ln w="25400">
          <a:noFill/>
        </a:ln>
      </c:spPr>
    </c:title>
    <c:autoTitleDeleted val="0"/>
    <c:plotArea>
      <c:layout>
        <c:manualLayout>
          <c:layoutTarget val="inner"/>
          <c:xMode val="edge"/>
          <c:yMode val="edge"/>
          <c:x val="0.093844385154335047"/>
          <c:y val="0.12164948453608258"/>
          <c:w val="0.89513633109910851"/>
          <c:h val="0.70495104778569351"/>
        </c:manualLayout>
      </c:layout>
      <c:barChart>
        <c:barDir val="col"/>
        <c:grouping val="clustered"/>
        <c:varyColors val="0"/>
        <c:ser>
          <c:idx val="0"/>
          <c:order val="0"/>
          <c:tx>
            <c:strRef>
              <c:f>'2.4'!$E$30</c:f>
              <c:strCache>
                <c:ptCount val="1"/>
                <c:pt idx="0">
                  <c:v>Tirni kilometri</c:v>
                </c:pt>
              </c:strCache>
            </c:strRef>
          </c:tx>
          <c:spPr>
            <a:solidFill>
              <a:srgbClr val="4572A7"/>
            </a:solid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'2.4'!$D$31:$D$35</c:f>
              <c:numCache>
                <c:formatCode>0</c:formatCode>
                <c:ptCount val="5"/>
                <c:pt idx="0">
                  <c:v>2013</c:v>
                </c:pt>
                <c:pt idx="1">
                  <c:v>2014</c:v>
                </c:pt>
                <c:pt idx="2">
                  <c:v>2015</c:v>
                </c:pt>
                <c:pt idx="3">
                  <c:v>2016</c:v>
                </c:pt>
                <c:pt idx="4">
                  <c:v>2017</c:v>
                </c:pt>
              </c:numCache>
            </c:numRef>
          </c:cat>
          <c:val>
            <c:numRef>
              <c:f>'2.4'!$E$31:$E$35</c:f>
              <c:numCache>
                <c:formatCode>0</c:formatCode>
                <c:ptCount val="5"/>
                <c:pt idx="0">
                  <c:v>2177.241</c:v>
                </c:pt>
                <c:pt idx="1">
                  <c:v>2177.241</c:v>
                </c:pt>
                <c:pt idx="2">
                  <c:v>2177.241</c:v>
                </c:pt>
                <c:pt idx="3">
                  <c:v>2177.241</c:v>
                </c:pt>
                <c:pt idx="4">
                  <c:v>2177.241</c:v>
                </c:pt>
              </c:numCache>
            </c:numRef>
          </c:val>
          <c:extLst>
            <c:ext xmlns:c="http://schemas.openxmlformats.org/drawingml/2006/chart" xmlns:c16="http://schemas.microsoft.com/office/drawing/2014/chart" uri="{C3380CC4-5D6E-409C-BE32-E72D297353CC}">
              <c16:uniqueId val="{00000000-8888-47FA-9A86-E78F58CA8BD6}"/>
            </c:ext>
          </c:extLst>
        </c:ser>
        <c:dLbls>
          <c:showLegendKey val="0"/>
          <c:showVal val="0"/>
          <c:showCatName val="0"/>
          <c:showSerName val="0"/>
          <c:showPercent val="0"/>
          <c:showBubbleSize val="0"/>
        </c:dLbls>
        <c:gapWidth val="76"/>
        <c:axId val="833652056"/>
        <c:axId val="833650880"/>
      </c:barChart>
      <c:catAx>
        <c:axId val="833652056"/>
        <c:scaling>
          <c:orientation val="minMax"/>
        </c:scaling>
        <c:delete val="0"/>
        <c:axPos val="b"/>
        <c:numFmt formatCode="0" sourceLinked="1"/>
        <c:majorTickMark val="none"/>
        <c:minorTickMark val="none"/>
        <c:tickLblPos val="nextTo"/>
        <c:spPr>
          <a:ln w="3175">
            <a:solidFill>
              <a:srgbClr val="808080"/>
            </a:solidFill>
          </a:ln>
        </c:spPr>
        <c:txPr>
          <a:bodyPr rot="0" vert="horz"/>
          <a:lstStyle/>
          <a:p>
            <a:pPr>
              <a:defRPr sz="1100" b="0" i="0" u="none" strike="noStrike" baseline="0">
                <a:solidFill>
                  <a:srgbClr val="000000"/>
                </a:solidFill>
                <a:latin typeface="Calibri"/>
                <a:ea typeface="Calibri"/>
                <a:cs typeface="Calibri"/>
              </a:defRPr>
            </a:pPr>
            <a:endParaRPr lang="en-US"/>
          </a:p>
        </c:txPr>
        <c:crossAx val="833650880"/>
        <c:crosses val="autoZero"/>
        <c:auto val="1"/>
        <c:lblAlgn val="ctr"/>
        <c:lblOffset val="100"/>
        <c:tickLblSkip val="1"/>
        <c:tickMarkSkip val="1"/>
        <c:noMultiLvlLbl val="0"/>
      </c:catAx>
      <c:valAx>
        <c:axId val="833650880"/>
        <c:scaling>
          <c:orientation val="minMax"/>
          <c:max val="2613"/>
          <c:min val="0"/>
        </c:scaling>
        <c:delete val="0"/>
        <c:axPos val="l"/>
        <c:majorGridlines>
          <c:spPr>
            <a:ln w="3175">
              <a:solidFill>
                <a:srgbClr val="808080"/>
              </a:solidFill>
            </a:ln>
          </c:spPr>
        </c:majorGridlines>
        <c:numFmt formatCode="0" sourceLinked="1"/>
        <c:majorTickMark val="none"/>
        <c:minorTickMark val="none"/>
        <c:tickLblPos val="nextTo"/>
        <c:spPr>
          <a:ln w="6350">
            <a:noFill/>
          </a:ln>
        </c:spPr>
        <c:txPr>
          <a:bodyPr rot="0" vert="horz"/>
          <a:lstStyle/>
          <a:p>
            <a:pPr>
              <a:defRPr sz="1100" b="0" i="0" u="none" strike="noStrike" baseline="0">
                <a:solidFill>
                  <a:srgbClr val="000000"/>
                </a:solidFill>
                <a:latin typeface="Calibri"/>
                <a:ea typeface="Calibri"/>
                <a:cs typeface="Calibri"/>
              </a:defRPr>
            </a:pPr>
            <a:endParaRPr lang="en-US"/>
          </a:p>
        </c:txPr>
        <c:crossAx val="833652056"/>
        <c:crosses val="autoZero"/>
        <c:crossBetween val="between"/>
      </c:valAx>
      <c:spPr>
        <a:solidFill>
          <a:srgbClr val="FFFFFF"/>
        </a:solidFill>
        <a:ln w="25400">
          <a:noFill/>
        </a:ln>
      </c:spPr>
    </c:plotArea>
    <c:legend>
      <c:legendPos val="r"/>
      <c:layout>
        <c:manualLayout>
          <c:xMode val="edge"/>
          <c:yMode val="edge"/>
          <c:x val="0.0082644628099173556"/>
          <c:y val="0.91799191767695709"/>
          <c:w val="0.97685950413223144"/>
          <c:h val="0.063492341235123373"/>
        </c:manualLayout>
      </c:layout>
      <c:overlay val="0"/>
      <c:spPr>
        <a:noFill/>
        <a:ln w="25400">
          <a:noFill/>
        </a:ln>
      </c:spPr>
    </c:legend>
    <c:plotVisOnly val="1"/>
    <c:dispBlanksAs val="gap"/>
    <c:showDLblsOverMax val="0"/>
  </c:chart>
  <c:spPr>
    <a:solidFill>
      <a:srgbClr val="FFFFFF"/>
    </a:solidFill>
    <a:ln w="3175">
      <a:solidFill>
        <a:srgbClr val="808080"/>
      </a:solid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Calibri"/>
                <a:ea typeface="Calibri"/>
                <a:cs typeface="Calibri"/>
              </a:defRPr>
            </a:pPr>
            <a:r>
              <a:rPr lang="en-GB" sz="1200" b="1" i="0" kern="1200" baseline="0">
                <a:solidFill>
                  <a:srgbClr val="000000"/>
                </a:solidFill>
                <a:effectLst/>
                <a:latin typeface="Calibri" panose="020F0502020204030204" pitchFamily="34" charset="0"/>
                <a:ea typeface="Calibri" panose="020F0502020204030204" pitchFamily="34" charset="0"/>
              </a:rPr>
              <a:t>Number of fatalities and seriously injured passengers per billion train passenger-kilometres (CST 1.1) </a:t>
            </a:r>
          </a:p>
        </c:rich>
      </c:tx>
      <c:layout>
        <c:manualLayout>
          <c:xMode val="edge"/>
          <c:yMode val="edge"/>
          <c:x val="0.14051426216351054"/>
          <c:y val="0.008820564096154648"/>
        </c:manualLayout>
      </c:layout>
      <c:overlay val="0"/>
      <c:spPr>
        <a:noFill/>
        <a:ln w="25400">
          <a:noFill/>
        </a:ln>
      </c:spPr>
    </c:title>
    <c:autoTitleDeleted val="0"/>
    <c:plotArea>
      <c:layout>
        <c:manualLayout>
          <c:layoutTarget val="inner"/>
          <c:xMode val="edge"/>
          <c:yMode val="edge"/>
          <c:x val="0.11665447604173446"/>
          <c:y val="0.12266112266112272"/>
          <c:w val="0.87232624021170913"/>
          <c:h val="0.72557172557172567"/>
        </c:manualLayout>
      </c:layout>
      <c:barChart>
        <c:barDir val="col"/>
        <c:grouping val="stacked"/>
        <c:varyColors val="0"/>
        <c:ser>
          <c:idx val="0"/>
          <c:order val="0"/>
          <c:tx>
            <c:strRef>
              <c:f>'3.1'!$H$30</c:f>
              <c:strCache>
                <c:ptCount val="1"/>
                <c:pt idx="0">
                  <c:v>FWSI na vlakovni potniški kilometer (v milijardah)</c:v>
                </c:pt>
              </c:strCache>
            </c:strRef>
          </c:tx>
          <c:spPr>
            <a:solidFill>
              <a:srgbClr val="4F81BD"/>
            </a:solidFill>
            <a:ln w="25400">
              <a:noFill/>
            </a:ln>
          </c:spPr>
          <c:invertIfNegative val="0"/>
          <c:dLbls>
            <c:dLbl>
              <c:idx val="0"/>
              <c:delete val="1"/>
              <c:extLst>
                <c:ext xmlns:c="http://schemas.openxmlformats.org/drawingml/2006/chart" xmlns:c16="http://schemas.microsoft.com/office/drawing/2014/chart" uri="{C3380CC4-5D6E-409C-BE32-E72D297353CC}">
                  <c16:uniqueId val="{00000000-9A4E-46A3-B12C-53A94C99A302}"/>
                </c:ext>
                <c:ext xmlns:c15="http://schemas.microsoft.com/office/drawing/2012/chart" uri="{CE6537A1-D6FC-4f65-9D91-7224C49458BB}"/>
              </c:extLst>
            </c:dLbl>
            <c:dLbl>
              <c:idx val="2"/>
              <c:delete val="1"/>
              <c:extLst>
                <c:ext xmlns:c="http://schemas.openxmlformats.org/drawingml/2006/chart" xmlns:c16="http://schemas.microsoft.com/office/drawing/2014/chart" uri="{C3380CC4-5D6E-409C-BE32-E72D297353CC}">
                  <c16:uniqueId val="{00000001-9A4E-46A3-B12C-53A94C99A302}"/>
                </c:ext>
                <c:ext xmlns:c15="http://schemas.microsoft.com/office/drawing/2012/chart" uri="{CE6537A1-D6FC-4f65-9D91-7224C49458BB}"/>
              </c:extLst>
            </c:dLbl>
            <c:dLbl>
              <c:idx val="3"/>
              <c:delete val="1"/>
              <c:extLst>
                <c:ext xmlns:c="http://schemas.openxmlformats.org/drawingml/2006/chart" xmlns:c16="http://schemas.microsoft.com/office/drawing/2014/chart" uri="{C3380CC4-5D6E-409C-BE32-E72D297353CC}">
                  <c16:uniqueId val="{00000002-9A4E-46A3-B12C-53A94C99A302}"/>
                </c:ext>
                <c:ext xmlns:c15="http://schemas.microsoft.com/office/drawing/2012/chart" uri="{CE6537A1-D6FC-4f65-9D91-7224C49458BB}"/>
              </c:extLst>
            </c:dLbl>
            <c:dLbl>
              <c:idx val="4"/>
              <c:delete val="1"/>
              <c:extLst>
                <c:ext xmlns:c="http://schemas.openxmlformats.org/drawingml/2006/chart" xmlns:c16="http://schemas.microsoft.com/office/drawing/2014/chart" uri="{C3380CC4-5D6E-409C-BE32-E72D297353CC}">
                  <c16:uniqueId val="{00000003-9A4E-46A3-B12C-53A94C99A302}"/>
                </c:ext>
                <c:ext xmlns:c15="http://schemas.microsoft.com/office/drawing/2012/chart" uri="{CE6537A1-D6FC-4f65-9D91-7224C49458BB}"/>
              </c:extLst>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'3.1'!$D$31:$D$35</c:f>
              <c:numCache>
                <c:formatCode>0</c:formatCode>
                <c:ptCount val="5"/>
                <c:pt idx="0">
                  <c:v>2013</c:v>
                </c:pt>
                <c:pt idx="1">
                  <c:v>2014</c:v>
                </c:pt>
                <c:pt idx="2">
                  <c:v>2015</c:v>
                </c:pt>
                <c:pt idx="3">
                  <c:v>2016</c:v>
                </c:pt>
                <c:pt idx="4">
                  <c:v>2017</c:v>
                </c:pt>
              </c:numCache>
            </c:numRef>
          </c:cat>
          <c:val>
            <c:numRef>
              <c:f>'3.1'!$H$31:$H$35</c:f>
              <c:numCache>
                <c:formatCode>0.000</c:formatCode>
                <c:ptCount val="5"/>
                <c:pt idx="0">
                  <c:v>0</c:v>
                </c:pt>
                <c:pt idx="1">
                  <c:v>9.2361688371663444</c:v>
                </c:pt>
                <c:pt idx="2">
                  <c:v>0</c:v>
                </c:pt>
                <c:pt idx="3">
                  <c:v>0</c:v>
                </c:pt>
                <c:pt idx="4">
                  <c:v>0</c:v>
                </c:pt>
              </c:numCache>
            </c:numRef>
          </c:val>
          <c:extLst>
            <c:ext xmlns:c="http://schemas.openxmlformats.org/drawingml/2006/chart" xmlns:c16="http://schemas.microsoft.com/office/drawing/2014/chart" uri="{C3380CC4-5D6E-409C-BE32-E72D297353CC}">
              <c16:uniqueId val="{00000004-9A4E-46A3-B12C-53A94C99A302}"/>
            </c:ext>
          </c:extLst>
        </c:ser>
        <c:dLbls>
          <c:showLegendKey val="0"/>
          <c:showVal val="0"/>
          <c:showCatName val="0"/>
          <c:showSerName val="0"/>
          <c:showPercent val="0"/>
          <c:showBubbleSize val="0"/>
        </c:dLbls>
        <c:gapWidth val="75"/>
        <c:overlap val="100"/>
        <c:axId val="833652840"/>
        <c:axId val="833651272"/>
      </c:barChart>
      <c:catAx>
        <c:axId val="833652840"/>
        <c:scaling>
          <c:orientation val="minMax"/>
        </c:scaling>
        <c:delete val="0"/>
        <c:axPos val="b"/>
        <c:numFmt formatCode="0" sourceLinked="1"/>
        <c:majorTickMark val="none"/>
        <c:minorTickMark val="none"/>
        <c:tickLblPos val="nextTo"/>
        <c:spPr>
          <a:ln w="3175">
            <a:solidFill>
              <a:srgbClr val="808080"/>
            </a:solidFill>
          </a:ln>
        </c:spPr>
        <c:txPr>
          <a:bodyPr rot="0" vert="horz"/>
          <a:lstStyle/>
          <a:p>
            <a:pPr>
              <a:defRPr sz="1100" b="0" i="0" u="none" strike="noStrike" baseline="0">
                <a:solidFill>
                  <a:srgbClr val="000000"/>
                </a:solidFill>
                <a:latin typeface="Calibri"/>
                <a:ea typeface="Calibri"/>
                <a:cs typeface="Calibri"/>
              </a:defRPr>
            </a:pPr>
            <a:endParaRPr lang="en-US"/>
          </a:p>
        </c:txPr>
        <c:crossAx val="833651272"/>
        <c:crosses val="autoZero"/>
        <c:auto val="1"/>
        <c:lblAlgn val="ctr"/>
        <c:lblOffset val="100"/>
        <c:tickLblSkip val="1"/>
        <c:tickMarkSkip val="1"/>
        <c:noMultiLvlLbl val="0"/>
      </c:catAx>
      <c:valAx>
        <c:axId val="833651272"/>
        <c:scaling>
          <c:orientation val="minMax"/>
          <c:max val="11"/>
          <c:min val="0"/>
        </c:scaling>
        <c:delete val="0"/>
        <c:axPos val="l"/>
        <c:majorGridlines>
          <c:spPr>
            <a:ln w="3175">
              <a:solidFill>
                <a:srgbClr val="808080"/>
              </a:solidFill>
            </a:ln>
          </c:spPr>
        </c:majorGridlines>
        <c:numFmt formatCode="0.00" sourceLinked="0"/>
        <c:majorTickMark val="none"/>
        <c:minorTickMark val="none"/>
        <c:tickLblPos val="nextTo"/>
        <c:spPr>
          <a:ln w="6350">
            <a:noFill/>
          </a:ln>
        </c:spPr>
        <c:txPr>
          <a:bodyPr rot="0" vert="horz"/>
          <a:lstStyle/>
          <a:p>
            <a:pPr>
              <a:defRPr sz="1100" b="0" i="0" u="none" strike="noStrike" baseline="0">
                <a:solidFill>
                  <a:srgbClr val="000000"/>
                </a:solidFill>
                <a:latin typeface="Calibri"/>
                <a:ea typeface="Calibri"/>
                <a:cs typeface="Calibri"/>
              </a:defRPr>
            </a:pPr>
            <a:endParaRPr lang="en-US"/>
          </a:p>
        </c:txPr>
        <c:crossAx val="833652840"/>
        <c:crosses val="autoZero"/>
        <c:crossBetween val="between"/>
      </c:valAx>
      <c:spPr>
        <a:solidFill>
          <a:srgbClr val="FFFFFF"/>
        </a:solidFill>
        <a:ln w="25400">
          <a:noFill/>
        </a:ln>
      </c:spPr>
    </c:plotArea>
    <c:legend>
      <c:legendPos val="r"/>
      <c:layout>
        <c:manualLayout>
          <c:xMode val="edge"/>
          <c:yMode val="edge"/>
          <c:x val="0.087603305785123972"/>
          <c:y val="0.91799191767695709"/>
          <c:w val="0.87272727272727268"/>
          <c:h val="0.063492341235123373"/>
        </c:manualLayout>
      </c:layout>
      <c:overlay val="0"/>
      <c:spPr>
        <a:solidFill>
          <a:srgbClr val="FFFFFF"/>
        </a:solidFill>
        <a:ln w="25400">
          <a:noFill/>
        </a:ln>
      </c:spPr>
      <c:txPr>
        <a:bodyPr/>
        <a:lstStyle/>
        <a:p>
          <a:pPr>
            <a:defRPr>
              <a:solidFill>
                <a:schemeClr val="dk1"/>
              </a:solidFill>
              <a:latin typeface="+mn-lt"/>
              <a:ea typeface="+mn-ea"/>
              <a:cs typeface="+mn-cs"/>
            </a:defRPr>
          </a:pPr>
          <a:endParaRPr lang="en-US"/>
        </a:p>
      </c:txPr>
    </c:legend>
    <c:plotVisOnly val="1"/>
    <c:dispBlanksAs val="gap"/>
    <c:showDLblsOverMax val="0"/>
  </c:chart>
  <c:spPr>
    <a:solidFill>
      <a:srgbClr val="FFFFFF"/>
    </a:solidFill>
    <a:ln w="3175">
      <a:solidFill>
        <a:srgbClr val="808080"/>
      </a:solid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Calibri"/>
                <a:ea typeface="Calibri"/>
                <a:cs typeface="Calibri"/>
              </a:defRPr>
            </a:pPr>
            <a:r>
              <a:rPr lang="en-GB" sz="1200" b="1" i="0" kern="1200" baseline="0">
                <a:solidFill>
                  <a:srgbClr val="000000"/>
                </a:solidFill>
                <a:effectLst/>
                <a:latin typeface="Calibri" panose="020F0502020204030204" pitchFamily="34" charset="0"/>
                <a:ea typeface="Calibri" panose="020F0502020204030204" pitchFamily="34" charset="0"/>
              </a:rPr>
              <a:t>Number of fatalities and seriously injured passengers per billion passenger-kilometres (CST 1.2) </a:t>
            </a:r>
          </a:p>
        </c:rich>
      </c:tx>
      <c:layout>
        <c:manualLayout>
          <c:xMode val="edge"/>
          <c:yMode val="edge"/>
          <c:x val="0.15373948504370835"/>
          <c:y val="0.012348456442944631"/>
        </c:manualLayout>
      </c:layout>
      <c:overlay val="0"/>
      <c:spPr>
        <a:noFill/>
        <a:ln w="25400">
          <a:noFill/>
        </a:ln>
      </c:spPr>
    </c:title>
    <c:autoTitleDeleted val="0"/>
    <c:plotArea>
      <c:layout>
        <c:manualLayout>
          <c:layoutTarget val="inner"/>
          <c:xMode val="edge"/>
          <c:yMode val="edge"/>
          <c:x val="0.085469729506952113"/>
          <c:y val="0.12266112266112277"/>
          <c:w val="0.90357744951302577"/>
          <c:h val="0.72557172557172567"/>
        </c:manualLayout>
      </c:layout>
      <c:barChart>
        <c:barDir val="col"/>
        <c:grouping val="stacked"/>
        <c:varyColors val="0"/>
        <c:ser>
          <c:idx val="0"/>
          <c:order val="0"/>
          <c:tx>
            <c:strRef>
              <c:f>'3.2'!$H$30</c:f>
              <c:strCache>
                <c:ptCount val="1"/>
                <c:pt idx="0">
                  <c:v>FWSI na potniški kilometer (v milijardah)</c:v>
                </c:pt>
              </c:strCache>
            </c:strRef>
          </c:tx>
          <c:spPr>
            <a:solidFill>
              <a:srgbClr val="4F81BD"/>
            </a:solidFill>
            <a:ln w="25400">
              <a:noFill/>
            </a:ln>
          </c:spPr>
          <c:invertIfNegative val="0"/>
          <c:dLbls>
            <c:dLbl>
              <c:idx val="0"/>
              <c:delete val="1"/>
              <c:extLst>
                <c:ext xmlns:c="http://schemas.openxmlformats.org/drawingml/2006/chart" xmlns:c16="http://schemas.microsoft.com/office/drawing/2014/chart" uri="{C3380CC4-5D6E-409C-BE32-E72D297353CC}">
                  <c16:uniqueId val="{00000000-36F7-4909-9BCB-4C7A76570E50}"/>
                </c:ext>
                <c:ext xmlns:c15="http://schemas.microsoft.com/office/drawing/2012/chart" uri="{CE6537A1-D6FC-4f65-9D91-7224C49458BB}"/>
              </c:extLst>
            </c:dLbl>
            <c:dLbl>
              <c:idx val="2"/>
              <c:delete val="1"/>
              <c:extLst>
                <c:ext xmlns:c="http://schemas.openxmlformats.org/drawingml/2006/chart" xmlns:c16="http://schemas.microsoft.com/office/drawing/2014/chart" uri="{C3380CC4-5D6E-409C-BE32-E72D297353CC}">
                  <c16:uniqueId val="{00000001-36F7-4909-9BCB-4C7A76570E50}"/>
                </c:ext>
                <c:ext xmlns:c15="http://schemas.microsoft.com/office/drawing/2012/chart" uri="{CE6537A1-D6FC-4f65-9D91-7224C49458BB}"/>
              </c:extLst>
            </c:dLbl>
            <c:dLbl>
              <c:idx val="3"/>
              <c:delete val="1"/>
              <c:extLst>
                <c:ext xmlns:c="http://schemas.openxmlformats.org/drawingml/2006/chart" xmlns:c16="http://schemas.microsoft.com/office/drawing/2014/chart" uri="{C3380CC4-5D6E-409C-BE32-E72D297353CC}">
                  <c16:uniqueId val="{00000002-36F7-4909-9BCB-4C7A76570E50}"/>
                </c:ext>
                <c:ext xmlns:c15="http://schemas.microsoft.com/office/drawing/2012/chart" uri="{CE6537A1-D6FC-4f65-9D91-7224C49458BB}"/>
              </c:extLst>
            </c:dLbl>
            <c:dLbl>
              <c:idx val="4"/>
              <c:delete val="1"/>
              <c:extLst>
                <c:ext xmlns:c="http://schemas.openxmlformats.org/drawingml/2006/chart" xmlns:c16="http://schemas.microsoft.com/office/drawing/2014/chart" uri="{C3380CC4-5D6E-409C-BE32-E72D297353CC}">
                  <c16:uniqueId val="{00000003-36F7-4909-9BCB-4C7A76570E50}"/>
                </c:ext>
                <c:ext xmlns:c15="http://schemas.microsoft.com/office/drawing/2012/chart" uri="{CE6537A1-D6FC-4f65-9D91-7224C49458BB}"/>
              </c:extLst>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'3.2'!$D$31:$D$35</c:f>
              <c:numCache>
                <c:formatCode>0</c:formatCode>
                <c:ptCount val="5"/>
                <c:pt idx="0">
                  <c:v>2013</c:v>
                </c:pt>
                <c:pt idx="1">
                  <c:v>2014</c:v>
                </c:pt>
                <c:pt idx="2">
                  <c:v>2015</c:v>
                </c:pt>
                <c:pt idx="3">
                  <c:v>2016</c:v>
                </c:pt>
                <c:pt idx="4">
                  <c:v>2017</c:v>
                </c:pt>
              </c:numCache>
            </c:numRef>
          </c:cat>
          <c:val>
            <c:numRef>
              <c:f>'3.2'!$H$31:$H$35</c:f>
              <c:numCache>
                <c:formatCode>0.000</c:formatCode>
                <c:ptCount val="5"/>
                <c:pt idx="0">
                  <c:v>0</c:v>
                </c:pt>
                <c:pt idx="1">
                  <c:v>0.14353380221042056</c:v>
                </c:pt>
                <c:pt idx="2">
                  <c:v>0</c:v>
                </c:pt>
                <c:pt idx="3">
                  <c:v>0</c:v>
                </c:pt>
                <c:pt idx="4">
                  <c:v>0</c:v>
                </c:pt>
              </c:numCache>
            </c:numRef>
          </c:val>
          <c:extLst>
            <c:ext xmlns:c="http://schemas.openxmlformats.org/drawingml/2006/chart" xmlns:c16="http://schemas.microsoft.com/office/drawing/2014/chart" uri="{C3380CC4-5D6E-409C-BE32-E72D297353CC}">
              <c16:uniqueId val="{00000004-36F7-4909-9BCB-4C7A76570E50}"/>
            </c:ext>
          </c:extLst>
        </c:ser>
        <c:dLbls>
          <c:showLegendKey val="0"/>
          <c:showVal val="0"/>
          <c:showCatName val="0"/>
          <c:showSerName val="0"/>
          <c:showPercent val="0"/>
          <c:showBubbleSize val="0"/>
        </c:dLbls>
        <c:gapWidth val="75"/>
        <c:overlap val="100"/>
        <c:axId val="833650488"/>
        <c:axId val="833652448"/>
      </c:barChart>
      <c:catAx>
        <c:axId val="833650488"/>
        <c:scaling>
          <c:orientation val="minMax"/>
        </c:scaling>
        <c:delete val="0"/>
        <c:axPos val="b"/>
        <c:numFmt formatCode="0" sourceLinked="1"/>
        <c:majorTickMark val="none"/>
        <c:minorTickMark val="none"/>
        <c:tickLblPos val="nextTo"/>
        <c:spPr>
          <a:ln w="3175">
            <a:solidFill>
              <a:srgbClr val="808080"/>
            </a:solidFill>
          </a:ln>
        </c:spPr>
        <c:txPr>
          <a:bodyPr rot="0" vert="horz"/>
          <a:lstStyle/>
          <a:p>
            <a:pPr>
              <a:defRPr sz="1100" b="0" i="0" u="none" strike="noStrike" baseline="0">
                <a:solidFill>
                  <a:srgbClr val="000000"/>
                </a:solidFill>
                <a:latin typeface="Calibri"/>
                <a:ea typeface="Calibri"/>
                <a:cs typeface="Calibri"/>
              </a:defRPr>
            </a:pPr>
            <a:endParaRPr lang="en-US"/>
          </a:p>
        </c:txPr>
        <c:crossAx val="833652448"/>
        <c:crosses val="autoZero"/>
        <c:auto val="1"/>
        <c:lblAlgn val="ctr"/>
        <c:lblOffset val="100"/>
        <c:tickLblSkip val="1"/>
        <c:tickMarkSkip val="1"/>
        <c:noMultiLvlLbl val="0"/>
      </c:catAx>
      <c:valAx>
        <c:axId val="833652448"/>
        <c:scaling>
          <c:orientation val="minMax"/>
          <c:min val="0"/>
        </c:scaling>
        <c:delete val="0"/>
        <c:axPos val="l"/>
        <c:majorGridlines>
          <c:spPr>
            <a:ln w="3175">
              <a:solidFill>
                <a:srgbClr val="808080"/>
              </a:solidFill>
            </a:ln>
          </c:spPr>
        </c:majorGridlines>
        <c:numFmt formatCode="0.00" sourceLinked="0"/>
        <c:majorTickMark val="none"/>
        <c:minorTickMark val="none"/>
        <c:tickLblPos val="nextTo"/>
        <c:spPr>
          <a:ln w="6350">
            <a:noFill/>
          </a:ln>
        </c:spPr>
        <c:txPr>
          <a:bodyPr rot="0" vert="horz"/>
          <a:lstStyle/>
          <a:p>
            <a:pPr>
              <a:defRPr sz="1100" b="0" i="0" u="none" strike="noStrike" baseline="0">
                <a:solidFill>
                  <a:srgbClr val="000000"/>
                </a:solidFill>
                <a:latin typeface="Calibri"/>
                <a:ea typeface="Calibri"/>
                <a:cs typeface="Calibri"/>
              </a:defRPr>
            </a:pPr>
            <a:endParaRPr lang="en-US"/>
          </a:p>
        </c:txPr>
        <c:crossAx val="833650488"/>
        <c:crosses val="autoZero"/>
        <c:crossBetween val="between"/>
      </c:valAx>
      <c:spPr>
        <a:solidFill>
          <a:srgbClr val="FFFFFF"/>
        </a:solidFill>
        <a:ln w="25400">
          <a:noFill/>
        </a:ln>
      </c:spPr>
    </c:plotArea>
    <c:legend>
      <c:legendPos val="r"/>
      <c:layout>
        <c:manualLayout>
          <c:xMode val="edge"/>
          <c:yMode val="edge"/>
          <c:x val="0.087603305785123972"/>
          <c:y val="0.91799191767695709"/>
          <c:w val="0.88099173553719012"/>
          <c:h val="0.063492341235123373"/>
        </c:manualLayout>
      </c:layout>
      <c:overlay val="0"/>
      <c:spPr>
        <a:noFill/>
        <a:ln w="25400">
          <a:noFill/>
        </a:ln>
      </c:spPr>
    </c:legend>
    <c:plotVisOnly val="1"/>
    <c:dispBlanksAs val="gap"/>
    <c:showDLblsOverMax val="0"/>
  </c:chart>
  <c:spPr>
    <a:solidFill>
      <a:srgbClr val="FFFFFF"/>
    </a:solidFill>
    <a:ln w="3175">
      <a:solidFill>
        <a:srgbClr val="808080"/>
      </a:solid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Calibri"/>
                <a:ea typeface="Calibri"/>
                <a:cs typeface="Calibri"/>
              </a:defRPr>
            </a:pPr>
            <a:r>
              <a:rPr lang="en-GB"/>
              <a:t>Number of fatalities and seriously injured employees per billion train-kilometres (CST 2) </a:t>
            </a:r>
          </a:p>
        </c:rich>
      </c:tx>
      <c:layout>
        <c:manualLayout>
          <c:xMode val="edge"/>
          <c:yMode val="edge"/>
          <c:x val="0.13876766230667448"/>
          <c:y val="0.0095763029621297336"/>
        </c:manualLayout>
      </c:layout>
      <c:overlay val="0"/>
      <c:spPr>
        <a:noFill/>
        <a:ln w="25400">
          <a:noFill/>
        </a:ln>
      </c:spPr>
    </c:title>
    <c:autoTitleDeleted val="0"/>
    <c:plotArea>
      <c:layout>
        <c:manualLayout>
          <c:layoutTarget val="inner"/>
          <c:xMode val="edge"/>
          <c:yMode val="edge"/>
          <c:x val="0.097756317650376345"/>
          <c:y val="0.12266112266112281"/>
          <c:w val="0.88815045226784672"/>
          <c:h val="0.72557180352455941"/>
        </c:manualLayout>
      </c:layout>
      <c:barChart>
        <c:barDir val="col"/>
        <c:grouping val="stacked"/>
        <c:varyColors val="0"/>
        <c:ser>
          <c:idx val="0"/>
          <c:order val="0"/>
          <c:tx>
            <c:strRef>
              <c:f>'3.3'!$H$30</c:f>
              <c:strCache>
                <c:ptCount val="1"/>
                <c:pt idx="0">
                  <c:v>FWSI na vlakovni kilometer (v milijardah)</c:v>
                </c:pt>
              </c:strCache>
            </c:strRef>
          </c:tx>
          <c:spPr>
            <a:solidFill>
              <a:srgbClr val="4F81BD"/>
            </a:solidFill>
            <a:ln w="25400">
              <a:noFill/>
            </a:ln>
          </c:spPr>
          <c:invertIfNegative val="0"/>
          <c:dLbls>
            <c:dLbl>
              <c:idx val="1"/>
              <c:delete val="1"/>
              <c:extLst>
                <c:ext xmlns:c="http://schemas.openxmlformats.org/drawingml/2006/chart" xmlns:c16="http://schemas.microsoft.com/office/drawing/2014/chart" uri="{C3380CC4-5D6E-409C-BE32-E72D297353CC}">
                  <c16:uniqueId val="{00000000-173C-465E-B68F-408BB6F81EAF}"/>
                </c:ext>
                <c:ext xmlns:c15="http://schemas.microsoft.com/office/drawing/2012/chart" uri="{CE6537A1-D6FC-4f65-9D91-7224C49458BB}"/>
              </c:extLst>
            </c:dLbl>
            <c:dLbl>
              <c:idx val="2"/>
              <c:delete val="1"/>
              <c:extLst>
                <c:ext xmlns:c="http://schemas.openxmlformats.org/drawingml/2006/chart" xmlns:c16="http://schemas.microsoft.com/office/drawing/2014/chart" uri="{C3380CC4-5D6E-409C-BE32-E72D297353CC}">
                  <c16:uniqueId val="{00000001-173C-465E-B68F-408BB6F81EAF}"/>
                </c:ext>
                <c:ext xmlns:c15="http://schemas.microsoft.com/office/drawing/2012/chart" uri="{CE6537A1-D6FC-4f65-9D91-7224C49458BB}"/>
              </c:extLst>
            </c:dLbl>
            <c:dLbl>
              <c:idx val="3"/>
              <c:delete val="1"/>
              <c:extLst>
                <c:ext xmlns:c="http://schemas.openxmlformats.org/drawingml/2006/chart" xmlns:c16="http://schemas.microsoft.com/office/drawing/2014/chart" uri="{C3380CC4-5D6E-409C-BE32-E72D297353CC}">
                  <c16:uniqueId val="{00000002-173C-465E-B68F-408BB6F81EAF}"/>
                </c:ext>
                <c:ext xmlns:c15="http://schemas.microsoft.com/office/drawing/2012/chart" uri="{CE6537A1-D6FC-4f65-9D91-7224C49458BB}"/>
              </c:extLst>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'3.3'!$D$31:$D$35</c:f>
              <c:numCache>
                <c:formatCode>0</c:formatCode>
                <c:ptCount val="5"/>
                <c:pt idx="0">
                  <c:v>2013</c:v>
                </c:pt>
                <c:pt idx="1">
                  <c:v>2014</c:v>
                </c:pt>
                <c:pt idx="2">
                  <c:v>2015</c:v>
                </c:pt>
                <c:pt idx="3">
                  <c:v>2016</c:v>
                </c:pt>
                <c:pt idx="4">
                  <c:v>2017</c:v>
                </c:pt>
              </c:numCache>
            </c:numRef>
          </c:cat>
          <c:val>
            <c:numRef>
              <c:f>'3.3'!$H$31:$H$35</c:f>
              <c:numCache>
                <c:formatCode>0.000</c:formatCode>
                <c:ptCount val="5"/>
                <c:pt idx="0">
                  <c:v>4.9654208094827625</c:v>
                </c:pt>
                <c:pt idx="1">
                  <c:v>0</c:v>
                </c:pt>
                <c:pt idx="2">
                  <c:v>0</c:v>
                </c:pt>
                <c:pt idx="3">
                  <c:v>0</c:v>
                </c:pt>
                <c:pt idx="4">
                  <c:v>4.5450454913603231</c:v>
                </c:pt>
              </c:numCache>
            </c:numRef>
          </c:val>
          <c:extLst>
            <c:ext xmlns:c="http://schemas.openxmlformats.org/drawingml/2006/chart" xmlns:c16="http://schemas.microsoft.com/office/drawing/2014/chart" uri="{C3380CC4-5D6E-409C-BE32-E72D297353CC}">
              <c16:uniqueId val="{00000003-173C-465E-B68F-408BB6F81EAF}"/>
            </c:ext>
          </c:extLst>
        </c:ser>
        <c:dLbls>
          <c:showLegendKey val="0"/>
          <c:showVal val="0"/>
          <c:showCatName val="0"/>
          <c:showSerName val="0"/>
          <c:showPercent val="0"/>
          <c:showBubbleSize val="0"/>
        </c:dLbls>
        <c:gapWidth val="75"/>
        <c:overlap val="100"/>
        <c:axId val="833650096"/>
        <c:axId val="531031672"/>
      </c:barChart>
      <c:catAx>
        <c:axId val="833650096"/>
        <c:scaling>
          <c:orientation val="minMax"/>
        </c:scaling>
        <c:delete val="0"/>
        <c:axPos val="b"/>
        <c:numFmt formatCode="0" sourceLinked="1"/>
        <c:majorTickMark val="none"/>
        <c:minorTickMark val="none"/>
        <c:tickLblPos val="nextTo"/>
        <c:spPr>
          <a:ln w="3175">
            <a:solidFill>
              <a:srgbClr val="808080"/>
            </a:solidFill>
          </a:ln>
        </c:spPr>
        <c:txPr>
          <a:bodyPr rot="0" vert="horz"/>
          <a:lstStyle/>
          <a:p>
            <a:pPr>
              <a:defRPr sz="1100" b="0" i="0" u="none" strike="noStrike" baseline="0">
                <a:solidFill>
                  <a:srgbClr val="000000"/>
                </a:solidFill>
                <a:latin typeface="Calibri"/>
                <a:ea typeface="Calibri"/>
                <a:cs typeface="Calibri"/>
              </a:defRPr>
            </a:pPr>
            <a:endParaRPr lang="en-US"/>
          </a:p>
        </c:txPr>
        <c:crossAx val="531031672"/>
        <c:crosses val="autoZero"/>
        <c:auto val="1"/>
        <c:lblAlgn val="ctr"/>
        <c:lblOffset val="100"/>
        <c:tickLblSkip val="1"/>
        <c:tickMarkSkip val="1"/>
        <c:noMultiLvlLbl val="0"/>
      </c:catAx>
      <c:valAx>
        <c:axId val="531031672"/>
        <c:scaling>
          <c:orientation val="minMax"/>
          <c:max val="6"/>
          <c:min val="0"/>
        </c:scaling>
        <c:delete val="0"/>
        <c:axPos val="l"/>
        <c:majorGridlines>
          <c:spPr>
            <a:ln w="3175">
              <a:solidFill>
                <a:srgbClr val="808080"/>
              </a:solidFill>
            </a:ln>
          </c:spPr>
        </c:majorGridlines>
        <c:numFmt formatCode="0.00" sourceLinked="0"/>
        <c:majorTickMark val="none"/>
        <c:minorTickMark val="none"/>
        <c:tickLblPos val="nextTo"/>
        <c:spPr>
          <a:ln w="6350">
            <a:noFill/>
          </a:ln>
        </c:spPr>
        <c:txPr>
          <a:bodyPr rot="0" vert="horz"/>
          <a:lstStyle/>
          <a:p>
            <a:pPr>
              <a:defRPr sz="1100" b="0" i="0" u="none" strike="noStrike" baseline="0">
                <a:solidFill>
                  <a:srgbClr val="000000"/>
                </a:solidFill>
                <a:latin typeface="Calibri"/>
                <a:ea typeface="Calibri"/>
                <a:cs typeface="Calibri"/>
              </a:defRPr>
            </a:pPr>
            <a:endParaRPr lang="en-US"/>
          </a:p>
        </c:txPr>
        <c:crossAx val="833650096"/>
        <c:crosses val="autoZero"/>
        <c:crossBetween val="between"/>
      </c:valAx>
      <c:spPr>
        <a:solidFill>
          <a:srgbClr val="FFFFFF"/>
        </a:solidFill>
        <a:ln w="25400">
          <a:noFill/>
        </a:ln>
      </c:spPr>
    </c:plotArea>
    <c:legend>
      <c:legendPos val="r"/>
      <c:layout>
        <c:manualLayout>
          <c:xMode val="edge"/>
          <c:yMode val="edge"/>
          <c:x val="0.082644628099173556"/>
          <c:y val="0.91799191767695709"/>
          <c:w val="0.91074380165289259"/>
          <c:h val="0.063492341235123373"/>
        </c:manualLayout>
      </c:layout>
      <c:overlay val="0"/>
      <c:spPr>
        <a:noFill/>
        <a:ln w="25400">
          <a:noFill/>
        </a:ln>
      </c:spPr>
    </c:legend>
    <c:plotVisOnly val="1"/>
    <c:dispBlanksAs val="gap"/>
    <c:showDLblsOverMax val="0"/>
  </c:chart>
  <c:spPr>
    <a:solidFill>
      <a:srgbClr val="FFFFFF"/>
    </a:solidFill>
    <a:ln w="3175">
      <a:solidFill>
        <a:srgbClr val="808080"/>
      </a:solid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List2!$A$3</c:f>
              <c:strCache>
                <c:ptCount val="1"/>
                <c:pt idx="0">
                  <c:v>Število smrtnih žrtev</c:v>
                </c:pt>
              </c:strCache>
            </c:strRef>
          </c:tx>
          <c:spPr>
            <a:ln w="22225" cap="rnd">
              <a:solidFill>
                <a:schemeClr val="accent1"/>
              </a:solidFill>
              <a:round/>
            </a:ln>
            <a:effectLst/>
          </c:spPr>
          <c:marker>
            <c:symbol val="none"/>
          </c:marker>
          <c:dLbls>
            <c:dLbl>
              <c:idx val="3"/>
              <c:layout>
                <c:manualLayout>
                  <c:x val="-0.036277777777777777"/>
                  <c:y val="-0.013888888888888888"/>
                </c:manualLayout>
              </c:layout>
              <c:dLblPos val="r"/>
              <c:showLegendKey val="0"/>
              <c:showVal val="1"/>
              <c:showCatName val="0"/>
              <c:showSerName val="0"/>
              <c:showPercent val="0"/>
              <c:showBubbleSize val="0"/>
              <c:extLst>
                <c:ext xmlns:c="http://schemas.openxmlformats.org/drawingml/2006/chart" xmlns:c16="http://schemas.microsoft.com/office/drawing/2014/chart" uri="{C3380CC4-5D6E-409C-BE32-E72D297353CC}">
                  <c16:uniqueId val="{00000000-922F-46BF-B300-25BFACF562E6}"/>
                </c:ext>
                <c:ext xmlns:c15="http://schemas.microsoft.com/office/drawing/2012/chart" uri="{CE6537A1-D6FC-4f65-9D91-7224C49458BB}"/>
              </c:extLst>
            </c:dLbl>
            <c:dLbl>
              <c:idx val="5"/>
              <c:layout>
                <c:manualLayout>
                  <c:x val="-0.029944444444444444"/>
                  <c:y val="0.013888888888888805"/>
                </c:manualLayout>
              </c:layout>
              <c:dLblPos val="r"/>
              <c:showLegendKey val="0"/>
              <c:showVal val="1"/>
              <c:showCatName val="0"/>
              <c:showSerName val="0"/>
              <c:showPercent val="0"/>
              <c:showBubbleSize val="0"/>
              <c:extLst>
                <c:ext xmlns:c="http://schemas.openxmlformats.org/drawingml/2006/chart" xmlns:c16="http://schemas.microsoft.com/office/drawing/2014/chart" uri="{C3380CC4-5D6E-409C-BE32-E72D297353CC}">
                  <c16:uniqueId val="{00000001-922F-46BF-B300-25BFACF562E6}"/>
                </c:ext>
                <c:ext xmlns:c15="http://schemas.microsoft.com/office/drawing/2012/chart" uri="{CE6537A1-D6FC-4f65-9D91-7224C49458BB}"/>
              </c:extLst>
            </c:dLbl>
            <c:dLbl>
              <c:idx val="9"/>
              <c:layout>
                <c:manualLayout>
                  <c:x val="-0.029944444444444444"/>
                  <c:y val="-0.013888888888888888"/>
                </c:manualLayout>
              </c:layout>
              <c:dLblPos val="r"/>
              <c:showLegendKey val="0"/>
              <c:showVal val="1"/>
              <c:showCatName val="0"/>
              <c:showSerName val="0"/>
              <c:showPercent val="0"/>
              <c:showBubbleSize val="0"/>
              <c:extLst>
                <c:ext xmlns:c="http://schemas.openxmlformats.org/drawingml/2006/chart" xmlns:c16="http://schemas.microsoft.com/office/drawing/2014/chart" uri="{C3380CC4-5D6E-409C-BE32-E72D297353CC}">
                  <c16:uniqueId val="{00000002-922F-46BF-B300-25BFACF562E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List2!$C$1:$M$1</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List2!$C$3:$M$3</c:f>
              <c:numCache>
                <c:formatCode>General</c:formatCode>
                <c:ptCount val="11"/>
                <c:pt idx="0">
                  <c:v>17</c:v>
                </c:pt>
                <c:pt idx="1">
                  <c:v>13</c:v>
                </c:pt>
                <c:pt idx="2">
                  <c:v>11</c:v>
                </c:pt>
                <c:pt idx="3">
                  <c:v>14</c:v>
                </c:pt>
                <c:pt idx="4">
                  <c:v>4</c:v>
                </c:pt>
                <c:pt idx="5">
                  <c:v>5</c:v>
                </c:pt>
                <c:pt idx="6">
                  <c:v>5</c:v>
                </c:pt>
                <c:pt idx="7">
                  <c:v>3</c:v>
                </c:pt>
                <c:pt idx="8">
                  <c:v>1</c:v>
                </c:pt>
                <c:pt idx="9">
                  <c:v>5</c:v>
                </c:pt>
                <c:pt idx="10">
                  <c:v>5</c:v>
                </c:pt>
              </c:numCache>
            </c:numRef>
          </c:val>
          <c:smooth val="0"/>
          <c:extLst>
            <c:ext xmlns:c="http://schemas.openxmlformats.org/drawingml/2006/chart" xmlns:c16="http://schemas.microsoft.com/office/drawing/2014/chart" uri="{C3380CC4-5D6E-409C-BE32-E72D297353CC}">
              <c16:uniqueId val="{00000003-922F-46BF-B300-25BFACF562E6}"/>
            </c:ext>
          </c:extLst>
        </c:ser>
        <c:ser>
          <c:idx val="1"/>
          <c:order val="1"/>
          <c:tx>
            <c:strRef>
              <c:f>List2!$A$4</c:f>
              <c:strCache>
                <c:ptCount val="1"/>
                <c:pt idx="0">
                  <c:v>Število hudo poškodovanih</c:v>
                </c:pt>
              </c:strCache>
            </c:strRef>
          </c:tx>
          <c:spPr>
            <a:ln w="22225" cap="rnd">
              <a:solidFill>
                <a:schemeClr val="accent2"/>
              </a:solidFill>
              <a:round/>
            </a:ln>
            <a:effectLst/>
          </c:spPr>
          <c:marker>
            <c:symbol val="none"/>
          </c:marker>
          <c:dLbls>
            <c:dLbl>
              <c:idx val="3"/>
              <c:layout>
                <c:manualLayout>
                  <c:x val="-0.039055555555555656"/>
                  <c:y val="0.013888888888888888"/>
                </c:manualLayout>
              </c:layout>
              <c:dLblPos val="r"/>
              <c:showLegendKey val="0"/>
              <c:showVal val="1"/>
              <c:showCatName val="0"/>
              <c:showSerName val="0"/>
              <c:showPercent val="0"/>
              <c:showBubbleSize val="0"/>
              <c:extLst>
                <c:ext xmlns:c="http://schemas.openxmlformats.org/drawingml/2006/chart" xmlns:c16="http://schemas.microsoft.com/office/drawing/2014/chart" uri="{C3380CC4-5D6E-409C-BE32-E72D297353CC}">
                  <c16:uniqueId val="{00000004-922F-46BF-B300-25BFACF562E6}"/>
                </c:ext>
                <c:ext xmlns:c15="http://schemas.microsoft.com/office/drawing/2012/chart" uri="{CE6537A1-D6FC-4f65-9D91-7224C49458BB}"/>
              </c:extLst>
            </c:dLbl>
            <c:dLbl>
              <c:idx val="5"/>
              <c:layout>
                <c:manualLayout>
                  <c:x val="-0.029944444444444444"/>
                  <c:y val="-0.023148148148148234"/>
                </c:manualLayout>
              </c:layout>
              <c:dLblPos val="r"/>
              <c:showLegendKey val="0"/>
              <c:showVal val="1"/>
              <c:showCatName val="0"/>
              <c:showSerName val="0"/>
              <c:showPercent val="0"/>
              <c:showBubbleSize val="0"/>
              <c:extLst>
                <c:ext xmlns:c="http://schemas.openxmlformats.org/drawingml/2006/chart" xmlns:c16="http://schemas.microsoft.com/office/drawing/2014/chart" uri="{C3380CC4-5D6E-409C-BE32-E72D297353CC}">
                  <c16:uniqueId val="{00000005-922F-46BF-B300-25BFACF562E6}"/>
                </c:ext>
                <c:ext xmlns:c15="http://schemas.microsoft.com/office/drawing/2012/chart" uri="{CE6537A1-D6FC-4f65-9D91-7224C49458BB}"/>
              </c:extLst>
            </c:dLbl>
            <c:dLbl>
              <c:idx val="8"/>
              <c:layout>
                <c:manualLayout>
                  <c:x val="-0.036277777777777777"/>
                  <c:y val="-0.0092592592592592587"/>
                </c:manualLayout>
              </c:layout>
              <c:dLblPos val="r"/>
              <c:showLegendKey val="0"/>
              <c:showVal val="1"/>
              <c:showCatName val="0"/>
              <c:showSerName val="0"/>
              <c:showPercent val="0"/>
              <c:showBubbleSize val="0"/>
              <c:extLst>
                <c:ext xmlns:c="http://schemas.openxmlformats.org/drawingml/2006/chart" xmlns:c16="http://schemas.microsoft.com/office/drawing/2014/chart" uri="{C3380CC4-5D6E-409C-BE32-E72D297353CC}">
                  <c16:uniqueId val="{00000006-922F-46BF-B300-25BFACF562E6}"/>
                </c:ext>
                <c:ext xmlns:c15="http://schemas.microsoft.com/office/drawing/2012/chart" uri="{CE6537A1-D6FC-4f65-9D91-7224C49458BB}"/>
              </c:extLst>
            </c:dLbl>
            <c:dLbl>
              <c:idx val="9"/>
              <c:layout>
                <c:manualLayout>
                  <c:x val="-0.032722222222222326"/>
                  <c:y val="0.013888888888888888"/>
                </c:manualLayout>
              </c:layout>
              <c:dLblPos val="r"/>
              <c:showLegendKey val="0"/>
              <c:showVal val="1"/>
              <c:showCatName val="0"/>
              <c:showSerName val="0"/>
              <c:showPercent val="0"/>
              <c:showBubbleSize val="0"/>
              <c:extLst>
                <c:ext xmlns:c="http://schemas.openxmlformats.org/drawingml/2006/chart" xmlns:c16="http://schemas.microsoft.com/office/drawing/2014/chart" uri="{C3380CC4-5D6E-409C-BE32-E72D297353CC}">
                  <c16:uniqueId val="{00000007-922F-46BF-B300-25BFACF562E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List2!$C$1:$M$1</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List2!$C$4:$M$4</c:f>
              <c:numCache>
                <c:formatCode>General</c:formatCode>
                <c:ptCount val="11"/>
                <c:pt idx="0">
                  <c:v>30</c:v>
                </c:pt>
                <c:pt idx="1">
                  <c:v>41</c:v>
                </c:pt>
                <c:pt idx="2">
                  <c:v>14</c:v>
                </c:pt>
                <c:pt idx="3">
                  <c:v>12</c:v>
                </c:pt>
                <c:pt idx="4">
                  <c:v>12</c:v>
                </c:pt>
                <c:pt idx="5">
                  <c:v>6</c:v>
                </c:pt>
                <c:pt idx="6">
                  <c:v>10</c:v>
                </c:pt>
                <c:pt idx="7">
                  <c:v>8</c:v>
                </c:pt>
                <c:pt idx="8">
                  <c:v>13</c:v>
                </c:pt>
                <c:pt idx="9">
                  <c:v>4</c:v>
                </c:pt>
                <c:pt idx="10">
                  <c:v>3</c:v>
                </c:pt>
              </c:numCache>
            </c:numRef>
          </c:val>
          <c:smooth val="0"/>
          <c:extLst>
            <c:ext xmlns:c="http://schemas.openxmlformats.org/drawingml/2006/chart" xmlns:c16="http://schemas.microsoft.com/office/drawing/2014/chart" uri="{C3380CC4-5D6E-409C-BE32-E72D297353CC}">
              <c16:uniqueId val="{00000008-922F-46BF-B300-25BFACF562E6}"/>
            </c:ext>
          </c:extLst>
        </c:ser>
        <c:dLbls>
          <c:dLblPos val="ctr"/>
          <c:showLegendKey val="0"/>
          <c:showVal val="1"/>
          <c:showCatName val="0"/>
          <c:showSerName val="0"/>
          <c:showPercent val="0"/>
          <c:showBubbleSize val="0"/>
        </c:dLbls>
        <c:dropLines>
          <c:spPr>
            <a:ln w="9525">
              <a:solidFill>
                <a:schemeClr val="dk1">
                  <a:lumMod val="35000"/>
                  <a:lumOff val="65000"/>
                  <a:alpha val="33000"/>
                </a:schemeClr>
              </a:solidFill>
              <a:round/>
            </a:ln>
            <a:effectLst/>
          </c:spPr>
        </c:dropLines>
        <c:smooth val="0"/>
        <c:axId val="828290720"/>
        <c:axId val="828291112"/>
      </c:lineChart>
      <c:catAx>
        <c:axId val="828290720"/>
        <c:scaling>
          <c:orientation val="minMax"/>
        </c:scaling>
        <c:delete val="0"/>
        <c:axPos val="b"/>
        <c:numFmt formatCode="General" sourceLinked="1"/>
        <c:majorTickMark val="none"/>
        <c:minorTickMark val="none"/>
        <c:tickLblPos val="nextTo"/>
        <c:spPr>
          <a:noFill/>
          <a:ln w="9525">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828291112"/>
        <c:crosses val="autoZero"/>
        <c:auto val="1"/>
        <c:lblAlgn val="ctr"/>
        <c:lblOffset val="100"/>
        <c:noMultiLvlLbl val="0"/>
      </c:catAx>
      <c:valAx>
        <c:axId val="8282911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828290720"/>
        <c:crosses val="autoZero"/>
        <c:crossBetween val="between"/>
      </c:valAx>
      <c:spPr>
        <a:gradFill rotWithShape="0">
          <a:gsLst>
            <a:gs pos="0">
              <a:schemeClr val="lt1"/>
            </a:gs>
            <a:gs pos="100000">
              <a:schemeClr val="lt1">
                <a:lumMod val="95000"/>
              </a:schemeClr>
            </a:gs>
          </a:gsLst>
          <a:lin ang="5400000" scaled="0"/>
        </a:grad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Calibri"/>
                <a:ea typeface="Calibri"/>
                <a:cs typeface="Calibri"/>
              </a:defRPr>
            </a:pPr>
            <a:r>
              <a:rPr lang="en-GB" sz="1200" b="1" i="0" kern="1200" baseline="0">
                <a:solidFill>
                  <a:srgbClr val="000000"/>
                </a:solidFill>
                <a:effectLst/>
                <a:latin typeface="Calibri" panose="020F0502020204030204" pitchFamily="34" charset="0"/>
                <a:ea typeface="Calibri" panose="020F0502020204030204" pitchFamily="34" charset="0"/>
              </a:rPr>
              <a:t>Number of fatalities and seriously injured level-crossing users per billion train-kilometres (CST 3.1) </a:t>
            </a:r>
          </a:p>
        </c:rich>
      </c:tx>
      <c:layout>
        <c:manualLayout>
          <c:xMode val="edge"/>
          <c:yMode val="edge"/>
          <c:x val="0.13876748877464698"/>
          <c:y val="0.016631809912649807"/>
        </c:manualLayout>
      </c:layout>
      <c:overlay val="0"/>
      <c:spPr>
        <a:noFill/>
        <a:ln w="25400">
          <a:noFill/>
        </a:ln>
      </c:spPr>
    </c:title>
    <c:autoTitleDeleted val="0"/>
    <c:plotArea>
      <c:layout>
        <c:manualLayout>
          <c:layoutTarget val="inner"/>
          <c:xMode val="edge"/>
          <c:yMode val="edge"/>
          <c:x val="0.11445061929242316"/>
          <c:y val="0.12266112266112289"/>
          <c:w val="0.87232624021170913"/>
          <c:h val="0.73615381410657"/>
        </c:manualLayout>
      </c:layout>
      <c:barChart>
        <c:barDir val="col"/>
        <c:grouping val="stacked"/>
        <c:varyColors val="0"/>
        <c:ser>
          <c:idx val="0"/>
          <c:order val="0"/>
          <c:tx>
            <c:strRef>
              <c:f>'3.4'!$H$30</c:f>
              <c:strCache>
                <c:ptCount val="1"/>
                <c:pt idx="0">
                  <c:v>FWSI na vlakovni kilometer (v milijardah)</c:v>
                </c:pt>
              </c:strCache>
            </c:strRef>
          </c:tx>
          <c:spPr>
            <a:solidFill>
              <a:srgbClr val="4F81BD"/>
            </a:solid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'3.4'!$D$31:$D$35</c:f>
              <c:numCache>
                <c:formatCode>0</c:formatCode>
                <c:ptCount val="5"/>
                <c:pt idx="0">
                  <c:v>2013</c:v>
                </c:pt>
                <c:pt idx="1">
                  <c:v>2014</c:v>
                </c:pt>
                <c:pt idx="2">
                  <c:v>2015</c:v>
                </c:pt>
                <c:pt idx="3">
                  <c:v>2016</c:v>
                </c:pt>
                <c:pt idx="4">
                  <c:v>2017</c:v>
                </c:pt>
              </c:numCache>
            </c:numRef>
          </c:cat>
          <c:val>
            <c:numRef>
              <c:f>'3.4'!$H$31:$H$35</c:f>
              <c:numCache>
                <c:formatCode>0.000</c:formatCode>
                <c:ptCount val="5"/>
                <c:pt idx="0">
                  <c:v>243.30561966465535</c:v>
                </c:pt>
                <c:pt idx="1">
                  <c:v>180.29343975519078</c:v>
                </c:pt>
                <c:pt idx="2">
                  <c:v>102.11029489917306</c:v>
                </c:pt>
                <c:pt idx="3">
                  <c:v>253.7264903612126</c:v>
                </c:pt>
                <c:pt idx="4">
                  <c:v>236.34236555073682</c:v>
                </c:pt>
              </c:numCache>
            </c:numRef>
          </c:val>
          <c:extLst>
            <c:ext xmlns:c="http://schemas.openxmlformats.org/drawingml/2006/chart" xmlns:c16="http://schemas.microsoft.com/office/drawing/2014/chart" uri="{C3380CC4-5D6E-409C-BE32-E72D297353CC}">
              <c16:uniqueId val="{00000000-FAF9-48C2-91BD-B27ACD0F4C12}"/>
            </c:ext>
          </c:extLst>
        </c:ser>
        <c:dLbls>
          <c:showLegendKey val="0"/>
          <c:showVal val="0"/>
          <c:showCatName val="0"/>
          <c:showSerName val="0"/>
          <c:showPercent val="0"/>
          <c:showBubbleSize val="0"/>
        </c:dLbls>
        <c:gapWidth val="75"/>
        <c:overlap val="100"/>
        <c:axId val="846206872"/>
        <c:axId val="846209224"/>
      </c:barChart>
      <c:catAx>
        <c:axId val="846206872"/>
        <c:scaling>
          <c:orientation val="minMax"/>
        </c:scaling>
        <c:delete val="0"/>
        <c:axPos val="b"/>
        <c:numFmt formatCode="0" sourceLinked="1"/>
        <c:majorTickMark val="none"/>
        <c:minorTickMark val="none"/>
        <c:tickLblPos val="nextTo"/>
        <c:spPr>
          <a:ln w="3175">
            <a:solidFill>
              <a:srgbClr val="808080"/>
            </a:solidFill>
          </a:ln>
        </c:spPr>
        <c:txPr>
          <a:bodyPr rot="0" vert="horz"/>
          <a:lstStyle/>
          <a:p>
            <a:pPr>
              <a:defRPr sz="1100" b="0" i="0" u="none" strike="noStrike" baseline="0">
                <a:solidFill>
                  <a:srgbClr val="000000"/>
                </a:solidFill>
                <a:latin typeface="Calibri"/>
                <a:ea typeface="Calibri"/>
                <a:cs typeface="Calibri"/>
              </a:defRPr>
            </a:pPr>
            <a:endParaRPr lang="en-US"/>
          </a:p>
        </c:txPr>
        <c:crossAx val="846209224"/>
        <c:crosses val="autoZero"/>
        <c:auto val="1"/>
        <c:lblAlgn val="ctr"/>
        <c:lblOffset val="100"/>
        <c:tickLblSkip val="1"/>
        <c:tickMarkSkip val="1"/>
        <c:noMultiLvlLbl val="0"/>
      </c:catAx>
      <c:valAx>
        <c:axId val="846209224"/>
        <c:scaling>
          <c:orientation val="minMax"/>
          <c:max val="304"/>
          <c:min val="0"/>
        </c:scaling>
        <c:delete val="0"/>
        <c:axPos val="l"/>
        <c:majorGridlines>
          <c:spPr>
            <a:ln w="3175">
              <a:solidFill>
                <a:srgbClr val="808080"/>
              </a:solidFill>
            </a:ln>
          </c:spPr>
        </c:majorGridlines>
        <c:numFmt formatCode="0.00" sourceLinked="0"/>
        <c:majorTickMark val="none"/>
        <c:minorTickMark val="none"/>
        <c:tickLblPos val="nextTo"/>
        <c:spPr>
          <a:ln w="6350">
            <a:noFill/>
          </a:ln>
        </c:spPr>
        <c:txPr>
          <a:bodyPr rot="0" vert="horz"/>
          <a:lstStyle/>
          <a:p>
            <a:pPr>
              <a:defRPr sz="1100" b="0" i="0" u="none" strike="noStrike" baseline="0">
                <a:solidFill>
                  <a:srgbClr val="000000"/>
                </a:solidFill>
                <a:latin typeface="Calibri"/>
                <a:ea typeface="Calibri"/>
                <a:cs typeface="Calibri"/>
              </a:defRPr>
            </a:pPr>
            <a:endParaRPr lang="en-US"/>
          </a:p>
        </c:txPr>
        <c:crossAx val="846206872"/>
        <c:crosses val="autoZero"/>
        <c:crossBetween val="between"/>
      </c:valAx>
      <c:spPr>
        <a:solidFill>
          <a:srgbClr val="FFFFFF"/>
        </a:solidFill>
        <a:ln w="25400">
          <a:noFill/>
        </a:ln>
      </c:spPr>
    </c:plotArea>
    <c:legend>
      <c:legendPos val="r"/>
      <c:layout>
        <c:manualLayout>
          <c:xMode val="edge"/>
          <c:yMode val="edge"/>
          <c:x val="0.080991735537190079"/>
          <c:y val="0.91799191767695709"/>
          <c:w val="0.91074380165289259"/>
          <c:h val="0.063492341235123373"/>
        </c:manualLayout>
      </c:layout>
      <c:overlay val="0"/>
      <c:spPr>
        <a:noFill/>
        <a:ln w="25400">
          <a:noFill/>
        </a:ln>
      </c:spPr>
    </c:legend>
    <c:plotVisOnly val="1"/>
    <c:dispBlanksAs val="gap"/>
    <c:showDLblsOverMax val="0"/>
  </c:chart>
  <c:spPr>
    <a:solidFill>
      <a:srgbClr val="FFFFFF"/>
    </a:solidFill>
    <a:ln w="3175">
      <a:solidFill>
        <a:srgbClr val="808080"/>
      </a:solid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Calibri"/>
                <a:ea typeface="Calibri"/>
                <a:cs typeface="Calibri"/>
              </a:defRPr>
            </a:pPr>
            <a:r>
              <a:rPr lang="en-GB"/>
              <a:t>Number of fatalities and seriously injured level crossing users per billion train-kilometres/train-kilometres per number of level crossings (CST 3.2) </a:t>
            </a:r>
          </a:p>
        </c:rich>
      </c:tx>
      <c:layout>
        <c:manualLayout>
          <c:xMode val="edge"/>
          <c:yMode val="edge"/>
          <c:x val="0.12326361684128326"/>
          <c:y val="0.016631809912649807"/>
        </c:manualLayout>
      </c:layout>
      <c:overlay val="0"/>
      <c:spPr>
        <a:noFill/>
        <a:ln w="25400">
          <a:noFill/>
        </a:ln>
      </c:spPr>
    </c:title>
    <c:autoTitleDeleted val="0"/>
    <c:plotArea>
      <c:layout>
        <c:manualLayout>
          <c:layoutTarget val="inner"/>
          <c:xMode val="edge"/>
          <c:yMode val="edge"/>
          <c:x val="0.10783904904448928"/>
          <c:y val="0.12266112266112295"/>
          <c:w val="0.88114166720895426"/>
          <c:h val="0.72557172557172567"/>
        </c:manualLayout>
      </c:layout>
      <c:barChart>
        <c:barDir val="col"/>
        <c:grouping val="stacked"/>
        <c:varyColors val="0"/>
        <c:ser>
          <c:idx val="0"/>
          <c:order val="0"/>
          <c:tx>
            <c:strRef>
              <c:f>'3.5'!$I$30</c:f>
              <c:strCache>
                <c:ptCount val="1"/>
                <c:pt idx="0">
                  <c:v>FWSI na izpostavljenost nevarnosti </c:v>
                </c:pt>
              </c:strCache>
            </c:strRef>
          </c:tx>
          <c:spPr>
            <a:solidFill>
              <a:srgbClr val="4F81BD"/>
            </a:solid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'3.5'!$C$31:$C$35</c:f>
              <c:numCache>
                <c:formatCode>0</c:formatCode>
                <c:ptCount val="5"/>
                <c:pt idx="0">
                  <c:v>2013</c:v>
                </c:pt>
                <c:pt idx="1">
                  <c:v>2014</c:v>
                </c:pt>
                <c:pt idx="2">
                  <c:v>2015</c:v>
                </c:pt>
                <c:pt idx="3">
                  <c:v>2016</c:v>
                </c:pt>
                <c:pt idx="4">
                  <c:v>2017</c:v>
                </c:pt>
              </c:numCache>
            </c:numRef>
          </c:cat>
          <c:val>
            <c:numRef>
              <c:f>'3.5'!$I$31:$I$35</c:f>
              <c:numCache>
                <c:formatCode>0.000</c:formatCode>
                <c:ptCount val="5"/>
                <c:pt idx="0">
                  <c:v>92.975594140011722</c:v>
                </c:pt>
                <c:pt idx="1">
                  <c:v>65.170064814751854</c:v>
                </c:pt>
                <c:pt idx="2">
                  <c:v>35.596295416296293</c:v>
                </c:pt>
                <c:pt idx="3">
                  <c:v>56.286784441623908</c:v>
                </c:pt>
                <c:pt idx="4">
                  <c:v>80.870726913235117</c:v>
                </c:pt>
              </c:numCache>
            </c:numRef>
          </c:val>
          <c:extLst>
            <c:ext xmlns:c="http://schemas.openxmlformats.org/drawingml/2006/chart" xmlns:c16="http://schemas.microsoft.com/office/drawing/2014/chart" uri="{C3380CC4-5D6E-409C-BE32-E72D297353CC}">
              <c16:uniqueId val="{00000000-80A1-4E95-BDCC-85EE37C9A846}"/>
            </c:ext>
          </c:extLst>
        </c:ser>
        <c:dLbls>
          <c:showLegendKey val="0"/>
          <c:showVal val="0"/>
          <c:showCatName val="0"/>
          <c:showSerName val="0"/>
          <c:showPercent val="0"/>
          <c:showBubbleSize val="0"/>
        </c:dLbls>
        <c:gapWidth val="75"/>
        <c:overlap val="100"/>
        <c:axId val="846207264"/>
        <c:axId val="846208440"/>
      </c:barChart>
      <c:catAx>
        <c:axId val="846207264"/>
        <c:scaling>
          <c:orientation val="minMax"/>
        </c:scaling>
        <c:delete val="0"/>
        <c:axPos val="b"/>
        <c:numFmt formatCode="0" sourceLinked="1"/>
        <c:majorTickMark val="none"/>
        <c:minorTickMark val="none"/>
        <c:tickLblPos val="nextTo"/>
        <c:spPr>
          <a:ln w="3175">
            <a:solidFill>
              <a:srgbClr val="808080"/>
            </a:solidFill>
          </a:ln>
        </c:spPr>
        <c:txPr>
          <a:bodyPr rot="0" vert="horz"/>
          <a:lstStyle/>
          <a:p>
            <a:pPr>
              <a:defRPr sz="1100" b="0" i="0" u="none" strike="noStrike" baseline="0">
                <a:solidFill>
                  <a:srgbClr val="000000"/>
                </a:solidFill>
                <a:latin typeface="Calibri"/>
                <a:ea typeface="Calibri"/>
                <a:cs typeface="Calibri"/>
              </a:defRPr>
            </a:pPr>
            <a:endParaRPr lang="en-US"/>
          </a:p>
        </c:txPr>
        <c:crossAx val="846208440"/>
        <c:crosses val="autoZero"/>
        <c:auto val="1"/>
        <c:lblAlgn val="ctr"/>
        <c:lblOffset val="100"/>
        <c:tickLblSkip val="1"/>
        <c:tickMarkSkip val="1"/>
        <c:noMultiLvlLbl val="0"/>
      </c:catAx>
      <c:valAx>
        <c:axId val="846208440"/>
        <c:scaling>
          <c:orientation val="minMax"/>
          <c:max val="112"/>
          <c:min val="0"/>
        </c:scaling>
        <c:delete val="0"/>
        <c:axPos val="l"/>
        <c:majorGridlines>
          <c:spPr>
            <a:ln w="3175">
              <a:solidFill>
                <a:srgbClr val="808080"/>
              </a:solidFill>
            </a:ln>
          </c:spPr>
        </c:majorGridlines>
        <c:numFmt formatCode="0.00" sourceLinked="0"/>
        <c:majorTickMark val="none"/>
        <c:minorTickMark val="none"/>
        <c:tickLblPos val="nextTo"/>
        <c:spPr>
          <a:ln w="6350">
            <a:noFill/>
          </a:ln>
        </c:spPr>
        <c:txPr>
          <a:bodyPr rot="0" vert="horz"/>
          <a:lstStyle/>
          <a:p>
            <a:pPr>
              <a:defRPr sz="1100" b="0" i="0" u="none" strike="noStrike" baseline="0">
                <a:solidFill>
                  <a:srgbClr val="000000"/>
                </a:solidFill>
                <a:latin typeface="Calibri"/>
                <a:ea typeface="Calibri"/>
                <a:cs typeface="Calibri"/>
              </a:defRPr>
            </a:pPr>
            <a:endParaRPr lang="en-US"/>
          </a:p>
        </c:txPr>
        <c:crossAx val="846207264"/>
        <c:crosses val="autoZero"/>
        <c:crossBetween val="between"/>
      </c:valAx>
      <c:spPr>
        <a:solidFill>
          <a:srgbClr val="FFFFFF"/>
        </a:solidFill>
        <a:ln w="25400">
          <a:noFill/>
        </a:ln>
      </c:spPr>
    </c:plotArea>
    <c:legend>
      <c:legendPos val="r"/>
      <c:layout>
        <c:manualLayout>
          <c:xMode val="edge"/>
          <c:yMode val="edge"/>
          <c:x val="0.087603305785123972"/>
          <c:y val="0.91799191767695709"/>
          <c:w val="0.87768595041322317"/>
          <c:h val="0.063492341235123373"/>
        </c:manualLayout>
      </c:layout>
      <c:overlay val="0"/>
      <c:spPr>
        <a:noFill/>
        <a:ln w="25400">
          <a:noFill/>
        </a:ln>
      </c:spPr>
    </c:legend>
    <c:plotVisOnly val="1"/>
    <c:dispBlanksAs val="gap"/>
    <c:showDLblsOverMax val="0"/>
  </c:chart>
  <c:spPr>
    <a:solidFill>
      <a:srgbClr val="FFFFFF"/>
    </a:solidFill>
    <a:ln w="3175">
      <a:solidFill>
        <a:srgbClr val="808080"/>
      </a:solid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Calibri"/>
                <a:ea typeface="Calibri"/>
                <a:cs typeface="Calibri"/>
              </a:defRPr>
            </a:pPr>
            <a:r>
              <a:rPr lang="en-GB" sz="1200" b="1" i="0" kern="1200" baseline="0">
                <a:solidFill>
                  <a:srgbClr val="000000"/>
                </a:solidFill>
                <a:effectLst/>
                <a:latin typeface="Calibri" panose="020F0502020204030204" pitchFamily="34" charset="0"/>
                <a:ea typeface="Calibri" panose="020F0502020204030204" pitchFamily="34" charset="0"/>
              </a:rPr>
              <a:t>Number of fatalities and seriously injured unauthorised persons per billion train-kilometres (CST 5) </a:t>
            </a:r>
          </a:p>
        </c:rich>
      </c:tx>
      <c:layout>
        <c:manualLayout>
          <c:xMode val="edge"/>
          <c:yMode val="edge"/>
          <c:x val="0.13435786642372183"/>
          <c:y val="0.0095763029621297336"/>
        </c:manualLayout>
      </c:layout>
      <c:overlay val="0"/>
      <c:spPr>
        <a:noFill/>
        <a:ln w="25400">
          <a:noFill/>
        </a:ln>
      </c:spPr>
    </c:title>
    <c:autoTitleDeleted val="0"/>
    <c:plotArea>
      <c:layout>
        <c:manualLayout>
          <c:layoutTarget val="inner"/>
          <c:xMode val="edge"/>
          <c:yMode val="edge"/>
          <c:x val="0.12673720743584738"/>
          <c:y val="0.12266112266112301"/>
          <c:w val="0.86224350881759615"/>
          <c:h val="0.7290991403852296"/>
        </c:manualLayout>
      </c:layout>
      <c:barChart>
        <c:barDir val="col"/>
        <c:grouping val="stacked"/>
        <c:varyColors val="0"/>
        <c:ser>
          <c:idx val="0"/>
          <c:order val="0"/>
          <c:tx>
            <c:strRef>
              <c:f>'3.7'!$H$30</c:f>
              <c:strCache>
                <c:ptCount val="1"/>
                <c:pt idx="0">
                  <c:v>FWSI na vlakovni kilometer (v milijardah)</c:v>
                </c:pt>
              </c:strCache>
            </c:strRef>
          </c:tx>
          <c:spPr>
            <a:solidFill>
              <a:srgbClr val="4F81BD"/>
            </a:solidFill>
            <a:ln w="25400">
              <a:noFill/>
            </a:ln>
          </c:spPr>
          <c:invertIfNegative val="0"/>
          <c:dLbls>
            <c:dLbl>
              <c:idx val="1"/>
              <c:delete val="1"/>
              <c:extLst>
                <c:ext xmlns:c="http://schemas.openxmlformats.org/drawingml/2006/chart" xmlns:c16="http://schemas.microsoft.com/office/drawing/2014/chart" uri="{C3380CC4-5D6E-409C-BE32-E72D297353CC}">
                  <c16:uniqueId val="{00000000-D856-4D94-827B-D2DDB0667AA1}"/>
                </c:ext>
                <c:ext xmlns:c15="http://schemas.microsoft.com/office/drawing/2012/chart" uri="{CE6537A1-D6FC-4f65-9D91-7224C49458BB}"/>
              </c:extLst>
            </c:dLbl>
            <c:dLbl>
              <c:idx val="3"/>
              <c:delete val="1"/>
              <c:extLst>
                <c:ext xmlns:c="http://schemas.openxmlformats.org/drawingml/2006/chart" xmlns:c16="http://schemas.microsoft.com/office/drawing/2014/chart" uri="{C3380CC4-5D6E-409C-BE32-E72D297353CC}">
                  <c16:uniqueId val="{00000001-D856-4D94-827B-D2DDB0667AA1}"/>
                </c:ext>
                <c:ext xmlns:c15="http://schemas.microsoft.com/office/drawing/2012/chart" uri="{CE6537A1-D6FC-4f65-9D91-7224C49458BB}"/>
              </c:extLst>
            </c:dLbl>
            <c:dLbl>
              <c:idx val="4"/>
              <c:delete val="1"/>
              <c:extLst>
                <c:ext xmlns:c="http://schemas.openxmlformats.org/drawingml/2006/chart" xmlns:c16="http://schemas.microsoft.com/office/drawing/2014/chart" uri="{C3380CC4-5D6E-409C-BE32-E72D297353CC}">
                  <c16:uniqueId val="{00000002-D856-4D94-827B-D2DDB0667AA1}"/>
                </c:ext>
                <c:ext xmlns:c15="http://schemas.microsoft.com/office/drawing/2012/chart" uri="{CE6537A1-D6FC-4f65-9D91-7224C49458BB}"/>
              </c:extLst>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'3.7'!$D$31:$D$35</c:f>
              <c:numCache>
                <c:formatCode>0</c:formatCode>
                <c:ptCount val="5"/>
                <c:pt idx="0">
                  <c:v>2013</c:v>
                </c:pt>
                <c:pt idx="1">
                  <c:v>2014</c:v>
                </c:pt>
                <c:pt idx="2">
                  <c:v>2015</c:v>
                </c:pt>
                <c:pt idx="3">
                  <c:v>2016</c:v>
                </c:pt>
                <c:pt idx="4">
                  <c:v>2017</c:v>
                </c:pt>
              </c:numCache>
            </c:numRef>
          </c:cat>
          <c:val>
            <c:numRef>
              <c:f>'3.7'!$H$31:$H$35</c:f>
              <c:numCache>
                <c:formatCode>0.000</c:formatCode>
                <c:ptCount val="5"/>
                <c:pt idx="0">
                  <c:v>49.654208094827624</c:v>
                </c:pt>
                <c:pt idx="1">
                  <c:v>0</c:v>
                </c:pt>
                <c:pt idx="2">
                  <c:v>4.6413770408715029</c:v>
                </c:pt>
                <c:pt idx="3">
                  <c:v>0</c:v>
                </c:pt>
                <c:pt idx="4">
                  <c:v>0</c:v>
                </c:pt>
              </c:numCache>
            </c:numRef>
          </c:val>
          <c:extLst>
            <c:ext xmlns:c="http://schemas.openxmlformats.org/drawingml/2006/chart" xmlns:c16="http://schemas.microsoft.com/office/drawing/2014/chart" uri="{C3380CC4-5D6E-409C-BE32-E72D297353CC}">
              <c16:uniqueId val="{00000003-D856-4D94-827B-D2DDB0667AA1}"/>
            </c:ext>
          </c:extLst>
        </c:ser>
        <c:dLbls>
          <c:showLegendKey val="0"/>
          <c:showVal val="0"/>
          <c:showCatName val="0"/>
          <c:showSerName val="0"/>
          <c:showPercent val="0"/>
          <c:showBubbleSize val="0"/>
        </c:dLbls>
        <c:gapWidth val="75"/>
        <c:overlap val="100"/>
        <c:axId val="846206480"/>
        <c:axId val="846207656"/>
      </c:barChart>
      <c:catAx>
        <c:axId val="846206480"/>
        <c:scaling>
          <c:orientation val="minMax"/>
        </c:scaling>
        <c:delete val="0"/>
        <c:axPos val="b"/>
        <c:numFmt formatCode="0" sourceLinked="1"/>
        <c:majorTickMark val="none"/>
        <c:minorTickMark val="none"/>
        <c:tickLblPos val="nextTo"/>
        <c:spPr>
          <a:ln w="3175">
            <a:solidFill>
              <a:srgbClr val="808080"/>
            </a:solidFill>
          </a:ln>
        </c:spPr>
        <c:txPr>
          <a:bodyPr rot="0" vert="horz"/>
          <a:lstStyle/>
          <a:p>
            <a:pPr>
              <a:defRPr sz="1100" b="0" i="0" u="none" strike="noStrike" baseline="0">
                <a:solidFill>
                  <a:srgbClr val="000000"/>
                </a:solidFill>
                <a:latin typeface="Calibri"/>
                <a:ea typeface="Calibri"/>
                <a:cs typeface="Calibri"/>
              </a:defRPr>
            </a:pPr>
            <a:endParaRPr lang="en-US"/>
          </a:p>
        </c:txPr>
        <c:crossAx val="846207656"/>
        <c:crosses val="autoZero"/>
        <c:auto val="1"/>
        <c:lblAlgn val="ctr"/>
        <c:lblOffset val="100"/>
        <c:tickLblSkip val="1"/>
        <c:tickMarkSkip val="1"/>
        <c:noMultiLvlLbl val="0"/>
      </c:catAx>
      <c:valAx>
        <c:axId val="846207656"/>
        <c:scaling>
          <c:orientation val="minMax"/>
          <c:max val="60"/>
          <c:min val="0"/>
        </c:scaling>
        <c:delete val="0"/>
        <c:axPos val="l"/>
        <c:majorGridlines>
          <c:spPr>
            <a:ln w="3175">
              <a:solidFill>
                <a:srgbClr val="808080"/>
              </a:solidFill>
            </a:ln>
          </c:spPr>
        </c:majorGridlines>
        <c:numFmt formatCode="0.00" sourceLinked="0"/>
        <c:majorTickMark val="none"/>
        <c:minorTickMark val="none"/>
        <c:tickLblPos val="nextTo"/>
        <c:spPr>
          <a:ln w="6350">
            <a:noFill/>
          </a:ln>
        </c:spPr>
        <c:txPr>
          <a:bodyPr rot="0" vert="horz"/>
          <a:lstStyle/>
          <a:p>
            <a:pPr>
              <a:defRPr sz="1100" b="0" i="0" u="none" strike="noStrike" baseline="0">
                <a:solidFill>
                  <a:srgbClr val="000000"/>
                </a:solidFill>
                <a:latin typeface="Calibri"/>
                <a:ea typeface="Calibri"/>
                <a:cs typeface="Calibri"/>
              </a:defRPr>
            </a:pPr>
            <a:endParaRPr lang="en-US"/>
          </a:p>
        </c:txPr>
        <c:crossAx val="846206480"/>
        <c:crosses val="autoZero"/>
        <c:crossBetween val="between"/>
      </c:valAx>
      <c:spPr>
        <a:solidFill>
          <a:srgbClr val="FFFFFF"/>
        </a:solidFill>
        <a:ln w="25400">
          <a:noFill/>
        </a:ln>
      </c:spPr>
    </c:plotArea>
    <c:legend>
      <c:legendPos val="r"/>
      <c:layout>
        <c:manualLayout>
          <c:xMode val="edge"/>
          <c:yMode val="edge"/>
          <c:x val="0.087603305785123972"/>
          <c:y val="0.91799191767695709"/>
          <c:w val="0.89090909090909087"/>
          <c:h val="0.063492341235123373"/>
        </c:manualLayout>
      </c:layout>
      <c:overlay val="0"/>
      <c:spPr>
        <a:noFill/>
        <a:ln w="25400">
          <a:noFill/>
        </a:ln>
      </c:spPr>
    </c:legend>
    <c:plotVisOnly val="1"/>
    <c:dispBlanksAs val="gap"/>
    <c:showDLblsOverMax val="0"/>
  </c:chart>
  <c:spPr>
    <a:solidFill>
      <a:srgbClr val="FFFFFF"/>
    </a:solidFill>
    <a:ln w="3175">
      <a:solidFill>
        <a:srgbClr val="808080"/>
      </a:solid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Calibri"/>
                <a:ea typeface="Calibri"/>
                <a:cs typeface="Calibri"/>
              </a:defRPr>
            </a:pPr>
            <a:r>
              <a:rPr lang="en-GB" sz="1200" b="1" i="0" kern="1200" baseline="0">
                <a:solidFill>
                  <a:srgbClr val="000000"/>
                </a:solidFill>
                <a:effectLst/>
                <a:latin typeface="Calibri" panose="020F0502020204030204" pitchFamily="34" charset="0"/>
                <a:ea typeface="Calibri" panose="020F0502020204030204" pitchFamily="34" charset="0"/>
              </a:rPr>
              <a:t>Number of fatalities and serious injuries among all persons per billion train-kilometres (CST 6) </a:t>
            </a:r>
          </a:p>
        </c:rich>
      </c:tx>
      <c:layout>
        <c:manualLayout>
          <c:xMode val="edge"/>
          <c:yMode val="edge"/>
          <c:x val="0.13876766230667448"/>
          <c:y val="0.0060486883583996441"/>
        </c:manualLayout>
      </c:layout>
      <c:overlay val="0"/>
      <c:spPr>
        <a:noFill/>
        <a:ln w="25400">
          <a:noFill/>
        </a:ln>
      </c:spPr>
    </c:title>
    <c:autoTitleDeleted val="0"/>
    <c:plotArea>
      <c:layout>
        <c:manualLayout>
          <c:layoutTarget val="inner"/>
          <c:xMode val="edge"/>
          <c:yMode val="edge"/>
          <c:x val="0.12673720743584738"/>
          <c:y val="0.12266112266112307"/>
          <c:w val="0.86444736556690749"/>
          <c:h val="0.718517129803219"/>
        </c:manualLayout>
      </c:layout>
      <c:barChart>
        <c:barDir val="col"/>
        <c:grouping val="stacked"/>
        <c:varyColors val="0"/>
        <c:ser>
          <c:idx val="0"/>
          <c:order val="0"/>
          <c:tx>
            <c:strRef>
              <c:f>'3.8'!$H$30</c:f>
              <c:strCache>
                <c:ptCount val="1"/>
                <c:pt idx="0">
                  <c:v>FWSI na vlakovni kilometer (v milijardah)</c:v>
                </c:pt>
              </c:strCache>
            </c:strRef>
          </c:tx>
          <c:spPr>
            <a:solidFill>
              <a:srgbClr val="4F81BD"/>
            </a:solid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'3.8'!$D$31:$D$35</c:f>
              <c:numCache>
                <c:formatCode>0</c:formatCode>
                <c:ptCount val="5"/>
                <c:pt idx="0">
                  <c:v>2013</c:v>
                </c:pt>
                <c:pt idx="1">
                  <c:v>2014</c:v>
                </c:pt>
                <c:pt idx="2">
                  <c:v>2015</c:v>
                </c:pt>
                <c:pt idx="3">
                  <c:v>2016</c:v>
                </c:pt>
                <c:pt idx="4">
                  <c:v>2017</c:v>
                </c:pt>
              </c:numCache>
            </c:numRef>
          </c:cat>
          <c:val>
            <c:numRef>
              <c:f>'3.8'!$H$31:$H$35</c:f>
              <c:numCache>
                <c:formatCode>0.000</c:formatCode>
                <c:ptCount val="5"/>
                <c:pt idx="0">
                  <c:v>297.92524856896574</c:v>
                </c:pt>
                <c:pt idx="1">
                  <c:v>185.16623542424995</c:v>
                </c:pt>
                <c:pt idx="2">
                  <c:v>106.75167194004453</c:v>
                </c:pt>
                <c:pt idx="3">
                  <c:v>253.7264903612126</c:v>
                </c:pt>
                <c:pt idx="4">
                  <c:v>240.88741104209711</c:v>
                </c:pt>
              </c:numCache>
            </c:numRef>
          </c:val>
          <c:extLst>
            <c:ext xmlns:c="http://schemas.openxmlformats.org/drawingml/2006/chart" xmlns:c16="http://schemas.microsoft.com/office/drawing/2014/chart" uri="{C3380CC4-5D6E-409C-BE32-E72D297353CC}">
              <c16:uniqueId val="{00000000-0930-4541-A8E1-EA2104EBC7D1}"/>
            </c:ext>
          </c:extLst>
        </c:ser>
        <c:dLbls>
          <c:showLegendKey val="0"/>
          <c:showVal val="0"/>
          <c:showCatName val="0"/>
          <c:showSerName val="0"/>
          <c:showPercent val="0"/>
          <c:showBubbleSize val="0"/>
        </c:dLbls>
        <c:gapWidth val="75"/>
        <c:overlap val="100"/>
        <c:axId val="535389472"/>
        <c:axId val="535388688"/>
      </c:barChart>
      <c:catAx>
        <c:axId val="535389472"/>
        <c:scaling>
          <c:orientation val="minMax"/>
        </c:scaling>
        <c:delete val="0"/>
        <c:axPos val="b"/>
        <c:numFmt formatCode="0" sourceLinked="1"/>
        <c:majorTickMark val="none"/>
        <c:minorTickMark val="none"/>
        <c:tickLblPos val="nextTo"/>
        <c:spPr>
          <a:ln w="3175">
            <a:solidFill>
              <a:srgbClr val="808080"/>
            </a:solidFill>
          </a:ln>
        </c:spPr>
        <c:txPr>
          <a:bodyPr rot="0" vert="horz"/>
          <a:lstStyle/>
          <a:p>
            <a:pPr>
              <a:defRPr sz="1100" b="0" i="0" u="none" strike="noStrike" baseline="0">
                <a:solidFill>
                  <a:srgbClr val="000000"/>
                </a:solidFill>
                <a:latin typeface="Calibri"/>
                <a:ea typeface="Calibri"/>
                <a:cs typeface="Calibri"/>
              </a:defRPr>
            </a:pPr>
            <a:endParaRPr lang="en-US"/>
          </a:p>
        </c:txPr>
        <c:crossAx val="535388688"/>
        <c:crosses val="autoZero"/>
        <c:auto val="1"/>
        <c:lblAlgn val="ctr"/>
        <c:lblOffset val="100"/>
        <c:tickLblSkip val="1"/>
        <c:tickMarkSkip val="1"/>
        <c:noMultiLvlLbl val="0"/>
      </c:catAx>
      <c:valAx>
        <c:axId val="535388688"/>
        <c:scaling>
          <c:orientation val="minMax"/>
          <c:max val="358"/>
          <c:min val="0"/>
        </c:scaling>
        <c:delete val="0"/>
        <c:axPos val="l"/>
        <c:majorGridlines>
          <c:spPr>
            <a:ln w="3175">
              <a:solidFill>
                <a:srgbClr val="808080"/>
              </a:solidFill>
            </a:ln>
          </c:spPr>
        </c:majorGridlines>
        <c:numFmt formatCode="0.00" sourceLinked="0"/>
        <c:majorTickMark val="none"/>
        <c:minorTickMark val="none"/>
        <c:tickLblPos val="nextTo"/>
        <c:spPr>
          <a:ln w="6350">
            <a:noFill/>
          </a:ln>
        </c:spPr>
        <c:txPr>
          <a:bodyPr rot="0" vert="horz"/>
          <a:lstStyle/>
          <a:p>
            <a:pPr>
              <a:defRPr sz="1100" b="0" i="0" u="none" strike="noStrike" baseline="0">
                <a:solidFill>
                  <a:srgbClr val="000000"/>
                </a:solidFill>
                <a:latin typeface="Calibri"/>
                <a:ea typeface="Calibri"/>
                <a:cs typeface="Calibri"/>
              </a:defRPr>
            </a:pPr>
            <a:endParaRPr lang="en-US"/>
          </a:p>
        </c:txPr>
        <c:crossAx val="535389472"/>
        <c:crosses val="autoZero"/>
        <c:crossBetween val="between"/>
      </c:valAx>
      <c:spPr>
        <a:solidFill>
          <a:srgbClr val="FFFFFF"/>
        </a:solidFill>
        <a:ln w="25400">
          <a:noFill/>
        </a:ln>
      </c:spPr>
    </c:plotArea>
    <c:legend>
      <c:legendPos val="r"/>
      <c:layout>
        <c:manualLayout>
          <c:xMode val="edge"/>
          <c:yMode val="edge"/>
          <c:x val="0.082644628099173556"/>
          <c:y val="0.91799191767695709"/>
          <c:w val="0.91074380165289259"/>
          <c:h val="0.063492341235123373"/>
        </c:manualLayout>
      </c:layout>
      <c:overlay val="0"/>
      <c:spPr>
        <a:noFill/>
        <a:ln w="25400">
          <a:noFill/>
        </a:ln>
      </c:spPr>
    </c:legend>
    <c:plotVisOnly val="1"/>
    <c:dispBlanksAs val="gap"/>
    <c:showDLblsOverMax val="0"/>
  </c:chart>
  <c:spPr>
    <a:solidFill>
      <a:srgbClr val="FFFFFF"/>
    </a:solidFill>
    <a:ln w="3175">
      <a:solidFill>
        <a:srgbClr val="808080"/>
      </a:solid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Calibri"/>
                <a:ea typeface="Calibri"/>
                <a:cs typeface="Calibri"/>
              </a:defRPr>
            </a:pPr>
            <a:r>
              <a:rPr lang="en-GB" sz="1200" b="1" i="0" kern="1200" baseline="0">
                <a:solidFill>
                  <a:srgbClr val="000000"/>
                </a:solidFill>
                <a:effectLst/>
                <a:latin typeface="Calibri" panose="020F0502020204030204" pitchFamily="34" charset="0"/>
                <a:ea typeface="Calibri" panose="020F0502020204030204" pitchFamily="34" charset="0"/>
              </a:rPr>
              <a:t>Accident precursors by type</a:t>
            </a:r>
          </a:p>
        </c:rich>
      </c:tx>
      <c:layout>
        <c:manualLayout>
          <c:xMode val="edge"/>
          <c:yMode val="edge"/>
          <c:x val="0.33598456442944635"/>
          <c:y val="0.031796964864219075"/>
        </c:manualLayout>
      </c:layout>
      <c:overlay val="0"/>
      <c:spPr>
        <a:noFill/>
        <a:ln w="25400">
          <a:noFill/>
        </a:ln>
      </c:spPr>
    </c:title>
    <c:autoTitleDeleted val="0"/>
    <c:plotArea>
      <c:layout>
        <c:manualLayout>
          <c:layoutTarget val="inner"/>
          <c:xMode val="edge"/>
          <c:yMode val="edge"/>
          <c:x val="0.079353940261599532"/>
          <c:y val="0.1216494845360825"/>
          <c:w val="0.909626775991844"/>
          <c:h val="0.63087697371161933"/>
        </c:manualLayout>
      </c:layout>
      <c:barChart>
        <c:barDir val="col"/>
        <c:grouping val="stacked"/>
        <c:varyColors val="0"/>
        <c:ser>
          <c:idx val="0"/>
          <c:order val="0"/>
          <c:tx>
            <c:strRef>
              <c:f>'4.1'!$C$30</c:f>
              <c:strCache>
                <c:ptCount val="1"/>
                <c:pt idx="0">
                  <c:v>Zlomi tirnic</c:v>
                </c:pt>
              </c:strCache>
            </c:strRef>
          </c:tx>
          <c:spPr>
            <a:solidFill>
              <a:srgbClr val="4572A7"/>
            </a:solidFill>
            <a:ln w="25400">
              <a:noFill/>
            </a:ln>
          </c:spPr>
          <c:invertIfNegative val="0"/>
          <c:cat>
            <c:numRef>
              <c:f>'4.1'!$B$31:$B$35</c:f>
              <c:numCache>
                <c:formatCode>0</c:formatCode>
                <c:ptCount val="5"/>
                <c:pt idx="0">
                  <c:v>2013</c:v>
                </c:pt>
                <c:pt idx="1">
                  <c:v>2014</c:v>
                </c:pt>
                <c:pt idx="2">
                  <c:v>2015</c:v>
                </c:pt>
                <c:pt idx="3">
                  <c:v>2016</c:v>
                </c:pt>
                <c:pt idx="4">
                  <c:v>2017</c:v>
                </c:pt>
              </c:numCache>
            </c:numRef>
          </c:cat>
          <c:val>
            <c:numRef>
              <c:f>'4.1'!$C$31:$C$35</c:f>
              <c:numCache>
                <c:formatCode>0</c:formatCode>
                <c:ptCount val="5"/>
                <c:pt idx="0">
                  <c:v>72</c:v>
                </c:pt>
                <c:pt idx="1">
                  <c:v>61</c:v>
                </c:pt>
                <c:pt idx="2">
                  <c:v>85</c:v>
                </c:pt>
                <c:pt idx="3">
                  <c:v>116</c:v>
                </c:pt>
                <c:pt idx="4">
                  <c:v>113</c:v>
                </c:pt>
              </c:numCache>
            </c:numRef>
          </c:val>
          <c:extLst>
            <c:ext xmlns:c="http://schemas.openxmlformats.org/drawingml/2006/chart" xmlns:c16="http://schemas.microsoft.com/office/drawing/2014/chart" uri="{C3380CC4-5D6E-409C-BE32-E72D297353CC}">
              <c16:uniqueId val="{00000000-C973-4423-B864-5CF1ED7F6306}"/>
            </c:ext>
          </c:extLst>
        </c:ser>
        <c:ser>
          <c:idx val="1"/>
          <c:order val="1"/>
          <c:tx>
            <c:strRef>
              <c:f>'4.1'!$D$30</c:f>
              <c:strCache>
                <c:ptCount val="1"/>
                <c:pt idx="0">
                  <c:v>Deformacije tirov</c:v>
                </c:pt>
              </c:strCache>
            </c:strRef>
          </c:tx>
          <c:spPr>
            <a:solidFill>
              <a:srgbClr val="7030A0"/>
            </a:solidFill>
            <a:ln w="25400">
              <a:noFill/>
            </a:ln>
          </c:spPr>
          <c:invertIfNegative val="0"/>
          <c:cat>
            <c:numRef>
              <c:f>'4.1'!$B$31:$B$35</c:f>
              <c:numCache>
                <c:formatCode>0</c:formatCode>
                <c:ptCount val="5"/>
                <c:pt idx="0">
                  <c:v>2013</c:v>
                </c:pt>
                <c:pt idx="1">
                  <c:v>2014</c:v>
                </c:pt>
                <c:pt idx="2">
                  <c:v>2015</c:v>
                </c:pt>
                <c:pt idx="3">
                  <c:v>2016</c:v>
                </c:pt>
                <c:pt idx="4">
                  <c:v>2017</c:v>
                </c:pt>
              </c:numCache>
            </c:numRef>
          </c:cat>
          <c:val>
            <c:numRef>
              <c:f>'4.1'!$D$31:$D$35</c:f>
              <c:numCache>
                <c:formatCode>0</c:formatCode>
                <c:ptCount val="5"/>
                <c:pt idx="0">
                  <c:v>28</c:v>
                </c:pt>
                <c:pt idx="1">
                  <c:v>12</c:v>
                </c:pt>
                <c:pt idx="2">
                  <c:v>50</c:v>
                </c:pt>
                <c:pt idx="3">
                  <c:v>6</c:v>
                </c:pt>
                <c:pt idx="4">
                  <c:v>25</c:v>
                </c:pt>
              </c:numCache>
            </c:numRef>
          </c:val>
          <c:extLst>
            <c:ext xmlns:c="http://schemas.openxmlformats.org/drawingml/2006/chart" xmlns:c16="http://schemas.microsoft.com/office/drawing/2014/chart" uri="{C3380CC4-5D6E-409C-BE32-E72D297353CC}">
              <c16:uniqueId val="{00000001-C973-4423-B864-5CF1ED7F6306}"/>
            </c:ext>
          </c:extLst>
        </c:ser>
        <c:ser>
          <c:idx val="2"/>
          <c:order val="2"/>
          <c:tx>
            <c:strRef>
              <c:f>'4.1'!$E$30</c:f>
              <c:strCache>
                <c:ptCount val="1"/>
                <c:pt idx="0">
                  <c:v>Napačna signalizacija signalnih znakov</c:v>
                </c:pt>
              </c:strCache>
            </c:strRef>
          </c:tx>
          <c:spPr>
            <a:solidFill>
              <a:srgbClr val="89A54E"/>
            </a:solidFill>
            <a:ln w="25400">
              <a:noFill/>
            </a:ln>
          </c:spPr>
          <c:invertIfNegative val="0"/>
          <c:cat>
            <c:numRef>
              <c:f>'4.1'!$B$31:$B$35</c:f>
              <c:numCache>
                <c:formatCode>0</c:formatCode>
                <c:ptCount val="5"/>
                <c:pt idx="0">
                  <c:v>2013</c:v>
                </c:pt>
                <c:pt idx="1">
                  <c:v>2014</c:v>
                </c:pt>
                <c:pt idx="2">
                  <c:v>2015</c:v>
                </c:pt>
                <c:pt idx="3">
                  <c:v>2016</c:v>
                </c:pt>
                <c:pt idx="4">
                  <c:v>2017</c:v>
                </c:pt>
              </c:numCache>
            </c:numRef>
          </c:cat>
          <c:val>
            <c:numRef>
              <c:f>'4.1'!$E$31:$E$35</c:f>
              <c:numCache>
                <c:formatCode>0</c:formatCode>
                <c:ptCount val="5"/>
                <c:pt idx="0">
                  <c:v>0</c:v>
                </c:pt>
                <c:pt idx="1">
                  <c:v>0</c:v>
                </c:pt>
                <c:pt idx="2">
                  <c:v>0</c:v>
                </c:pt>
                <c:pt idx="3">
                  <c:v>0</c:v>
                </c:pt>
                <c:pt idx="4">
                  <c:v>0</c:v>
                </c:pt>
              </c:numCache>
            </c:numRef>
          </c:val>
          <c:extLst>
            <c:ext xmlns:c="http://schemas.openxmlformats.org/drawingml/2006/chart" xmlns:c16="http://schemas.microsoft.com/office/drawing/2014/chart" uri="{C3380CC4-5D6E-409C-BE32-E72D297353CC}">
              <c16:uniqueId val="{00000002-C973-4423-B864-5CF1ED7F6306}"/>
            </c:ext>
          </c:extLst>
        </c:ser>
        <c:ser>
          <c:idx val="3"/>
          <c:order val="3"/>
          <c:tx>
            <c:strRef>
              <c:f>'4.1'!$F$30</c:f>
              <c:strCache>
                <c:ptCount val="1"/>
                <c:pt idx="0">
                  <c:v>Prevozi signalov</c:v>
                </c:pt>
              </c:strCache>
            </c:strRef>
          </c:tx>
          <c:spPr>
            <a:solidFill>
              <a:srgbClr val="FF0000"/>
            </a:solidFill>
            <a:ln w="25400">
              <a:noFill/>
            </a:ln>
          </c:spPr>
          <c:invertIfNegative val="0"/>
          <c:cat>
            <c:numRef>
              <c:f>'4.1'!$B$31:$B$35</c:f>
              <c:numCache>
                <c:formatCode>0</c:formatCode>
                <c:ptCount val="5"/>
                <c:pt idx="0">
                  <c:v>2013</c:v>
                </c:pt>
                <c:pt idx="1">
                  <c:v>2014</c:v>
                </c:pt>
                <c:pt idx="2">
                  <c:v>2015</c:v>
                </c:pt>
                <c:pt idx="3">
                  <c:v>2016</c:v>
                </c:pt>
                <c:pt idx="4">
                  <c:v>2017</c:v>
                </c:pt>
              </c:numCache>
            </c:numRef>
          </c:cat>
          <c:val>
            <c:numRef>
              <c:f>'4.1'!$F$31:$F$35</c:f>
              <c:numCache>
                <c:formatCode>0</c:formatCode>
                <c:ptCount val="5"/>
                <c:pt idx="0">
                  <c:v>0</c:v>
                </c:pt>
                <c:pt idx="1">
                  <c:v>8</c:v>
                </c:pt>
                <c:pt idx="2">
                  <c:v>7</c:v>
                </c:pt>
                <c:pt idx="3">
                  <c:v>3</c:v>
                </c:pt>
                <c:pt idx="4">
                  <c:v>9</c:v>
                </c:pt>
              </c:numCache>
            </c:numRef>
          </c:val>
          <c:extLst>
            <c:ext xmlns:c="http://schemas.openxmlformats.org/drawingml/2006/chart" xmlns:c16="http://schemas.microsoft.com/office/drawing/2014/chart" uri="{C3380CC4-5D6E-409C-BE32-E72D297353CC}">
              <c16:uniqueId val="{00000003-C973-4423-B864-5CF1ED7F6306}"/>
            </c:ext>
          </c:extLst>
        </c:ser>
        <c:ser>
          <c:idx val="4"/>
          <c:order val="4"/>
          <c:tx>
            <c:strRef>
              <c:f>'4.1'!$G$30</c:f>
              <c:strCache>
                <c:ptCount val="1"/>
                <c:pt idx="0">
                  <c:v>Zlomi koles na vozilih</c:v>
                </c:pt>
              </c:strCache>
            </c:strRef>
          </c:tx>
          <c:spPr>
            <a:solidFill>
              <a:srgbClr val="4198AF"/>
            </a:solidFill>
            <a:ln w="25400">
              <a:noFill/>
            </a:ln>
          </c:spPr>
          <c:invertIfNegative val="0"/>
          <c:cat>
            <c:numRef>
              <c:f>'4.1'!$B$31:$B$35</c:f>
              <c:numCache>
                <c:formatCode>0</c:formatCode>
                <c:ptCount val="5"/>
                <c:pt idx="0">
                  <c:v>2013</c:v>
                </c:pt>
                <c:pt idx="1">
                  <c:v>2014</c:v>
                </c:pt>
                <c:pt idx="2">
                  <c:v>2015</c:v>
                </c:pt>
                <c:pt idx="3">
                  <c:v>2016</c:v>
                </c:pt>
                <c:pt idx="4">
                  <c:v>2017</c:v>
                </c:pt>
              </c:numCache>
            </c:numRef>
          </c:cat>
          <c:val>
            <c:numRef>
              <c:f>'4.1'!$G$31:$G$35</c:f>
              <c:numCache>
                <c:formatCode>0</c:formatCode>
                <c:ptCount val="5"/>
                <c:pt idx="0">
                  <c:v>0</c:v>
                </c:pt>
                <c:pt idx="1">
                  <c:v>0</c:v>
                </c:pt>
                <c:pt idx="2">
                  <c:v>0</c:v>
                </c:pt>
                <c:pt idx="3">
                  <c:v>0</c:v>
                </c:pt>
                <c:pt idx="4">
                  <c:v>1</c:v>
                </c:pt>
              </c:numCache>
            </c:numRef>
          </c:val>
          <c:extLst>
            <c:ext xmlns:c="http://schemas.openxmlformats.org/drawingml/2006/chart" xmlns:c16="http://schemas.microsoft.com/office/drawing/2014/chart" uri="{C3380CC4-5D6E-409C-BE32-E72D297353CC}">
              <c16:uniqueId val="{00000004-C973-4423-B864-5CF1ED7F6306}"/>
            </c:ext>
          </c:extLst>
        </c:ser>
        <c:ser>
          <c:idx val="5"/>
          <c:order val="5"/>
          <c:tx>
            <c:strRef>
              <c:f>'4.1'!$H$30</c:f>
              <c:strCache>
                <c:ptCount val="1"/>
                <c:pt idx="0">
                  <c:v>Zlomi osi na vozilih</c:v>
                </c:pt>
              </c:strCache>
            </c:strRef>
          </c:tx>
          <c:spPr>
            <a:solidFill>
              <a:srgbClr val="DB843D"/>
            </a:solidFill>
            <a:ln w="25400">
              <a:noFill/>
            </a:ln>
          </c:spPr>
          <c:invertIfNegative val="0"/>
          <c:cat>
            <c:numRef>
              <c:f>'4.1'!$B$31:$B$35</c:f>
              <c:numCache>
                <c:formatCode>0</c:formatCode>
                <c:ptCount val="5"/>
                <c:pt idx="0">
                  <c:v>2013</c:v>
                </c:pt>
                <c:pt idx="1">
                  <c:v>2014</c:v>
                </c:pt>
                <c:pt idx="2">
                  <c:v>2015</c:v>
                </c:pt>
                <c:pt idx="3">
                  <c:v>2016</c:v>
                </c:pt>
                <c:pt idx="4">
                  <c:v>2017</c:v>
                </c:pt>
              </c:numCache>
            </c:numRef>
          </c:cat>
          <c:val>
            <c:numRef>
              <c:f>'4.1'!$H$31:$H$35</c:f>
              <c:numCache>
                <c:formatCode>0</c:formatCode>
                <c:ptCount val="5"/>
                <c:pt idx="0">
                  <c:v>0</c:v>
                </c:pt>
                <c:pt idx="1">
                  <c:v>0</c:v>
                </c:pt>
                <c:pt idx="2">
                  <c:v>0</c:v>
                </c:pt>
                <c:pt idx="3">
                  <c:v>0</c:v>
                </c:pt>
                <c:pt idx="4">
                  <c:v>0</c:v>
                </c:pt>
              </c:numCache>
            </c:numRef>
          </c:val>
          <c:extLst>
            <c:ext xmlns:c="http://schemas.openxmlformats.org/drawingml/2006/chart" xmlns:c16="http://schemas.microsoft.com/office/drawing/2014/chart" uri="{C3380CC4-5D6E-409C-BE32-E72D297353CC}">
              <c16:uniqueId val="{00000005-C973-4423-B864-5CF1ED7F6306}"/>
            </c:ext>
          </c:extLst>
        </c:ser>
        <c:ser>
          <c:idx val="6"/>
          <c:order val="6"/>
          <c:tx>
            <c:strRef>
              <c:f>'4.1'!$I$30</c:f>
              <c:strCache>
                <c:ptCount val="1"/>
                <c:pt idx="0">
                  <c:v>Skupaj</c:v>
                </c:pt>
              </c:strCache>
            </c:strRef>
          </c:tx>
          <c:spPr>
            <a:no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'4.1'!$B$31:$B$35</c:f>
              <c:numCache>
                <c:formatCode>0</c:formatCode>
                <c:ptCount val="5"/>
                <c:pt idx="0">
                  <c:v>2013</c:v>
                </c:pt>
                <c:pt idx="1">
                  <c:v>2014</c:v>
                </c:pt>
                <c:pt idx="2">
                  <c:v>2015</c:v>
                </c:pt>
                <c:pt idx="3">
                  <c:v>2016</c:v>
                </c:pt>
                <c:pt idx="4">
                  <c:v>2017</c:v>
                </c:pt>
              </c:numCache>
            </c:numRef>
          </c:cat>
          <c:val>
            <c:numRef>
              <c:f>'4.1'!$I$31:$I$35</c:f>
              <c:numCache>
                <c:formatCode>0</c:formatCode>
                <c:ptCount val="5"/>
                <c:pt idx="0">
                  <c:v>100</c:v>
                </c:pt>
                <c:pt idx="1">
                  <c:v>81</c:v>
                </c:pt>
                <c:pt idx="2">
                  <c:v>142</c:v>
                </c:pt>
                <c:pt idx="3">
                  <c:v>125</c:v>
                </c:pt>
                <c:pt idx="4">
                  <c:v>148</c:v>
                </c:pt>
              </c:numCache>
            </c:numRef>
          </c:val>
          <c:extLst>
            <c:ext xmlns:c="http://schemas.openxmlformats.org/drawingml/2006/chart" xmlns:c16="http://schemas.microsoft.com/office/drawing/2014/chart" uri="{C3380CC4-5D6E-409C-BE32-E72D297353CC}">
              <c16:uniqueId val="{00000006-C973-4423-B864-5CF1ED7F6306}"/>
            </c:ext>
          </c:extLst>
        </c:ser>
        <c:dLbls>
          <c:showLegendKey val="0"/>
          <c:showVal val="0"/>
          <c:showCatName val="0"/>
          <c:showSerName val="0"/>
          <c:showPercent val="0"/>
          <c:showBubbleSize val="0"/>
        </c:dLbls>
        <c:gapWidth val="76"/>
        <c:overlap val="100"/>
        <c:axId val="535391432"/>
        <c:axId val="535391824"/>
      </c:barChart>
      <c:catAx>
        <c:axId val="535391432"/>
        <c:scaling>
          <c:orientation val="minMax"/>
        </c:scaling>
        <c:delete val="0"/>
        <c:axPos val="b"/>
        <c:numFmt formatCode="0" sourceLinked="1"/>
        <c:majorTickMark val="none"/>
        <c:minorTickMark val="none"/>
        <c:tickLblPos val="nextTo"/>
        <c:spPr>
          <a:ln w="3175">
            <a:solidFill>
              <a:srgbClr val="808080"/>
            </a:solidFill>
          </a:ln>
        </c:spPr>
        <c:txPr>
          <a:bodyPr rot="0" vert="horz"/>
          <a:lstStyle/>
          <a:p>
            <a:pPr>
              <a:defRPr sz="1100" b="0" i="0" u="none" strike="noStrike" baseline="0">
                <a:solidFill>
                  <a:srgbClr val="000000"/>
                </a:solidFill>
                <a:latin typeface="Calibri"/>
                <a:ea typeface="Calibri"/>
                <a:cs typeface="Calibri"/>
              </a:defRPr>
            </a:pPr>
            <a:endParaRPr lang="en-US"/>
          </a:p>
        </c:txPr>
        <c:crossAx val="535391824"/>
        <c:crosses val="autoZero"/>
        <c:auto val="1"/>
        <c:lblAlgn val="ctr"/>
        <c:lblOffset val="100"/>
        <c:tickLblSkip val="1"/>
        <c:tickMarkSkip val="1"/>
        <c:noMultiLvlLbl val="0"/>
      </c:catAx>
      <c:valAx>
        <c:axId val="535391824"/>
        <c:scaling>
          <c:orientation val="minMax"/>
          <c:max val="178"/>
          <c:min val="0"/>
        </c:scaling>
        <c:delete val="0"/>
        <c:axPos val="l"/>
        <c:majorGridlines>
          <c:spPr>
            <a:ln w="3175">
              <a:solidFill>
                <a:srgbClr val="808080"/>
              </a:solidFill>
            </a:ln>
          </c:spPr>
        </c:majorGridlines>
        <c:numFmt formatCode="0" sourceLinked="1"/>
        <c:majorTickMark val="none"/>
        <c:minorTickMark val="none"/>
        <c:tickLblPos val="nextTo"/>
        <c:spPr>
          <a:ln w="6350">
            <a:noFill/>
          </a:ln>
        </c:spPr>
        <c:txPr>
          <a:bodyPr rot="0" vert="horz"/>
          <a:lstStyle/>
          <a:p>
            <a:pPr>
              <a:defRPr sz="1100" b="0" i="0" u="none" strike="noStrike" baseline="0">
                <a:solidFill>
                  <a:srgbClr val="000000"/>
                </a:solidFill>
                <a:latin typeface="Calibri"/>
                <a:ea typeface="Calibri"/>
                <a:cs typeface="Calibri"/>
              </a:defRPr>
            </a:pPr>
            <a:endParaRPr lang="en-US"/>
          </a:p>
        </c:txPr>
        <c:crossAx val="535391432"/>
        <c:crosses val="autoZero"/>
        <c:crossBetween val="between"/>
      </c:valAx>
      <c:spPr>
        <a:solidFill>
          <a:srgbClr val="FFFFFF"/>
        </a:solidFill>
        <a:ln w="25400">
          <a:noFill/>
        </a:ln>
      </c:spPr>
    </c:plotArea>
    <c:legend>
      <c:legendPos val="b"/>
      <c:legendEntry>
        <c:idx val="6"/>
        <c:delete val="1"/>
      </c:legendEntry>
      <c:layout>
        <c:manualLayout>
          <c:xMode val="edge"/>
          <c:yMode val="edge"/>
          <c:x val="0.0082644628099173556"/>
          <c:y val="0.84127206321432046"/>
          <c:w val="0.99173553719008267"/>
          <c:h val="0.12698440472718686"/>
        </c:manualLayout>
      </c:layout>
      <c:overlay val="0"/>
      <c:spPr>
        <a:noFill/>
        <a:ln w="25400">
          <a:noFill/>
        </a:ln>
      </c:spPr>
    </c:legend>
    <c:plotVisOnly val="1"/>
    <c:dispBlanksAs val="gap"/>
    <c:showDLblsOverMax val="0"/>
  </c:chart>
  <c:spPr>
    <a:solidFill>
      <a:srgbClr val="FFFFFF"/>
    </a:solidFill>
    <a:ln w="3175">
      <a:solidFill>
        <a:srgbClr val="808080"/>
      </a:solid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Calibri"/>
                <a:ea typeface="Calibri"/>
                <a:cs typeface="Calibri"/>
              </a:defRPr>
            </a:pPr>
            <a:r>
              <a:rPr lang="en-GB" sz="1200" b="1" i="0" kern="1200" baseline="0">
                <a:solidFill>
                  <a:srgbClr val="000000"/>
                </a:solidFill>
                <a:effectLst/>
                <a:latin typeface="Calibri" panose="020F0502020204030204" pitchFamily="34" charset="0"/>
                <a:ea typeface="Calibri" panose="020F0502020204030204" pitchFamily="34" charset="0"/>
              </a:rPr>
              <a:t>Total number of level crossings</a:t>
            </a:r>
          </a:p>
        </c:rich>
      </c:tx>
      <c:layout>
        <c:manualLayout>
          <c:xMode val="edge"/>
          <c:yMode val="edge"/>
          <c:x val="0.30622329233639184"/>
          <c:y val="0.024948270355094504"/>
        </c:manualLayout>
      </c:layout>
      <c:overlay val="0"/>
      <c:spPr>
        <a:noFill/>
        <a:ln w="25400">
          <a:noFill/>
        </a:ln>
      </c:spPr>
    </c:title>
    <c:autoTitleDeleted val="0"/>
    <c:plotArea>
      <c:layout>
        <c:manualLayout>
          <c:layoutTarget val="inner"/>
          <c:xMode val="edge"/>
          <c:yMode val="edge"/>
          <c:x val="0.08596551050953341"/>
          <c:y val="0.12266112266112277"/>
          <c:w val="0.90521906249322137"/>
          <c:h val="0.72557172557172567"/>
        </c:manualLayout>
      </c:layout>
      <c:barChart>
        <c:barDir val="col"/>
        <c:grouping val="stacked"/>
        <c:varyColors val="0"/>
        <c:ser>
          <c:idx val="0"/>
          <c:order val="0"/>
          <c:tx>
            <c:strRef>
              <c:f>'5.3'!$E$30</c:f>
              <c:strCache>
                <c:ptCount val="1"/>
                <c:pt idx="0">
                  <c:v>Skupno število aktivnih nivojskih prehodov</c:v>
                </c:pt>
              </c:strCache>
            </c:strRef>
          </c:tx>
          <c:spPr>
            <a:solidFill>
              <a:srgbClr val="4572A7"/>
            </a:solidFill>
            <a:ln w="25400">
              <a:noFill/>
            </a:ln>
          </c:spPr>
          <c:invertIfNegative val="0"/>
          <c:cat>
            <c:numRef>
              <c:f>'5.3'!$D$31:$D$35</c:f>
              <c:numCache>
                <c:formatCode>0</c:formatCode>
                <c:ptCount val="5"/>
                <c:pt idx="0">
                  <c:v>2013</c:v>
                </c:pt>
                <c:pt idx="1">
                  <c:v>2014</c:v>
                </c:pt>
                <c:pt idx="2">
                  <c:v>2015</c:v>
                </c:pt>
                <c:pt idx="3">
                  <c:v>2016</c:v>
                </c:pt>
                <c:pt idx="4">
                  <c:v>2017</c:v>
                </c:pt>
              </c:numCache>
            </c:numRef>
          </c:cat>
          <c:val>
            <c:numRef>
              <c:f>'5.3'!$E$31:$E$35</c:f>
              <c:numCache>
                <c:formatCode>0</c:formatCode>
                <c:ptCount val="5"/>
                <c:pt idx="0">
                  <c:v>340</c:v>
                </c:pt>
                <c:pt idx="1">
                  <c:v>336</c:v>
                </c:pt>
                <c:pt idx="2">
                  <c:v>322</c:v>
                </c:pt>
                <c:pt idx="3">
                  <c:v>322</c:v>
                </c:pt>
                <c:pt idx="4">
                  <c:v>319</c:v>
                </c:pt>
              </c:numCache>
            </c:numRef>
          </c:val>
          <c:extLst>
            <c:ext xmlns:c="http://schemas.openxmlformats.org/drawingml/2006/chart" xmlns:c16="http://schemas.microsoft.com/office/drawing/2014/chart" uri="{C3380CC4-5D6E-409C-BE32-E72D297353CC}">
              <c16:uniqueId val="{00000000-C4CF-4F93-9439-50BAE0607892}"/>
            </c:ext>
          </c:extLst>
        </c:ser>
        <c:ser>
          <c:idx val="1"/>
          <c:order val="1"/>
          <c:tx>
            <c:strRef>
              <c:f>'5.3'!$F$30</c:f>
              <c:strCache>
                <c:ptCount val="1"/>
                <c:pt idx="0">
                  <c:v>Skupno število pasivnih nivojskih prehodov</c:v>
                </c:pt>
              </c:strCache>
            </c:strRef>
          </c:tx>
          <c:spPr>
            <a:solidFill>
              <a:srgbClr val="AA4643"/>
            </a:solidFill>
            <a:ln w="25400">
              <a:noFill/>
            </a:ln>
          </c:spPr>
          <c:invertIfNegative val="0"/>
          <c:cat>
            <c:numRef>
              <c:f>'5.3'!$D$31:$D$35</c:f>
              <c:numCache>
                <c:formatCode>0</c:formatCode>
                <c:ptCount val="5"/>
                <c:pt idx="0">
                  <c:v>2013</c:v>
                </c:pt>
                <c:pt idx="1">
                  <c:v>2014</c:v>
                </c:pt>
                <c:pt idx="2">
                  <c:v>2015</c:v>
                </c:pt>
                <c:pt idx="3">
                  <c:v>2016</c:v>
                </c:pt>
                <c:pt idx="4">
                  <c:v>2017</c:v>
                </c:pt>
              </c:numCache>
            </c:numRef>
          </c:cat>
          <c:val>
            <c:numRef>
              <c:f>'5.3'!$F$31:$F$35</c:f>
              <c:numCache>
                <c:formatCode>0</c:formatCode>
                <c:ptCount val="5"/>
                <c:pt idx="0">
                  <c:v>492</c:v>
                </c:pt>
                <c:pt idx="1">
                  <c:v>451</c:v>
                </c:pt>
                <c:pt idx="2">
                  <c:v>437</c:v>
                </c:pt>
                <c:pt idx="3">
                  <c:v>437</c:v>
                </c:pt>
                <c:pt idx="4">
                  <c:v>426</c:v>
                </c:pt>
              </c:numCache>
            </c:numRef>
          </c:val>
          <c:extLst>
            <c:ext xmlns:c="http://schemas.openxmlformats.org/drawingml/2006/chart" xmlns:c16="http://schemas.microsoft.com/office/drawing/2014/chart" uri="{C3380CC4-5D6E-409C-BE32-E72D297353CC}">
              <c16:uniqueId val="{00000001-C4CF-4F93-9439-50BAE0607892}"/>
            </c:ext>
          </c:extLst>
        </c:ser>
        <c:ser>
          <c:idx val="4"/>
          <c:order val="2"/>
          <c:tx>
            <c:strRef>
              <c:f>'5.3'!$G$30</c:f>
              <c:strCache>
                <c:ptCount val="1"/>
                <c:pt idx="0">
                  <c:v>Skupaj</c:v>
                </c:pt>
              </c:strCache>
            </c:strRef>
          </c:tx>
          <c:spPr>
            <a:no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'5.3'!$D$31:$D$35</c:f>
              <c:numCache>
                <c:formatCode>0</c:formatCode>
                <c:ptCount val="5"/>
                <c:pt idx="0">
                  <c:v>2013</c:v>
                </c:pt>
                <c:pt idx="1">
                  <c:v>2014</c:v>
                </c:pt>
                <c:pt idx="2">
                  <c:v>2015</c:v>
                </c:pt>
                <c:pt idx="3">
                  <c:v>2016</c:v>
                </c:pt>
                <c:pt idx="4">
                  <c:v>2017</c:v>
                </c:pt>
              </c:numCache>
            </c:numRef>
          </c:cat>
          <c:val>
            <c:numRef>
              <c:f>'5.3'!$G$31:$G$35</c:f>
              <c:numCache>
                <c:formatCode>0</c:formatCode>
                <c:ptCount val="5"/>
                <c:pt idx="0">
                  <c:v>832</c:v>
                </c:pt>
                <c:pt idx="1">
                  <c:v>787</c:v>
                </c:pt>
                <c:pt idx="2">
                  <c:v>759</c:v>
                </c:pt>
                <c:pt idx="3">
                  <c:v>759</c:v>
                </c:pt>
                <c:pt idx="4">
                  <c:v>745</c:v>
                </c:pt>
              </c:numCache>
            </c:numRef>
          </c:val>
          <c:extLst>
            <c:ext xmlns:c="http://schemas.openxmlformats.org/drawingml/2006/chart" xmlns:c16="http://schemas.microsoft.com/office/drawing/2014/chart" uri="{C3380CC4-5D6E-409C-BE32-E72D297353CC}">
              <c16:uniqueId val="{00000002-C4CF-4F93-9439-50BAE0607892}"/>
            </c:ext>
          </c:extLst>
        </c:ser>
        <c:dLbls>
          <c:showLegendKey val="0"/>
          <c:showVal val="0"/>
          <c:showCatName val="0"/>
          <c:showSerName val="0"/>
          <c:showPercent val="0"/>
          <c:showBubbleSize val="0"/>
        </c:dLbls>
        <c:gapWidth val="75"/>
        <c:overlap val="100"/>
        <c:axId val="535391040"/>
        <c:axId val="535389864"/>
      </c:barChart>
      <c:catAx>
        <c:axId val="535391040"/>
        <c:scaling>
          <c:orientation val="minMax"/>
        </c:scaling>
        <c:delete val="0"/>
        <c:axPos val="b"/>
        <c:numFmt formatCode="0" sourceLinked="1"/>
        <c:majorTickMark val="none"/>
        <c:minorTickMark val="none"/>
        <c:tickLblPos val="nextTo"/>
        <c:spPr>
          <a:ln w="3175">
            <a:solidFill>
              <a:srgbClr val="808080"/>
            </a:solidFill>
          </a:ln>
        </c:spPr>
        <c:txPr>
          <a:bodyPr rot="0" vert="horz"/>
          <a:lstStyle/>
          <a:p>
            <a:pPr>
              <a:defRPr sz="1100" b="0" i="0" u="none" strike="noStrike" baseline="0">
                <a:solidFill>
                  <a:srgbClr val="000000"/>
                </a:solidFill>
                <a:latin typeface="Calibri"/>
                <a:ea typeface="Calibri"/>
                <a:cs typeface="Calibri"/>
              </a:defRPr>
            </a:pPr>
            <a:endParaRPr lang="en-US"/>
          </a:p>
        </c:txPr>
        <c:crossAx val="535389864"/>
        <c:crosses val="autoZero"/>
        <c:auto val="1"/>
        <c:lblAlgn val="ctr"/>
        <c:lblOffset val="100"/>
        <c:tickLblSkip val="1"/>
        <c:tickMarkSkip val="1"/>
        <c:noMultiLvlLbl val="0"/>
      </c:catAx>
      <c:valAx>
        <c:axId val="535389864"/>
        <c:scaling>
          <c:orientation val="minMax"/>
          <c:max val="998"/>
          <c:min val="0"/>
        </c:scaling>
        <c:delete val="0"/>
        <c:axPos val="l"/>
        <c:majorGridlines>
          <c:spPr>
            <a:ln w="3175">
              <a:solidFill>
                <a:srgbClr val="808080"/>
              </a:solidFill>
            </a:ln>
          </c:spPr>
        </c:majorGridlines>
        <c:numFmt formatCode="0" sourceLinked="1"/>
        <c:majorTickMark val="none"/>
        <c:minorTickMark val="none"/>
        <c:tickLblPos val="nextTo"/>
        <c:spPr>
          <a:ln w="6350">
            <a:noFill/>
          </a:ln>
        </c:spPr>
        <c:txPr>
          <a:bodyPr rot="0" vert="horz"/>
          <a:lstStyle/>
          <a:p>
            <a:pPr>
              <a:defRPr sz="1100" b="0" i="0" u="none" strike="noStrike" baseline="0">
                <a:solidFill>
                  <a:srgbClr val="000000"/>
                </a:solidFill>
                <a:latin typeface="Calibri"/>
                <a:ea typeface="Calibri"/>
                <a:cs typeface="Calibri"/>
              </a:defRPr>
            </a:pPr>
            <a:endParaRPr lang="en-US"/>
          </a:p>
        </c:txPr>
        <c:crossAx val="535391040"/>
        <c:crosses val="autoZero"/>
        <c:crossBetween val="between"/>
      </c:valAx>
      <c:spPr>
        <a:solidFill>
          <a:srgbClr val="FFFFFF"/>
        </a:solidFill>
        <a:ln w="25400">
          <a:noFill/>
        </a:ln>
      </c:spPr>
    </c:plotArea>
    <c:legend>
      <c:legendPos val="b"/>
      <c:legendEntry>
        <c:idx val="2"/>
        <c:delete val="1"/>
      </c:legendEntry>
      <c:layout>
        <c:manualLayout>
          <c:xMode val="edge"/>
          <c:yMode val="edge"/>
          <c:x val="0.038016528925619832"/>
          <c:y val="0.91799191767695709"/>
          <c:w val="0.94049586776859506"/>
          <c:h val="0.058201335944118138"/>
        </c:manualLayout>
      </c:layout>
      <c:overlay val="0"/>
      <c:spPr>
        <a:noFill/>
        <a:ln w="25400">
          <a:noFill/>
        </a:ln>
      </c:spPr>
    </c:legend>
    <c:plotVisOnly val="1"/>
    <c:dispBlanksAs val="gap"/>
    <c:showDLblsOverMax val="0"/>
  </c:chart>
  <c:spPr>
    <a:solidFill>
      <a:srgbClr val="FFFFFF"/>
    </a:solidFill>
    <a:ln w="3175">
      <a:solidFill>
        <a:srgbClr val="808080"/>
      </a:solid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List2!$A$21</c:f>
              <c:strCache>
                <c:ptCount val="1"/>
                <c:pt idx="0">
                  <c:v>Število hudo poškodovanih uporabnikov nivojskih prehodov v nesrečah na nivojskih prehodih</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List2!$I$20:$M$20</c:f>
              <c:numCache>
                <c:formatCode>General</c:formatCode>
                <c:ptCount val="5"/>
                <c:pt idx="0">
                  <c:v>2013</c:v>
                </c:pt>
                <c:pt idx="1">
                  <c:v>2014</c:v>
                </c:pt>
                <c:pt idx="2">
                  <c:v>2015</c:v>
                </c:pt>
                <c:pt idx="3">
                  <c:v>2016</c:v>
                </c:pt>
                <c:pt idx="4">
                  <c:v>2017</c:v>
                </c:pt>
              </c:numCache>
            </c:numRef>
          </c:cat>
          <c:val>
            <c:numRef>
              <c:f>List2!$I$21:$M$21</c:f>
              <c:numCache>
                <c:formatCode>General</c:formatCode>
                <c:ptCount val="5"/>
                <c:pt idx="0">
                  <c:v>9</c:v>
                </c:pt>
                <c:pt idx="1">
                  <c:v>7</c:v>
                </c:pt>
                <c:pt idx="2">
                  <c:v>12</c:v>
                </c:pt>
                <c:pt idx="3">
                  <c:v>4</c:v>
                </c:pt>
                <c:pt idx="4">
                  <c:v>2</c:v>
                </c:pt>
              </c:numCache>
            </c:numRef>
          </c:val>
          <c:extLst>
            <c:ext xmlns:c="http://schemas.openxmlformats.org/drawingml/2006/chart" xmlns:c16="http://schemas.microsoft.com/office/drawing/2014/chart" uri="{C3380CC4-5D6E-409C-BE32-E72D297353CC}">
              <c16:uniqueId val="{00000000-6779-48E6-819F-D1E7EF9E0E5F}"/>
            </c:ext>
          </c:extLst>
        </c:ser>
        <c:ser>
          <c:idx val="1"/>
          <c:order val="1"/>
          <c:tx>
            <c:strRef>
              <c:f>List2!$A$22</c:f>
              <c:strCache>
                <c:ptCount val="1"/>
                <c:pt idx="0">
                  <c:v>Število smrtnih žrtev uporabnikov nivojskih prehodov v nesrečah na nivojskih prehodih</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List2!$I$20:$M$20</c:f>
              <c:numCache>
                <c:formatCode>General</c:formatCode>
                <c:ptCount val="5"/>
                <c:pt idx="0">
                  <c:v>2013</c:v>
                </c:pt>
                <c:pt idx="1">
                  <c:v>2014</c:v>
                </c:pt>
                <c:pt idx="2">
                  <c:v>2015</c:v>
                </c:pt>
                <c:pt idx="3">
                  <c:v>2016</c:v>
                </c:pt>
                <c:pt idx="4">
                  <c:v>2017</c:v>
                </c:pt>
              </c:numCache>
            </c:numRef>
          </c:cat>
          <c:val>
            <c:numRef>
              <c:f>List2!$I$22:$M$22</c:f>
              <c:numCache>
                <c:formatCode>General</c:formatCode>
                <c:ptCount val="5"/>
                <c:pt idx="0">
                  <c:v>4</c:v>
                </c:pt>
                <c:pt idx="1">
                  <c:v>3</c:v>
                </c:pt>
                <c:pt idx="2">
                  <c:v>1</c:v>
                </c:pt>
                <c:pt idx="3">
                  <c:v>5</c:v>
                </c:pt>
                <c:pt idx="4">
                  <c:v>5</c:v>
                </c:pt>
              </c:numCache>
            </c:numRef>
          </c:val>
          <c:extLst>
            <c:ext xmlns:c="http://schemas.openxmlformats.org/drawingml/2006/chart" xmlns:c16="http://schemas.microsoft.com/office/drawing/2014/chart" uri="{C3380CC4-5D6E-409C-BE32-E72D297353CC}">
              <c16:uniqueId val="{00000001-6779-48E6-819F-D1E7EF9E0E5F}"/>
            </c:ext>
          </c:extLst>
        </c:ser>
        <c:ser>
          <c:idx val="2"/>
          <c:order val="2"/>
          <c:tx>
            <c:strRef>
              <c:f>List2!$A$23</c:f>
              <c:strCache>
                <c:ptCount val="1"/>
                <c:pt idx="0">
                  <c:v>Število nesreč na nivojskih prehodih</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List2!$I$20:$M$20</c:f>
              <c:numCache>
                <c:formatCode>General</c:formatCode>
                <c:ptCount val="5"/>
                <c:pt idx="0">
                  <c:v>2013</c:v>
                </c:pt>
                <c:pt idx="1">
                  <c:v>2014</c:v>
                </c:pt>
                <c:pt idx="2">
                  <c:v>2015</c:v>
                </c:pt>
                <c:pt idx="3">
                  <c:v>2016</c:v>
                </c:pt>
                <c:pt idx="4">
                  <c:v>2017</c:v>
                </c:pt>
              </c:numCache>
            </c:numRef>
          </c:cat>
          <c:val>
            <c:numRef>
              <c:f>List2!$I$23:$M$23</c:f>
              <c:numCache>
                <c:formatCode>General</c:formatCode>
                <c:ptCount val="5"/>
                <c:pt idx="0">
                  <c:v>11</c:v>
                </c:pt>
                <c:pt idx="1">
                  <c:v>9</c:v>
                </c:pt>
                <c:pt idx="2">
                  <c:v>10</c:v>
                </c:pt>
                <c:pt idx="3">
                  <c:v>8</c:v>
                </c:pt>
                <c:pt idx="4">
                  <c:v>5</c:v>
                </c:pt>
              </c:numCache>
            </c:numRef>
          </c:val>
          <c:extLst>
            <c:ext xmlns:c="http://schemas.openxmlformats.org/drawingml/2006/chart" xmlns:c16="http://schemas.microsoft.com/office/drawing/2014/chart" uri="{C3380CC4-5D6E-409C-BE32-E72D297353CC}">
              <c16:uniqueId val="{00000002-6779-48E6-819F-D1E7EF9E0E5F}"/>
            </c:ext>
          </c:extLst>
        </c:ser>
        <c:dLbls>
          <c:showLegendKey val="0"/>
          <c:showVal val="0"/>
          <c:showCatName val="0"/>
          <c:showSerName val="0"/>
          <c:showPercent val="0"/>
          <c:showBubbleSize val="0"/>
        </c:dLbls>
        <c:gapWidth val="219"/>
        <c:overlap val="-27"/>
        <c:axId val="475938888"/>
        <c:axId val="475938496"/>
      </c:barChart>
      <c:catAx>
        <c:axId val="475938888"/>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938496"/>
        <c:crosses val="autoZero"/>
        <c:auto val="1"/>
        <c:lblAlgn val="ctr"/>
        <c:lblOffset val="100"/>
        <c:noMultiLvlLbl val="0"/>
      </c:catAx>
      <c:valAx>
        <c:axId val="475938496"/>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9388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List2!$A$36</c:f>
              <c:strCache>
                <c:ptCount val="1"/>
                <c:pt idx="0">
                  <c:v>Število smrtnih žrtev uporabnikov nivojskih prehodov v nesrečah na nivojskih prehodih</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List2!$I$35:$M$35</c:f>
              <c:numCache>
                <c:formatCode>General</c:formatCode>
                <c:ptCount val="5"/>
                <c:pt idx="0">
                  <c:v>2013</c:v>
                </c:pt>
                <c:pt idx="1">
                  <c:v>2014</c:v>
                </c:pt>
                <c:pt idx="2">
                  <c:v>2015</c:v>
                </c:pt>
                <c:pt idx="3">
                  <c:v>2016</c:v>
                </c:pt>
                <c:pt idx="4">
                  <c:v>2017</c:v>
                </c:pt>
              </c:numCache>
            </c:numRef>
          </c:cat>
          <c:val>
            <c:numRef>
              <c:f>List2!$I$36:$M$36</c:f>
              <c:numCache>
                <c:formatCode>General</c:formatCode>
                <c:ptCount val="5"/>
                <c:pt idx="0">
                  <c:v>4</c:v>
                </c:pt>
                <c:pt idx="1">
                  <c:v>3</c:v>
                </c:pt>
                <c:pt idx="2">
                  <c:v>1</c:v>
                </c:pt>
                <c:pt idx="3">
                  <c:v>5</c:v>
                </c:pt>
                <c:pt idx="4">
                  <c:v>5</c:v>
                </c:pt>
              </c:numCache>
            </c:numRef>
          </c:val>
          <c:extLst>
            <c:ext xmlns:c="http://schemas.openxmlformats.org/drawingml/2006/chart" xmlns:c16="http://schemas.microsoft.com/office/drawing/2014/chart" uri="{C3380CC4-5D6E-409C-BE32-E72D297353CC}">
              <c16:uniqueId val="{00000000-1D96-4AA5-A10B-5EE2649BF0CF}"/>
            </c:ext>
          </c:extLst>
        </c:ser>
        <c:ser>
          <c:idx val="1"/>
          <c:order val="1"/>
          <c:tx>
            <c:strRef>
              <c:f>List2!$A$37</c:f>
              <c:strCache>
                <c:ptCount val="1"/>
                <c:pt idx="0">
                  <c:v>Število smrtnih žrtev v vseh nesrečah</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List2!$I$35:$M$35</c:f>
              <c:numCache>
                <c:formatCode>General</c:formatCode>
                <c:ptCount val="5"/>
                <c:pt idx="0">
                  <c:v>2013</c:v>
                </c:pt>
                <c:pt idx="1">
                  <c:v>2014</c:v>
                </c:pt>
                <c:pt idx="2">
                  <c:v>2015</c:v>
                </c:pt>
                <c:pt idx="3">
                  <c:v>2016</c:v>
                </c:pt>
                <c:pt idx="4">
                  <c:v>2017</c:v>
                </c:pt>
              </c:numCache>
            </c:numRef>
          </c:cat>
          <c:val>
            <c:numRef>
              <c:f>List2!$I$37:$M$37</c:f>
              <c:numCache>
                <c:formatCode>General</c:formatCode>
                <c:ptCount val="5"/>
                <c:pt idx="0">
                  <c:v>5</c:v>
                </c:pt>
                <c:pt idx="1">
                  <c:v>3</c:v>
                </c:pt>
                <c:pt idx="2">
                  <c:v>1</c:v>
                </c:pt>
                <c:pt idx="3">
                  <c:v>5</c:v>
                </c:pt>
                <c:pt idx="4">
                  <c:v>5</c:v>
                </c:pt>
              </c:numCache>
            </c:numRef>
          </c:val>
          <c:extLst>
            <c:ext xmlns:c="http://schemas.openxmlformats.org/drawingml/2006/chart" xmlns:c16="http://schemas.microsoft.com/office/drawing/2014/chart" uri="{C3380CC4-5D6E-409C-BE32-E72D297353CC}">
              <c16:uniqueId val="{00000001-1D96-4AA5-A10B-5EE2649BF0CF}"/>
            </c:ext>
          </c:extLst>
        </c:ser>
        <c:dLbls>
          <c:showLegendKey val="0"/>
          <c:showVal val="0"/>
          <c:showCatName val="0"/>
          <c:showSerName val="0"/>
          <c:showPercent val="0"/>
          <c:showBubbleSize val="0"/>
        </c:dLbls>
        <c:gapWidth val="219"/>
        <c:overlap val="-27"/>
        <c:axId val="475940064"/>
        <c:axId val="475940456"/>
      </c:barChart>
      <c:catAx>
        <c:axId val="475940064"/>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940456"/>
        <c:crosses val="autoZero"/>
        <c:auto val="1"/>
        <c:lblAlgn val="ctr"/>
        <c:lblOffset val="100"/>
        <c:noMultiLvlLbl val="0"/>
      </c:catAx>
      <c:valAx>
        <c:axId val="475940456"/>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9400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List2!$A$30</c:f>
              <c:strCache>
                <c:ptCount val="1"/>
                <c:pt idx="0">
                  <c:v>Število hudo poškodovanih uporabnikov nivojskih prehodov v nesrečah na nivojskih prehodih</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List2!$I$29:$M$29</c:f>
              <c:numCache>
                <c:formatCode>General</c:formatCode>
                <c:ptCount val="5"/>
                <c:pt idx="0">
                  <c:v>2013</c:v>
                </c:pt>
                <c:pt idx="1">
                  <c:v>2014</c:v>
                </c:pt>
                <c:pt idx="2">
                  <c:v>2015</c:v>
                </c:pt>
                <c:pt idx="3">
                  <c:v>2016</c:v>
                </c:pt>
                <c:pt idx="4">
                  <c:v>2017</c:v>
                </c:pt>
              </c:numCache>
            </c:numRef>
          </c:cat>
          <c:val>
            <c:numRef>
              <c:f>List2!$I$30:$M$30</c:f>
              <c:numCache>
                <c:formatCode>General</c:formatCode>
                <c:ptCount val="5"/>
                <c:pt idx="0">
                  <c:v>9</c:v>
                </c:pt>
                <c:pt idx="1">
                  <c:v>7</c:v>
                </c:pt>
                <c:pt idx="2">
                  <c:v>12</c:v>
                </c:pt>
                <c:pt idx="3">
                  <c:v>4</c:v>
                </c:pt>
                <c:pt idx="4">
                  <c:v>2</c:v>
                </c:pt>
              </c:numCache>
            </c:numRef>
          </c:val>
          <c:extLst>
            <c:ext xmlns:c="http://schemas.openxmlformats.org/drawingml/2006/chart" xmlns:c16="http://schemas.microsoft.com/office/drawing/2014/chart" uri="{C3380CC4-5D6E-409C-BE32-E72D297353CC}">
              <c16:uniqueId val="{00000000-3373-4D05-BCB4-5A66F39DB92B}"/>
            </c:ext>
          </c:extLst>
        </c:ser>
        <c:ser>
          <c:idx val="1"/>
          <c:order val="1"/>
          <c:tx>
            <c:strRef>
              <c:f>List2!$A$31</c:f>
              <c:strCache>
                <c:ptCount val="1"/>
                <c:pt idx="0">
                  <c:v>Število hudo poškodovanih v vseh nesrečah</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List2!$I$29:$M$29</c:f>
              <c:numCache>
                <c:formatCode>General</c:formatCode>
                <c:ptCount val="5"/>
                <c:pt idx="0">
                  <c:v>2013</c:v>
                </c:pt>
                <c:pt idx="1">
                  <c:v>2014</c:v>
                </c:pt>
                <c:pt idx="2">
                  <c:v>2015</c:v>
                </c:pt>
                <c:pt idx="3">
                  <c:v>2016</c:v>
                </c:pt>
                <c:pt idx="4">
                  <c:v>2017</c:v>
                </c:pt>
              </c:numCache>
            </c:numRef>
          </c:cat>
          <c:val>
            <c:numRef>
              <c:f>List2!$I$31:$M$31</c:f>
              <c:numCache>
                <c:formatCode>General</c:formatCode>
                <c:ptCount val="5"/>
                <c:pt idx="0">
                  <c:v>10</c:v>
                </c:pt>
                <c:pt idx="1">
                  <c:v>8</c:v>
                </c:pt>
                <c:pt idx="2">
                  <c:v>13</c:v>
                </c:pt>
                <c:pt idx="3">
                  <c:v>4</c:v>
                </c:pt>
                <c:pt idx="4">
                  <c:v>3</c:v>
                </c:pt>
              </c:numCache>
            </c:numRef>
          </c:val>
          <c:extLst>
            <c:ext xmlns:c="http://schemas.openxmlformats.org/drawingml/2006/chart" xmlns:c16="http://schemas.microsoft.com/office/drawing/2014/chart" uri="{C3380CC4-5D6E-409C-BE32-E72D297353CC}">
              <c16:uniqueId val="{00000001-3373-4D05-BCB4-5A66F39DB92B}"/>
            </c:ext>
          </c:extLst>
        </c:ser>
        <c:dLbls>
          <c:dLblPos val="outEnd"/>
          <c:showLegendKey val="0"/>
          <c:showVal val="1"/>
          <c:showCatName val="0"/>
          <c:showSerName val="0"/>
          <c:showPercent val="0"/>
          <c:showBubbleSize val="0"/>
        </c:dLbls>
        <c:gapWidth val="219"/>
        <c:overlap val="-27"/>
        <c:axId val="475940848"/>
        <c:axId val="475941632"/>
      </c:barChart>
      <c:catAx>
        <c:axId val="475940848"/>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941632"/>
        <c:crosses val="autoZero"/>
        <c:auto val="1"/>
        <c:lblAlgn val="ctr"/>
        <c:lblOffset val="100"/>
        <c:noMultiLvlLbl val="0"/>
      </c:catAx>
      <c:valAx>
        <c:axId val="475941632"/>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9408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List2!$A$8</c:f>
              <c:strCache>
                <c:ptCount val="1"/>
                <c:pt idx="0">
                  <c:v>Samomori</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List2!$C$1:$M$1</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List2!$C$8:$M$8</c:f>
              <c:numCache>
                <c:formatCode>General</c:formatCode>
                <c:ptCount val="11"/>
                <c:pt idx="0">
                  <c:v>14</c:v>
                </c:pt>
                <c:pt idx="1">
                  <c:v>20</c:v>
                </c:pt>
                <c:pt idx="2">
                  <c:v>10</c:v>
                </c:pt>
                <c:pt idx="3">
                  <c:v>15</c:v>
                </c:pt>
                <c:pt idx="4">
                  <c:v>25</c:v>
                </c:pt>
                <c:pt idx="5">
                  <c:v>16</c:v>
                </c:pt>
                <c:pt idx="6">
                  <c:v>13</c:v>
                </c:pt>
                <c:pt idx="7">
                  <c:v>18</c:v>
                </c:pt>
                <c:pt idx="8">
                  <c:v>16</c:v>
                </c:pt>
                <c:pt idx="9">
                  <c:v>26</c:v>
                </c:pt>
                <c:pt idx="10">
                  <c:v>15</c:v>
                </c:pt>
              </c:numCache>
            </c:numRef>
          </c:val>
          <c:extLst>
            <c:ext xmlns:c="http://schemas.openxmlformats.org/drawingml/2006/chart" xmlns:c16="http://schemas.microsoft.com/office/drawing/2014/chart" uri="{C3380CC4-5D6E-409C-BE32-E72D297353CC}">
              <c16:uniqueId val="{00000000-60C7-4D84-9769-0A343561A539}"/>
            </c:ext>
          </c:extLst>
        </c:ser>
        <c:dLbls>
          <c:showLegendKey val="0"/>
          <c:showVal val="0"/>
          <c:showCatName val="0"/>
          <c:showSerName val="0"/>
          <c:showPercent val="0"/>
          <c:showBubbleSize val="0"/>
        </c:dLbls>
        <c:gapWidth val="100"/>
        <c:overlap val="-24"/>
        <c:axId val="480749344"/>
        <c:axId val="855678736"/>
      </c:barChart>
      <c:catAx>
        <c:axId val="480749344"/>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855678736"/>
        <c:crosses val="autoZero"/>
        <c:auto val="1"/>
        <c:lblAlgn val="ctr"/>
        <c:lblOffset val="100"/>
        <c:noMultiLvlLbl val="0"/>
      </c:catAx>
      <c:valAx>
        <c:axId val="855678736"/>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480749344"/>
        <c:crosses val="autoZero"/>
        <c:crossBetween val="between"/>
      </c:valAx>
      <c:spPr>
        <a:noFill/>
        <a:ln>
          <a:noFill/>
        </a:ln>
        <a:effectLst/>
      </c:spPr>
    </c:plotArea>
    <c:plotVisOnly val="1"/>
    <c:dispBlanksAs val="gap"/>
    <c:showDLblsOverMax val="0"/>
  </c:chart>
  <c:spPr>
    <a:solidFill>
      <a:schemeClr val="bg1"/>
    </a:solidFill>
    <a:ln w="9525">
      <a:solidFill>
        <a:schemeClr val="accent1"/>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List2!$A$12</c:f>
              <c:strCache>
                <c:ptCount val="1"/>
                <c:pt idx="0">
                  <c:v>Skupno število znanilcev nesreč</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List2!$C$11:$M$11</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List2!$C$12:$M$12</c:f>
              <c:numCache>
                <c:formatCode>General</c:formatCode>
                <c:ptCount val="11"/>
                <c:pt idx="0">
                  <c:v>84</c:v>
                </c:pt>
                <c:pt idx="1">
                  <c:v>110</c:v>
                </c:pt>
                <c:pt idx="2">
                  <c:v>114</c:v>
                </c:pt>
                <c:pt idx="3">
                  <c:v>140</c:v>
                </c:pt>
                <c:pt idx="4">
                  <c:v>96</c:v>
                </c:pt>
                <c:pt idx="5">
                  <c:v>116</c:v>
                </c:pt>
                <c:pt idx="6">
                  <c:v>100</c:v>
                </c:pt>
                <c:pt idx="7">
                  <c:v>81</c:v>
                </c:pt>
                <c:pt idx="8">
                  <c:v>142</c:v>
                </c:pt>
                <c:pt idx="9">
                  <c:v>125</c:v>
                </c:pt>
                <c:pt idx="10">
                  <c:v>148</c:v>
                </c:pt>
              </c:numCache>
            </c:numRef>
          </c:val>
          <c:extLst>
            <c:ext xmlns:c="http://schemas.openxmlformats.org/drawingml/2006/chart" xmlns:c16="http://schemas.microsoft.com/office/drawing/2014/chart" uri="{C3380CC4-5D6E-409C-BE32-E72D297353CC}">
              <c16:uniqueId val="{00000000-7CF3-426E-8ED4-F25EEEA61D02}"/>
            </c:ext>
          </c:extLst>
        </c:ser>
        <c:dLbls>
          <c:showLegendKey val="0"/>
          <c:showVal val="0"/>
          <c:showCatName val="0"/>
          <c:showSerName val="0"/>
          <c:showPercent val="0"/>
          <c:showBubbleSize val="0"/>
        </c:dLbls>
        <c:gapWidth val="100"/>
        <c:overlap val="-24"/>
        <c:axId val="855679128"/>
        <c:axId val="855680304"/>
      </c:barChart>
      <c:catAx>
        <c:axId val="855679128"/>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855680304"/>
        <c:crosses val="autoZero"/>
        <c:auto val="1"/>
        <c:lblAlgn val="ctr"/>
        <c:lblOffset val="100"/>
        <c:noMultiLvlLbl val="0"/>
      </c:catAx>
      <c:valAx>
        <c:axId val="855680304"/>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855679128"/>
        <c:crosses val="autoZero"/>
        <c:crossBetween val="between"/>
      </c:valAx>
      <c:spPr>
        <a:noFill/>
        <a:ln>
          <a:noFill/>
        </a:ln>
        <a:effectLst/>
      </c:spPr>
    </c:plotArea>
    <c:plotVisOnly val="1"/>
    <c:dispBlanksAs val="gap"/>
    <c:showDLblsOverMax val="0"/>
  </c:chart>
  <c:spPr>
    <a:solidFill>
      <a:schemeClr val="bg1"/>
    </a:solidFill>
    <a:ln w="9525">
      <a:solidFill>
        <a:schemeClr val="accent1"/>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Calibri"/>
                <a:ea typeface="Calibri"/>
                <a:cs typeface="Calibri"/>
              </a:defRPr>
            </a:pPr>
            <a:r>
              <a:rPr lang="en-GB" sz="1200" b="1" i="0" kern="1200" baseline="0">
                <a:solidFill>
                  <a:srgbClr val="000000"/>
                </a:solidFill>
                <a:effectLst/>
                <a:latin typeface="Calibri" panose="020F0502020204030204" pitchFamily="34" charset="0"/>
                <a:ea typeface="Calibri" panose="020F0502020204030204" pitchFamily="34" charset="0"/>
              </a:rPr>
              <a:t>Total number of fatalities per type of accident</a:t>
            </a:r>
          </a:p>
        </c:rich>
      </c:tx>
      <c:layout>
        <c:manualLayout>
          <c:xMode val="edge"/>
          <c:yMode val="edge"/>
          <c:x val="0.2720817335849548"/>
          <c:y val="0.023550111791581608"/>
        </c:manualLayout>
      </c:layout>
      <c:overlay val="0"/>
      <c:spPr>
        <a:noFill/>
        <a:ln w="25400">
          <a:noFill/>
        </a:ln>
      </c:spPr>
    </c:title>
    <c:autoTitleDeleted val="0"/>
    <c:plotArea>
      <c:layout>
        <c:manualLayout>
          <c:layoutTarget val="inner"/>
          <c:xMode val="edge"/>
          <c:yMode val="edge"/>
          <c:x val="0.0714750656167979"/>
          <c:y val="0.12164948453608247"/>
          <c:w val="0.91530179388733435"/>
          <c:h val="0.60618556701030923"/>
        </c:manualLayout>
      </c:layout>
      <c:barChart>
        <c:barDir val="col"/>
        <c:grouping val="stacked"/>
        <c:varyColors val="0"/>
        <c:ser>
          <c:idx val="0"/>
          <c:order val="0"/>
          <c:tx>
            <c:strRef>
              <c:f>'1.1'!$C$30</c:f>
              <c:strCache>
                <c:ptCount val="1"/>
                <c:pt idx="0">
                  <c:v>Trki</c:v>
                </c:pt>
              </c:strCache>
            </c:strRef>
          </c:tx>
          <c:spPr>
            <a:solidFill>
              <a:srgbClr val="4572A7"/>
            </a:solidFill>
            <a:ln w="25400">
              <a:noFill/>
            </a:ln>
          </c:spPr>
          <c:invertIfNegative val="0"/>
          <c:cat>
            <c:numRef>
              <c:f>'1.1'!$B$31:$B$35</c:f>
              <c:numCache>
                <c:formatCode>0</c:formatCode>
                <c:ptCount val="5"/>
                <c:pt idx="0">
                  <c:v>2013</c:v>
                </c:pt>
                <c:pt idx="1">
                  <c:v>2014</c:v>
                </c:pt>
                <c:pt idx="2">
                  <c:v>2015</c:v>
                </c:pt>
                <c:pt idx="3">
                  <c:v>2016</c:v>
                </c:pt>
                <c:pt idx="4">
                  <c:v>2017</c:v>
                </c:pt>
              </c:numCache>
            </c:numRef>
          </c:cat>
          <c:val>
            <c:numRef>
              <c:f>'1.1'!$C$31:$C$35</c:f>
              <c:numCache>
                <c:formatCode>0</c:formatCode>
                <c:ptCount val="5"/>
                <c:pt idx="0">
                  <c:v>0</c:v>
                </c:pt>
                <c:pt idx="1">
                  <c:v>0</c:v>
                </c:pt>
                <c:pt idx="2">
                  <c:v>0</c:v>
                </c:pt>
                <c:pt idx="3">
                  <c:v>0</c:v>
                </c:pt>
                <c:pt idx="4">
                  <c:v>0</c:v>
                </c:pt>
              </c:numCache>
            </c:numRef>
          </c:val>
          <c:extLst>
            <c:ext xmlns:c="http://schemas.openxmlformats.org/drawingml/2006/chart" xmlns:c16="http://schemas.microsoft.com/office/drawing/2014/chart" uri="{C3380CC4-5D6E-409C-BE32-E72D297353CC}">
              <c16:uniqueId val="{00000000-21D8-4222-A5EA-D7420F4D9E99}"/>
            </c:ext>
          </c:extLst>
        </c:ser>
        <c:ser>
          <c:idx val="1"/>
          <c:order val="1"/>
          <c:tx>
            <c:strRef>
              <c:f>'1.1'!$D$30</c:f>
              <c:strCache>
                <c:ptCount val="1"/>
                <c:pt idx="0">
                  <c:v>Iztirjenja</c:v>
                </c:pt>
              </c:strCache>
            </c:strRef>
          </c:tx>
          <c:spPr>
            <a:solidFill>
              <a:srgbClr val="AA4643"/>
            </a:solidFill>
            <a:ln w="25400">
              <a:noFill/>
            </a:ln>
          </c:spPr>
          <c:invertIfNegative val="0"/>
          <c:cat>
            <c:numRef>
              <c:f>'1.1'!$B$31:$B$35</c:f>
              <c:numCache>
                <c:formatCode>0</c:formatCode>
                <c:ptCount val="5"/>
                <c:pt idx="0">
                  <c:v>2013</c:v>
                </c:pt>
                <c:pt idx="1">
                  <c:v>2014</c:v>
                </c:pt>
                <c:pt idx="2">
                  <c:v>2015</c:v>
                </c:pt>
                <c:pt idx="3">
                  <c:v>2016</c:v>
                </c:pt>
                <c:pt idx="4">
                  <c:v>2017</c:v>
                </c:pt>
              </c:numCache>
            </c:numRef>
          </c:cat>
          <c:val>
            <c:numRef>
              <c:f>'1.1'!$D$31:$D$35</c:f>
              <c:numCache>
                <c:formatCode>0</c:formatCode>
                <c:ptCount val="5"/>
                <c:pt idx="0">
                  <c:v>0</c:v>
                </c:pt>
                <c:pt idx="1">
                  <c:v>0</c:v>
                </c:pt>
                <c:pt idx="2">
                  <c:v>0</c:v>
                </c:pt>
                <c:pt idx="3">
                  <c:v>0</c:v>
                </c:pt>
                <c:pt idx="4">
                  <c:v>0</c:v>
                </c:pt>
              </c:numCache>
            </c:numRef>
          </c:val>
          <c:extLst>
            <c:ext xmlns:c="http://schemas.openxmlformats.org/drawingml/2006/chart" xmlns:c16="http://schemas.microsoft.com/office/drawing/2014/chart" uri="{C3380CC4-5D6E-409C-BE32-E72D297353CC}">
              <c16:uniqueId val="{00000001-21D8-4222-A5EA-D7420F4D9E99}"/>
            </c:ext>
          </c:extLst>
        </c:ser>
        <c:ser>
          <c:idx val="2"/>
          <c:order val="2"/>
          <c:tx>
            <c:strRef>
              <c:f>'1.1'!$E$30</c:f>
              <c:strCache>
                <c:ptCount val="1"/>
                <c:pt idx="0">
                  <c:v>Nesreče na nivojskih prehodih</c:v>
                </c:pt>
              </c:strCache>
            </c:strRef>
          </c:tx>
          <c:spPr>
            <a:solidFill>
              <a:srgbClr val="89A54E"/>
            </a:solidFill>
            <a:ln w="25400">
              <a:noFill/>
            </a:ln>
          </c:spPr>
          <c:invertIfNegative val="0"/>
          <c:cat>
            <c:numRef>
              <c:f>'1.1'!$B$31:$B$35</c:f>
              <c:numCache>
                <c:formatCode>0</c:formatCode>
                <c:ptCount val="5"/>
                <c:pt idx="0">
                  <c:v>2013</c:v>
                </c:pt>
                <c:pt idx="1">
                  <c:v>2014</c:v>
                </c:pt>
                <c:pt idx="2">
                  <c:v>2015</c:v>
                </c:pt>
                <c:pt idx="3">
                  <c:v>2016</c:v>
                </c:pt>
                <c:pt idx="4">
                  <c:v>2017</c:v>
                </c:pt>
              </c:numCache>
            </c:numRef>
          </c:cat>
          <c:val>
            <c:numRef>
              <c:f>'1.1'!$E$31:$E$35</c:f>
              <c:numCache>
                <c:formatCode>0</c:formatCode>
                <c:ptCount val="5"/>
                <c:pt idx="0">
                  <c:v>4</c:v>
                </c:pt>
                <c:pt idx="1">
                  <c:v>3</c:v>
                </c:pt>
                <c:pt idx="2">
                  <c:v>1</c:v>
                </c:pt>
                <c:pt idx="3">
                  <c:v>5</c:v>
                </c:pt>
                <c:pt idx="4">
                  <c:v>5</c:v>
                </c:pt>
              </c:numCache>
            </c:numRef>
          </c:val>
          <c:extLst>
            <c:ext xmlns:c="http://schemas.openxmlformats.org/drawingml/2006/chart" xmlns:c16="http://schemas.microsoft.com/office/drawing/2014/chart" uri="{C3380CC4-5D6E-409C-BE32-E72D297353CC}">
              <c16:uniqueId val="{00000002-21D8-4222-A5EA-D7420F4D9E99}"/>
            </c:ext>
          </c:extLst>
        </c:ser>
        <c:ser>
          <c:idx val="3"/>
          <c:order val="3"/>
          <c:tx>
            <c:strRef>
              <c:f>'1.1'!$F$30</c:f>
              <c:strCache>
                <c:ptCount val="1"/>
                <c:pt idx="0">
                  <c:v>Nesreče, ki so jih povzročila vozila v gibanju</c:v>
                </c:pt>
              </c:strCache>
            </c:strRef>
          </c:tx>
          <c:spPr>
            <a:solidFill>
              <a:srgbClr val="71588F"/>
            </a:solidFill>
            <a:ln w="25400">
              <a:noFill/>
            </a:ln>
          </c:spPr>
          <c:invertIfNegative val="0"/>
          <c:cat>
            <c:numRef>
              <c:f>'1.1'!$B$31:$B$35</c:f>
              <c:numCache>
                <c:formatCode>0</c:formatCode>
                <c:ptCount val="5"/>
                <c:pt idx="0">
                  <c:v>2013</c:v>
                </c:pt>
                <c:pt idx="1">
                  <c:v>2014</c:v>
                </c:pt>
                <c:pt idx="2">
                  <c:v>2015</c:v>
                </c:pt>
                <c:pt idx="3">
                  <c:v>2016</c:v>
                </c:pt>
                <c:pt idx="4">
                  <c:v>2017</c:v>
                </c:pt>
              </c:numCache>
            </c:numRef>
          </c:cat>
          <c:val>
            <c:numRef>
              <c:f>'1.1'!$F$31:$F$35</c:f>
              <c:numCache>
                <c:formatCode>0</c:formatCode>
                <c:ptCount val="5"/>
                <c:pt idx="0">
                  <c:v>1</c:v>
                </c:pt>
                <c:pt idx="1">
                  <c:v>0</c:v>
                </c:pt>
                <c:pt idx="2">
                  <c:v>0</c:v>
                </c:pt>
                <c:pt idx="3">
                  <c:v>0</c:v>
                </c:pt>
                <c:pt idx="4">
                  <c:v>0</c:v>
                </c:pt>
              </c:numCache>
            </c:numRef>
          </c:val>
          <c:extLst>
            <c:ext xmlns:c="http://schemas.openxmlformats.org/drawingml/2006/chart" xmlns:c16="http://schemas.microsoft.com/office/drawing/2014/chart" uri="{C3380CC4-5D6E-409C-BE32-E72D297353CC}">
              <c16:uniqueId val="{00000003-21D8-4222-A5EA-D7420F4D9E99}"/>
            </c:ext>
          </c:extLst>
        </c:ser>
        <c:ser>
          <c:idx val="4"/>
          <c:order val="4"/>
          <c:tx>
            <c:strRef>
              <c:f>'1.1'!$G$30</c:f>
              <c:strCache>
                <c:ptCount val="1"/>
                <c:pt idx="0">
                  <c:v>Požari na vozilih</c:v>
                </c:pt>
              </c:strCache>
            </c:strRef>
          </c:tx>
          <c:spPr>
            <a:solidFill>
              <a:srgbClr val="4198AF"/>
            </a:solidFill>
            <a:ln w="25400">
              <a:noFill/>
            </a:ln>
          </c:spPr>
          <c:invertIfNegative val="0"/>
          <c:cat>
            <c:numRef>
              <c:f>'1.1'!$B$31:$B$35</c:f>
              <c:numCache>
                <c:formatCode>0</c:formatCode>
                <c:ptCount val="5"/>
                <c:pt idx="0">
                  <c:v>2013</c:v>
                </c:pt>
                <c:pt idx="1">
                  <c:v>2014</c:v>
                </c:pt>
                <c:pt idx="2">
                  <c:v>2015</c:v>
                </c:pt>
                <c:pt idx="3">
                  <c:v>2016</c:v>
                </c:pt>
                <c:pt idx="4">
                  <c:v>2017</c:v>
                </c:pt>
              </c:numCache>
            </c:numRef>
          </c:cat>
          <c:val>
            <c:numRef>
              <c:f>'1.1'!$G$31:$G$35</c:f>
              <c:numCache>
                <c:formatCode>0</c:formatCode>
                <c:ptCount val="5"/>
                <c:pt idx="0">
                  <c:v>0</c:v>
                </c:pt>
                <c:pt idx="1">
                  <c:v>0</c:v>
                </c:pt>
                <c:pt idx="2">
                  <c:v>0</c:v>
                </c:pt>
                <c:pt idx="3">
                  <c:v>0</c:v>
                </c:pt>
                <c:pt idx="4">
                  <c:v>0</c:v>
                </c:pt>
              </c:numCache>
            </c:numRef>
          </c:val>
          <c:extLst>
            <c:ext xmlns:c="http://schemas.openxmlformats.org/drawingml/2006/chart" xmlns:c16="http://schemas.microsoft.com/office/drawing/2014/chart" uri="{C3380CC4-5D6E-409C-BE32-E72D297353CC}">
              <c16:uniqueId val="{00000004-21D8-4222-A5EA-D7420F4D9E99}"/>
            </c:ext>
          </c:extLst>
        </c:ser>
        <c:ser>
          <c:idx val="5"/>
          <c:order val="5"/>
          <c:tx>
            <c:strRef>
              <c:f>'1.1'!$H$30</c:f>
              <c:strCache>
                <c:ptCount val="1"/>
                <c:pt idx="0">
                  <c:v> Ostalo</c:v>
                </c:pt>
              </c:strCache>
            </c:strRef>
          </c:tx>
          <c:spPr>
            <a:solidFill>
              <a:srgbClr val="DB843D"/>
            </a:solidFill>
            <a:ln w="25400">
              <a:noFill/>
            </a:ln>
          </c:spPr>
          <c:invertIfNegative val="0"/>
          <c:cat>
            <c:numRef>
              <c:f>'1.1'!$B$31:$B$35</c:f>
              <c:numCache>
                <c:formatCode>0</c:formatCode>
                <c:ptCount val="5"/>
                <c:pt idx="0">
                  <c:v>2013</c:v>
                </c:pt>
                <c:pt idx="1">
                  <c:v>2014</c:v>
                </c:pt>
                <c:pt idx="2">
                  <c:v>2015</c:v>
                </c:pt>
                <c:pt idx="3">
                  <c:v>2016</c:v>
                </c:pt>
                <c:pt idx="4">
                  <c:v>2017</c:v>
                </c:pt>
              </c:numCache>
            </c:numRef>
          </c:cat>
          <c:val>
            <c:numRef>
              <c:f>'1.1'!$H$31:$H$35</c:f>
              <c:numCache>
                <c:formatCode>0</c:formatCode>
                <c:ptCount val="5"/>
                <c:pt idx="0">
                  <c:v>0</c:v>
                </c:pt>
                <c:pt idx="1">
                  <c:v>0</c:v>
                </c:pt>
                <c:pt idx="2">
                  <c:v>0</c:v>
                </c:pt>
                <c:pt idx="3">
                  <c:v>0</c:v>
                </c:pt>
                <c:pt idx="4">
                  <c:v>0</c:v>
                </c:pt>
              </c:numCache>
            </c:numRef>
          </c:val>
          <c:extLst>
            <c:ext xmlns:c="http://schemas.openxmlformats.org/drawingml/2006/chart" xmlns:c16="http://schemas.microsoft.com/office/drawing/2014/chart" uri="{C3380CC4-5D6E-409C-BE32-E72D297353CC}">
              <c16:uniqueId val="{00000005-21D8-4222-A5EA-D7420F4D9E99}"/>
            </c:ext>
          </c:extLst>
        </c:ser>
        <c:ser>
          <c:idx val="6"/>
          <c:order val="6"/>
          <c:tx>
            <c:strRef>
              <c:f>'1.1'!$I$30</c:f>
              <c:strCache>
                <c:ptCount val="1"/>
                <c:pt idx="0">
                  <c:v>Skupaj</c:v>
                </c:pt>
              </c:strCache>
            </c:strRef>
          </c:tx>
          <c:spPr>
            <a:no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'1.1'!$B$31:$B$35</c:f>
              <c:numCache>
                <c:formatCode>0</c:formatCode>
                <c:ptCount val="5"/>
                <c:pt idx="0">
                  <c:v>2013</c:v>
                </c:pt>
                <c:pt idx="1">
                  <c:v>2014</c:v>
                </c:pt>
                <c:pt idx="2">
                  <c:v>2015</c:v>
                </c:pt>
                <c:pt idx="3">
                  <c:v>2016</c:v>
                </c:pt>
                <c:pt idx="4">
                  <c:v>2017</c:v>
                </c:pt>
              </c:numCache>
            </c:numRef>
          </c:cat>
          <c:val>
            <c:numRef>
              <c:f>'1.1'!$I$31:$I$35</c:f>
              <c:numCache>
                <c:formatCode>0</c:formatCode>
                <c:ptCount val="5"/>
                <c:pt idx="0">
                  <c:v>5</c:v>
                </c:pt>
                <c:pt idx="1">
                  <c:v>3</c:v>
                </c:pt>
                <c:pt idx="2">
                  <c:v>1</c:v>
                </c:pt>
                <c:pt idx="3">
                  <c:v>5</c:v>
                </c:pt>
                <c:pt idx="4">
                  <c:v>5</c:v>
                </c:pt>
              </c:numCache>
            </c:numRef>
          </c:val>
          <c:extLst>
            <c:ext xmlns:c="http://schemas.openxmlformats.org/drawingml/2006/chart" xmlns:c16="http://schemas.microsoft.com/office/drawing/2014/chart" uri="{C3380CC4-5D6E-409C-BE32-E72D297353CC}">
              <c16:uniqueId val="{00000006-21D8-4222-A5EA-D7420F4D9E99}"/>
            </c:ext>
          </c:extLst>
        </c:ser>
        <c:dLbls>
          <c:showLegendKey val="0"/>
          <c:showVal val="0"/>
          <c:showCatName val="0"/>
          <c:showSerName val="0"/>
          <c:showPercent val="0"/>
          <c:showBubbleSize val="0"/>
        </c:dLbls>
        <c:gapWidth val="76"/>
        <c:overlap val="100"/>
        <c:axId val="855681088"/>
        <c:axId val="855681480"/>
      </c:barChart>
      <c:catAx>
        <c:axId val="855681088"/>
        <c:scaling>
          <c:orientation val="minMax"/>
        </c:scaling>
        <c:delete val="0"/>
        <c:axPos val="b"/>
        <c:numFmt formatCode="0" sourceLinked="1"/>
        <c:majorTickMark val="none"/>
        <c:minorTickMark val="none"/>
        <c:tickLblPos val="nextTo"/>
        <c:spPr>
          <a:ln w="3175">
            <a:solidFill>
              <a:srgbClr val="808080"/>
            </a:solidFill>
          </a:ln>
        </c:spPr>
        <c:txPr>
          <a:bodyPr rot="0" vert="horz"/>
          <a:lstStyle/>
          <a:p>
            <a:pPr>
              <a:defRPr sz="1100" b="0" i="0" u="none" strike="noStrike" baseline="0">
                <a:solidFill>
                  <a:srgbClr val="000000"/>
                </a:solidFill>
                <a:latin typeface="Calibri"/>
                <a:ea typeface="Calibri"/>
                <a:cs typeface="Calibri"/>
              </a:defRPr>
            </a:pPr>
            <a:endParaRPr lang="en-US"/>
          </a:p>
        </c:txPr>
        <c:crossAx val="855681480"/>
        <c:crosses val="autoZero"/>
        <c:auto val="1"/>
        <c:lblAlgn val="ctr"/>
        <c:lblOffset val="100"/>
        <c:tickLblSkip val="1"/>
        <c:tickMarkSkip val="1"/>
        <c:noMultiLvlLbl val="0"/>
      </c:catAx>
      <c:valAx>
        <c:axId val="855681480"/>
        <c:scaling>
          <c:orientation val="minMax"/>
          <c:max val="6"/>
          <c:min val="0"/>
        </c:scaling>
        <c:delete val="0"/>
        <c:axPos val="l"/>
        <c:majorGridlines>
          <c:spPr>
            <a:ln w="3175">
              <a:solidFill>
                <a:srgbClr val="808080"/>
              </a:solidFill>
            </a:ln>
          </c:spPr>
        </c:majorGridlines>
        <c:numFmt formatCode="0" sourceLinked="1"/>
        <c:majorTickMark val="none"/>
        <c:minorTickMark val="none"/>
        <c:tickLblPos val="nextTo"/>
        <c:spPr>
          <a:ln w="6350">
            <a:noFill/>
          </a:ln>
        </c:spPr>
        <c:txPr>
          <a:bodyPr rot="0" vert="horz"/>
          <a:lstStyle/>
          <a:p>
            <a:pPr>
              <a:defRPr sz="1100" b="0" i="0" u="none" strike="noStrike" baseline="0">
                <a:solidFill>
                  <a:srgbClr val="000000"/>
                </a:solidFill>
                <a:latin typeface="Calibri"/>
                <a:ea typeface="Calibri"/>
                <a:cs typeface="Calibri"/>
              </a:defRPr>
            </a:pPr>
            <a:endParaRPr lang="en-US"/>
          </a:p>
        </c:txPr>
        <c:crossAx val="855681088"/>
        <c:crosses val="autoZero"/>
        <c:crossBetween val="between"/>
      </c:valAx>
      <c:spPr>
        <a:solidFill>
          <a:srgbClr val="FFFFFF"/>
        </a:solidFill>
        <a:ln w="25400">
          <a:noFill/>
        </a:ln>
      </c:spPr>
    </c:plotArea>
    <c:legend>
      <c:legendPos val="b"/>
      <c:legendEntry>
        <c:idx val="6"/>
        <c:delete val="1"/>
      </c:legendEntry>
      <c:layout>
        <c:manualLayout>
          <c:xMode val="edge"/>
          <c:yMode val="edge"/>
          <c:x val="0.0082644628099173556"/>
          <c:y val="0.79100723520671024"/>
          <c:w val="0.99173553719008267"/>
          <c:h val="0.20105875654432082"/>
        </c:manualLayout>
      </c:layout>
      <c:overlay val="0"/>
      <c:spPr>
        <a:noFill/>
        <a:ln w="25400">
          <a:noFill/>
        </a:ln>
      </c:spPr>
    </c:legend>
    <c:plotVisOnly val="1"/>
    <c:dispBlanksAs val="gap"/>
    <c:showDLblsOverMax val="0"/>
  </c:chart>
  <c:spPr>
    <a:solidFill>
      <a:srgbClr val="FFFFFF"/>
    </a:solidFill>
    <a:ln w="3175">
      <a:solidFill>
        <a:srgbClr val="808080"/>
      </a:solid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Calibri"/>
                <a:ea typeface="Calibri"/>
                <a:cs typeface="Calibri"/>
              </a:defRPr>
            </a:pPr>
            <a:r>
              <a:rPr lang="en-GB" sz="1200" b="1" i="0" u="none" strike="noStrike" baseline="0">
                <a:effectLst/>
              </a:rPr>
              <a:t>Number of fatalities per type of user</a:t>
            </a:r>
          </a:p>
        </c:rich>
      </c:tx>
      <c:layout>
        <c:manualLayout>
          <c:xMode val="edge"/>
          <c:yMode val="edge"/>
          <c:x val="0.31118804364330493"/>
          <c:y val="0.023687594606229774"/>
        </c:manualLayout>
      </c:layout>
      <c:overlay val="0"/>
      <c:spPr>
        <a:noFill/>
        <a:ln w="25400">
          <a:noFill/>
        </a:ln>
      </c:spPr>
    </c:title>
    <c:autoTitleDeleted val="0"/>
    <c:plotArea>
      <c:layout>
        <c:manualLayout>
          <c:layoutTarget val="inner"/>
          <c:xMode val="edge"/>
          <c:yMode val="edge"/>
          <c:x val="0.0714750656167979"/>
          <c:y val="0.12266112266112267"/>
          <c:w val="0.91750565063664558"/>
          <c:h val="0.700880445499868"/>
        </c:manualLayout>
      </c:layout>
      <c:barChart>
        <c:barDir val="col"/>
        <c:grouping val="stacked"/>
        <c:varyColors val="0"/>
        <c:ser>
          <c:idx val="0"/>
          <c:order val="0"/>
          <c:tx>
            <c:strRef>
              <c:f>'1.2'!$C$30</c:f>
              <c:strCache>
                <c:ptCount val="1"/>
                <c:pt idx="0">
                  <c:v>Potniki</c:v>
                </c:pt>
              </c:strCache>
            </c:strRef>
          </c:tx>
          <c:spPr>
            <a:solidFill>
              <a:srgbClr val="4572A7"/>
            </a:solidFill>
            <a:ln w="25400">
              <a:noFill/>
            </a:ln>
          </c:spPr>
          <c:invertIfNegative val="0"/>
          <c:cat>
            <c:numRef>
              <c:f>'1.2'!$B$31:$B$35</c:f>
              <c:numCache>
                <c:formatCode>0</c:formatCode>
                <c:ptCount val="5"/>
                <c:pt idx="0">
                  <c:v>2013</c:v>
                </c:pt>
                <c:pt idx="1">
                  <c:v>2014</c:v>
                </c:pt>
                <c:pt idx="2">
                  <c:v>2015</c:v>
                </c:pt>
                <c:pt idx="3">
                  <c:v>2016</c:v>
                </c:pt>
                <c:pt idx="4">
                  <c:v>2017</c:v>
                </c:pt>
              </c:numCache>
            </c:numRef>
          </c:cat>
          <c:val>
            <c:numRef>
              <c:f>'1.2'!$C$31:$C$35</c:f>
              <c:numCache>
                <c:formatCode>0</c:formatCode>
                <c:ptCount val="5"/>
                <c:pt idx="0">
                  <c:v>0</c:v>
                </c:pt>
                <c:pt idx="1">
                  <c:v>0</c:v>
                </c:pt>
                <c:pt idx="2">
                  <c:v>0</c:v>
                </c:pt>
                <c:pt idx="3">
                  <c:v>0</c:v>
                </c:pt>
                <c:pt idx="4">
                  <c:v>0</c:v>
                </c:pt>
              </c:numCache>
            </c:numRef>
          </c:val>
          <c:extLst>
            <c:ext xmlns:c="http://schemas.openxmlformats.org/drawingml/2006/chart" xmlns:c16="http://schemas.microsoft.com/office/drawing/2014/chart" uri="{C3380CC4-5D6E-409C-BE32-E72D297353CC}">
              <c16:uniqueId val="{00000000-C094-4173-AE2B-7E3B76716A74}"/>
            </c:ext>
          </c:extLst>
        </c:ser>
        <c:ser>
          <c:idx val="1"/>
          <c:order val="1"/>
          <c:tx>
            <c:strRef>
              <c:f>'1.2'!$D$30</c:f>
              <c:strCache>
                <c:ptCount val="1"/>
                <c:pt idx="0">
                  <c:v>Zaposleni</c:v>
                </c:pt>
              </c:strCache>
            </c:strRef>
          </c:tx>
          <c:spPr>
            <a:solidFill>
              <a:srgbClr val="AA4643"/>
            </a:solidFill>
            <a:ln w="25400">
              <a:noFill/>
            </a:ln>
          </c:spPr>
          <c:invertIfNegative val="0"/>
          <c:cat>
            <c:numRef>
              <c:f>'1.2'!$B$31:$B$35</c:f>
              <c:numCache>
                <c:formatCode>0</c:formatCode>
                <c:ptCount val="5"/>
                <c:pt idx="0">
                  <c:v>2013</c:v>
                </c:pt>
                <c:pt idx="1">
                  <c:v>2014</c:v>
                </c:pt>
                <c:pt idx="2">
                  <c:v>2015</c:v>
                </c:pt>
                <c:pt idx="3">
                  <c:v>2016</c:v>
                </c:pt>
                <c:pt idx="4">
                  <c:v>2017</c:v>
                </c:pt>
              </c:numCache>
            </c:numRef>
          </c:cat>
          <c:val>
            <c:numRef>
              <c:f>'1.2'!$D$31:$D$35</c:f>
              <c:numCache>
                <c:formatCode>0</c:formatCode>
                <c:ptCount val="5"/>
                <c:pt idx="0">
                  <c:v>0</c:v>
                </c:pt>
                <c:pt idx="1">
                  <c:v>0</c:v>
                </c:pt>
                <c:pt idx="2">
                  <c:v>0</c:v>
                </c:pt>
                <c:pt idx="3">
                  <c:v>0</c:v>
                </c:pt>
                <c:pt idx="4">
                  <c:v>0</c:v>
                </c:pt>
              </c:numCache>
            </c:numRef>
          </c:val>
          <c:extLst>
            <c:ext xmlns:c="http://schemas.openxmlformats.org/drawingml/2006/chart" xmlns:c16="http://schemas.microsoft.com/office/drawing/2014/chart" uri="{C3380CC4-5D6E-409C-BE32-E72D297353CC}">
              <c16:uniqueId val="{00000001-C094-4173-AE2B-7E3B76716A74}"/>
            </c:ext>
          </c:extLst>
        </c:ser>
        <c:ser>
          <c:idx val="2"/>
          <c:order val="2"/>
          <c:tx>
            <c:strRef>
              <c:f>'1.2'!$E$30</c:f>
              <c:strCache>
                <c:ptCount val="1"/>
                <c:pt idx="0">
                  <c:v>Uporabniki nivojskih prehodov</c:v>
                </c:pt>
              </c:strCache>
            </c:strRef>
          </c:tx>
          <c:spPr>
            <a:solidFill>
              <a:srgbClr val="89A54E"/>
            </a:solidFill>
            <a:ln w="25400">
              <a:noFill/>
            </a:ln>
          </c:spPr>
          <c:invertIfNegative val="0"/>
          <c:cat>
            <c:numRef>
              <c:f>'1.2'!$B$31:$B$35</c:f>
              <c:numCache>
                <c:formatCode>0</c:formatCode>
                <c:ptCount val="5"/>
                <c:pt idx="0">
                  <c:v>2013</c:v>
                </c:pt>
                <c:pt idx="1">
                  <c:v>2014</c:v>
                </c:pt>
                <c:pt idx="2">
                  <c:v>2015</c:v>
                </c:pt>
                <c:pt idx="3">
                  <c:v>2016</c:v>
                </c:pt>
                <c:pt idx="4">
                  <c:v>2017</c:v>
                </c:pt>
              </c:numCache>
            </c:numRef>
          </c:cat>
          <c:val>
            <c:numRef>
              <c:f>'1.2'!$E$31:$E$35</c:f>
              <c:numCache>
                <c:formatCode>0</c:formatCode>
                <c:ptCount val="5"/>
                <c:pt idx="0">
                  <c:v>4</c:v>
                </c:pt>
                <c:pt idx="1">
                  <c:v>3</c:v>
                </c:pt>
                <c:pt idx="2">
                  <c:v>1</c:v>
                </c:pt>
                <c:pt idx="3">
                  <c:v>5</c:v>
                </c:pt>
                <c:pt idx="4">
                  <c:v>5</c:v>
                </c:pt>
              </c:numCache>
            </c:numRef>
          </c:val>
          <c:extLst>
            <c:ext xmlns:c="http://schemas.openxmlformats.org/drawingml/2006/chart" xmlns:c16="http://schemas.microsoft.com/office/drawing/2014/chart" uri="{C3380CC4-5D6E-409C-BE32-E72D297353CC}">
              <c16:uniqueId val="{00000002-C094-4173-AE2B-7E3B76716A74}"/>
            </c:ext>
          </c:extLst>
        </c:ser>
        <c:ser>
          <c:idx val="3"/>
          <c:order val="3"/>
          <c:tx>
            <c:strRef>
              <c:f>'1.2'!$F$30</c:f>
              <c:strCache>
                <c:ptCount val="1"/>
                <c:pt idx="0">
                  <c:v>Nepooblaščene osebe</c:v>
                </c:pt>
              </c:strCache>
            </c:strRef>
          </c:tx>
          <c:spPr>
            <a:solidFill>
              <a:srgbClr val="71588F"/>
            </a:solidFill>
            <a:ln w="25400">
              <a:noFill/>
            </a:ln>
          </c:spPr>
          <c:invertIfNegative val="0"/>
          <c:cat>
            <c:numRef>
              <c:f>'1.2'!$B$31:$B$35</c:f>
              <c:numCache>
                <c:formatCode>0</c:formatCode>
                <c:ptCount val="5"/>
                <c:pt idx="0">
                  <c:v>2013</c:v>
                </c:pt>
                <c:pt idx="1">
                  <c:v>2014</c:v>
                </c:pt>
                <c:pt idx="2">
                  <c:v>2015</c:v>
                </c:pt>
                <c:pt idx="3">
                  <c:v>2016</c:v>
                </c:pt>
                <c:pt idx="4">
                  <c:v>2017</c:v>
                </c:pt>
              </c:numCache>
            </c:numRef>
          </c:cat>
          <c:val>
            <c:numRef>
              <c:f>'1.2'!$F$31:$F$35</c:f>
              <c:numCache>
                <c:formatCode>0</c:formatCode>
                <c:ptCount val="5"/>
                <c:pt idx="0">
                  <c:v>1</c:v>
                </c:pt>
                <c:pt idx="1">
                  <c:v>0</c:v>
                </c:pt>
                <c:pt idx="2">
                  <c:v>0</c:v>
                </c:pt>
                <c:pt idx="3">
                  <c:v>0</c:v>
                </c:pt>
                <c:pt idx="4">
                  <c:v>0</c:v>
                </c:pt>
              </c:numCache>
            </c:numRef>
          </c:val>
          <c:extLst>
            <c:ext xmlns:c="http://schemas.openxmlformats.org/drawingml/2006/chart" xmlns:c16="http://schemas.microsoft.com/office/drawing/2014/chart" uri="{C3380CC4-5D6E-409C-BE32-E72D297353CC}">
              <c16:uniqueId val="{00000003-C094-4173-AE2B-7E3B76716A74}"/>
            </c:ext>
          </c:extLst>
        </c:ser>
        <c:ser>
          <c:idx val="5"/>
          <c:order val="4"/>
          <c:tx>
            <c:strRef>
              <c:f>'1.2'!$G$30</c:f>
              <c:strCache>
                <c:ptCount val="1"/>
                <c:pt idx="0">
                  <c:v>Ostali</c:v>
                </c:pt>
              </c:strCache>
            </c:strRef>
          </c:tx>
          <c:spPr>
            <a:solidFill>
              <a:srgbClr val="DB843D"/>
            </a:solidFill>
            <a:ln w="25400">
              <a:noFill/>
            </a:ln>
          </c:spPr>
          <c:invertIfNegative val="0"/>
          <c:cat>
            <c:numRef>
              <c:f>'1.2'!$B$31:$B$35</c:f>
              <c:numCache>
                <c:formatCode>0</c:formatCode>
                <c:ptCount val="5"/>
                <c:pt idx="0">
                  <c:v>2013</c:v>
                </c:pt>
                <c:pt idx="1">
                  <c:v>2014</c:v>
                </c:pt>
                <c:pt idx="2">
                  <c:v>2015</c:v>
                </c:pt>
                <c:pt idx="3">
                  <c:v>2016</c:v>
                </c:pt>
                <c:pt idx="4">
                  <c:v>2017</c:v>
                </c:pt>
              </c:numCache>
            </c:numRef>
          </c:cat>
          <c:val>
            <c:numRef>
              <c:f>'1.2'!$G$31:$G$35</c:f>
              <c:numCache>
                <c:formatCode>0</c:formatCode>
                <c:ptCount val="5"/>
                <c:pt idx="0">
                  <c:v>0</c:v>
                </c:pt>
                <c:pt idx="1">
                  <c:v>0</c:v>
                </c:pt>
                <c:pt idx="2">
                  <c:v>0</c:v>
                </c:pt>
                <c:pt idx="3">
                  <c:v>0</c:v>
                </c:pt>
                <c:pt idx="4">
                  <c:v>0</c:v>
                </c:pt>
              </c:numCache>
            </c:numRef>
          </c:val>
          <c:extLst>
            <c:ext xmlns:c="http://schemas.openxmlformats.org/drawingml/2006/chart" xmlns:c16="http://schemas.microsoft.com/office/drawing/2014/chart" uri="{C3380CC4-5D6E-409C-BE32-E72D297353CC}">
              <c16:uniqueId val="{00000004-C094-4173-AE2B-7E3B76716A74}"/>
            </c:ext>
          </c:extLst>
        </c:ser>
        <c:ser>
          <c:idx val="4"/>
          <c:order val="5"/>
          <c:tx>
            <c:strRef>
              <c:f>'1.2'!$H$30</c:f>
              <c:strCache>
                <c:ptCount val="1"/>
                <c:pt idx="0">
                  <c:v>Skupaj</c:v>
                </c:pt>
              </c:strCache>
            </c:strRef>
          </c:tx>
          <c:spPr>
            <a:no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'1.2'!$B$31:$B$35</c:f>
              <c:numCache>
                <c:formatCode>0</c:formatCode>
                <c:ptCount val="5"/>
                <c:pt idx="0">
                  <c:v>2013</c:v>
                </c:pt>
                <c:pt idx="1">
                  <c:v>2014</c:v>
                </c:pt>
                <c:pt idx="2">
                  <c:v>2015</c:v>
                </c:pt>
                <c:pt idx="3">
                  <c:v>2016</c:v>
                </c:pt>
                <c:pt idx="4">
                  <c:v>2017</c:v>
                </c:pt>
              </c:numCache>
            </c:numRef>
          </c:cat>
          <c:val>
            <c:numRef>
              <c:f>'1.2'!$H$31:$H$35</c:f>
              <c:numCache>
                <c:formatCode>0</c:formatCode>
                <c:ptCount val="5"/>
                <c:pt idx="0">
                  <c:v>5</c:v>
                </c:pt>
                <c:pt idx="1">
                  <c:v>3</c:v>
                </c:pt>
                <c:pt idx="2">
                  <c:v>1</c:v>
                </c:pt>
                <c:pt idx="3">
                  <c:v>5</c:v>
                </c:pt>
                <c:pt idx="4">
                  <c:v>5</c:v>
                </c:pt>
              </c:numCache>
            </c:numRef>
          </c:val>
          <c:extLst>
            <c:ext xmlns:c="http://schemas.openxmlformats.org/drawingml/2006/chart" xmlns:c16="http://schemas.microsoft.com/office/drawing/2014/chart" uri="{C3380CC4-5D6E-409C-BE32-E72D297353CC}">
              <c16:uniqueId val="{00000005-C094-4173-AE2B-7E3B76716A74}"/>
            </c:ext>
          </c:extLst>
        </c:ser>
        <c:dLbls>
          <c:showLegendKey val="0"/>
          <c:showVal val="0"/>
          <c:showCatName val="0"/>
          <c:showSerName val="0"/>
          <c:showPercent val="0"/>
          <c:showBubbleSize val="0"/>
        </c:dLbls>
        <c:gapWidth val="75"/>
        <c:overlap val="100"/>
        <c:axId val="855677952"/>
        <c:axId val="855678344"/>
      </c:barChart>
      <c:catAx>
        <c:axId val="855677952"/>
        <c:scaling>
          <c:orientation val="minMax"/>
        </c:scaling>
        <c:delete val="0"/>
        <c:axPos val="b"/>
        <c:numFmt formatCode="0" sourceLinked="1"/>
        <c:majorTickMark val="none"/>
        <c:minorTickMark val="none"/>
        <c:tickLblPos val="nextTo"/>
        <c:spPr>
          <a:ln w="3175">
            <a:solidFill>
              <a:srgbClr val="808080"/>
            </a:solidFill>
          </a:ln>
        </c:spPr>
        <c:txPr>
          <a:bodyPr rot="0" vert="horz"/>
          <a:lstStyle/>
          <a:p>
            <a:pPr>
              <a:defRPr sz="1100" b="0" i="0" u="none" strike="noStrike" baseline="0">
                <a:solidFill>
                  <a:srgbClr val="000000"/>
                </a:solidFill>
                <a:latin typeface="Calibri"/>
                <a:ea typeface="Calibri"/>
                <a:cs typeface="Calibri"/>
              </a:defRPr>
            </a:pPr>
            <a:endParaRPr lang="en-US"/>
          </a:p>
        </c:txPr>
        <c:crossAx val="855678344"/>
        <c:crosses val="autoZero"/>
        <c:auto val="1"/>
        <c:lblAlgn val="ctr"/>
        <c:lblOffset val="100"/>
        <c:tickLblSkip val="1"/>
        <c:tickMarkSkip val="1"/>
        <c:noMultiLvlLbl val="0"/>
      </c:catAx>
      <c:valAx>
        <c:axId val="855678344"/>
        <c:scaling>
          <c:orientation val="minMax"/>
          <c:max val="6"/>
          <c:min val="0"/>
        </c:scaling>
        <c:delete val="0"/>
        <c:axPos val="l"/>
        <c:majorGridlines>
          <c:spPr>
            <a:ln w="3175">
              <a:solidFill>
                <a:srgbClr val="808080"/>
              </a:solidFill>
            </a:ln>
          </c:spPr>
        </c:majorGridlines>
        <c:numFmt formatCode="0" sourceLinked="1"/>
        <c:majorTickMark val="none"/>
        <c:minorTickMark val="none"/>
        <c:tickLblPos val="nextTo"/>
        <c:spPr>
          <a:ln w="6350">
            <a:noFill/>
          </a:ln>
        </c:spPr>
        <c:txPr>
          <a:bodyPr rot="0" vert="horz"/>
          <a:lstStyle/>
          <a:p>
            <a:pPr>
              <a:defRPr sz="1100" b="0" i="0" u="none" strike="noStrike" baseline="0">
                <a:solidFill>
                  <a:srgbClr val="000000"/>
                </a:solidFill>
                <a:latin typeface="Calibri"/>
                <a:ea typeface="Calibri"/>
                <a:cs typeface="Calibri"/>
              </a:defRPr>
            </a:pPr>
            <a:endParaRPr lang="en-US"/>
          </a:p>
        </c:txPr>
        <c:crossAx val="855677952"/>
        <c:crosses val="autoZero"/>
        <c:crossBetween val="between"/>
      </c:valAx>
      <c:spPr>
        <a:solidFill>
          <a:srgbClr val="FFFFFF"/>
        </a:solidFill>
        <a:ln w="25400">
          <a:noFill/>
        </a:ln>
      </c:spPr>
    </c:plotArea>
    <c:legend>
      <c:legendPos val="b"/>
      <c:legendEntry>
        <c:idx val="5"/>
        <c:delete val="1"/>
      </c:legendEntry>
      <c:layout>
        <c:manualLayout>
          <c:xMode val="edge"/>
          <c:yMode val="edge"/>
          <c:x val="0.087603305785123972"/>
          <c:y val="0.91799191767695709"/>
          <c:w val="0.83801652892561984"/>
          <c:h val="0.063492341235123373"/>
        </c:manualLayout>
      </c:layout>
      <c:overlay val="0"/>
      <c:spPr>
        <a:noFill/>
        <a:ln w="25400">
          <a:noFill/>
        </a:ln>
      </c:spPr>
    </c:legend>
    <c:plotVisOnly val="1"/>
    <c:dispBlanksAs val="gap"/>
    <c:showDLblsOverMax val="0"/>
  </c:chart>
  <c:spPr>
    <a:solidFill>
      <a:srgbClr val="FFFFFF"/>
    </a:solidFill>
    <a:ln w="3175">
      <a:solidFill>
        <a:srgbClr val="808080"/>
      </a:solid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drawings/_rels/drawing1.xml.rels>&#65279;<?xml version="1.0" encoding="utf-8" standalone="yes"?><Relationships xmlns="http://schemas.openxmlformats.org/package/2006/relationships"><Relationship Id="rId1" Type="http://schemas.openxmlformats.org/officeDocument/2006/relationships/image" Target="../media/image2.png" /></Relationships>
</file>

<file path=word/drawings/drawing1.xml><?xml version="1.0" encoding="utf-8"?>
<c:userShapes xmlns:c="http://schemas.openxmlformats.org/drawingml/2006/chart" xmlns:a="http://schemas.openxmlformats.org/drawingml/2006/main">
  <cdr:relSizeAnchor xmlns:cdr="http://schemas.openxmlformats.org/drawingml/2006/chartDrawing">
    <cdr:from>
      <cdr:x>0.27403</cdr:x>
      <cdr:y>0.03175</cdr:y>
    </cdr:from>
    <cdr:to>
      <cdr:x>0.72066</cdr:x>
      <cdr:y>0.11744</cdr:y>
    </cdr:to>
    <cdr:pic>
      <cdr:nvPicPr>
        <cdr:cNvPr id="1135563576" name="chart"/>
        <cdr:cNvPicPr>
          <a:picLocks noChangeAspect="1"/>
        </cdr:cNvPicPr>
      </cdr:nvPicPr>
      <cdr:blipFill>
        <a:blip xmlns:r="http://schemas.openxmlformats.org/officeDocument/2006/relationships" r:embed="rId1"/>
        <a:stretch>
          <a:fillRect/>
        </a:stretch>
      </cdr:blipFill>
      <cdr:spPr>
        <a:xfrm>
          <a:off x="1578634" y="114274"/>
          <a:ext cx="2572886" cy="308414"/>
        </a:xfrm>
        <a:prstGeom prst="rect">
          <a:avLst/>
        </a:prstGeom>
      </cdr:spPr>
    </cdr:pic>
  </cdr:relSizeAnchor>
</c:userShape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Javna agencija za železniški promet Republike Slovenije
Kopitarjeva ulica 5, 2000 Maribor
Tel.: +386 (0)2 234 14 27
Faks: +386 (0)2 234 14 52
E-mail: gp.azp@azp.si
www.azp.si</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31</Pages>
  <Words>3561</Words>
  <Characters>20298</Characters>
  <Application>Microsoft Office Word</Application>
  <DocSecurity>0</DocSecurity>
  <Lines>169</Lines>
  <Paragraphs>47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Letno varnostno poročilo
2017</vt:lpstr>
      <vt:lpstr>Letno varnostno poročilo
2017</vt:lpstr>
    </vt:vector>
  </TitlesOfParts>
  <Company>CDT</Company>
  <LinksUpToDate>false</LinksUpToDate>
  <CharactersWithSpaces>23812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Letno varnostno poročilo
2017</dc:title>
  <dc:subject>Letno poročilo o varnosti na javni železniški infrastrukturi v Republiki Sloveniji</dc:subject>
  <dc:creator>CDT</dc:creator>
  <cp:lastModifiedBy>CDT</cp:lastModifiedBy>
  <cp:revision>6</cp:revision>
  <dcterms:created xsi:type="dcterms:W3CDTF">2018-10-31T12:06:00Z</dcterms:created>
  <dcterms:modified xsi:type="dcterms:W3CDTF">2018-10-31T13:30:00Z</dcterms:modified>
</cp:coreProperties>
</file>