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ED5" w:rsidRDefault="00DB7666">
      <w:pPr>
        <w:spacing w:before="97"/>
        <w:ind w:left="3069"/>
      </w:pPr>
      <w:bookmarkStart w:id="0" w:name="_GoBack"/>
      <w:bookmarkEnd w:id="0"/>
      <w:r>
        <w:rPr>
          <w:noProof/>
          <w:lang w:val="fr-LU" w:eastAsia="fr-LU" w:bidi="ar-SA"/>
        </w:rPr>
        <w:drawing>
          <wp:anchor distT="0" distB="0" distL="114300" distR="114300" simplePos="0" relativeHeight="251659264" behindDoc="0" locked="0" layoutInCell="1" allowOverlap="1">
            <wp:simplePos x="0" y="0"/>
            <wp:positionH relativeFrom="column">
              <wp:posOffset>1979930</wp:posOffset>
            </wp:positionH>
            <wp:positionV relativeFrom="paragraph">
              <wp:posOffset>-769620</wp:posOffset>
            </wp:positionV>
            <wp:extent cx="3999600" cy="1339200"/>
            <wp:effectExtent l="0" t="0" r="1270" b="0"/>
            <wp:wrapSquare wrapText="bothSides"/>
            <wp:docPr id="1307"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9600" cy="1339200"/>
                    </a:xfrm>
                    <a:prstGeom prst="rect">
                      <a:avLst/>
                    </a:prstGeom>
                    <a:noFill/>
                  </pic:spPr>
                </pic:pic>
              </a:graphicData>
            </a:graphic>
            <wp14:sizeRelH relativeFrom="margin">
              <wp14:pctWidth>0</wp14:pctWidth>
            </wp14:sizeRelH>
            <wp14:sizeRelV relativeFrom="margin">
              <wp14:pctHeight>0</wp14:pctHeight>
            </wp14:sizeRelV>
          </wp:anchor>
        </w:drawing>
      </w:r>
    </w:p>
    <w:p w:rsidR="006F3ED5" w:rsidRDefault="006F3ED5">
      <w:pPr>
        <w:spacing w:line="200" w:lineRule="exact"/>
      </w:pPr>
    </w:p>
    <w:p w:rsidR="006F3ED5" w:rsidRPr="00705059" w:rsidRDefault="00705266" w:rsidP="00991455">
      <w:pPr>
        <w:spacing w:line="200" w:lineRule="exact"/>
        <w:ind w:left="6663"/>
        <w:jc w:val="right"/>
        <w:rPr>
          <w:lang/>
        </w:rPr>
      </w:pPr>
      <w:r w:rsidRPr="00705059">
        <w:rPr>
          <w:lang/>
        </w:rPr>
        <w:t>INSTITUTO DA MOBILIDADE E DOS TRANSPORTES, I.P.</w:t>
      </w:r>
    </w:p>
    <w:p w:rsidR="00705266" w:rsidRPr="00705059" w:rsidRDefault="00705266" w:rsidP="009C4859">
      <w:pPr>
        <w:rPr>
          <w:lang/>
        </w:rPr>
      </w:pPr>
    </w:p>
    <w:p w:rsidR="006F3ED5" w:rsidRPr="00705059" w:rsidRDefault="006F3ED5" w:rsidP="009C4859">
      <w:pPr>
        <w:rPr>
          <w:lang/>
        </w:rPr>
      </w:pPr>
    </w:p>
    <w:p w:rsidR="006F3ED5" w:rsidRPr="00705059" w:rsidRDefault="006F3ED5" w:rsidP="009C4859">
      <w:pPr>
        <w:rPr>
          <w:lang/>
        </w:rPr>
      </w:pPr>
    </w:p>
    <w:p w:rsidR="006F3ED5" w:rsidRPr="00705059" w:rsidRDefault="006F3ED5" w:rsidP="009C4859">
      <w:pPr>
        <w:spacing w:before="19"/>
        <w:rPr>
          <w:lang/>
        </w:rPr>
      </w:pPr>
    </w:p>
    <w:p w:rsidR="00DB7666" w:rsidRDefault="00B65BEC" w:rsidP="00DB7666">
      <w:pPr>
        <w:spacing w:before="240" w:after="240"/>
        <w:jc w:val="right"/>
        <w:rPr>
          <w:rFonts w:ascii="Arial" w:eastAsia="Arial" w:hAnsi="Arial" w:cs="Arial"/>
          <w:b/>
          <w:sz w:val="32"/>
          <w:szCs w:val="32"/>
        </w:rPr>
      </w:pPr>
      <w:r>
        <w:rPr>
          <w:rFonts w:ascii="Arial" w:hAnsi="Arial"/>
          <w:b/>
          <w:spacing w:val="-5"/>
          <w:sz w:val="32"/>
        </w:rPr>
        <w:t>RAIL TRANSPORT</w:t>
      </w:r>
    </w:p>
    <w:p w:rsidR="00DB7666" w:rsidRDefault="00B65BEC" w:rsidP="00DB7666">
      <w:pPr>
        <w:spacing w:before="240" w:after="240"/>
        <w:jc w:val="right"/>
        <w:rPr>
          <w:rFonts w:ascii="Arial" w:eastAsia="Arial" w:hAnsi="Arial" w:cs="Arial"/>
          <w:b/>
          <w:sz w:val="32"/>
          <w:szCs w:val="32"/>
        </w:rPr>
      </w:pPr>
      <w:r>
        <w:rPr>
          <w:rFonts w:ascii="Arial" w:hAnsi="Arial"/>
          <w:b/>
          <w:spacing w:val="-2"/>
          <w:sz w:val="32"/>
        </w:rPr>
        <w:t xml:space="preserve">ANNUAL SAFETY REPORT </w:t>
      </w:r>
    </w:p>
    <w:p w:rsidR="006F3ED5" w:rsidRPr="009C4859" w:rsidRDefault="00B65BEC" w:rsidP="00DB7666">
      <w:pPr>
        <w:spacing w:before="240" w:after="240"/>
        <w:jc w:val="right"/>
      </w:pPr>
      <w:r>
        <w:rPr>
          <w:rFonts w:ascii="Arial" w:hAnsi="Arial"/>
          <w:b/>
          <w:spacing w:val="-1"/>
          <w:sz w:val="32"/>
        </w:rPr>
        <w:t>2014</w:t>
      </w:r>
    </w:p>
    <w:p w:rsidR="006F3ED5" w:rsidRPr="009C4859" w:rsidRDefault="006F3ED5" w:rsidP="00DB7666">
      <w:pPr>
        <w:spacing w:before="240" w:after="240"/>
      </w:pPr>
    </w:p>
    <w:p w:rsidR="006F3ED5" w:rsidRPr="009C4859" w:rsidRDefault="006F3ED5" w:rsidP="009C4859"/>
    <w:p w:rsidR="006F3ED5" w:rsidRPr="009C4859" w:rsidRDefault="006F3ED5" w:rsidP="009C4859"/>
    <w:p w:rsidR="006F3ED5" w:rsidRPr="009C4859" w:rsidRDefault="006F3ED5" w:rsidP="009C4859"/>
    <w:p w:rsidR="006F3ED5" w:rsidRPr="009C4859" w:rsidRDefault="006F3ED5">
      <w:pPr>
        <w:spacing w:line="200" w:lineRule="exact"/>
      </w:pPr>
    </w:p>
    <w:p w:rsidR="006F3ED5" w:rsidRPr="009C4859" w:rsidRDefault="006F3ED5">
      <w:pPr>
        <w:spacing w:line="200" w:lineRule="exact"/>
      </w:pPr>
    </w:p>
    <w:p w:rsidR="006F3ED5" w:rsidRPr="009C4859" w:rsidRDefault="006F3ED5">
      <w:pPr>
        <w:spacing w:line="200" w:lineRule="exact"/>
      </w:pPr>
    </w:p>
    <w:p w:rsidR="006F3ED5" w:rsidRPr="009C4859" w:rsidRDefault="006F3ED5">
      <w:pPr>
        <w:spacing w:line="200" w:lineRule="exact"/>
      </w:pPr>
    </w:p>
    <w:p w:rsidR="009C4859" w:rsidRDefault="00705059">
      <w:pPr>
        <w:rPr>
          <w:sz w:val="26"/>
          <w:szCs w:val="26"/>
        </w:rPr>
      </w:pPr>
      <w:r>
        <w:rPr>
          <w:noProof/>
          <w:lang w:val="fr-LU" w:eastAsia="fr-LU" w:bidi="ar-SA"/>
        </w:rPr>
        <w:drawing>
          <wp:anchor distT="0" distB="0" distL="114300" distR="114300" simplePos="0" relativeHeight="251658240" behindDoc="1" locked="0" layoutInCell="1" allowOverlap="1">
            <wp:simplePos x="0" y="0"/>
            <wp:positionH relativeFrom="page">
              <wp:posOffset>-20955</wp:posOffset>
            </wp:positionH>
            <wp:positionV relativeFrom="page">
              <wp:posOffset>7192010</wp:posOffset>
            </wp:positionV>
            <wp:extent cx="1085850" cy="1718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718945"/>
                    </a:xfrm>
                    <a:prstGeom prst="rect">
                      <a:avLst/>
                    </a:prstGeom>
                    <a:noFill/>
                  </pic:spPr>
                </pic:pic>
              </a:graphicData>
            </a:graphic>
            <wp14:sizeRelH relativeFrom="page">
              <wp14:pctWidth>0</wp14:pctWidth>
            </wp14:sizeRelH>
            <wp14:sizeRelV relativeFrom="page">
              <wp14:pctHeight>0</wp14:pctHeight>
            </wp14:sizeRelV>
          </wp:anchor>
        </w:drawing>
      </w:r>
      <w:r w:rsidR="009C4859">
        <w:br w:type="page"/>
      </w:r>
    </w:p>
    <w:p w:rsidR="006F3ED5" w:rsidRDefault="006F3ED5">
      <w:pPr>
        <w:spacing w:before="19" w:line="260" w:lineRule="exact"/>
        <w:rPr>
          <w:sz w:val="26"/>
          <w:szCs w:val="26"/>
        </w:rPr>
      </w:pPr>
    </w:p>
    <w:p w:rsidR="009C4859" w:rsidRDefault="009C4859">
      <w:pPr>
        <w:spacing w:before="19" w:line="260" w:lineRule="exact"/>
        <w:rPr>
          <w:sz w:val="26"/>
          <w:szCs w:val="26"/>
        </w:rPr>
      </w:pPr>
    </w:p>
    <w:p w:rsidR="009C4859" w:rsidRPr="009C4859" w:rsidRDefault="009C4859">
      <w:pPr>
        <w:spacing w:before="19" w:line="260" w:lineRule="exact"/>
        <w:rPr>
          <w:sz w:val="26"/>
          <w:szCs w:val="26"/>
        </w:rPr>
      </w:pPr>
    </w:p>
    <w:tbl>
      <w:tblPr>
        <w:tblW w:w="0" w:type="auto"/>
        <w:tblInd w:w="109" w:type="dxa"/>
        <w:tblLayout w:type="fixed"/>
        <w:tblCellMar>
          <w:top w:w="57" w:type="dxa"/>
          <w:left w:w="85" w:type="dxa"/>
          <w:bottom w:w="57" w:type="dxa"/>
          <w:right w:w="85" w:type="dxa"/>
        </w:tblCellMar>
        <w:tblLook w:val="01E0" w:firstRow="1" w:lastRow="1" w:firstColumn="1" w:lastColumn="1" w:noHBand="0" w:noVBand="0"/>
      </w:tblPr>
      <w:tblGrid>
        <w:gridCol w:w="2450"/>
        <w:gridCol w:w="3169"/>
        <w:gridCol w:w="3170"/>
      </w:tblGrid>
      <w:tr w:rsidR="006F3ED5" w:rsidTr="009C4859">
        <w:trPr>
          <w:trHeight w:val="20"/>
        </w:trPr>
        <w:tc>
          <w:tcPr>
            <w:tcW w:w="8788" w:type="dxa"/>
            <w:gridSpan w:val="3"/>
            <w:tcBorders>
              <w:top w:val="single" w:sz="5" w:space="0" w:color="000000"/>
              <w:left w:val="single" w:sz="5" w:space="0" w:color="000000"/>
              <w:bottom w:val="nil"/>
              <w:right w:val="single" w:sz="5" w:space="0" w:color="000000"/>
            </w:tcBorders>
            <w:shd w:val="clear" w:color="auto" w:fill="E6E6E6"/>
          </w:tcPr>
          <w:p w:rsidR="006F3ED5" w:rsidRDefault="00B65BEC" w:rsidP="009C4859">
            <w:pPr>
              <w:spacing w:before="120" w:after="120"/>
              <w:jc w:val="center"/>
              <w:rPr>
                <w:rFonts w:ascii="Arial" w:eastAsia="Arial" w:hAnsi="Arial" w:cs="Arial"/>
              </w:rPr>
            </w:pPr>
            <w:r>
              <w:rPr>
                <w:rFonts w:ascii="Arial" w:hAnsi="Arial"/>
                <w:b/>
                <w:spacing w:val="-2"/>
              </w:rPr>
              <w:t>DOCUMENT CONTROL</w:t>
            </w:r>
          </w:p>
        </w:tc>
      </w:tr>
      <w:tr w:rsidR="006F3ED5" w:rsidRPr="009C4859" w:rsidTr="009C4859">
        <w:trPr>
          <w:trHeight w:val="20"/>
        </w:trPr>
        <w:tc>
          <w:tcPr>
            <w:tcW w:w="2450" w:type="dxa"/>
            <w:tcBorders>
              <w:top w:val="single" w:sz="5" w:space="0" w:color="000000"/>
              <w:left w:val="single" w:sz="5" w:space="0" w:color="000000"/>
              <w:bottom w:val="single" w:sz="5" w:space="0" w:color="000000"/>
              <w:right w:val="single" w:sz="5" w:space="0" w:color="000000"/>
            </w:tcBorders>
            <w:shd w:val="clear" w:color="auto" w:fill="E6E6E6"/>
          </w:tcPr>
          <w:p w:rsidR="006F3ED5" w:rsidRDefault="00B65BEC" w:rsidP="009C4859">
            <w:pPr>
              <w:spacing w:before="120" w:after="120"/>
              <w:rPr>
                <w:rFonts w:ascii="Arial" w:eastAsia="Arial" w:hAnsi="Arial" w:cs="Arial"/>
              </w:rPr>
            </w:pPr>
            <w:r>
              <w:rPr>
                <w:rFonts w:ascii="Arial" w:hAnsi="Arial"/>
              </w:rPr>
              <w:t>Prepared by:</w:t>
            </w:r>
          </w:p>
        </w:tc>
        <w:tc>
          <w:tcPr>
            <w:tcW w:w="6338" w:type="dxa"/>
            <w:gridSpan w:val="2"/>
            <w:tcBorders>
              <w:top w:val="single" w:sz="5" w:space="0" w:color="000000"/>
              <w:left w:val="single" w:sz="5" w:space="0" w:color="000000"/>
              <w:bottom w:val="nil"/>
              <w:right w:val="single" w:sz="5" w:space="0" w:color="000000"/>
            </w:tcBorders>
          </w:tcPr>
          <w:p w:rsidR="009C4859" w:rsidRPr="00705059" w:rsidRDefault="00B65BEC" w:rsidP="009C4859">
            <w:pPr>
              <w:spacing w:before="120" w:after="120"/>
              <w:rPr>
                <w:rFonts w:ascii="Arial" w:eastAsia="Arial" w:hAnsi="Arial" w:cs="Arial"/>
                <w:w w:val="101"/>
                <w:lang/>
              </w:rPr>
            </w:pPr>
            <w:r w:rsidRPr="00705059">
              <w:rPr>
                <w:rFonts w:ascii="Arial" w:hAnsi="Arial"/>
                <w:spacing w:val="1"/>
                <w:lang/>
              </w:rPr>
              <w:t xml:space="preserve">Instituto da Mobilidade e dos Transportes, I.P. </w:t>
            </w:r>
          </w:p>
          <w:p w:rsidR="006F3ED5" w:rsidRPr="00705059" w:rsidRDefault="00B65BEC" w:rsidP="009C4859">
            <w:pPr>
              <w:spacing w:before="120" w:after="120"/>
              <w:rPr>
                <w:rFonts w:ascii="Arial" w:eastAsia="Arial" w:hAnsi="Arial" w:cs="Arial"/>
                <w:lang/>
              </w:rPr>
            </w:pPr>
            <w:r w:rsidRPr="00705059">
              <w:rPr>
                <w:rFonts w:ascii="Arial" w:hAnsi="Arial"/>
                <w:spacing w:val="-5"/>
                <w:lang/>
              </w:rPr>
              <w:t>Avenida das Forças Armadas, No 40</w:t>
            </w:r>
          </w:p>
          <w:p w:rsidR="006F3ED5" w:rsidRPr="009C4859" w:rsidRDefault="00B65BEC" w:rsidP="009C4859">
            <w:pPr>
              <w:spacing w:before="120" w:after="120"/>
              <w:rPr>
                <w:rFonts w:ascii="Arial" w:eastAsia="Arial" w:hAnsi="Arial" w:cs="Arial"/>
              </w:rPr>
            </w:pPr>
            <w:r>
              <w:rPr>
                <w:rFonts w:ascii="Arial" w:hAnsi="Arial"/>
                <w:spacing w:val="-2"/>
              </w:rPr>
              <w:t>1649-022 Lisbon</w:t>
            </w:r>
          </w:p>
          <w:p w:rsidR="006F3ED5" w:rsidRPr="009C4859" w:rsidRDefault="00B65BEC" w:rsidP="009C4859">
            <w:pPr>
              <w:spacing w:before="120" w:after="120"/>
              <w:rPr>
                <w:rFonts w:ascii="Arial" w:eastAsia="Arial" w:hAnsi="Arial" w:cs="Arial"/>
              </w:rPr>
            </w:pPr>
            <w:r>
              <w:rPr>
                <w:rFonts w:ascii="Arial" w:hAnsi="Arial"/>
              </w:rPr>
              <w:t>Portugal</w:t>
            </w:r>
          </w:p>
        </w:tc>
      </w:tr>
      <w:tr w:rsidR="006F3ED5" w:rsidTr="009C4859">
        <w:trPr>
          <w:trHeight w:val="20"/>
        </w:trPr>
        <w:tc>
          <w:tcPr>
            <w:tcW w:w="2450" w:type="dxa"/>
            <w:tcBorders>
              <w:top w:val="single" w:sz="5" w:space="0" w:color="000000"/>
              <w:left w:val="single" w:sz="5" w:space="0" w:color="000000"/>
              <w:bottom w:val="single" w:sz="5" w:space="0" w:color="000000"/>
              <w:right w:val="single" w:sz="5" w:space="0" w:color="000000"/>
            </w:tcBorders>
            <w:shd w:val="clear" w:color="auto" w:fill="E6E6E6"/>
          </w:tcPr>
          <w:p w:rsidR="006F3ED5" w:rsidRDefault="00B65BEC" w:rsidP="009C4859">
            <w:pPr>
              <w:spacing w:before="120" w:after="120"/>
              <w:rPr>
                <w:rFonts w:ascii="Arial" w:eastAsia="Arial" w:hAnsi="Arial" w:cs="Arial"/>
              </w:rPr>
            </w:pPr>
            <w:r>
              <w:rPr>
                <w:rFonts w:ascii="Arial" w:hAnsi="Arial"/>
              </w:rPr>
              <w:t>Approved by:</w:t>
            </w:r>
          </w:p>
        </w:tc>
        <w:tc>
          <w:tcPr>
            <w:tcW w:w="3169" w:type="dxa"/>
            <w:tcBorders>
              <w:top w:val="single" w:sz="5" w:space="0" w:color="000000"/>
              <w:left w:val="single" w:sz="5" w:space="0" w:color="000000"/>
              <w:bottom w:val="single" w:sz="5" w:space="0" w:color="000000"/>
              <w:right w:val="single" w:sz="5" w:space="0" w:color="000000"/>
            </w:tcBorders>
          </w:tcPr>
          <w:p w:rsidR="006F3ED5" w:rsidRDefault="00B65BEC" w:rsidP="009C4859">
            <w:pPr>
              <w:spacing w:before="120" w:after="120"/>
              <w:rPr>
                <w:rFonts w:ascii="Arial" w:eastAsia="Arial" w:hAnsi="Arial" w:cs="Arial"/>
              </w:rPr>
            </w:pPr>
            <w:r>
              <w:rPr>
                <w:rFonts w:ascii="Arial" w:hAnsi="Arial"/>
                <w:spacing w:val="-2"/>
              </w:rPr>
              <w:t>Executive Council</w:t>
            </w:r>
          </w:p>
        </w:tc>
        <w:tc>
          <w:tcPr>
            <w:tcW w:w="3170" w:type="dxa"/>
            <w:tcBorders>
              <w:top w:val="single" w:sz="5" w:space="0" w:color="000000"/>
              <w:left w:val="single" w:sz="5" w:space="0" w:color="000000"/>
              <w:bottom w:val="single" w:sz="5" w:space="0" w:color="000000"/>
              <w:right w:val="single" w:sz="5" w:space="0" w:color="000000"/>
            </w:tcBorders>
          </w:tcPr>
          <w:p w:rsidR="006F3ED5" w:rsidRDefault="00B65BEC" w:rsidP="009C4859">
            <w:pPr>
              <w:spacing w:before="120" w:after="120"/>
              <w:rPr>
                <w:rFonts w:ascii="Arial" w:eastAsia="Arial" w:hAnsi="Arial" w:cs="Arial"/>
              </w:rPr>
            </w:pPr>
            <w:r>
              <w:rPr>
                <w:rFonts w:ascii="Arial" w:hAnsi="Arial"/>
                <w:b/>
                <w:spacing w:val="-6"/>
              </w:rPr>
              <w:t>Signed on original copy</w:t>
            </w:r>
          </w:p>
        </w:tc>
      </w:tr>
      <w:tr w:rsidR="006F3ED5" w:rsidTr="009C4859">
        <w:trPr>
          <w:trHeight w:val="20"/>
        </w:trPr>
        <w:tc>
          <w:tcPr>
            <w:tcW w:w="2450" w:type="dxa"/>
            <w:tcBorders>
              <w:top w:val="single" w:sz="5" w:space="0" w:color="000000"/>
              <w:left w:val="single" w:sz="5" w:space="0" w:color="000000"/>
              <w:bottom w:val="single" w:sz="5" w:space="0" w:color="000000"/>
              <w:right w:val="single" w:sz="5" w:space="0" w:color="000000"/>
            </w:tcBorders>
            <w:shd w:val="clear" w:color="auto" w:fill="E6E6E6"/>
          </w:tcPr>
          <w:p w:rsidR="006F3ED5" w:rsidRDefault="00B65BEC" w:rsidP="009C4859">
            <w:pPr>
              <w:spacing w:before="120" w:after="120"/>
              <w:rPr>
                <w:rFonts w:ascii="Arial" w:eastAsia="Arial" w:hAnsi="Arial" w:cs="Arial"/>
              </w:rPr>
            </w:pPr>
            <w:r>
              <w:rPr>
                <w:rFonts w:ascii="Arial" w:hAnsi="Arial"/>
                <w:spacing w:val="-2"/>
              </w:rPr>
              <w:t>Revised by:</w:t>
            </w:r>
          </w:p>
        </w:tc>
        <w:tc>
          <w:tcPr>
            <w:tcW w:w="3169" w:type="dxa"/>
            <w:tcBorders>
              <w:top w:val="single" w:sz="5" w:space="0" w:color="000000"/>
              <w:left w:val="single" w:sz="5" w:space="0" w:color="000000"/>
              <w:bottom w:val="single" w:sz="5" w:space="0" w:color="000000"/>
              <w:right w:val="single" w:sz="5" w:space="0" w:color="000000"/>
            </w:tcBorders>
          </w:tcPr>
          <w:p w:rsidR="009C4859" w:rsidRDefault="00B65BEC" w:rsidP="009C4859">
            <w:pPr>
              <w:spacing w:before="120" w:after="120"/>
              <w:rPr>
                <w:rFonts w:ascii="Arial" w:eastAsia="Arial" w:hAnsi="Arial" w:cs="Arial"/>
              </w:rPr>
            </w:pPr>
            <w:r>
              <w:rPr>
                <w:rFonts w:ascii="Arial" w:hAnsi="Arial"/>
              </w:rPr>
              <w:t xml:space="preserve">José Pinheiro (Engineer) </w:t>
            </w:r>
          </w:p>
          <w:p w:rsidR="006F3ED5" w:rsidRPr="00705266" w:rsidRDefault="00B65BEC" w:rsidP="009C4859">
            <w:pPr>
              <w:spacing w:before="120" w:after="120"/>
              <w:rPr>
                <w:rFonts w:ascii="Arial" w:eastAsia="Arial" w:hAnsi="Arial" w:cs="Arial"/>
              </w:rPr>
            </w:pPr>
            <w:r>
              <w:rPr>
                <w:rFonts w:ascii="Arial" w:hAnsi="Arial"/>
              </w:rPr>
              <w:t>Paulo Taveira (Engineer)</w:t>
            </w:r>
          </w:p>
        </w:tc>
        <w:tc>
          <w:tcPr>
            <w:tcW w:w="3170" w:type="dxa"/>
            <w:tcBorders>
              <w:top w:val="single" w:sz="5" w:space="0" w:color="000000"/>
              <w:left w:val="single" w:sz="5" w:space="0" w:color="000000"/>
              <w:bottom w:val="single" w:sz="5" w:space="0" w:color="000000"/>
              <w:right w:val="single" w:sz="5" w:space="0" w:color="000000"/>
            </w:tcBorders>
          </w:tcPr>
          <w:p w:rsidR="006F3ED5" w:rsidRDefault="00B65BEC" w:rsidP="009C4859">
            <w:pPr>
              <w:spacing w:before="120" w:after="120"/>
              <w:rPr>
                <w:rFonts w:ascii="Arial" w:eastAsia="Arial" w:hAnsi="Arial" w:cs="Arial"/>
              </w:rPr>
            </w:pPr>
            <w:r>
              <w:rPr>
                <w:rFonts w:ascii="Arial" w:hAnsi="Arial"/>
                <w:b/>
                <w:spacing w:val="-6"/>
              </w:rPr>
              <w:t>Signed on original copy</w:t>
            </w:r>
          </w:p>
        </w:tc>
      </w:tr>
      <w:tr w:rsidR="006F3ED5" w:rsidTr="009C4859">
        <w:trPr>
          <w:trHeight w:val="20"/>
        </w:trPr>
        <w:tc>
          <w:tcPr>
            <w:tcW w:w="2450" w:type="dxa"/>
            <w:tcBorders>
              <w:top w:val="single" w:sz="5" w:space="0" w:color="000000"/>
              <w:left w:val="single" w:sz="5" w:space="0" w:color="000000"/>
              <w:bottom w:val="single" w:sz="5" w:space="0" w:color="000000"/>
              <w:right w:val="single" w:sz="5" w:space="0" w:color="000000"/>
            </w:tcBorders>
            <w:shd w:val="clear" w:color="auto" w:fill="E6E6E6"/>
          </w:tcPr>
          <w:p w:rsidR="006F3ED5" w:rsidRDefault="00B65BEC" w:rsidP="009C4859">
            <w:pPr>
              <w:spacing w:before="120" w:after="120"/>
              <w:rPr>
                <w:rFonts w:ascii="Arial" w:eastAsia="Arial" w:hAnsi="Arial" w:cs="Arial"/>
              </w:rPr>
            </w:pPr>
            <w:r>
              <w:rPr>
                <w:rFonts w:ascii="Arial" w:hAnsi="Arial"/>
              </w:rPr>
              <w:t>Prepared by:</w:t>
            </w:r>
          </w:p>
        </w:tc>
        <w:tc>
          <w:tcPr>
            <w:tcW w:w="3169" w:type="dxa"/>
            <w:tcBorders>
              <w:top w:val="single" w:sz="5" w:space="0" w:color="000000"/>
              <w:left w:val="single" w:sz="5" w:space="0" w:color="000000"/>
              <w:bottom w:val="single" w:sz="5" w:space="0" w:color="000000"/>
              <w:right w:val="single" w:sz="5" w:space="0" w:color="000000"/>
            </w:tcBorders>
          </w:tcPr>
          <w:p w:rsidR="006F3ED5" w:rsidRDefault="00B65BEC" w:rsidP="009C4859">
            <w:pPr>
              <w:spacing w:before="120" w:after="120"/>
              <w:rPr>
                <w:rFonts w:ascii="Arial" w:eastAsia="Arial" w:hAnsi="Arial" w:cs="Arial"/>
              </w:rPr>
            </w:pPr>
            <w:r>
              <w:rPr>
                <w:rFonts w:ascii="Arial" w:hAnsi="Arial"/>
              </w:rPr>
              <w:t>João Silva (M.A.)</w:t>
            </w:r>
          </w:p>
        </w:tc>
        <w:tc>
          <w:tcPr>
            <w:tcW w:w="3170" w:type="dxa"/>
            <w:tcBorders>
              <w:top w:val="single" w:sz="5" w:space="0" w:color="000000"/>
              <w:left w:val="single" w:sz="5" w:space="0" w:color="000000"/>
              <w:bottom w:val="single" w:sz="5" w:space="0" w:color="000000"/>
              <w:right w:val="single" w:sz="5" w:space="0" w:color="000000"/>
            </w:tcBorders>
          </w:tcPr>
          <w:p w:rsidR="006F3ED5" w:rsidRDefault="00B65BEC" w:rsidP="009C4859">
            <w:pPr>
              <w:spacing w:before="120" w:after="120"/>
              <w:rPr>
                <w:rFonts w:ascii="Arial" w:eastAsia="Arial" w:hAnsi="Arial" w:cs="Arial"/>
              </w:rPr>
            </w:pPr>
            <w:r>
              <w:rPr>
                <w:rFonts w:ascii="Arial" w:hAnsi="Arial"/>
                <w:b/>
                <w:spacing w:val="-6"/>
              </w:rPr>
              <w:t>Signed on original copy</w:t>
            </w:r>
          </w:p>
        </w:tc>
      </w:tr>
      <w:tr w:rsidR="006F3ED5" w:rsidTr="009C4859">
        <w:trPr>
          <w:trHeight w:val="20"/>
        </w:trPr>
        <w:tc>
          <w:tcPr>
            <w:tcW w:w="2450" w:type="dxa"/>
            <w:tcBorders>
              <w:top w:val="single" w:sz="5" w:space="0" w:color="000000"/>
              <w:left w:val="single" w:sz="5" w:space="0" w:color="000000"/>
              <w:bottom w:val="single" w:sz="5" w:space="0" w:color="000000"/>
              <w:right w:val="single" w:sz="5" w:space="0" w:color="000000"/>
            </w:tcBorders>
            <w:shd w:val="clear" w:color="auto" w:fill="E6E6E6"/>
          </w:tcPr>
          <w:p w:rsidR="006F3ED5" w:rsidRDefault="00B65BEC" w:rsidP="009C4859">
            <w:pPr>
              <w:spacing w:before="120" w:after="120"/>
              <w:rPr>
                <w:rFonts w:ascii="Arial" w:eastAsia="Arial" w:hAnsi="Arial" w:cs="Arial"/>
              </w:rPr>
            </w:pPr>
            <w:r>
              <w:rPr>
                <w:rFonts w:ascii="Arial" w:hAnsi="Arial"/>
              </w:rPr>
              <w:t>Version/Revision:</w:t>
            </w:r>
          </w:p>
        </w:tc>
        <w:tc>
          <w:tcPr>
            <w:tcW w:w="6338" w:type="dxa"/>
            <w:gridSpan w:val="2"/>
            <w:tcBorders>
              <w:top w:val="nil"/>
              <w:left w:val="single" w:sz="5" w:space="0" w:color="000000"/>
              <w:bottom w:val="single" w:sz="5" w:space="0" w:color="000000"/>
              <w:right w:val="single" w:sz="5" w:space="0" w:color="000000"/>
            </w:tcBorders>
          </w:tcPr>
          <w:p w:rsidR="006F3ED5" w:rsidRDefault="00B65BEC" w:rsidP="009C4859">
            <w:pPr>
              <w:spacing w:before="120" w:after="120"/>
              <w:rPr>
                <w:rFonts w:ascii="Arial" w:eastAsia="Arial" w:hAnsi="Arial" w:cs="Arial"/>
              </w:rPr>
            </w:pPr>
            <w:r>
              <w:rPr>
                <w:rFonts w:ascii="Arial" w:hAnsi="Arial"/>
                <w:spacing w:val="-2"/>
              </w:rPr>
              <w:t>01 / 2015</w:t>
            </w:r>
          </w:p>
        </w:tc>
      </w:tr>
      <w:tr w:rsidR="006F3ED5" w:rsidTr="009C4859">
        <w:trPr>
          <w:trHeight w:val="20"/>
        </w:trPr>
        <w:tc>
          <w:tcPr>
            <w:tcW w:w="2450" w:type="dxa"/>
            <w:tcBorders>
              <w:top w:val="single" w:sz="5" w:space="0" w:color="000000"/>
              <w:left w:val="single" w:sz="5" w:space="0" w:color="000000"/>
              <w:bottom w:val="single" w:sz="5" w:space="0" w:color="000000"/>
              <w:right w:val="single" w:sz="5" w:space="0" w:color="000000"/>
            </w:tcBorders>
            <w:shd w:val="clear" w:color="auto" w:fill="E6E6E6"/>
          </w:tcPr>
          <w:p w:rsidR="006F3ED5" w:rsidRDefault="00B65BEC" w:rsidP="009C4859">
            <w:pPr>
              <w:spacing w:before="120" w:after="120"/>
              <w:rPr>
                <w:rFonts w:ascii="Arial" w:eastAsia="Arial" w:hAnsi="Arial" w:cs="Arial"/>
              </w:rPr>
            </w:pPr>
            <w:r>
              <w:rPr>
                <w:rFonts w:ascii="Arial" w:hAnsi="Arial"/>
                <w:spacing w:val="-2"/>
              </w:rPr>
              <w:t>Date:</w:t>
            </w:r>
          </w:p>
        </w:tc>
        <w:tc>
          <w:tcPr>
            <w:tcW w:w="6338" w:type="dxa"/>
            <w:gridSpan w:val="2"/>
            <w:tcBorders>
              <w:top w:val="single" w:sz="5" w:space="0" w:color="000000"/>
              <w:left w:val="single" w:sz="5" w:space="0" w:color="000000"/>
              <w:bottom w:val="single" w:sz="5" w:space="0" w:color="000000"/>
              <w:right w:val="single" w:sz="5" w:space="0" w:color="000000"/>
            </w:tcBorders>
          </w:tcPr>
          <w:p w:rsidR="006F3ED5" w:rsidRDefault="00B65BEC" w:rsidP="009C4859">
            <w:pPr>
              <w:spacing w:before="120" w:after="120"/>
              <w:rPr>
                <w:rFonts w:ascii="Arial" w:eastAsia="Arial" w:hAnsi="Arial" w:cs="Arial"/>
              </w:rPr>
            </w:pPr>
            <w:r>
              <w:rPr>
                <w:rFonts w:ascii="Arial" w:hAnsi="Arial"/>
                <w:spacing w:val="-2"/>
              </w:rPr>
              <w:t>05/10/2015</w:t>
            </w:r>
          </w:p>
        </w:tc>
      </w:tr>
      <w:tr w:rsidR="006F3ED5" w:rsidTr="009C4859">
        <w:trPr>
          <w:trHeight w:val="20"/>
        </w:trPr>
        <w:tc>
          <w:tcPr>
            <w:tcW w:w="2450" w:type="dxa"/>
            <w:tcBorders>
              <w:top w:val="single" w:sz="5" w:space="0" w:color="000000"/>
              <w:left w:val="single" w:sz="5" w:space="0" w:color="000000"/>
              <w:bottom w:val="single" w:sz="5" w:space="0" w:color="000000"/>
              <w:right w:val="single" w:sz="5" w:space="0" w:color="000000"/>
            </w:tcBorders>
            <w:shd w:val="clear" w:color="auto" w:fill="E6E6E6"/>
          </w:tcPr>
          <w:p w:rsidR="006F3ED5" w:rsidRDefault="00B65BEC" w:rsidP="009C4859">
            <w:pPr>
              <w:spacing w:before="120" w:after="120"/>
              <w:rPr>
                <w:rFonts w:ascii="Arial" w:eastAsia="Arial" w:hAnsi="Arial" w:cs="Arial"/>
              </w:rPr>
            </w:pPr>
            <w:r>
              <w:rPr>
                <w:rFonts w:ascii="Arial" w:hAnsi="Arial"/>
                <w:spacing w:val="1"/>
              </w:rPr>
              <w:t>Type of Document:</w:t>
            </w:r>
          </w:p>
        </w:tc>
        <w:tc>
          <w:tcPr>
            <w:tcW w:w="6338" w:type="dxa"/>
            <w:gridSpan w:val="2"/>
            <w:tcBorders>
              <w:top w:val="single" w:sz="5" w:space="0" w:color="000000"/>
              <w:left w:val="single" w:sz="5" w:space="0" w:color="000000"/>
              <w:bottom w:val="single" w:sz="5" w:space="0" w:color="000000"/>
              <w:right w:val="single" w:sz="5" w:space="0" w:color="000000"/>
            </w:tcBorders>
          </w:tcPr>
          <w:p w:rsidR="006F3ED5" w:rsidRDefault="00B65BEC" w:rsidP="009C4859">
            <w:pPr>
              <w:spacing w:before="120" w:after="120"/>
              <w:rPr>
                <w:rFonts w:ascii="Arial" w:eastAsia="Arial" w:hAnsi="Arial" w:cs="Arial"/>
              </w:rPr>
            </w:pPr>
            <w:r>
              <w:rPr>
                <w:rFonts w:ascii="Arial" w:hAnsi="Arial"/>
                <w:spacing w:val="-2"/>
              </w:rPr>
              <w:t>Report</w:t>
            </w:r>
          </w:p>
        </w:tc>
      </w:tr>
      <w:tr w:rsidR="006F3ED5" w:rsidTr="009C4859">
        <w:trPr>
          <w:trHeight w:val="20"/>
        </w:trPr>
        <w:tc>
          <w:tcPr>
            <w:tcW w:w="2450" w:type="dxa"/>
            <w:tcBorders>
              <w:top w:val="single" w:sz="5" w:space="0" w:color="000000"/>
              <w:left w:val="single" w:sz="5" w:space="0" w:color="000000"/>
              <w:bottom w:val="single" w:sz="5" w:space="0" w:color="000000"/>
              <w:right w:val="single" w:sz="5" w:space="0" w:color="000000"/>
            </w:tcBorders>
            <w:shd w:val="clear" w:color="auto" w:fill="E6E6E6"/>
          </w:tcPr>
          <w:p w:rsidR="006F3ED5" w:rsidRDefault="00B65BEC" w:rsidP="009C4859">
            <w:pPr>
              <w:spacing w:before="120" w:after="120"/>
              <w:rPr>
                <w:rFonts w:ascii="Arial" w:eastAsia="Arial" w:hAnsi="Arial" w:cs="Arial"/>
              </w:rPr>
            </w:pPr>
            <w:r>
              <w:rPr>
                <w:rFonts w:ascii="Arial" w:hAnsi="Arial"/>
              </w:rPr>
              <w:t>Document status:</w:t>
            </w:r>
          </w:p>
        </w:tc>
        <w:tc>
          <w:tcPr>
            <w:tcW w:w="6338" w:type="dxa"/>
            <w:gridSpan w:val="2"/>
            <w:tcBorders>
              <w:top w:val="single" w:sz="5" w:space="0" w:color="000000"/>
              <w:left w:val="single" w:sz="5" w:space="0" w:color="000000"/>
              <w:bottom w:val="single" w:sz="5" w:space="0" w:color="000000"/>
              <w:right w:val="single" w:sz="5" w:space="0" w:color="000000"/>
            </w:tcBorders>
          </w:tcPr>
          <w:p w:rsidR="006F3ED5" w:rsidRDefault="00B65BEC" w:rsidP="009C4859">
            <w:pPr>
              <w:spacing w:before="120" w:after="120"/>
              <w:rPr>
                <w:rFonts w:ascii="Arial" w:eastAsia="Arial" w:hAnsi="Arial" w:cs="Arial"/>
              </w:rPr>
            </w:pPr>
            <w:r>
              <w:rPr>
                <w:rFonts w:ascii="Arial" w:hAnsi="Arial"/>
                <w:spacing w:val="1"/>
              </w:rPr>
              <w:t>Final</w:t>
            </w:r>
          </w:p>
        </w:tc>
      </w:tr>
    </w:tbl>
    <w:p w:rsidR="006F3ED5" w:rsidRDefault="006F3ED5">
      <w:pPr>
        <w:spacing w:line="200" w:lineRule="exact"/>
      </w:pPr>
    </w:p>
    <w:p w:rsidR="009C4859" w:rsidRDefault="009C4859"/>
    <w:p w:rsidR="00CD2578" w:rsidRDefault="00CD2578">
      <w:pPr>
        <w:sectPr w:rsidR="00CD2578" w:rsidSect="00705059">
          <w:headerReference w:type="even" r:id="rId10"/>
          <w:headerReference w:type="default" r:id="rId11"/>
          <w:footerReference w:type="even" r:id="rId12"/>
          <w:type w:val="continuous"/>
          <w:pgSz w:w="11907" w:h="16840" w:code="9"/>
          <w:pgMar w:top="1797" w:right="1247" w:bottom="1418" w:left="1247" w:header="567" w:footer="567" w:gutter="0"/>
          <w:pgNumType w:start="1"/>
          <w:cols w:space="720"/>
          <w:titlePg/>
          <w:docGrid w:linePitch="272"/>
        </w:sectPr>
      </w:pPr>
    </w:p>
    <w:p w:rsidR="009C4859" w:rsidRDefault="009C4859"/>
    <w:p w:rsidR="006F3ED5" w:rsidRDefault="006F3ED5">
      <w:pPr>
        <w:spacing w:line="200" w:lineRule="exact"/>
      </w:pPr>
    </w:p>
    <w:p w:rsidR="006F3ED5" w:rsidRDefault="006F3ED5">
      <w:pPr>
        <w:spacing w:before="4" w:line="220" w:lineRule="exact"/>
        <w:rPr>
          <w:sz w:val="22"/>
          <w:szCs w:val="22"/>
        </w:rPr>
      </w:pPr>
    </w:p>
    <w:p w:rsidR="006F3ED5" w:rsidRDefault="00B65BEC">
      <w:pPr>
        <w:spacing w:before="23"/>
        <w:ind w:left="120"/>
        <w:rPr>
          <w:rFonts w:ascii="Arial" w:eastAsia="Arial" w:hAnsi="Arial" w:cs="Arial"/>
          <w:sz w:val="28"/>
          <w:szCs w:val="28"/>
        </w:rPr>
      </w:pPr>
      <w:r>
        <w:rPr>
          <w:rFonts w:ascii="Arial" w:hAnsi="Arial"/>
          <w:b/>
          <w:sz w:val="28"/>
        </w:rPr>
        <w:t>CONTENTS</w:t>
      </w:r>
    </w:p>
    <w:p w:rsidR="006F3ED5" w:rsidRDefault="006F3ED5">
      <w:pPr>
        <w:spacing w:line="200" w:lineRule="exact"/>
      </w:pPr>
    </w:p>
    <w:p w:rsidR="005A6B70" w:rsidRDefault="004C0DD0">
      <w:pPr>
        <w:pStyle w:val="TOC1"/>
        <w:tabs>
          <w:tab w:val="right" w:leader="dot" w:pos="9403"/>
        </w:tabs>
        <w:rPr>
          <w:rFonts w:asciiTheme="minorHAnsi" w:eastAsiaTheme="minorEastAsia" w:hAnsiTheme="minorHAnsi" w:cstheme="minorBidi"/>
          <w:b w:val="0"/>
          <w:noProof/>
          <w:szCs w:val="22"/>
          <w:lang w:val="fr-LU" w:eastAsia="fr-LU" w:bidi="ar-SA"/>
        </w:rPr>
      </w:pPr>
      <w:r>
        <w:fldChar w:fldCharType="begin"/>
      </w:r>
      <w:r>
        <w:instrText xml:space="preserve"> TOC \o "1-3" \h \z \t "titre 1,1,TITRE 2,2,ANNEXE A,2,ANNEXE A2,3,ANNEXE,1" </w:instrText>
      </w:r>
      <w:r>
        <w:fldChar w:fldCharType="separate"/>
      </w:r>
      <w:hyperlink w:anchor="_Toc442177332" w:history="1">
        <w:r w:rsidR="005A6B70" w:rsidRPr="00F15215">
          <w:rPr>
            <w:rStyle w:val="Hyperlink"/>
            <w:noProof/>
          </w:rPr>
          <w:t>A.</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INTRODUCTION</w:t>
        </w:r>
        <w:r w:rsidR="005A6B70">
          <w:rPr>
            <w:noProof/>
            <w:webHidden/>
          </w:rPr>
          <w:tab/>
        </w:r>
        <w:r w:rsidR="005A6B70">
          <w:rPr>
            <w:noProof/>
            <w:webHidden/>
          </w:rPr>
          <w:fldChar w:fldCharType="begin"/>
        </w:r>
        <w:r w:rsidR="005A6B70">
          <w:rPr>
            <w:noProof/>
            <w:webHidden/>
          </w:rPr>
          <w:instrText xml:space="preserve"> PAGEREF _Toc442177332 \h </w:instrText>
        </w:r>
        <w:r w:rsidR="005A6B70">
          <w:rPr>
            <w:noProof/>
            <w:webHidden/>
          </w:rPr>
        </w:r>
        <w:r w:rsidR="005A6B70">
          <w:rPr>
            <w:noProof/>
            <w:webHidden/>
          </w:rPr>
          <w:fldChar w:fldCharType="separate"/>
        </w:r>
        <w:r w:rsidR="005A6B70">
          <w:rPr>
            <w:noProof/>
            <w:webHidden/>
          </w:rPr>
          <w:t>4</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33" w:history="1">
        <w:r w:rsidR="005A6B70" w:rsidRPr="00F15215">
          <w:rPr>
            <w:rStyle w:val="Hyperlink"/>
            <w:noProof/>
          </w:rPr>
          <w:t>A.1</w:t>
        </w:r>
        <w:r w:rsidR="005A6B70">
          <w:rPr>
            <w:rFonts w:asciiTheme="minorHAnsi" w:eastAsiaTheme="minorEastAsia" w:hAnsiTheme="minorHAnsi" w:cstheme="minorBidi"/>
            <w:noProof/>
            <w:szCs w:val="22"/>
            <w:lang w:val="fr-LU" w:eastAsia="fr-LU" w:bidi="ar-SA"/>
          </w:rPr>
          <w:tab/>
        </w:r>
        <w:r w:rsidR="005A6B70" w:rsidRPr="00F15215">
          <w:rPr>
            <w:rStyle w:val="Hyperlink"/>
            <w:noProof/>
          </w:rPr>
          <w:t>Objectives and Scope</w:t>
        </w:r>
        <w:r w:rsidR="005A6B70">
          <w:rPr>
            <w:noProof/>
            <w:webHidden/>
          </w:rPr>
          <w:tab/>
        </w:r>
        <w:r w:rsidR="005A6B70">
          <w:rPr>
            <w:noProof/>
            <w:webHidden/>
          </w:rPr>
          <w:fldChar w:fldCharType="begin"/>
        </w:r>
        <w:r w:rsidR="005A6B70">
          <w:rPr>
            <w:noProof/>
            <w:webHidden/>
          </w:rPr>
          <w:instrText xml:space="preserve"> PAGEREF _Toc442177333 \h </w:instrText>
        </w:r>
        <w:r w:rsidR="005A6B70">
          <w:rPr>
            <w:noProof/>
            <w:webHidden/>
          </w:rPr>
        </w:r>
        <w:r w:rsidR="005A6B70">
          <w:rPr>
            <w:noProof/>
            <w:webHidden/>
          </w:rPr>
          <w:fldChar w:fldCharType="separate"/>
        </w:r>
        <w:r w:rsidR="005A6B70">
          <w:rPr>
            <w:noProof/>
            <w:webHidden/>
          </w:rPr>
          <w:t>4</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34" w:history="1">
        <w:r w:rsidR="005A6B70" w:rsidRPr="00F15215">
          <w:rPr>
            <w:rStyle w:val="Hyperlink"/>
            <w:noProof/>
          </w:rPr>
          <w:t>A.2</w:t>
        </w:r>
        <w:r w:rsidR="005A6B70">
          <w:rPr>
            <w:rFonts w:asciiTheme="minorHAnsi" w:eastAsiaTheme="minorEastAsia" w:hAnsiTheme="minorHAnsi" w:cstheme="minorBidi"/>
            <w:noProof/>
            <w:szCs w:val="22"/>
            <w:lang w:val="fr-LU" w:eastAsia="fr-LU" w:bidi="ar-SA"/>
          </w:rPr>
          <w:tab/>
        </w:r>
        <w:r w:rsidR="005A6B70" w:rsidRPr="00F15215">
          <w:rPr>
            <w:rStyle w:val="Hyperlink"/>
            <w:noProof/>
          </w:rPr>
          <w:t>Organisational changes</w:t>
        </w:r>
        <w:r w:rsidR="005A6B70">
          <w:rPr>
            <w:noProof/>
            <w:webHidden/>
          </w:rPr>
          <w:tab/>
        </w:r>
        <w:r w:rsidR="005A6B70">
          <w:rPr>
            <w:noProof/>
            <w:webHidden/>
          </w:rPr>
          <w:fldChar w:fldCharType="begin"/>
        </w:r>
        <w:r w:rsidR="005A6B70">
          <w:rPr>
            <w:noProof/>
            <w:webHidden/>
          </w:rPr>
          <w:instrText xml:space="preserve"> PAGEREF _Toc442177334 \h </w:instrText>
        </w:r>
        <w:r w:rsidR="005A6B70">
          <w:rPr>
            <w:noProof/>
            <w:webHidden/>
          </w:rPr>
        </w:r>
        <w:r w:rsidR="005A6B70">
          <w:rPr>
            <w:noProof/>
            <w:webHidden/>
          </w:rPr>
          <w:fldChar w:fldCharType="separate"/>
        </w:r>
        <w:r w:rsidR="005A6B70">
          <w:rPr>
            <w:noProof/>
            <w:webHidden/>
          </w:rPr>
          <w:t>5</w:t>
        </w:r>
        <w:r w:rsidR="005A6B70">
          <w:rPr>
            <w:noProof/>
            <w:webHidden/>
          </w:rPr>
          <w:fldChar w:fldCharType="end"/>
        </w:r>
      </w:hyperlink>
    </w:p>
    <w:p w:rsidR="005A6B70" w:rsidRDefault="007D3C4A">
      <w:pPr>
        <w:pStyle w:val="TOC1"/>
        <w:tabs>
          <w:tab w:val="right" w:leader="dot" w:pos="9403"/>
        </w:tabs>
        <w:rPr>
          <w:rFonts w:asciiTheme="minorHAnsi" w:eastAsiaTheme="minorEastAsia" w:hAnsiTheme="minorHAnsi" w:cstheme="minorBidi"/>
          <w:b w:val="0"/>
          <w:noProof/>
          <w:szCs w:val="22"/>
          <w:lang w:val="fr-LU" w:eastAsia="fr-LU" w:bidi="ar-SA"/>
        </w:rPr>
      </w:pPr>
      <w:hyperlink w:anchor="_Toc442177335" w:history="1">
        <w:r w:rsidR="005A6B70" w:rsidRPr="00F15215">
          <w:rPr>
            <w:rStyle w:val="Hyperlink"/>
            <w:noProof/>
          </w:rPr>
          <w:t>B.</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SUMMARY OF PERFORMANCE AND SAFETY STRATEGY</w:t>
        </w:r>
        <w:r w:rsidR="005A6B70">
          <w:rPr>
            <w:noProof/>
            <w:webHidden/>
          </w:rPr>
          <w:tab/>
        </w:r>
        <w:r w:rsidR="005A6B70">
          <w:rPr>
            <w:noProof/>
            <w:webHidden/>
          </w:rPr>
          <w:fldChar w:fldCharType="begin"/>
        </w:r>
        <w:r w:rsidR="005A6B70">
          <w:rPr>
            <w:noProof/>
            <w:webHidden/>
          </w:rPr>
          <w:instrText xml:space="preserve"> PAGEREF _Toc442177335 \h </w:instrText>
        </w:r>
        <w:r w:rsidR="005A6B70">
          <w:rPr>
            <w:noProof/>
            <w:webHidden/>
          </w:rPr>
        </w:r>
        <w:r w:rsidR="005A6B70">
          <w:rPr>
            <w:noProof/>
            <w:webHidden/>
          </w:rPr>
          <w:fldChar w:fldCharType="separate"/>
        </w:r>
        <w:r w:rsidR="005A6B70">
          <w:rPr>
            <w:noProof/>
            <w:webHidden/>
          </w:rPr>
          <w:t>6</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36" w:history="1">
        <w:r w:rsidR="005A6B70" w:rsidRPr="00F15215">
          <w:rPr>
            <w:rStyle w:val="Hyperlink"/>
            <w:noProof/>
          </w:rPr>
          <w:t>B.1</w:t>
        </w:r>
        <w:r w:rsidR="005A6B70">
          <w:rPr>
            <w:rFonts w:asciiTheme="minorHAnsi" w:eastAsiaTheme="minorEastAsia" w:hAnsiTheme="minorHAnsi" w:cstheme="minorBidi"/>
            <w:noProof/>
            <w:szCs w:val="22"/>
            <w:lang w:val="fr-LU" w:eastAsia="fr-LU" w:bidi="ar-SA"/>
          </w:rPr>
          <w:tab/>
        </w:r>
        <w:r w:rsidR="005A6B70" w:rsidRPr="00F15215">
          <w:rPr>
            <w:rStyle w:val="Hyperlink"/>
            <w:noProof/>
          </w:rPr>
          <w:t>Main conclusions</w:t>
        </w:r>
        <w:r w:rsidR="005A6B70">
          <w:rPr>
            <w:noProof/>
            <w:webHidden/>
          </w:rPr>
          <w:tab/>
        </w:r>
        <w:r w:rsidR="005A6B70">
          <w:rPr>
            <w:noProof/>
            <w:webHidden/>
          </w:rPr>
          <w:fldChar w:fldCharType="begin"/>
        </w:r>
        <w:r w:rsidR="005A6B70">
          <w:rPr>
            <w:noProof/>
            <w:webHidden/>
          </w:rPr>
          <w:instrText xml:space="preserve"> PAGEREF _Toc442177336 \h </w:instrText>
        </w:r>
        <w:r w:rsidR="005A6B70">
          <w:rPr>
            <w:noProof/>
            <w:webHidden/>
          </w:rPr>
        </w:r>
        <w:r w:rsidR="005A6B70">
          <w:rPr>
            <w:noProof/>
            <w:webHidden/>
          </w:rPr>
          <w:fldChar w:fldCharType="separate"/>
        </w:r>
        <w:r w:rsidR="005A6B70">
          <w:rPr>
            <w:noProof/>
            <w:webHidden/>
          </w:rPr>
          <w:t>6</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37" w:history="1">
        <w:r w:rsidR="005A6B70" w:rsidRPr="00F15215">
          <w:rPr>
            <w:rStyle w:val="Hyperlink"/>
            <w:noProof/>
          </w:rPr>
          <w:t>B.2</w:t>
        </w:r>
        <w:r w:rsidR="005A6B70">
          <w:rPr>
            <w:rFonts w:asciiTheme="minorHAnsi" w:eastAsiaTheme="minorEastAsia" w:hAnsiTheme="minorHAnsi" w:cstheme="minorBidi"/>
            <w:noProof/>
            <w:szCs w:val="22"/>
            <w:lang w:val="fr-LU" w:eastAsia="fr-LU" w:bidi="ar-SA"/>
          </w:rPr>
          <w:tab/>
        </w:r>
        <w:r w:rsidR="005A6B70" w:rsidRPr="00F15215">
          <w:rPr>
            <w:rStyle w:val="Hyperlink"/>
            <w:noProof/>
          </w:rPr>
          <w:t>National strategy on safety, initiatives and other relevant facts</w:t>
        </w:r>
        <w:r w:rsidR="005A6B70">
          <w:rPr>
            <w:noProof/>
            <w:webHidden/>
          </w:rPr>
          <w:tab/>
        </w:r>
        <w:r w:rsidR="005A6B70">
          <w:rPr>
            <w:noProof/>
            <w:webHidden/>
          </w:rPr>
          <w:fldChar w:fldCharType="begin"/>
        </w:r>
        <w:r w:rsidR="005A6B70">
          <w:rPr>
            <w:noProof/>
            <w:webHidden/>
          </w:rPr>
          <w:instrText xml:space="preserve"> PAGEREF _Toc442177337 \h </w:instrText>
        </w:r>
        <w:r w:rsidR="005A6B70">
          <w:rPr>
            <w:noProof/>
            <w:webHidden/>
          </w:rPr>
        </w:r>
        <w:r w:rsidR="005A6B70">
          <w:rPr>
            <w:noProof/>
            <w:webHidden/>
          </w:rPr>
          <w:fldChar w:fldCharType="separate"/>
        </w:r>
        <w:r w:rsidR="005A6B70">
          <w:rPr>
            <w:noProof/>
            <w:webHidden/>
          </w:rPr>
          <w:t>6</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38" w:history="1">
        <w:r w:rsidR="005A6B70" w:rsidRPr="00F15215">
          <w:rPr>
            <w:rStyle w:val="Hyperlink"/>
            <w:noProof/>
          </w:rPr>
          <w:t>B.3</w:t>
        </w:r>
        <w:r w:rsidR="005A6B70">
          <w:rPr>
            <w:rFonts w:asciiTheme="minorHAnsi" w:eastAsiaTheme="minorEastAsia" w:hAnsiTheme="minorHAnsi" w:cstheme="minorBidi"/>
            <w:noProof/>
            <w:szCs w:val="22"/>
            <w:lang w:val="fr-LU" w:eastAsia="fr-LU" w:bidi="ar-SA"/>
          </w:rPr>
          <w:tab/>
        </w:r>
        <w:r w:rsidR="005A6B70" w:rsidRPr="00F15215">
          <w:rPr>
            <w:rStyle w:val="Hyperlink"/>
            <w:noProof/>
          </w:rPr>
          <w:t>Review of the previous year</w:t>
        </w:r>
        <w:r w:rsidR="005A6B70">
          <w:rPr>
            <w:noProof/>
            <w:webHidden/>
          </w:rPr>
          <w:tab/>
        </w:r>
        <w:r w:rsidR="005A6B70">
          <w:rPr>
            <w:noProof/>
            <w:webHidden/>
          </w:rPr>
          <w:fldChar w:fldCharType="begin"/>
        </w:r>
        <w:r w:rsidR="005A6B70">
          <w:rPr>
            <w:noProof/>
            <w:webHidden/>
          </w:rPr>
          <w:instrText xml:space="preserve"> PAGEREF _Toc442177338 \h </w:instrText>
        </w:r>
        <w:r w:rsidR="005A6B70">
          <w:rPr>
            <w:noProof/>
            <w:webHidden/>
          </w:rPr>
        </w:r>
        <w:r w:rsidR="005A6B70">
          <w:rPr>
            <w:noProof/>
            <w:webHidden/>
          </w:rPr>
          <w:fldChar w:fldCharType="separate"/>
        </w:r>
        <w:r w:rsidR="005A6B70">
          <w:rPr>
            <w:noProof/>
            <w:webHidden/>
          </w:rPr>
          <w:t>7</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39" w:history="1">
        <w:r w:rsidR="005A6B70" w:rsidRPr="00F15215">
          <w:rPr>
            <w:rStyle w:val="Hyperlink"/>
            <w:noProof/>
          </w:rPr>
          <w:t>B.4</w:t>
        </w:r>
        <w:r w:rsidR="005A6B70">
          <w:rPr>
            <w:rFonts w:asciiTheme="minorHAnsi" w:eastAsiaTheme="minorEastAsia" w:hAnsiTheme="minorHAnsi" w:cstheme="minorBidi"/>
            <w:noProof/>
            <w:szCs w:val="22"/>
            <w:lang w:val="fr-LU" w:eastAsia="fr-LU" w:bidi="ar-SA"/>
          </w:rPr>
          <w:tab/>
        </w:r>
        <w:r w:rsidR="005A6B70" w:rsidRPr="00F15215">
          <w:rPr>
            <w:rStyle w:val="Hyperlink"/>
            <w:noProof/>
          </w:rPr>
          <w:t>Priority areas to be developed over the next year</w:t>
        </w:r>
        <w:r w:rsidR="005A6B70">
          <w:rPr>
            <w:noProof/>
            <w:webHidden/>
          </w:rPr>
          <w:tab/>
        </w:r>
        <w:r w:rsidR="005A6B70">
          <w:rPr>
            <w:noProof/>
            <w:webHidden/>
          </w:rPr>
          <w:fldChar w:fldCharType="begin"/>
        </w:r>
        <w:r w:rsidR="005A6B70">
          <w:rPr>
            <w:noProof/>
            <w:webHidden/>
          </w:rPr>
          <w:instrText xml:space="preserve"> PAGEREF _Toc442177339 \h </w:instrText>
        </w:r>
        <w:r w:rsidR="005A6B70">
          <w:rPr>
            <w:noProof/>
            <w:webHidden/>
          </w:rPr>
        </w:r>
        <w:r w:rsidR="005A6B70">
          <w:rPr>
            <w:noProof/>
            <w:webHidden/>
          </w:rPr>
          <w:fldChar w:fldCharType="separate"/>
        </w:r>
        <w:r w:rsidR="005A6B70">
          <w:rPr>
            <w:noProof/>
            <w:webHidden/>
          </w:rPr>
          <w:t>8</w:t>
        </w:r>
        <w:r w:rsidR="005A6B70">
          <w:rPr>
            <w:noProof/>
            <w:webHidden/>
          </w:rPr>
          <w:fldChar w:fldCharType="end"/>
        </w:r>
      </w:hyperlink>
    </w:p>
    <w:p w:rsidR="005A6B70" w:rsidRDefault="007D3C4A">
      <w:pPr>
        <w:pStyle w:val="TOC1"/>
        <w:tabs>
          <w:tab w:val="right" w:leader="dot" w:pos="9403"/>
        </w:tabs>
        <w:rPr>
          <w:rFonts w:asciiTheme="minorHAnsi" w:eastAsiaTheme="minorEastAsia" w:hAnsiTheme="minorHAnsi" w:cstheme="minorBidi"/>
          <w:b w:val="0"/>
          <w:noProof/>
          <w:szCs w:val="22"/>
          <w:lang w:val="fr-LU" w:eastAsia="fr-LU" w:bidi="ar-SA"/>
        </w:rPr>
      </w:pPr>
      <w:hyperlink w:anchor="_Toc442177340" w:history="1">
        <w:r w:rsidR="005A6B70" w:rsidRPr="00F15215">
          <w:rPr>
            <w:rStyle w:val="Hyperlink"/>
            <w:noProof/>
          </w:rPr>
          <w:t>C.</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DEVELOPMENT OF RAILWAY SAFETY</w:t>
        </w:r>
        <w:r w:rsidR="005A6B70">
          <w:rPr>
            <w:noProof/>
            <w:webHidden/>
          </w:rPr>
          <w:tab/>
        </w:r>
        <w:r w:rsidR="005A6B70">
          <w:rPr>
            <w:noProof/>
            <w:webHidden/>
          </w:rPr>
          <w:fldChar w:fldCharType="begin"/>
        </w:r>
        <w:r w:rsidR="005A6B70">
          <w:rPr>
            <w:noProof/>
            <w:webHidden/>
          </w:rPr>
          <w:instrText xml:space="preserve"> PAGEREF _Toc442177340 \h </w:instrText>
        </w:r>
        <w:r w:rsidR="005A6B70">
          <w:rPr>
            <w:noProof/>
            <w:webHidden/>
          </w:rPr>
        </w:r>
        <w:r w:rsidR="005A6B70">
          <w:rPr>
            <w:noProof/>
            <w:webHidden/>
          </w:rPr>
          <w:fldChar w:fldCharType="separate"/>
        </w:r>
        <w:r w:rsidR="005A6B70">
          <w:rPr>
            <w:noProof/>
            <w:webHidden/>
          </w:rPr>
          <w:t>9</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41" w:history="1">
        <w:r w:rsidR="005A6B70" w:rsidRPr="00F15215">
          <w:rPr>
            <w:rStyle w:val="Hyperlink"/>
            <w:noProof/>
          </w:rPr>
          <w:t>C.1</w:t>
        </w:r>
        <w:r w:rsidR="005A6B70">
          <w:rPr>
            <w:rFonts w:asciiTheme="minorHAnsi" w:eastAsiaTheme="minorEastAsia" w:hAnsiTheme="minorHAnsi" w:cstheme="minorBidi"/>
            <w:noProof/>
            <w:szCs w:val="22"/>
            <w:lang w:val="fr-LU" w:eastAsia="fr-LU" w:bidi="ar-SA"/>
          </w:rPr>
          <w:tab/>
        </w:r>
        <w:r w:rsidR="005A6B70" w:rsidRPr="00F15215">
          <w:rPr>
            <w:rStyle w:val="Hyperlink"/>
            <w:noProof/>
          </w:rPr>
          <w:t>Analysis of indicators and trends</w:t>
        </w:r>
        <w:r w:rsidR="005A6B70">
          <w:rPr>
            <w:noProof/>
            <w:webHidden/>
          </w:rPr>
          <w:tab/>
        </w:r>
        <w:r w:rsidR="005A6B70">
          <w:rPr>
            <w:noProof/>
            <w:webHidden/>
          </w:rPr>
          <w:fldChar w:fldCharType="begin"/>
        </w:r>
        <w:r w:rsidR="005A6B70">
          <w:rPr>
            <w:noProof/>
            <w:webHidden/>
          </w:rPr>
          <w:instrText xml:space="preserve"> PAGEREF _Toc442177341 \h </w:instrText>
        </w:r>
        <w:r w:rsidR="005A6B70">
          <w:rPr>
            <w:noProof/>
            <w:webHidden/>
          </w:rPr>
        </w:r>
        <w:r w:rsidR="005A6B70">
          <w:rPr>
            <w:noProof/>
            <w:webHidden/>
          </w:rPr>
          <w:fldChar w:fldCharType="separate"/>
        </w:r>
        <w:r w:rsidR="005A6B70">
          <w:rPr>
            <w:noProof/>
            <w:webHidden/>
          </w:rPr>
          <w:t>9</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42" w:history="1">
        <w:r w:rsidR="005A6B70" w:rsidRPr="00F15215">
          <w:rPr>
            <w:rStyle w:val="Hyperlink"/>
            <w:noProof/>
          </w:rPr>
          <w:t>C.2</w:t>
        </w:r>
        <w:r w:rsidR="005A6B70">
          <w:rPr>
            <w:rFonts w:asciiTheme="minorHAnsi" w:eastAsiaTheme="minorEastAsia" w:hAnsiTheme="minorHAnsi" w:cstheme="minorBidi"/>
            <w:noProof/>
            <w:szCs w:val="22"/>
            <w:lang w:val="fr-LU" w:eastAsia="fr-LU" w:bidi="ar-SA"/>
          </w:rPr>
          <w:tab/>
        </w:r>
        <w:r w:rsidR="005A6B70" w:rsidRPr="00F15215">
          <w:rPr>
            <w:rStyle w:val="Hyperlink"/>
            <w:noProof/>
          </w:rPr>
          <w:t>Results of safety recommendations</w:t>
        </w:r>
        <w:r w:rsidR="005A6B70">
          <w:rPr>
            <w:noProof/>
            <w:webHidden/>
          </w:rPr>
          <w:tab/>
        </w:r>
        <w:r w:rsidR="005A6B70">
          <w:rPr>
            <w:noProof/>
            <w:webHidden/>
          </w:rPr>
          <w:fldChar w:fldCharType="begin"/>
        </w:r>
        <w:r w:rsidR="005A6B70">
          <w:rPr>
            <w:noProof/>
            <w:webHidden/>
          </w:rPr>
          <w:instrText xml:space="preserve"> PAGEREF _Toc442177342 \h </w:instrText>
        </w:r>
        <w:r w:rsidR="005A6B70">
          <w:rPr>
            <w:noProof/>
            <w:webHidden/>
          </w:rPr>
        </w:r>
        <w:r w:rsidR="005A6B70">
          <w:rPr>
            <w:noProof/>
            <w:webHidden/>
          </w:rPr>
          <w:fldChar w:fldCharType="separate"/>
        </w:r>
        <w:r w:rsidR="005A6B70">
          <w:rPr>
            <w:noProof/>
            <w:webHidden/>
          </w:rPr>
          <w:t>22</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43" w:history="1">
        <w:r w:rsidR="005A6B70" w:rsidRPr="00F15215">
          <w:rPr>
            <w:rStyle w:val="Hyperlink"/>
            <w:noProof/>
          </w:rPr>
          <w:t>C.3</w:t>
        </w:r>
        <w:r w:rsidR="005A6B70">
          <w:rPr>
            <w:rFonts w:asciiTheme="minorHAnsi" w:eastAsiaTheme="minorEastAsia" w:hAnsiTheme="minorHAnsi" w:cstheme="minorBidi"/>
            <w:noProof/>
            <w:szCs w:val="22"/>
            <w:lang w:val="fr-LU" w:eastAsia="fr-LU" w:bidi="ar-SA"/>
          </w:rPr>
          <w:tab/>
        </w:r>
        <w:r w:rsidR="005A6B70" w:rsidRPr="00F15215">
          <w:rPr>
            <w:rStyle w:val="Hyperlink"/>
            <w:noProof/>
          </w:rPr>
          <w:t>Initiatives for maintaining or improving safety arising from accident investigation recommendations</w:t>
        </w:r>
        <w:r w:rsidR="005A6B70">
          <w:rPr>
            <w:noProof/>
            <w:webHidden/>
          </w:rPr>
          <w:tab/>
        </w:r>
        <w:r w:rsidR="005A6B70">
          <w:rPr>
            <w:noProof/>
            <w:webHidden/>
          </w:rPr>
          <w:fldChar w:fldCharType="begin"/>
        </w:r>
        <w:r w:rsidR="005A6B70">
          <w:rPr>
            <w:noProof/>
            <w:webHidden/>
          </w:rPr>
          <w:instrText xml:space="preserve"> PAGEREF _Toc442177343 \h </w:instrText>
        </w:r>
        <w:r w:rsidR="005A6B70">
          <w:rPr>
            <w:noProof/>
            <w:webHidden/>
          </w:rPr>
        </w:r>
        <w:r w:rsidR="005A6B70">
          <w:rPr>
            <w:noProof/>
            <w:webHidden/>
          </w:rPr>
          <w:fldChar w:fldCharType="separate"/>
        </w:r>
        <w:r w:rsidR="005A6B70">
          <w:rPr>
            <w:noProof/>
            <w:webHidden/>
          </w:rPr>
          <w:t>22</w:t>
        </w:r>
        <w:r w:rsidR="005A6B70">
          <w:rPr>
            <w:noProof/>
            <w:webHidden/>
          </w:rPr>
          <w:fldChar w:fldCharType="end"/>
        </w:r>
      </w:hyperlink>
    </w:p>
    <w:p w:rsidR="005A6B70" w:rsidRDefault="007D3C4A">
      <w:pPr>
        <w:pStyle w:val="TOC1"/>
        <w:tabs>
          <w:tab w:val="right" w:leader="dot" w:pos="9403"/>
        </w:tabs>
        <w:rPr>
          <w:rFonts w:asciiTheme="minorHAnsi" w:eastAsiaTheme="minorEastAsia" w:hAnsiTheme="minorHAnsi" w:cstheme="minorBidi"/>
          <w:b w:val="0"/>
          <w:noProof/>
          <w:szCs w:val="22"/>
          <w:lang w:val="fr-LU" w:eastAsia="fr-LU" w:bidi="ar-SA"/>
        </w:rPr>
      </w:pPr>
      <w:hyperlink w:anchor="_Toc442177344" w:history="1">
        <w:r w:rsidR="005A6B70" w:rsidRPr="00F15215">
          <w:rPr>
            <w:rStyle w:val="Hyperlink"/>
            <w:noProof/>
          </w:rPr>
          <w:t>D.</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SUPERVISION OF RAIL TRANSPORT COMPANIES AND THE INFRASTRUCTURE MANAGER</w:t>
        </w:r>
        <w:r w:rsidR="005A6B70">
          <w:rPr>
            <w:noProof/>
            <w:webHidden/>
          </w:rPr>
          <w:tab/>
        </w:r>
        <w:r w:rsidR="005A6B70">
          <w:rPr>
            <w:noProof/>
            <w:webHidden/>
          </w:rPr>
          <w:fldChar w:fldCharType="begin"/>
        </w:r>
        <w:r w:rsidR="005A6B70">
          <w:rPr>
            <w:noProof/>
            <w:webHidden/>
          </w:rPr>
          <w:instrText xml:space="preserve"> PAGEREF _Toc442177344 \h </w:instrText>
        </w:r>
        <w:r w:rsidR="005A6B70">
          <w:rPr>
            <w:noProof/>
            <w:webHidden/>
          </w:rPr>
        </w:r>
        <w:r w:rsidR="005A6B70">
          <w:rPr>
            <w:noProof/>
            <w:webHidden/>
          </w:rPr>
          <w:fldChar w:fldCharType="separate"/>
        </w:r>
        <w:r w:rsidR="005A6B70">
          <w:rPr>
            <w:noProof/>
            <w:webHidden/>
          </w:rPr>
          <w:t>23</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45" w:history="1">
        <w:r w:rsidR="005A6B70" w:rsidRPr="00F15215">
          <w:rPr>
            <w:rStyle w:val="Hyperlink"/>
            <w:noProof/>
          </w:rPr>
          <w:t>D.1</w:t>
        </w:r>
        <w:r w:rsidR="005A6B70">
          <w:rPr>
            <w:rFonts w:asciiTheme="minorHAnsi" w:eastAsiaTheme="minorEastAsia" w:hAnsiTheme="minorHAnsi" w:cstheme="minorBidi"/>
            <w:noProof/>
            <w:szCs w:val="22"/>
            <w:lang w:val="fr-LU" w:eastAsia="fr-LU" w:bidi="ar-SA"/>
          </w:rPr>
          <w:tab/>
        </w:r>
        <w:r w:rsidR="005A6B70" w:rsidRPr="00F15215">
          <w:rPr>
            <w:rStyle w:val="Hyperlink"/>
            <w:noProof/>
          </w:rPr>
          <w:t>Supervision and plan</w:t>
        </w:r>
        <w:r w:rsidR="005A6B70">
          <w:rPr>
            <w:noProof/>
            <w:webHidden/>
          </w:rPr>
          <w:tab/>
        </w:r>
        <w:r w:rsidR="005A6B70">
          <w:rPr>
            <w:noProof/>
            <w:webHidden/>
          </w:rPr>
          <w:fldChar w:fldCharType="begin"/>
        </w:r>
        <w:r w:rsidR="005A6B70">
          <w:rPr>
            <w:noProof/>
            <w:webHidden/>
          </w:rPr>
          <w:instrText xml:space="preserve"> PAGEREF _Toc442177345 \h </w:instrText>
        </w:r>
        <w:r w:rsidR="005A6B70">
          <w:rPr>
            <w:noProof/>
            <w:webHidden/>
          </w:rPr>
        </w:r>
        <w:r w:rsidR="005A6B70">
          <w:rPr>
            <w:noProof/>
            <w:webHidden/>
          </w:rPr>
          <w:fldChar w:fldCharType="separate"/>
        </w:r>
        <w:r w:rsidR="005A6B70">
          <w:rPr>
            <w:noProof/>
            <w:webHidden/>
          </w:rPr>
          <w:t>23</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46" w:history="1">
        <w:r w:rsidR="005A6B70" w:rsidRPr="00F15215">
          <w:rPr>
            <w:rStyle w:val="Hyperlink"/>
            <w:noProof/>
          </w:rPr>
          <w:t>D.2</w:t>
        </w:r>
        <w:r w:rsidR="005A6B70">
          <w:rPr>
            <w:rFonts w:asciiTheme="minorHAnsi" w:eastAsiaTheme="minorEastAsia" w:hAnsiTheme="minorHAnsi" w:cstheme="minorBidi"/>
            <w:noProof/>
            <w:szCs w:val="22"/>
            <w:lang w:val="fr-LU" w:eastAsia="fr-LU" w:bidi="ar-SA"/>
          </w:rPr>
          <w:tab/>
        </w:r>
        <w:r w:rsidR="005A6B70" w:rsidRPr="00F15215">
          <w:rPr>
            <w:rStyle w:val="Hyperlink"/>
            <w:noProof/>
          </w:rPr>
          <w:t>Human resources</w:t>
        </w:r>
        <w:r w:rsidR="005A6B70">
          <w:rPr>
            <w:noProof/>
            <w:webHidden/>
          </w:rPr>
          <w:tab/>
        </w:r>
        <w:r w:rsidR="005A6B70">
          <w:rPr>
            <w:noProof/>
            <w:webHidden/>
          </w:rPr>
          <w:fldChar w:fldCharType="begin"/>
        </w:r>
        <w:r w:rsidR="005A6B70">
          <w:rPr>
            <w:noProof/>
            <w:webHidden/>
          </w:rPr>
          <w:instrText xml:space="preserve"> PAGEREF _Toc442177346 \h </w:instrText>
        </w:r>
        <w:r w:rsidR="005A6B70">
          <w:rPr>
            <w:noProof/>
            <w:webHidden/>
          </w:rPr>
        </w:r>
        <w:r w:rsidR="005A6B70">
          <w:rPr>
            <w:noProof/>
            <w:webHidden/>
          </w:rPr>
          <w:fldChar w:fldCharType="separate"/>
        </w:r>
        <w:r w:rsidR="005A6B70">
          <w:rPr>
            <w:noProof/>
            <w:webHidden/>
          </w:rPr>
          <w:t>23</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47" w:history="1">
        <w:r w:rsidR="005A6B70" w:rsidRPr="00F15215">
          <w:rPr>
            <w:rStyle w:val="Hyperlink"/>
            <w:noProof/>
          </w:rPr>
          <w:t>D.3</w:t>
        </w:r>
        <w:r w:rsidR="005A6B70">
          <w:rPr>
            <w:rFonts w:asciiTheme="minorHAnsi" w:eastAsiaTheme="minorEastAsia" w:hAnsiTheme="minorHAnsi" w:cstheme="minorBidi"/>
            <w:noProof/>
            <w:szCs w:val="22"/>
            <w:lang w:val="fr-LU" w:eastAsia="fr-LU" w:bidi="ar-SA"/>
          </w:rPr>
          <w:tab/>
        </w:r>
        <w:r w:rsidR="005A6B70" w:rsidRPr="00F15215">
          <w:rPr>
            <w:rStyle w:val="Hyperlink"/>
            <w:noProof/>
          </w:rPr>
          <w:t>Skills</w:t>
        </w:r>
        <w:r w:rsidR="005A6B70">
          <w:rPr>
            <w:noProof/>
            <w:webHidden/>
          </w:rPr>
          <w:tab/>
        </w:r>
        <w:r w:rsidR="005A6B70">
          <w:rPr>
            <w:noProof/>
            <w:webHidden/>
          </w:rPr>
          <w:fldChar w:fldCharType="begin"/>
        </w:r>
        <w:r w:rsidR="005A6B70">
          <w:rPr>
            <w:noProof/>
            <w:webHidden/>
          </w:rPr>
          <w:instrText xml:space="preserve"> PAGEREF _Toc442177347 \h </w:instrText>
        </w:r>
        <w:r w:rsidR="005A6B70">
          <w:rPr>
            <w:noProof/>
            <w:webHidden/>
          </w:rPr>
        </w:r>
        <w:r w:rsidR="005A6B70">
          <w:rPr>
            <w:noProof/>
            <w:webHidden/>
          </w:rPr>
          <w:fldChar w:fldCharType="separate"/>
        </w:r>
        <w:r w:rsidR="005A6B70">
          <w:rPr>
            <w:noProof/>
            <w:webHidden/>
          </w:rPr>
          <w:t>24</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48" w:history="1">
        <w:r w:rsidR="005A6B70" w:rsidRPr="00F15215">
          <w:rPr>
            <w:rStyle w:val="Hyperlink"/>
            <w:noProof/>
          </w:rPr>
          <w:t>D.4</w:t>
        </w:r>
        <w:r w:rsidR="005A6B70">
          <w:rPr>
            <w:rFonts w:asciiTheme="minorHAnsi" w:eastAsiaTheme="minorEastAsia" w:hAnsiTheme="minorHAnsi" w:cstheme="minorBidi"/>
            <w:noProof/>
            <w:szCs w:val="22"/>
            <w:lang w:val="fr-LU" w:eastAsia="fr-LU" w:bidi="ar-SA"/>
          </w:rPr>
          <w:tab/>
        </w:r>
        <w:r w:rsidR="005A6B70" w:rsidRPr="00F15215">
          <w:rPr>
            <w:rStyle w:val="Hyperlink"/>
            <w:noProof/>
          </w:rPr>
          <w:t>Decision-making process</w:t>
        </w:r>
        <w:r w:rsidR="005A6B70">
          <w:rPr>
            <w:noProof/>
            <w:webHidden/>
          </w:rPr>
          <w:tab/>
        </w:r>
        <w:r w:rsidR="005A6B70">
          <w:rPr>
            <w:noProof/>
            <w:webHidden/>
          </w:rPr>
          <w:fldChar w:fldCharType="begin"/>
        </w:r>
        <w:r w:rsidR="005A6B70">
          <w:rPr>
            <w:noProof/>
            <w:webHidden/>
          </w:rPr>
          <w:instrText xml:space="preserve"> PAGEREF _Toc442177348 \h </w:instrText>
        </w:r>
        <w:r w:rsidR="005A6B70">
          <w:rPr>
            <w:noProof/>
            <w:webHidden/>
          </w:rPr>
        </w:r>
        <w:r w:rsidR="005A6B70">
          <w:rPr>
            <w:noProof/>
            <w:webHidden/>
          </w:rPr>
          <w:fldChar w:fldCharType="separate"/>
        </w:r>
        <w:r w:rsidR="005A6B70">
          <w:rPr>
            <w:noProof/>
            <w:webHidden/>
          </w:rPr>
          <w:t>24</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49" w:history="1">
        <w:r w:rsidR="005A6B70" w:rsidRPr="00F15215">
          <w:rPr>
            <w:rStyle w:val="Hyperlink"/>
            <w:noProof/>
          </w:rPr>
          <w:t>D.5</w:t>
        </w:r>
        <w:r w:rsidR="005A6B70">
          <w:rPr>
            <w:rFonts w:asciiTheme="minorHAnsi" w:eastAsiaTheme="minorEastAsia" w:hAnsiTheme="minorHAnsi" w:cstheme="minorBidi"/>
            <w:noProof/>
            <w:szCs w:val="22"/>
            <w:lang w:val="fr-LU" w:eastAsia="fr-LU" w:bidi="ar-SA"/>
          </w:rPr>
          <w:tab/>
        </w:r>
        <w:r w:rsidR="005A6B70" w:rsidRPr="00F15215">
          <w:rPr>
            <w:rStyle w:val="Hyperlink"/>
            <w:noProof/>
          </w:rPr>
          <w:t>Coordination and cooperation</w:t>
        </w:r>
        <w:r w:rsidR="005A6B70">
          <w:rPr>
            <w:noProof/>
            <w:webHidden/>
          </w:rPr>
          <w:tab/>
        </w:r>
        <w:r w:rsidR="005A6B70">
          <w:rPr>
            <w:noProof/>
            <w:webHidden/>
          </w:rPr>
          <w:fldChar w:fldCharType="begin"/>
        </w:r>
        <w:r w:rsidR="005A6B70">
          <w:rPr>
            <w:noProof/>
            <w:webHidden/>
          </w:rPr>
          <w:instrText xml:space="preserve"> PAGEREF _Toc442177349 \h </w:instrText>
        </w:r>
        <w:r w:rsidR="005A6B70">
          <w:rPr>
            <w:noProof/>
            <w:webHidden/>
          </w:rPr>
        </w:r>
        <w:r w:rsidR="005A6B70">
          <w:rPr>
            <w:noProof/>
            <w:webHidden/>
          </w:rPr>
          <w:fldChar w:fldCharType="separate"/>
        </w:r>
        <w:r w:rsidR="005A6B70">
          <w:rPr>
            <w:noProof/>
            <w:webHidden/>
          </w:rPr>
          <w:t>24</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50" w:history="1">
        <w:r w:rsidR="005A6B70" w:rsidRPr="00F15215">
          <w:rPr>
            <w:rStyle w:val="Hyperlink"/>
            <w:noProof/>
          </w:rPr>
          <w:t>D.6</w:t>
        </w:r>
        <w:r w:rsidR="005A6B70">
          <w:rPr>
            <w:rFonts w:asciiTheme="minorHAnsi" w:eastAsiaTheme="minorEastAsia" w:hAnsiTheme="minorHAnsi" w:cstheme="minorBidi"/>
            <w:noProof/>
            <w:szCs w:val="22"/>
            <w:lang w:val="fr-LU" w:eastAsia="fr-LU" w:bidi="ar-SA"/>
          </w:rPr>
          <w:tab/>
        </w:r>
        <w:r w:rsidR="005A6B70" w:rsidRPr="00F15215">
          <w:rPr>
            <w:rStyle w:val="Hyperlink"/>
            <w:noProof/>
          </w:rPr>
          <w:t>Outcome of the measures</w:t>
        </w:r>
        <w:r w:rsidR="005A6B70">
          <w:rPr>
            <w:noProof/>
            <w:webHidden/>
          </w:rPr>
          <w:tab/>
        </w:r>
        <w:r w:rsidR="005A6B70">
          <w:rPr>
            <w:noProof/>
            <w:webHidden/>
          </w:rPr>
          <w:fldChar w:fldCharType="begin"/>
        </w:r>
        <w:r w:rsidR="005A6B70">
          <w:rPr>
            <w:noProof/>
            <w:webHidden/>
          </w:rPr>
          <w:instrText xml:space="preserve"> PAGEREF _Toc442177350 \h </w:instrText>
        </w:r>
        <w:r w:rsidR="005A6B70">
          <w:rPr>
            <w:noProof/>
            <w:webHidden/>
          </w:rPr>
        </w:r>
        <w:r w:rsidR="005A6B70">
          <w:rPr>
            <w:noProof/>
            <w:webHidden/>
          </w:rPr>
          <w:fldChar w:fldCharType="separate"/>
        </w:r>
        <w:r w:rsidR="005A6B70">
          <w:rPr>
            <w:noProof/>
            <w:webHidden/>
          </w:rPr>
          <w:t>24</w:t>
        </w:r>
        <w:r w:rsidR="005A6B70">
          <w:rPr>
            <w:noProof/>
            <w:webHidden/>
          </w:rPr>
          <w:fldChar w:fldCharType="end"/>
        </w:r>
      </w:hyperlink>
    </w:p>
    <w:p w:rsidR="005A6B70" w:rsidRDefault="007D3C4A">
      <w:pPr>
        <w:pStyle w:val="TOC1"/>
        <w:tabs>
          <w:tab w:val="right" w:leader="dot" w:pos="9403"/>
        </w:tabs>
        <w:rPr>
          <w:rFonts w:asciiTheme="minorHAnsi" w:eastAsiaTheme="minorEastAsia" w:hAnsiTheme="minorHAnsi" w:cstheme="minorBidi"/>
          <w:b w:val="0"/>
          <w:noProof/>
          <w:szCs w:val="22"/>
          <w:lang w:val="fr-LU" w:eastAsia="fr-LU" w:bidi="ar-SA"/>
        </w:rPr>
      </w:pPr>
      <w:hyperlink w:anchor="_Toc442177351" w:history="1">
        <w:r w:rsidR="005A6B70" w:rsidRPr="00F15215">
          <w:rPr>
            <w:rStyle w:val="Hyperlink"/>
            <w:noProof/>
          </w:rPr>
          <w:t>E.</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DEVELOPMENT OF SAFETY CERTIFICATION AND AUTHORISATION</w:t>
        </w:r>
        <w:r w:rsidR="005A6B70">
          <w:rPr>
            <w:noProof/>
            <w:webHidden/>
          </w:rPr>
          <w:tab/>
        </w:r>
        <w:r w:rsidR="005A6B70">
          <w:rPr>
            <w:noProof/>
            <w:webHidden/>
          </w:rPr>
          <w:fldChar w:fldCharType="begin"/>
        </w:r>
        <w:r w:rsidR="005A6B70">
          <w:rPr>
            <w:noProof/>
            <w:webHidden/>
          </w:rPr>
          <w:instrText xml:space="preserve"> PAGEREF _Toc442177351 \h </w:instrText>
        </w:r>
        <w:r w:rsidR="005A6B70">
          <w:rPr>
            <w:noProof/>
            <w:webHidden/>
          </w:rPr>
        </w:r>
        <w:r w:rsidR="005A6B70">
          <w:rPr>
            <w:noProof/>
            <w:webHidden/>
          </w:rPr>
          <w:fldChar w:fldCharType="separate"/>
        </w:r>
        <w:r w:rsidR="005A6B70">
          <w:rPr>
            <w:noProof/>
            <w:webHidden/>
          </w:rPr>
          <w:t>25</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52" w:history="1">
        <w:r w:rsidR="005A6B70" w:rsidRPr="00F15215">
          <w:rPr>
            <w:rStyle w:val="Hyperlink"/>
            <w:noProof/>
          </w:rPr>
          <w:t>E.1</w:t>
        </w:r>
        <w:r w:rsidR="005A6B70">
          <w:rPr>
            <w:rFonts w:asciiTheme="minorHAnsi" w:eastAsiaTheme="minorEastAsia" w:hAnsiTheme="minorHAnsi" w:cstheme="minorBidi"/>
            <w:noProof/>
            <w:szCs w:val="22"/>
            <w:lang w:val="fr-LU" w:eastAsia="fr-LU" w:bidi="ar-SA"/>
          </w:rPr>
          <w:tab/>
        </w:r>
        <w:r w:rsidR="005A6B70" w:rsidRPr="00F15215">
          <w:rPr>
            <w:rStyle w:val="Hyperlink"/>
            <w:noProof/>
          </w:rPr>
          <w:t>Legal framework and support</w:t>
        </w:r>
        <w:r w:rsidR="005A6B70">
          <w:rPr>
            <w:noProof/>
            <w:webHidden/>
          </w:rPr>
          <w:tab/>
        </w:r>
        <w:r w:rsidR="005A6B70">
          <w:rPr>
            <w:noProof/>
            <w:webHidden/>
          </w:rPr>
          <w:fldChar w:fldCharType="begin"/>
        </w:r>
        <w:r w:rsidR="005A6B70">
          <w:rPr>
            <w:noProof/>
            <w:webHidden/>
          </w:rPr>
          <w:instrText xml:space="preserve"> PAGEREF _Toc442177352 \h </w:instrText>
        </w:r>
        <w:r w:rsidR="005A6B70">
          <w:rPr>
            <w:noProof/>
            <w:webHidden/>
          </w:rPr>
        </w:r>
        <w:r w:rsidR="005A6B70">
          <w:rPr>
            <w:noProof/>
            <w:webHidden/>
          </w:rPr>
          <w:fldChar w:fldCharType="separate"/>
        </w:r>
        <w:r w:rsidR="005A6B70">
          <w:rPr>
            <w:noProof/>
            <w:webHidden/>
          </w:rPr>
          <w:t>25</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53" w:history="1">
        <w:r w:rsidR="005A6B70" w:rsidRPr="00F15215">
          <w:rPr>
            <w:rStyle w:val="Hyperlink"/>
            <w:noProof/>
          </w:rPr>
          <w:t>E.2</w:t>
        </w:r>
        <w:r w:rsidR="005A6B70">
          <w:rPr>
            <w:rFonts w:asciiTheme="minorHAnsi" w:eastAsiaTheme="minorEastAsia" w:hAnsiTheme="minorHAnsi" w:cstheme="minorBidi"/>
            <w:noProof/>
            <w:szCs w:val="22"/>
            <w:lang w:val="fr-LU" w:eastAsia="fr-LU" w:bidi="ar-SA"/>
          </w:rPr>
          <w:tab/>
        </w:r>
        <w:r w:rsidR="005A6B70" w:rsidRPr="00F15215">
          <w:rPr>
            <w:rStyle w:val="Hyperlink"/>
            <w:noProof/>
          </w:rPr>
          <w:t>Contacts with other safety authorities</w:t>
        </w:r>
        <w:r w:rsidR="005A6B70">
          <w:rPr>
            <w:noProof/>
            <w:webHidden/>
          </w:rPr>
          <w:tab/>
        </w:r>
        <w:r w:rsidR="005A6B70">
          <w:rPr>
            <w:noProof/>
            <w:webHidden/>
          </w:rPr>
          <w:fldChar w:fldCharType="begin"/>
        </w:r>
        <w:r w:rsidR="005A6B70">
          <w:rPr>
            <w:noProof/>
            <w:webHidden/>
          </w:rPr>
          <w:instrText xml:space="preserve"> PAGEREF _Toc442177353 \h </w:instrText>
        </w:r>
        <w:r w:rsidR="005A6B70">
          <w:rPr>
            <w:noProof/>
            <w:webHidden/>
          </w:rPr>
        </w:r>
        <w:r w:rsidR="005A6B70">
          <w:rPr>
            <w:noProof/>
            <w:webHidden/>
          </w:rPr>
          <w:fldChar w:fldCharType="separate"/>
        </w:r>
        <w:r w:rsidR="005A6B70">
          <w:rPr>
            <w:noProof/>
            <w:webHidden/>
          </w:rPr>
          <w:t>26</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54" w:history="1">
        <w:r w:rsidR="005A6B70" w:rsidRPr="00F15215">
          <w:rPr>
            <w:rStyle w:val="Hyperlink"/>
            <w:noProof/>
          </w:rPr>
          <w:t>E.3</w:t>
        </w:r>
        <w:r w:rsidR="005A6B70">
          <w:rPr>
            <w:rFonts w:asciiTheme="minorHAnsi" w:eastAsiaTheme="minorEastAsia" w:hAnsiTheme="minorHAnsi" w:cstheme="minorBidi"/>
            <w:noProof/>
            <w:szCs w:val="22"/>
            <w:lang w:val="fr-LU" w:eastAsia="fr-LU" w:bidi="ar-SA"/>
          </w:rPr>
          <w:tab/>
        </w:r>
        <w:r w:rsidR="005A6B70" w:rsidRPr="00F15215">
          <w:rPr>
            <w:rStyle w:val="Hyperlink"/>
            <w:noProof/>
          </w:rPr>
          <w:t>Procedures</w:t>
        </w:r>
        <w:r w:rsidR="005A6B70">
          <w:rPr>
            <w:noProof/>
            <w:webHidden/>
          </w:rPr>
          <w:tab/>
        </w:r>
        <w:r w:rsidR="005A6B70">
          <w:rPr>
            <w:noProof/>
            <w:webHidden/>
          </w:rPr>
          <w:fldChar w:fldCharType="begin"/>
        </w:r>
        <w:r w:rsidR="005A6B70">
          <w:rPr>
            <w:noProof/>
            <w:webHidden/>
          </w:rPr>
          <w:instrText xml:space="preserve"> PAGEREF _Toc442177354 \h </w:instrText>
        </w:r>
        <w:r w:rsidR="005A6B70">
          <w:rPr>
            <w:noProof/>
            <w:webHidden/>
          </w:rPr>
        </w:r>
        <w:r w:rsidR="005A6B70">
          <w:rPr>
            <w:noProof/>
            <w:webHidden/>
          </w:rPr>
          <w:fldChar w:fldCharType="separate"/>
        </w:r>
        <w:r w:rsidR="005A6B70">
          <w:rPr>
            <w:noProof/>
            <w:webHidden/>
          </w:rPr>
          <w:t>26</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55" w:history="1">
        <w:r w:rsidR="005A6B70" w:rsidRPr="00F15215">
          <w:rPr>
            <w:rStyle w:val="Hyperlink"/>
            <w:noProof/>
          </w:rPr>
          <w:t>E.4</w:t>
        </w:r>
        <w:r w:rsidR="005A6B70">
          <w:rPr>
            <w:rFonts w:asciiTheme="minorHAnsi" w:eastAsiaTheme="minorEastAsia" w:hAnsiTheme="minorHAnsi" w:cstheme="minorBidi"/>
            <w:noProof/>
            <w:szCs w:val="22"/>
            <w:lang w:val="fr-LU" w:eastAsia="fr-LU" w:bidi="ar-SA"/>
          </w:rPr>
          <w:tab/>
        </w:r>
        <w:r w:rsidR="005A6B70" w:rsidRPr="00F15215">
          <w:rPr>
            <w:rStyle w:val="Hyperlink"/>
            <w:noProof/>
          </w:rPr>
          <w:t>Feedback</w:t>
        </w:r>
        <w:r w:rsidR="005A6B70">
          <w:rPr>
            <w:noProof/>
            <w:webHidden/>
          </w:rPr>
          <w:tab/>
        </w:r>
        <w:r w:rsidR="005A6B70">
          <w:rPr>
            <w:noProof/>
            <w:webHidden/>
          </w:rPr>
          <w:fldChar w:fldCharType="begin"/>
        </w:r>
        <w:r w:rsidR="005A6B70">
          <w:rPr>
            <w:noProof/>
            <w:webHidden/>
          </w:rPr>
          <w:instrText xml:space="preserve"> PAGEREF _Toc442177355 \h </w:instrText>
        </w:r>
        <w:r w:rsidR="005A6B70">
          <w:rPr>
            <w:noProof/>
            <w:webHidden/>
          </w:rPr>
        </w:r>
        <w:r w:rsidR="005A6B70">
          <w:rPr>
            <w:noProof/>
            <w:webHidden/>
          </w:rPr>
          <w:fldChar w:fldCharType="separate"/>
        </w:r>
        <w:r w:rsidR="005A6B70">
          <w:rPr>
            <w:noProof/>
            <w:webHidden/>
          </w:rPr>
          <w:t>26</w:t>
        </w:r>
        <w:r w:rsidR="005A6B70">
          <w:rPr>
            <w:noProof/>
            <w:webHidden/>
          </w:rPr>
          <w:fldChar w:fldCharType="end"/>
        </w:r>
      </w:hyperlink>
    </w:p>
    <w:p w:rsidR="005A6B70" w:rsidRDefault="007D3C4A">
      <w:pPr>
        <w:pStyle w:val="TOC1"/>
        <w:tabs>
          <w:tab w:val="right" w:leader="dot" w:pos="9403"/>
        </w:tabs>
        <w:rPr>
          <w:rFonts w:asciiTheme="minorHAnsi" w:eastAsiaTheme="minorEastAsia" w:hAnsiTheme="minorHAnsi" w:cstheme="minorBidi"/>
          <w:b w:val="0"/>
          <w:noProof/>
          <w:szCs w:val="22"/>
          <w:lang w:val="fr-LU" w:eastAsia="fr-LU" w:bidi="ar-SA"/>
        </w:rPr>
      </w:pPr>
      <w:hyperlink w:anchor="_Toc442177356" w:history="1">
        <w:r w:rsidR="005A6B70" w:rsidRPr="00F15215">
          <w:rPr>
            <w:rStyle w:val="Hyperlink"/>
            <w:noProof/>
          </w:rPr>
          <w:t>F.</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AMENDMENTS TO LEGISLATION AND REGULATIONS</w:t>
        </w:r>
        <w:r w:rsidR="005A6B70">
          <w:rPr>
            <w:noProof/>
            <w:webHidden/>
          </w:rPr>
          <w:tab/>
        </w:r>
        <w:r w:rsidR="005A6B70">
          <w:rPr>
            <w:noProof/>
            <w:webHidden/>
          </w:rPr>
          <w:fldChar w:fldCharType="begin"/>
        </w:r>
        <w:r w:rsidR="005A6B70">
          <w:rPr>
            <w:noProof/>
            <w:webHidden/>
          </w:rPr>
          <w:instrText xml:space="preserve"> PAGEREF _Toc442177356 \h </w:instrText>
        </w:r>
        <w:r w:rsidR="005A6B70">
          <w:rPr>
            <w:noProof/>
            <w:webHidden/>
          </w:rPr>
        </w:r>
        <w:r w:rsidR="005A6B70">
          <w:rPr>
            <w:noProof/>
            <w:webHidden/>
          </w:rPr>
          <w:fldChar w:fldCharType="separate"/>
        </w:r>
        <w:r w:rsidR="005A6B70">
          <w:rPr>
            <w:noProof/>
            <w:webHidden/>
          </w:rPr>
          <w:t>27</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57" w:history="1">
        <w:r w:rsidR="005A6B70" w:rsidRPr="00F15215">
          <w:rPr>
            <w:rStyle w:val="Hyperlink"/>
            <w:noProof/>
          </w:rPr>
          <w:t>F.1</w:t>
        </w:r>
        <w:r w:rsidR="005A6B70">
          <w:rPr>
            <w:rFonts w:asciiTheme="minorHAnsi" w:eastAsiaTheme="minorEastAsia" w:hAnsiTheme="minorHAnsi" w:cstheme="minorBidi"/>
            <w:noProof/>
            <w:szCs w:val="22"/>
            <w:lang w:val="fr-LU" w:eastAsia="fr-LU" w:bidi="ar-SA"/>
          </w:rPr>
          <w:tab/>
        </w:r>
        <w:r w:rsidR="005A6B70" w:rsidRPr="00F15215">
          <w:rPr>
            <w:rStyle w:val="Hyperlink"/>
            <w:noProof/>
          </w:rPr>
          <w:t>Railway Safety Directive</w:t>
        </w:r>
        <w:r w:rsidR="005A6B70">
          <w:rPr>
            <w:noProof/>
            <w:webHidden/>
          </w:rPr>
          <w:tab/>
        </w:r>
        <w:r w:rsidR="005A6B70">
          <w:rPr>
            <w:noProof/>
            <w:webHidden/>
          </w:rPr>
          <w:fldChar w:fldCharType="begin"/>
        </w:r>
        <w:r w:rsidR="005A6B70">
          <w:rPr>
            <w:noProof/>
            <w:webHidden/>
          </w:rPr>
          <w:instrText xml:space="preserve"> PAGEREF _Toc442177357 \h </w:instrText>
        </w:r>
        <w:r w:rsidR="005A6B70">
          <w:rPr>
            <w:noProof/>
            <w:webHidden/>
          </w:rPr>
        </w:r>
        <w:r w:rsidR="005A6B70">
          <w:rPr>
            <w:noProof/>
            <w:webHidden/>
          </w:rPr>
          <w:fldChar w:fldCharType="separate"/>
        </w:r>
        <w:r w:rsidR="005A6B70">
          <w:rPr>
            <w:noProof/>
            <w:webHidden/>
          </w:rPr>
          <w:t>27</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58" w:history="1">
        <w:r w:rsidR="005A6B70" w:rsidRPr="00F15215">
          <w:rPr>
            <w:rStyle w:val="Hyperlink"/>
            <w:noProof/>
          </w:rPr>
          <w:t>F.2</w:t>
        </w:r>
        <w:r w:rsidR="005A6B70">
          <w:rPr>
            <w:rFonts w:asciiTheme="minorHAnsi" w:eastAsiaTheme="minorEastAsia" w:hAnsiTheme="minorHAnsi" w:cstheme="minorBidi"/>
            <w:noProof/>
            <w:szCs w:val="22"/>
            <w:lang w:val="fr-LU" w:eastAsia="fr-LU" w:bidi="ar-SA"/>
          </w:rPr>
          <w:tab/>
        </w:r>
        <w:r w:rsidR="005A6B70" w:rsidRPr="00F15215">
          <w:rPr>
            <w:rStyle w:val="Hyperlink"/>
            <w:noProof/>
          </w:rPr>
          <w:t>Amendments to Portuguese law and to Technical Safety Regulations</w:t>
        </w:r>
        <w:r w:rsidR="005A6B70">
          <w:rPr>
            <w:noProof/>
            <w:webHidden/>
          </w:rPr>
          <w:tab/>
        </w:r>
        <w:r w:rsidR="005A6B70">
          <w:rPr>
            <w:noProof/>
            <w:webHidden/>
          </w:rPr>
          <w:fldChar w:fldCharType="begin"/>
        </w:r>
        <w:r w:rsidR="005A6B70">
          <w:rPr>
            <w:noProof/>
            <w:webHidden/>
          </w:rPr>
          <w:instrText xml:space="preserve"> PAGEREF _Toc442177358 \h </w:instrText>
        </w:r>
        <w:r w:rsidR="005A6B70">
          <w:rPr>
            <w:noProof/>
            <w:webHidden/>
          </w:rPr>
        </w:r>
        <w:r w:rsidR="005A6B70">
          <w:rPr>
            <w:noProof/>
            <w:webHidden/>
          </w:rPr>
          <w:fldChar w:fldCharType="separate"/>
        </w:r>
        <w:r w:rsidR="005A6B70">
          <w:rPr>
            <w:noProof/>
            <w:webHidden/>
          </w:rPr>
          <w:t>27</w:t>
        </w:r>
        <w:r w:rsidR="005A6B70">
          <w:rPr>
            <w:noProof/>
            <w:webHidden/>
          </w:rPr>
          <w:fldChar w:fldCharType="end"/>
        </w:r>
      </w:hyperlink>
    </w:p>
    <w:p w:rsidR="005A6B70" w:rsidRDefault="007D3C4A">
      <w:pPr>
        <w:pStyle w:val="TOC1"/>
        <w:tabs>
          <w:tab w:val="right" w:leader="dot" w:pos="9403"/>
        </w:tabs>
        <w:rPr>
          <w:rFonts w:asciiTheme="minorHAnsi" w:eastAsiaTheme="minorEastAsia" w:hAnsiTheme="minorHAnsi" w:cstheme="minorBidi"/>
          <w:b w:val="0"/>
          <w:noProof/>
          <w:szCs w:val="22"/>
          <w:lang w:val="fr-LU" w:eastAsia="fr-LU" w:bidi="ar-SA"/>
        </w:rPr>
      </w:pPr>
      <w:hyperlink w:anchor="_Toc442177359" w:history="1">
        <w:r w:rsidR="005A6B70" w:rsidRPr="00F15215">
          <w:rPr>
            <w:rStyle w:val="Hyperlink"/>
            <w:noProof/>
          </w:rPr>
          <w:t>G.</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APPLICATION OF THE COMMON SAFETY METHOD FOR RISK EVALUATION AND ASSESSMENT</w:t>
        </w:r>
        <w:r w:rsidR="005A6B70">
          <w:rPr>
            <w:noProof/>
            <w:webHidden/>
          </w:rPr>
          <w:tab/>
        </w:r>
        <w:r w:rsidR="005A6B70">
          <w:rPr>
            <w:noProof/>
            <w:webHidden/>
          </w:rPr>
          <w:fldChar w:fldCharType="begin"/>
        </w:r>
        <w:r w:rsidR="005A6B70">
          <w:rPr>
            <w:noProof/>
            <w:webHidden/>
          </w:rPr>
          <w:instrText xml:space="preserve"> PAGEREF _Toc442177359 \h </w:instrText>
        </w:r>
        <w:r w:rsidR="005A6B70">
          <w:rPr>
            <w:noProof/>
            <w:webHidden/>
          </w:rPr>
        </w:r>
        <w:r w:rsidR="005A6B70">
          <w:rPr>
            <w:noProof/>
            <w:webHidden/>
          </w:rPr>
          <w:fldChar w:fldCharType="separate"/>
        </w:r>
        <w:r w:rsidR="005A6B70">
          <w:rPr>
            <w:noProof/>
            <w:webHidden/>
          </w:rPr>
          <w:t>28</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60" w:history="1">
        <w:r w:rsidR="005A6B70" w:rsidRPr="00F15215">
          <w:rPr>
            <w:rStyle w:val="Hyperlink"/>
            <w:noProof/>
          </w:rPr>
          <w:t>G.1</w:t>
        </w:r>
        <w:r w:rsidR="005A6B70">
          <w:rPr>
            <w:rFonts w:asciiTheme="minorHAnsi" w:eastAsiaTheme="minorEastAsia" w:hAnsiTheme="minorHAnsi" w:cstheme="minorBidi"/>
            <w:noProof/>
            <w:szCs w:val="22"/>
            <w:lang w:val="fr-LU" w:eastAsia="fr-LU" w:bidi="ar-SA"/>
          </w:rPr>
          <w:tab/>
        </w:r>
        <w:r w:rsidR="005A6B70" w:rsidRPr="00F15215">
          <w:rPr>
            <w:rStyle w:val="Hyperlink"/>
            <w:noProof/>
          </w:rPr>
          <w:t>Experience of the Regulator</w:t>
        </w:r>
        <w:r w:rsidR="005A6B70">
          <w:rPr>
            <w:noProof/>
            <w:webHidden/>
          </w:rPr>
          <w:tab/>
        </w:r>
        <w:r w:rsidR="005A6B70">
          <w:rPr>
            <w:noProof/>
            <w:webHidden/>
          </w:rPr>
          <w:fldChar w:fldCharType="begin"/>
        </w:r>
        <w:r w:rsidR="005A6B70">
          <w:rPr>
            <w:noProof/>
            <w:webHidden/>
          </w:rPr>
          <w:instrText xml:space="preserve"> PAGEREF _Toc442177360 \h </w:instrText>
        </w:r>
        <w:r w:rsidR="005A6B70">
          <w:rPr>
            <w:noProof/>
            <w:webHidden/>
          </w:rPr>
        </w:r>
        <w:r w:rsidR="005A6B70">
          <w:rPr>
            <w:noProof/>
            <w:webHidden/>
          </w:rPr>
          <w:fldChar w:fldCharType="separate"/>
        </w:r>
        <w:r w:rsidR="005A6B70">
          <w:rPr>
            <w:noProof/>
            <w:webHidden/>
          </w:rPr>
          <w:t>28</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61" w:history="1">
        <w:r w:rsidR="005A6B70" w:rsidRPr="00F15215">
          <w:rPr>
            <w:rStyle w:val="Hyperlink"/>
            <w:noProof/>
          </w:rPr>
          <w:t>G.2</w:t>
        </w:r>
        <w:r w:rsidR="005A6B70">
          <w:rPr>
            <w:rFonts w:asciiTheme="minorHAnsi" w:eastAsiaTheme="minorEastAsia" w:hAnsiTheme="minorHAnsi" w:cstheme="minorBidi"/>
            <w:noProof/>
            <w:szCs w:val="22"/>
            <w:lang w:val="fr-LU" w:eastAsia="fr-LU" w:bidi="ar-SA"/>
          </w:rPr>
          <w:tab/>
        </w:r>
        <w:r w:rsidR="005A6B70" w:rsidRPr="00F15215">
          <w:rPr>
            <w:rStyle w:val="Hyperlink"/>
            <w:noProof/>
          </w:rPr>
          <w:t>Stakeholder Feedback</w:t>
        </w:r>
        <w:r w:rsidR="005A6B70">
          <w:rPr>
            <w:noProof/>
            <w:webHidden/>
          </w:rPr>
          <w:tab/>
        </w:r>
        <w:r w:rsidR="005A6B70">
          <w:rPr>
            <w:noProof/>
            <w:webHidden/>
          </w:rPr>
          <w:fldChar w:fldCharType="begin"/>
        </w:r>
        <w:r w:rsidR="005A6B70">
          <w:rPr>
            <w:noProof/>
            <w:webHidden/>
          </w:rPr>
          <w:instrText xml:space="preserve"> PAGEREF _Toc442177361 \h </w:instrText>
        </w:r>
        <w:r w:rsidR="005A6B70">
          <w:rPr>
            <w:noProof/>
            <w:webHidden/>
          </w:rPr>
        </w:r>
        <w:r w:rsidR="005A6B70">
          <w:rPr>
            <w:noProof/>
            <w:webHidden/>
          </w:rPr>
          <w:fldChar w:fldCharType="separate"/>
        </w:r>
        <w:r w:rsidR="005A6B70">
          <w:rPr>
            <w:noProof/>
            <w:webHidden/>
          </w:rPr>
          <w:t>28</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62" w:history="1">
        <w:r w:rsidR="005A6B70" w:rsidRPr="00F15215">
          <w:rPr>
            <w:rStyle w:val="Hyperlink"/>
            <w:noProof/>
          </w:rPr>
          <w:t>G.3</w:t>
        </w:r>
        <w:r w:rsidR="005A6B70">
          <w:rPr>
            <w:rFonts w:asciiTheme="minorHAnsi" w:eastAsiaTheme="minorEastAsia" w:hAnsiTheme="minorHAnsi" w:cstheme="minorBidi"/>
            <w:noProof/>
            <w:szCs w:val="22"/>
            <w:lang w:val="fr-LU" w:eastAsia="fr-LU" w:bidi="ar-SA"/>
          </w:rPr>
          <w:tab/>
        </w:r>
        <w:r w:rsidR="005A6B70" w:rsidRPr="00F15215">
          <w:rPr>
            <w:rStyle w:val="Hyperlink"/>
            <w:noProof/>
          </w:rPr>
          <w:t>Revision of National Safety Rules in view of Community regulations on Common Safety Methods for Risk Evaluation and Assessment</w:t>
        </w:r>
        <w:r w:rsidR="005A6B70">
          <w:rPr>
            <w:noProof/>
            <w:webHidden/>
          </w:rPr>
          <w:tab/>
        </w:r>
        <w:r w:rsidR="005A6B70">
          <w:rPr>
            <w:noProof/>
            <w:webHidden/>
          </w:rPr>
          <w:fldChar w:fldCharType="begin"/>
        </w:r>
        <w:r w:rsidR="005A6B70">
          <w:rPr>
            <w:noProof/>
            <w:webHidden/>
          </w:rPr>
          <w:instrText xml:space="preserve"> PAGEREF _Toc442177362 \h </w:instrText>
        </w:r>
        <w:r w:rsidR="005A6B70">
          <w:rPr>
            <w:noProof/>
            <w:webHidden/>
          </w:rPr>
        </w:r>
        <w:r w:rsidR="005A6B70">
          <w:rPr>
            <w:noProof/>
            <w:webHidden/>
          </w:rPr>
          <w:fldChar w:fldCharType="separate"/>
        </w:r>
        <w:r w:rsidR="005A6B70">
          <w:rPr>
            <w:noProof/>
            <w:webHidden/>
          </w:rPr>
          <w:t>29</w:t>
        </w:r>
        <w:r w:rsidR="005A6B70">
          <w:rPr>
            <w:noProof/>
            <w:webHidden/>
          </w:rPr>
          <w:fldChar w:fldCharType="end"/>
        </w:r>
      </w:hyperlink>
    </w:p>
    <w:p w:rsidR="005A6B70" w:rsidRDefault="007D3C4A">
      <w:pPr>
        <w:pStyle w:val="TOC1"/>
        <w:tabs>
          <w:tab w:val="right" w:leader="dot" w:pos="9403"/>
        </w:tabs>
        <w:rPr>
          <w:rFonts w:asciiTheme="minorHAnsi" w:eastAsiaTheme="minorEastAsia" w:hAnsiTheme="minorHAnsi" w:cstheme="minorBidi"/>
          <w:b w:val="0"/>
          <w:noProof/>
          <w:szCs w:val="22"/>
          <w:lang w:val="fr-LU" w:eastAsia="fr-LU" w:bidi="ar-SA"/>
        </w:rPr>
      </w:pPr>
      <w:hyperlink w:anchor="_Toc442177363" w:history="1">
        <w:r w:rsidR="005A6B70" w:rsidRPr="00F15215">
          <w:rPr>
            <w:rStyle w:val="Hyperlink"/>
            <w:noProof/>
          </w:rPr>
          <w:t>H.</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CERTIFICATION EXEMPTIONS FOR ENTITIES RESPONSIBLE FOR MAINTENANCE</w:t>
        </w:r>
        <w:r w:rsidR="005A6B70">
          <w:rPr>
            <w:noProof/>
            <w:webHidden/>
          </w:rPr>
          <w:tab/>
        </w:r>
        <w:r w:rsidR="005A6B70">
          <w:rPr>
            <w:noProof/>
            <w:webHidden/>
          </w:rPr>
          <w:fldChar w:fldCharType="begin"/>
        </w:r>
        <w:r w:rsidR="005A6B70">
          <w:rPr>
            <w:noProof/>
            <w:webHidden/>
          </w:rPr>
          <w:instrText xml:space="preserve"> PAGEREF _Toc442177363 \h </w:instrText>
        </w:r>
        <w:r w:rsidR="005A6B70">
          <w:rPr>
            <w:noProof/>
            <w:webHidden/>
          </w:rPr>
        </w:r>
        <w:r w:rsidR="005A6B70">
          <w:rPr>
            <w:noProof/>
            <w:webHidden/>
          </w:rPr>
          <w:fldChar w:fldCharType="separate"/>
        </w:r>
        <w:r w:rsidR="005A6B70">
          <w:rPr>
            <w:noProof/>
            <w:webHidden/>
          </w:rPr>
          <w:t>30</w:t>
        </w:r>
        <w:r w:rsidR="005A6B70">
          <w:rPr>
            <w:noProof/>
            <w:webHidden/>
          </w:rPr>
          <w:fldChar w:fldCharType="end"/>
        </w:r>
      </w:hyperlink>
    </w:p>
    <w:p w:rsidR="005A6B70" w:rsidRDefault="007D3C4A">
      <w:pPr>
        <w:pStyle w:val="TOC1"/>
        <w:tabs>
          <w:tab w:val="right" w:leader="dot" w:pos="9403"/>
        </w:tabs>
        <w:rPr>
          <w:rFonts w:asciiTheme="minorHAnsi" w:eastAsiaTheme="minorEastAsia" w:hAnsiTheme="minorHAnsi" w:cstheme="minorBidi"/>
          <w:b w:val="0"/>
          <w:noProof/>
          <w:szCs w:val="22"/>
          <w:lang w:val="fr-LU" w:eastAsia="fr-LU" w:bidi="ar-SA"/>
        </w:rPr>
      </w:pPr>
      <w:hyperlink w:anchor="_Toc442177364" w:history="1">
        <w:r w:rsidR="005A6B70" w:rsidRPr="00F15215">
          <w:rPr>
            <w:rStyle w:val="Hyperlink"/>
            <w:noProof/>
          </w:rPr>
          <w:t>I.</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BIBLIOGRAPHY</w:t>
        </w:r>
        <w:r w:rsidR="005A6B70">
          <w:rPr>
            <w:noProof/>
            <w:webHidden/>
          </w:rPr>
          <w:tab/>
        </w:r>
        <w:r w:rsidR="005A6B70">
          <w:rPr>
            <w:noProof/>
            <w:webHidden/>
          </w:rPr>
          <w:fldChar w:fldCharType="begin"/>
        </w:r>
        <w:r w:rsidR="005A6B70">
          <w:rPr>
            <w:noProof/>
            <w:webHidden/>
          </w:rPr>
          <w:instrText xml:space="preserve"> PAGEREF _Toc442177364 \h </w:instrText>
        </w:r>
        <w:r w:rsidR="005A6B70">
          <w:rPr>
            <w:noProof/>
            <w:webHidden/>
          </w:rPr>
        </w:r>
        <w:r w:rsidR="005A6B70">
          <w:rPr>
            <w:noProof/>
            <w:webHidden/>
          </w:rPr>
          <w:fldChar w:fldCharType="separate"/>
        </w:r>
        <w:r w:rsidR="005A6B70">
          <w:rPr>
            <w:noProof/>
            <w:webHidden/>
          </w:rPr>
          <w:t>31</w:t>
        </w:r>
        <w:r w:rsidR="005A6B70">
          <w:rPr>
            <w:noProof/>
            <w:webHidden/>
          </w:rPr>
          <w:fldChar w:fldCharType="end"/>
        </w:r>
      </w:hyperlink>
    </w:p>
    <w:p w:rsidR="005A6B70" w:rsidRDefault="007D3C4A">
      <w:pPr>
        <w:pStyle w:val="TOC1"/>
        <w:tabs>
          <w:tab w:val="left" w:pos="1320"/>
          <w:tab w:val="right" w:leader="dot" w:pos="9403"/>
        </w:tabs>
        <w:rPr>
          <w:rFonts w:asciiTheme="minorHAnsi" w:eastAsiaTheme="minorEastAsia" w:hAnsiTheme="minorHAnsi" w:cstheme="minorBidi"/>
          <w:b w:val="0"/>
          <w:noProof/>
          <w:szCs w:val="22"/>
          <w:lang w:val="fr-LU" w:eastAsia="fr-LU" w:bidi="ar-SA"/>
        </w:rPr>
      </w:pPr>
      <w:hyperlink w:anchor="_Toc442177365" w:history="1">
        <w:r w:rsidR="005A6B70" w:rsidRPr="00F15215">
          <w:rPr>
            <w:rStyle w:val="Hyperlink"/>
            <w:noProof/>
          </w:rPr>
          <w:t>ANNEX A.</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STRUCTURE OF THE RAIL SYSTEM</w:t>
        </w:r>
        <w:r w:rsidR="005A6B70">
          <w:rPr>
            <w:noProof/>
            <w:webHidden/>
          </w:rPr>
          <w:tab/>
        </w:r>
        <w:r w:rsidR="005A6B70">
          <w:rPr>
            <w:noProof/>
            <w:webHidden/>
          </w:rPr>
          <w:fldChar w:fldCharType="begin"/>
        </w:r>
        <w:r w:rsidR="005A6B70">
          <w:rPr>
            <w:noProof/>
            <w:webHidden/>
          </w:rPr>
          <w:instrText xml:space="preserve"> PAGEREF _Toc442177365 \h </w:instrText>
        </w:r>
        <w:r w:rsidR="005A6B70">
          <w:rPr>
            <w:noProof/>
            <w:webHidden/>
          </w:rPr>
        </w:r>
        <w:r w:rsidR="005A6B70">
          <w:rPr>
            <w:noProof/>
            <w:webHidden/>
          </w:rPr>
          <w:fldChar w:fldCharType="separate"/>
        </w:r>
        <w:r w:rsidR="005A6B70">
          <w:rPr>
            <w:noProof/>
            <w:webHidden/>
          </w:rPr>
          <w:t>32</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66" w:history="1">
        <w:r w:rsidR="005A6B70" w:rsidRPr="00F15215">
          <w:rPr>
            <w:rStyle w:val="Hyperlink"/>
            <w:noProof/>
          </w:rPr>
          <w:t>A.1.</w:t>
        </w:r>
        <w:r w:rsidR="005A6B70">
          <w:rPr>
            <w:rFonts w:asciiTheme="minorHAnsi" w:eastAsiaTheme="minorEastAsia" w:hAnsiTheme="minorHAnsi" w:cstheme="minorBidi"/>
            <w:noProof/>
            <w:szCs w:val="22"/>
            <w:lang w:val="fr-LU" w:eastAsia="fr-LU" w:bidi="ar-SA"/>
          </w:rPr>
          <w:tab/>
        </w:r>
        <w:r w:rsidR="005A6B70" w:rsidRPr="00F15215">
          <w:rPr>
            <w:rStyle w:val="Hyperlink"/>
            <w:noProof/>
          </w:rPr>
          <w:t>Map of the National Rail Network</w:t>
        </w:r>
        <w:r w:rsidR="005A6B70">
          <w:rPr>
            <w:noProof/>
            <w:webHidden/>
          </w:rPr>
          <w:tab/>
        </w:r>
        <w:r w:rsidR="005A6B70">
          <w:rPr>
            <w:noProof/>
            <w:webHidden/>
          </w:rPr>
          <w:fldChar w:fldCharType="begin"/>
        </w:r>
        <w:r w:rsidR="005A6B70">
          <w:rPr>
            <w:noProof/>
            <w:webHidden/>
          </w:rPr>
          <w:instrText xml:space="preserve"> PAGEREF _Toc442177366 \h </w:instrText>
        </w:r>
        <w:r w:rsidR="005A6B70">
          <w:rPr>
            <w:noProof/>
            <w:webHidden/>
          </w:rPr>
        </w:r>
        <w:r w:rsidR="005A6B70">
          <w:rPr>
            <w:noProof/>
            <w:webHidden/>
          </w:rPr>
          <w:fldChar w:fldCharType="separate"/>
        </w:r>
        <w:r w:rsidR="005A6B70">
          <w:rPr>
            <w:noProof/>
            <w:webHidden/>
          </w:rPr>
          <w:t>32</w:t>
        </w:r>
        <w:r w:rsidR="005A6B70">
          <w:rPr>
            <w:noProof/>
            <w:webHidden/>
          </w:rPr>
          <w:fldChar w:fldCharType="end"/>
        </w:r>
      </w:hyperlink>
    </w:p>
    <w:p w:rsidR="005A6B70" w:rsidRDefault="007D3C4A">
      <w:pPr>
        <w:pStyle w:val="TOC3"/>
        <w:rPr>
          <w:rFonts w:asciiTheme="minorHAnsi" w:eastAsiaTheme="minorEastAsia" w:hAnsiTheme="minorHAnsi" w:cstheme="minorBidi"/>
          <w:noProof/>
          <w:szCs w:val="22"/>
          <w:lang w:val="fr-LU" w:eastAsia="fr-LU" w:bidi="ar-SA"/>
        </w:rPr>
      </w:pPr>
      <w:hyperlink w:anchor="_Toc442177367" w:history="1">
        <w:r w:rsidR="005A6B70" w:rsidRPr="00F15215">
          <w:rPr>
            <w:rStyle w:val="Hyperlink"/>
            <w:noProof/>
          </w:rPr>
          <w:t>A.1.1.</w:t>
        </w:r>
        <w:r w:rsidR="005A6B70">
          <w:rPr>
            <w:rFonts w:asciiTheme="minorHAnsi" w:eastAsiaTheme="minorEastAsia" w:hAnsiTheme="minorHAnsi" w:cstheme="minorBidi"/>
            <w:noProof/>
            <w:szCs w:val="22"/>
            <w:lang w:val="fr-LU" w:eastAsia="fr-LU" w:bidi="ar-SA"/>
          </w:rPr>
          <w:tab/>
        </w:r>
        <w:r w:rsidR="005A6B70" w:rsidRPr="00F15215">
          <w:rPr>
            <w:rStyle w:val="Hyperlink"/>
            <w:noProof/>
          </w:rPr>
          <w:t>Map of Automatic Speed Control Systems</w:t>
        </w:r>
        <w:r w:rsidR="005A6B70">
          <w:rPr>
            <w:noProof/>
            <w:webHidden/>
          </w:rPr>
          <w:tab/>
        </w:r>
        <w:r w:rsidR="005A6B70">
          <w:rPr>
            <w:noProof/>
            <w:webHidden/>
          </w:rPr>
          <w:fldChar w:fldCharType="begin"/>
        </w:r>
        <w:r w:rsidR="005A6B70">
          <w:rPr>
            <w:noProof/>
            <w:webHidden/>
          </w:rPr>
          <w:instrText xml:space="preserve"> PAGEREF _Toc442177367 \h </w:instrText>
        </w:r>
        <w:r w:rsidR="005A6B70">
          <w:rPr>
            <w:noProof/>
            <w:webHidden/>
          </w:rPr>
        </w:r>
        <w:r w:rsidR="005A6B70">
          <w:rPr>
            <w:noProof/>
            <w:webHidden/>
          </w:rPr>
          <w:fldChar w:fldCharType="separate"/>
        </w:r>
        <w:r w:rsidR="005A6B70">
          <w:rPr>
            <w:noProof/>
            <w:webHidden/>
          </w:rPr>
          <w:t>33</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68" w:history="1">
        <w:r w:rsidR="005A6B70" w:rsidRPr="00F15215">
          <w:rPr>
            <w:rStyle w:val="Hyperlink"/>
            <w:noProof/>
          </w:rPr>
          <w:t>A.2.</w:t>
        </w:r>
        <w:r w:rsidR="005A6B70">
          <w:rPr>
            <w:rFonts w:asciiTheme="minorHAnsi" w:eastAsiaTheme="minorEastAsia" w:hAnsiTheme="minorHAnsi" w:cstheme="minorBidi"/>
            <w:noProof/>
            <w:szCs w:val="22"/>
            <w:lang w:val="fr-LU" w:eastAsia="fr-LU" w:bidi="ar-SA"/>
          </w:rPr>
          <w:tab/>
        </w:r>
        <w:r w:rsidR="005A6B70" w:rsidRPr="00F15215">
          <w:rPr>
            <w:rStyle w:val="Hyperlink"/>
            <w:noProof/>
          </w:rPr>
          <w:t>List of infrastructure management and rail transport companies</w:t>
        </w:r>
        <w:r w:rsidR="005A6B70">
          <w:rPr>
            <w:noProof/>
            <w:webHidden/>
          </w:rPr>
          <w:tab/>
        </w:r>
        <w:r w:rsidR="005A6B70">
          <w:rPr>
            <w:noProof/>
            <w:webHidden/>
          </w:rPr>
          <w:fldChar w:fldCharType="begin"/>
        </w:r>
        <w:r w:rsidR="005A6B70">
          <w:rPr>
            <w:noProof/>
            <w:webHidden/>
          </w:rPr>
          <w:instrText xml:space="preserve"> PAGEREF _Toc442177368 \h </w:instrText>
        </w:r>
        <w:r w:rsidR="005A6B70">
          <w:rPr>
            <w:noProof/>
            <w:webHidden/>
          </w:rPr>
        </w:r>
        <w:r w:rsidR="005A6B70">
          <w:rPr>
            <w:noProof/>
            <w:webHidden/>
          </w:rPr>
          <w:fldChar w:fldCharType="separate"/>
        </w:r>
        <w:r w:rsidR="005A6B70">
          <w:rPr>
            <w:noProof/>
            <w:webHidden/>
          </w:rPr>
          <w:t>34</w:t>
        </w:r>
        <w:r w:rsidR="005A6B70">
          <w:rPr>
            <w:noProof/>
            <w:webHidden/>
          </w:rPr>
          <w:fldChar w:fldCharType="end"/>
        </w:r>
      </w:hyperlink>
    </w:p>
    <w:p w:rsidR="005A6B70" w:rsidRDefault="007D3C4A">
      <w:pPr>
        <w:pStyle w:val="TOC3"/>
        <w:rPr>
          <w:rFonts w:asciiTheme="minorHAnsi" w:eastAsiaTheme="minorEastAsia" w:hAnsiTheme="minorHAnsi" w:cstheme="minorBidi"/>
          <w:noProof/>
          <w:szCs w:val="22"/>
          <w:lang w:val="fr-LU" w:eastAsia="fr-LU" w:bidi="ar-SA"/>
        </w:rPr>
      </w:pPr>
      <w:hyperlink w:anchor="_Toc442177369" w:history="1">
        <w:r w:rsidR="005A6B70" w:rsidRPr="00F15215">
          <w:rPr>
            <w:rStyle w:val="Hyperlink"/>
            <w:noProof/>
          </w:rPr>
          <w:t>A.2.1.</w:t>
        </w:r>
        <w:r w:rsidR="005A6B70">
          <w:rPr>
            <w:rFonts w:asciiTheme="minorHAnsi" w:eastAsiaTheme="minorEastAsia" w:hAnsiTheme="minorHAnsi" w:cstheme="minorBidi"/>
            <w:noProof/>
            <w:szCs w:val="22"/>
            <w:lang w:val="fr-LU" w:eastAsia="fr-LU" w:bidi="ar-SA"/>
          </w:rPr>
          <w:tab/>
        </w:r>
        <w:r w:rsidR="005A6B70" w:rsidRPr="00F15215">
          <w:rPr>
            <w:rStyle w:val="Hyperlink"/>
            <w:noProof/>
          </w:rPr>
          <w:t>Infrastructure manager</w:t>
        </w:r>
        <w:r w:rsidR="005A6B70">
          <w:rPr>
            <w:noProof/>
            <w:webHidden/>
          </w:rPr>
          <w:tab/>
        </w:r>
        <w:r w:rsidR="005A6B70">
          <w:rPr>
            <w:noProof/>
            <w:webHidden/>
          </w:rPr>
          <w:fldChar w:fldCharType="begin"/>
        </w:r>
        <w:r w:rsidR="005A6B70">
          <w:rPr>
            <w:noProof/>
            <w:webHidden/>
          </w:rPr>
          <w:instrText xml:space="preserve"> PAGEREF _Toc442177369 \h </w:instrText>
        </w:r>
        <w:r w:rsidR="005A6B70">
          <w:rPr>
            <w:noProof/>
            <w:webHidden/>
          </w:rPr>
        </w:r>
        <w:r w:rsidR="005A6B70">
          <w:rPr>
            <w:noProof/>
            <w:webHidden/>
          </w:rPr>
          <w:fldChar w:fldCharType="separate"/>
        </w:r>
        <w:r w:rsidR="005A6B70">
          <w:rPr>
            <w:noProof/>
            <w:webHidden/>
          </w:rPr>
          <w:t>34</w:t>
        </w:r>
        <w:r w:rsidR="005A6B70">
          <w:rPr>
            <w:noProof/>
            <w:webHidden/>
          </w:rPr>
          <w:fldChar w:fldCharType="end"/>
        </w:r>
      </w:hyperlink>
    </w:p>
    <w:p w:rsidR="005A6B70" w:rsidRDefault="007D3C4A">
      <w:pPr>
        <w:pStyle w:val="TOC3"/>
        <w:rPr>
          <w:rFonts w:asciiTheme="minorHAnsi" w:eastAsiaTheme="minorEastAsia" w:hAnsiTheme="minorHAnsi" w:cstheme="minorBidi"/>
          <w:noProof/>
          <w:szCs w:val="22"/>
          <w:lang w:val="fr-LU" w:eastAsia="fr-LU" w:bidi="ar-SA"/>
        </w:rPr>
      </w:pPr>
      <w:hyperlink w:anchor="_Toc442177370" w:history="1">
        <w:r w:rsidR="005A6B70" w:rsidRPr="00F15215">
          <w:rPr>
            <w:rStyle w:val="Hyperlink"/>
            <w:noProof/>
          </w:rPr>
          <w:t>A.2.2.</w:t>
        </w:r>
        <w:r w:rsidR="005A6B70">
          <w:rPr>
            <w:rFonts w:asciiTheme="minorHAnsi" w:eastAsiaTheme="minorEastAsia" w:hAnsiTheme="minorHAnsi" w:cstheme="minorBidi"/>
            <w:noProof/>
            <w:szCs w:val="22"/>
            <w:lang w:val="fr-LU" w:eastAsia="fr-LU" w:bidi="ar-SA"/>
          </w:rPr>
          <w:tab/>
        </w:r>
        <w:r w:rsidR="005A6B70" w:rsidRPr="00F15215">
          <w:rPr>
            <w:rStyle w:val="Hyperlink"/>
            <w:noProof/>
          </w:rPr>
          <w:t>Rail transport companies</w:t>
        </w:r>
        <w:r w:rsidR="005A6B70">
          <w:rPr>
            <w:noProof/>
            <w:webHidden/>
          </w:rPr>
          <w:tab/>
        </w:r>
        <w:r w:rsidR="005A6B70">
          <w:rPr>
            <w:noProof/>
            <w:webHidden/>
          </w:rPr>
          <w:fldChar w:fldCharType="begin"/>
        </w:r>
        <w:r w:rsidR="005A6B70">
          <w:rPr>
            <w:noProof/>
            <w:webHidden/>
          </w:rPr>
          <w:instrText xml:space="preserve"> PAGEREF _Toc442177370 \h </w:instrText>
        </w:r>
        <w:r w:rsidR="005A6B70">
          <w:rPr>
            <w:noProof/>
            <w:webHidden/>
          </w:rPr>
        </w:r>
        <w:r w:rsidR="005A6B70">
          <w:rPr>
            <w:noProof/>
            <w:webHidden/>
          </w:rPr>
          <w:fldChar w:fldCharType="separate"/>
        </w:r>
        <w:r w:rsidR="005A6B70">
          <w:rPr>
            <w:noProof/>
            <w:webHidden/>
          </w:rPr>
          <w:t>35</w:t>
        </w:r>
        <w:r w:rsidR="005A6B70">
          <w:rPr>
            <w:noProof/>
            <w:webHidden/>
          </w:rPr>
          <w:fldChar w:fldCharType="end"/>
        </w:r>
      </w:hyperlink>
    </w:p>
    <w:p w:rsidR="005A6B70" w:rsidRDefault="007D3C4A">
      <w:pPr>
        <w:pStyle w:val="TOC1"/>
        <w:tabs>
          <w:tab w:val="left" w:pos="1320"/>
          <w:tab w:val="right" w:leader="dot" w:pos="9403"/>
        </w:tabs>
        <w:rPr>
          <w:rFonts w:asciiTheme="minorHAnsi" w:eastAsiaTheme="minorEastAsia" w:hAnsiTheme="minorHAnsi" w:cstheme="minorBidi"/>
          <w:b w:val="0"/>
          <w:noProof/>
          <w:szCs w:val="22"/>
          <w:lang w:val="fr-LU" w:eastAsia="fr-LU" w:bidi="ar-SA"/>
        </w:rPr>
      </w:pPr>
      <w:hyperlink w:anchor="_Toc442177371" w:history="1">
        <w:r w:rsidR="005A6B70" w:rsidRPr="00F15215">
          <w:rPr>
            <w:rStyle w:val="Hyperlink"/>
            <w:noProof/>
          </w:rPr>
          <w:t>ANNEX B.</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ORGANISATION OF THE IMT, I.P.</w:t>
        </w:r>
        <w:r w:rsidR="005A6B70">
          <w:rPr>
            <w:noProof/>
            <w:webHidden/>
          </w:rPr>
          <w:tab/>
        </w:r>
        <w:r w:rsidR="005A6B70">
          <w:rPr>
            <w:noProof/>
            <w:webHidden/>
          </w:rPr>
          <w:fldChar w:fldCharType="begin"/>
        </w:r>
        <w:r w:rsidR="005A6B70">
          <w:rPr>
            <w:noProof/>
            <w:webHidden/>
          </w:rPr>
          <w:instrText xml:space="preserve"> PAGEREF _Toc442177371 \h </w:instrText>
        </w:r>
        <w:r w:rsidR="005A6B70">
          <w:rPr>
            <w:noProof/>
            <w:webHidden/>
          </w:rPr>
        </w:r>
        <w:r w:rsidR="005A6B70">
          <w:rPr>
            <w:noProof/>
            <w:webHidden/>
          </w:rPr>
          <w:fldChar w:fldCharType="separate"/>
        </w:r>
        <w:r w:rsidR="005A6B70">
          <w:rPr>
            <w:noProof/>
            <w:webHidden/>
          </w:rPr>
          <w:t>39</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72" w:history="1">
        <w:r w:rsidR="005A6B70" w:rsidRPr="00F15215">
          <w:rPr>
            <w:rStyle w:val="Hyperlink"/>
            <w:noProof/>
            <w:lang w:val="fr-LU"/>
          </w:rPr>
          <w:t>B.1.</w:t>
        </w:r>
        <w:r w:rsidR="005A6B70">
          <w:rPr>
            <w:rFonts w:asciiTheme="minorHAnsi" w:eastAsiaTheme="minorEastAsia" w:hAnsiTheme="minorHAnsi" w:cstheme="minorBidi"/>
            <w:noProof/>
            <w:szCs w:val="22"/>
            <w:lang w:val="fr-LU" w:eastAsia="fr-LU" w:bidi="ar-SA"/>
          </w:rPr>
          <w:tab/>
        </w:r>
        <w:r w:rsidR="005A6B70" w:rsidRPr="00F15215">
          <w:rPr>
            <w:rStyle w:val="Hyperlink"/>
            <w:noProof/>
            <w:lang w:val="fr-LU"/>
          </w:rPr>
          <w:t>Organisational Chart- IMT, I.P. 2014</w:t>
        </w:r>
        <w:r w:rsidR="005A6B70">
          <w:rPr>
            <w:noProof/>
            <w:webHidden/>
          </w:rPr>
          <w:tab/>
        </w:r>
        <w:r w:rsidR="005A6B70">
          <w:rPr>
            <w:noProof/>
            <w:webHidden/>
          </w:rPr>
          <w:fldChar w:fldCharType="begin"/>
        </w:r>
        <w:r w:rsidR="005A6B70">
          <w:rPr>
            <w:noProof/>
            <w:webHidden/>
          </w:rPr>
          <w:instrText xml:space="preserve"> PAGEREF _Toc442177372 \h </w:instrText>
        </w:r>
        <w:r w:rsidR="005A6B70">
          <w:rPr>
            <w:noProof/>
            <w:webHidden/>
          </w:rPr>
        </w:r>
        <w:r w:rsidR="005A6B70">
          <w:rPr>
            <w:noProof/>
            <w:webHidden/>
          </w:rPr>
          <w:fldChar w:fldCharType="separate"/>
        </w:r>
        <w:r w:rsidR="005A6B70">
          <w:rPr>
            <w:noProof/>
            <w:webHidden/>
          </w:rPr>
          <w:t>39</w:t>
        </w:r>
        <w:r w:rsidR="005A6B70">
          <w:rPr>
            <w:noProof/>
            <w:webHidden/>
          </w:rPr>
          <w:fldChar w:fldCharType="end"/>
        </w:r>
      </w:hyperlink>
    </w:p>
    <w:p w:rsidR="005A6B70" w:rsidRDefault="007D3C4A">
      <w:pPr>
        <w:pStyle w:val="TOC2"/>
        <w:tabs>
          <w:tab w:val="right" w:leader="dot" w:pos="9403"/>
        </w:tabs>
        <w:rPr>
          <w:rFonts w:asciiTheme="minorHAnsi" w:eastAsiaTheme="minorEastAsia" w:hAnsiTheme="minorHAnsi" w:cstheme="minorBidi"/>
          <w:noProof/>
          <w:szCs w:val="22"/>
          <w:lang w:val="fr-LU" w:eastAsia="fr-LU" w:bidi="ar-SA"/>
        </w:rPr>
      </w:pPr>
      <w:hyperlink w:anchor="_Toc442177373" w:history="1">
        <w:r w:rsidR="005A6B70" w:rsidRPr="00F15215">
          <w:rPr>
            <w:rStyle w:val="Hyperlink"/>
            <w:noProof/>
          </w:rPr>
          <w:t>B.2.</w:t>
        </w:r>
        <w:r w:rsidR="005A6B70">
          <w:rPr>
            <w:rFonts w:asciiTheme="minorHAnsi" w:eastAsiaTheme="minorEastAsia" w:hAnsiTheme="minorHAnsi" w:cstheme="minorBidi"/>
            <w:noProof/>
            <w:szCs w:val="22"/>
            <w:lang w:val="fr-LU" w:eastAsia="fr-LU" w:bidi="ar-SA"/>
          </w:rPr>
          <w:tab/>
        </w:r>
        <w:r w:rsidR="005A6B70" w:rsidRPr="00F15215">
          <w:rPr>
            <w:rStyle w:val="Hyperlink"/>
            <w:noProof/>
          </w:rPr>
          <w:t>Relationship of the IMT, I.P. with other rail safety entities</w:t>
        </w:r>
        <w:r w:rsidR="005A6B70">
          <w:rPr>
            <w:noProof/>
            <w:webHidden/>
          </w:rPr>
          <w:tab/>
        </w:r>
        <w:r w:rsidR="005A6B70">
          <w:rPr>
            <w:noProof/>
            <w:webHidden/>
          </w:rPr>
          <w:fldChar w:fldCharType="begin"/>
        </w:r>
        <w:r w:rsidR="005A6B70">
          <w:rPr>
            <w:noProof/>
            <w:webHidden/>
          </w:rPr>
          <w:instrText xml:space="preserve"> PAGEREF _Toc442177373 \h </w:instrText>
        </w:r>
        <w:r w:rsidR="005A6B70">
          <w:rPr>
            <w:noProof/>
            <w:webHidden/>
          </w:rPr>
        </w:r>
        <w:r w:rsidR="005A6B70">
          <w:rPr>
            <w:noProof/>
            <w:webHidden/>
          </w:rPr>
          <w:fldChar w:fldCharType="separate"/>
        </w:r>
        <w:r w:rsidR="005A6B70">
          <w:rPr>
            <w:noProof/>
            <w:webHidden/>
          </w:rPr>
          <w:t>41</w:t>
        </w:r>
        <w:r w:rsidR="005A6B70">
          <w:rPr>
            <w:noProof/>
            <w:webHidden/>
          </w:rPr>
          <w:fldChar w:fldCharType="end"/>
        </w:r>
      </w:hyperlink>
    </w:p>
    <w:p w:rsidR="005A6B70" w:rsidRDefault="007D3C4A">
      <w:pPr>
        <w:pStyle w:val="TOC1"/>
        <w:tabs>
          <w:tab w:val="left" w:pos="1320"/>
          <w:tab w:val="right" w:leader="dot" w:pos="9403"/>
        </w:tabs>
        <w:rPr>
          <w:rFonts w:asciiTheme="minorHAnsi" w:eastAsiaTheme="minorEastAsia" w:hAnsiTheme="minorHAnsi" w:cstheme="minorBidi"/>
          <w:b w:val="0"/>
          <w:noProof/>
          <w:szCs w:val="22"/>
          <w:lang w:val="fr-LU" w:eastAsia="fr-LU" w:bidi="ar-SA"/>
        </w:rPr>
      </w:pPr>
      <w:hyperlink w:anchor="_Toc442177374" w:history="1">
        <w:r w:rsidR="005A6B70" w:rsidRPr="00F15215">
          <w:rPr>
            <w:rStyle w:val="Hyperlink"/>
            <w:noProof/>
          </w:rPr>
          <w:t>ANNEX C.</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COMMON SAFETY INDICATORS 2014</w:t>
        </w:r>
        <w:r w:rsidR="005A6B70">
          <w:rPr>
            <w:noProof/>
            <w:webHidden/>
          </w:rPr>
          <w:tab/>
        </w:r>
        <w:r w:rsidR="005A6B70">
          <w:rPr>
            <w:noProof/>
            <w:webHidden/>
          </w:rPr>
          <w:fldChar w:fldCharType="begin"/>
        </w:r>
        <w:r w:rsidR="005A6B70">
          <w:rPr>
            <w:noProof/>
            <w:webHidden/>
          </w:rPr>
          <w:instrText xml:space="preserve"> PAGEREF _Toc442177374 \h </w:instrText>
        </w:r>
        <w:r w:rsidR="005A6B70">
          <w:rPr>
            <w:noProof/>
            <w:webHidden/>
          </w:rPr>
        </w:r>
        <w:r w:rsidR="005A6B70">
          <w:rPr>
            <w:noProof/>
            <w:webHidden/>
          </w:rPr>
          <w:fldChar w:fldCharType="separate"/>
        </w:r>
        <w:r w:rsidR="005A6B70">
          <w:rPr>
            <w:noProof/>
            <w:webHidden/>
          </w:rPr>
          <w:t>42</w:t>
        </w:r>
        <w:r w:rsidR="005A6B70">
          <w:rPr>
            <w:noProof/>
            <w:webHidden/>
          </w:rPr>
          <w:fldChar w:fldCharType="end"/>
        </w:r>
      </w:hyperlink>
    </w:p>
    <w:p w:rsidR="005A6B70" w:rsidRDefault="007D3C4A">
      <w:pPr>
        <w:pStyle w:val="TOC1"/>
        <w:tabs>
          <w:tab w:val="left" w:pos="1320"/>
          <w:tab w:val="right" w:leader="dot" w:pos="9403"/>
        </w:tabs>
        <w:rPr>
          <w:rFonts w:asciiTheme="minorHAnsi" w:eastAsiaTheme="minorEastAsia" w:hAnsiTheme="minorHAnsi" w:cstheme="minorBidi"/>
          <w:b w:val="0"/>
          <w:noProof/>
          <w:szCs w:val="22"/>
          <w:lang w:val="fr-LU" w:eastAsia="fr-LU" w:bidi="ar-SA"/>
        </w:rPr>
      </w:pPr>
      <w:hyperlink w:anchor="_Toc442177375" w:history="1">
        <w:r w:rsidR="005A6B70" w:rsidRPr="00F15215">
          <w:rPr>
            <w:rStyle w:val="Hyperlink"/>
            <w:noProof/>
          </w:rPr>
          <w:t>ANNEX D.</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AMENDMENTS TO LAWS AND REGULATIONS 2014</w:t>
        </w:r>
        <w:r w:rsidR="005A6B70">
          <w:rPr>
            <w:noProof/>
            <w:webHidden/>
          </w:rPr>
          <w:tab/>
        </w:r>
        <w:r w:rsidR="005A6B70">
          <w:rPr>
            <w:noProof/>
            <w:webHidden/>
          </w:rPr>
          <w:fldChar w:fldCharType="begin"/>
        </w:r>
        <w:r w:rsidR="005A6B70">
          <w:rPr>
            <w:noProof/>
            <w:webHidden/>
          </w:rPr>
          <w:instrText xml:space="preserve"> PAGEREF _Toc442177375 \h </w:instrText>
        </w:r>
        <w:r w:rsidR="005A6B70">
          <w:rPr>
            <w:noProof/>
            <w:webHidden/>
          </w:rPr>
        </w:r>
        <w:r w:rsidR="005A6B70">
          <w:rPr>
            <w:noProof/>
            <w:webHidden/>
          </w:rPr>
          <w:fldChar w:fldCharType="separate"/>
        </w:r>
        <w:r w:rsidR="005A6B70">
          <w:rPr>
            <w:noProof/>
            <w:webHidden/>
          </w:rPr>
          <w:t>48</w:t>
        </w:r>
        <w:r w:rsidR="005A6B70">
          <w:rPr>
            <w:noProof/>
            <w:webHidden/>
          </w:rPr>
          <w:fldChar w:fldCharType="end"/>
        </w:r>
      </w:hyperlink>
    </w:p>
    <w:p w:rsidR="005A6B70" w:rsidRDefault="007D3C4A">
      <w:pPr>
        <w:pStyle w:val="TOC1"/>
        <w:tabs>
          <w:tab w:val="left" w:pos="1320"/>
          <w:tab w:val="right" w:leader="dot" w:pos="9403"/>
        </w:tabs>
        <w:rPr>
          <w:rFonts w:asciiTheme="minorHAnsi" w:eastAsiaTheme="minorEastAsia" w:hAnsiTheme="minorHAnsi" w:cstheme="minorBidi"/>
          <w:b w:val="0"/>
          <w:noProof/>
          <w:szCs w:val="22"/>
          <w:lang w:val="fr-LU" w:eastAsia="fr-LU" w:bidi="ar-SA"/>
        </w:rPr>
      </w:pPr>
      <w:hyperlink w:anchor="_Toc442177376" w:history="1">
        <w:r w:rsidR="005A6B70" w:rsidRPr="00F15215">
          <w:rPr>
            <w:rStyle w:val="Hyperlink"/>
            <w:noProof/>
          </w:rPr>
          <w:t>ANNEX E.</w:t>
        </w:r>
        <w:r w:rsidR="005A6B70">
          <w:rPr>
            <w:rFonts w:asciiTheme="minorHAnsi" w:eastAsiaTheme="minorEastAsia" w:hAnsiTheme="minorHAnsi" w:cstheme="minorBidi"/>
            <w:b w:val="0"/>
            <w:noProof/>
            <w:szCs w:val="22"/>
            <w:lang w:val="fr-LU" w:eastAsia="fr-LU" w:bidi="ar-SA"/>
          </w:rPr>
          <w:tab/>
        </w:r>
        <w:r w:rsidR="005A6B70" w:rsidRPr="00F15215">
          <w:rPr>
            <w:rStyle w:val="Hyperlink"/>
            <w:noProof/>
          </w:rPr>
          <w:t>SIGNIFICANT ACCIDENTS 2014</w:t>
        </w:r>
        <w:r w:rsidR="005A6B70">
          <w:rPr>
            <w:noProof/>
            <w:webHidden/>
          </w:rPr>
          <w:tab/>
        </w:r>
        <w:r w:rsidR="005A6B70">
          <w:rPr>
            <w:noProof/>
            <w:webHidden/>
          </w:rPr>
          <w:fldChar w:fldCharType="begin"/>
        </w:r>
        <w:r w:rsidR="005A6B70">
          <w:rPr>
            <w:noProof/>
            <w:webHidden/>
          </w:rPr>
          <w:instrText xml:space="preserve"> PAGEREF _Toc442177376 \h </w:instrText>
        </w:r>
        <w:r w:rsidR="005A6B70">
          <w:rPr>
            <w:noProof/>
            <w:webHidden/>
          </w:rPr>
        </w:r>
        <w:r w:rsidR="005A6B70">
          <w:rPr>
            <w:noProof/>
            <w:webHidden/>
          </w:rPr>
          <w:fldChar w:fldCharType="separate"/>
        </w:r>
        <w:r w:rsidR="005A6B70">
          <w:rPr>
            <w:noProof/>
            <w:webHidden/>
          </w:rPr>
          <w:t>49</w:t>
        </w:r>
        <w:r w:rsidR="005A6B70">
          <w:rPr>
            <w:noProof/>
            <w:webHidden/>
          </w:rPr>
          <w:fldChar w:fldCharType="end"/>
        </w:r>
      </w:hyperlink>
    </w:p>
    <w:p w:rsidR="00292DF0" w:rsidRDefault="004C0DD0">
      <w:pPr>
        <w:pStyle w:val="TOC1"/>
        <w:tabs>
          <w:tab w:val="right" w:leader="dot" w:pos="9403"/>
        </w:tabs>
        <w:rPr>
          <w:rFonts w:asciiTheme="minorHAnsi" w:eastAsiaTheme="minorEastAsia" w:hAnsiTheme="minorHAnsi" w:cstheme="minorBidi"/>
          <w:b w:val="0"/>
          <w:noProof/>
          <w:szCs w:val="22"/>
        </w:rPr>
      </w:pPr>
      <w:r>
        <w:fldChar w:fldCharType="end"/>
      </w:r>
    </w:p>
    <w:p w:rsidR="009C4859" w:rsidRDefault="009C4859">
      <w:pPr>
        <w:rPr>
          <w:sz w:val="22"/>
          <w:szCs w:val="22"/>
        </w:rPr>
      </w:pPr>
      <w:r>
        <w:br w:type="page"/>
      </w:r>
    </w:p>
    <w:p w:rsidR="006F3ED5" w:rsidRPr="00705266" w:rsidRDefault="006F3ED5">
      <w:pPr>
        <w:spacing w:before="4" w:line="220" w:lineRule="exact"/>
        <w:rPr>
          <w:sz w:val="22"/>
          <w:szCs w:val="22"/>
        </w:rPr>
      </w:pPr>
    </w:p>
    <w:p w:rsidR="006F3ED5" w:rsidRPr="00705266" w:rsidRDefault="00B65BEC">
      <w:pPr>
        <w:spacing w:before="23"/>
        <w:ind w:left="120"/>
        <w:rPr>
          <w:rFonts w:ascii="Arial" w:eastAsia="Arial" w:hAnsi="Arial" w:cs="Arial"/>
          <w:sz w:val="28"/>
          <w:szCs w:val="28"/>
        </w:rPr>
      </w:pPr>
      <w:r>
        <w:rPr>
          <w:rFonts w:ascii="Arial" w:hAnsi="Arial"/>
          <w:b/>
          <w:sz w:val="28"/>
        </w:rPr>
        <w:t>Acronyms</w:t>
      </w:r>
    </w:p>
    <w:p w:rsidR="006F3ED5" w:rsidRPr="00705266" w:rsidRDefault="006F3ED5">
      <w:pPr>
        <w:spacing w:line="200" w:lineRule="exact"/>
      </w:pPr>
    </w:p>
    <w:p w:rsidR="006F3ED5" w:rsidRPr="00705266" w:rsidRDefault="006F3ED5">
      <w:pPr>
        <w:spacing w:before="6" w:line="200" w:lineRule="exact"/>
      </w:pPr>
    </w:p>
    <w:p w:rsidR="006F3ED5" w:rsidRPr="00705266" w:rsidRDefault="00B65BEC" w:rsidP="00991455">
      <w:pPr>
        <w:ind w:left="1701" w:hanging="1581"/>
        <w:rPr>
          <w:rFonts w:ascii="Arial" w:eastAsia="Arial" w:hAnsi="Arial" w:cs="Arial"/>
        </w:rPr>
      </w:pPr>
      <w:r>
        <w:rPr>
          <w:rFonts w:ascii="Arial" w:hAnsi="Arial"/>
          <w:b/>
        </w:rPr>
        <w:t>ERA</w:t>
      </w:r>
      <w:r>
        <w:tab/>
      </w:r>
      <w:r>
        <w:rPr>
          <w:rFonts w:ascii="Arial" w:hAnsi="Arial"/>
        </w:rPr>
        <w:t>European Railway Agency</w:t>
      </w:r>
    </w:p>
    <w:p w:rsidR="006F3ED5" w:rsidRPr="00705266" w:rsidRDefault="00B65BEC" w:rsidP="00991455">
      <w:pPr>
        <w:ind w:left="1701" w:hanging="1581"/>
        <w:rPr>
          <w:rFonts w:ascii="Arial" w:eastAsia="Arial" w:hAnsi="Arial" w:cs="Arial"/>
        </w:rPr>
      </w:pPr>
      <w:r>
        <w:rPr>
          <w:rFonts w:ascii="Arial" w:hAnsi="Arial"/>
          <w:b/>
          <w:spacing w:val="1"/>
        </w:rPr>
        <w:t>GISAF</w:t>
      </w:r>
      <w:r>
        <w:tab/>
      </w:r>
      <w:r>
        <w:rPr>
          <w:rFonts w:ascii="Arial" w:hAnsi="Arial"/>
          <w:spacing w:val="1"/>
        </w:rPr>
        <w:t>Gabinete de Investigação de Segurança e de Acidentes Ferroviários [Rail Safety and Accident Investigation Bureau]</w:t>
      </w:r>
    </w:p>
    <w:p w:rsidR="006F3ED5" w:rsidRPr="00705266" w:rsidRDefault="00B65BEC" w:rsidP="00991455">
      <w:pPr>
        <w:ind w:left="1701" w:hanging="1581"/>
        <w:rPr>
          <w:rFonts w:ascii="Arial" w:eastAsia="Arial" w:hAnsi="Arial" w:cs="Arial"/>
        </w:rPr>
      </w:pPr>
      <w:r>
        <w:rPr>
          <w:rFonts w:ascii="Arial" w:hAnsi="Arial"/>
          <w:b/>
          <w:spacing w:val="1"/>
        </w:rPr>
        <w:t xml:space="preserve">ICS </w:t>
      </w:r>
      <w:r>
        <w:tab/>
      </w:r>
      <w:r>
        <w:rPr>
          <w:rFonts w:ascii="Arial" w:hAnsi="Arial"/>
          <w:spacing w:val="1"/>
        </w:rPr>
        <w:t>Common Safety Indicators</w:t>
      </w:r>
    </w:p>
    <w:p w:rsidR="006F3ED5" w:rsidRPr="00705059" w:rsidRDefault="00B65BEC" w:rsidP="00991455">
      <w:pPr>
        <w:ind w:left="1701" w:hanging="1581"/>
        <w:rPr>
          <w:rFonts w:ascii="Arial" w:eastAsia="Arial" w:hAnsi="Arial" w:cs="Arial"/>
          <w:lang/>
        </w:rPr>
      </w:pPr>
      <w:r w:rsidRPr="00705059">
        <w:rPr>
          <w:rFonts w:ascii="Arial" w:hAnsi="Arial"/>
          <w:b/>
          <w:spacing w:val="1"/>
          <w:lang/>
        </w:rPr>
        <w:t xml:space="preserve">IMT, I.P. </w:t>
      </w:r>
      <w:r w:rsidRPr="00705059">
        <w:rPr>
          <w:lang/>
        </w:rPr>
        <w:tab/>
      </w:r>
      <w:r w:rsidRPr="00705059">
        <w:rPr>
          <w:rFonts w:ascii="Arial" w:hAnsi="Arial"/>
          <w:spacing w:val="1"/>
          <w:lang/>
        </w:rPr>
        <w:t>Instituto da Mobilidade e dos Transportes, I.P.</w:t>
      </w:r>
    </w:p>
    <w:p w:rsidR="006F3ED5" w:rsidRPr="00705266" w:rsidRDefault="00B65BEC" w:rsidP="00991455">
      <w:pPr>
        <w:ind w:left="1701" w:hanging="1581"/>
        <w:rPr>
          <w:rFonts w:ascii="Arial" w:eastAsia="Arial" w:hAnsi="Arial" w:cs="Arial"/>
        </w:rPr>
      </w:pPr>
      <w:r>
        <w:rPr>
          <w:rFonts w:ascii="Arial" w:hAnsi="Arial"/>
          <w:b/>
          <w:spacing w:val="1"/>
        </w:rPr>
        <w:t>INE</w:t>
      </w:r>
      <w:r>
        <w:tab/>
      </w:r>
      <w:r>
        <w:rPr>
          <w:rFonts w:ascii="Arial" w:hAnsi="Arial"/>
          <w:spacing w:val="1"/>
        </w:rPr>
        <w:t>Statistics Portugal</w:t>
      </w:r>
    </w:p>
    <w:p w:rsidR="006F3ED5" w:rsidRDefault="00B65BEC" w:rsidP="00991455">
      <w:pPr>
        <w:spacing w:before="1"/>
        <w:ind w:left="1701" w:hanging="1581"/>
        <w:rPr>
          <w:rFonts w:ascii="Arial" w:eastAsia="Arial" w:hAnsi="Arial" w:cs="Arial"/>
        </w:rPr>
      </w:pPr>
      <w:r>
        <w:rPr>
          <w:rFonts w:ascii="Arial" w:hAnsi="Arial"/>
          <w:b/>
        </w:rPr>
        <w:t>SPWP</w:t>
      </w:r>
      <w:r>
        <w:tab/>
      </w:r>
      <w:r>
        <w:rPr>
          <w:rFonts w:ascii="Arial" w:hAnsi="Arial"/>
          <w:spacing w:val="1"/>
        </w:rPr>
        <w:t>Safety Performance Working Party</w:t>
      </w:r>
    </w:p>
    <w:p w:rsidR="009C4859" w:rsidRDefault="009C4859">
      <w:pPr>
        <w:rPr>
          <w:rFonts w:ascii="Arial" w:eastAsia="Arial" w:hAnsi="Arial" w:cs="Arial"/>
        </w:rPr>
      </w:pPr>
      <w:r>
        <w:br w:type="page"/>
      </w:r>
    </w:p>
    <w:p w:rsidR="006F3ED5" w:rsidRPr="00991455" w:rsidRDefault="00B65BEC" w:rsidP="00705059">
      <w:pPr>
        <w:pStyle w:val="titre1"/>
      </w:pPr>
      <w:bookmarkStart w:id="1" w:name="_Toc435689566"/>
      <w:bookmarkStart w:id="2" w:name="_Toc442177332"/>
      <w:r>
        <w:lastRenderedPageBreak/>
        <w:t>INTRODUCTION</w:t>
      </w:r>
      <w:bookmarkEnd w:id="1"/>
      <w:bookmarkEnd w:id="2"/>
    </w:p>
    <w:p w:rsidR="006F3ED5" w:rsidRPr="00705266" w:rsidRDefault="006F3ED5">
      <w:pPr>
        <w:spacing w:before="8" w:line="180" w:lineRule="exact"/>
        <w:rPr>
          <w:sz w:val="19"/>
          <w:szCs w:val="19"/>
        </w:rPr>
      </w:pPr>
    </w:p>
    <w:p w:rsidR="006F3ED5" w:rsidRPr="00705266" w:rsidRDefault="006F3ED5">
      <w:pPr>
        <w:spacing w:line="200" w:lineRule="exact"/>
      </w:pPr>
    </w:p>
    <w:p w:rsidR="006F3ED5" w:rsidRPr="00991455" w:rsidRDefault="00B65BEC" w:rsidP="003B44FB">
      <w:pPr>
        <w:pStyle w:val="TITRE2"/>
      </w:pPr>
      <w:bookmarkStart w:id="3" w:name="_Toc435689567"/>
      <w:bookmarkStart w:id="4" w:name="_Toc442177333"/>
      <w:r>
        <w:t>Objectives and Scope</w:t>
      </w:r>
      <w:bookmarkEnd w:id="3"/>
      <w:bookmarkEnd w:id="4"/>
    </w:p>
    <w:p w:rsidR="006F3ED5" w:rsidRPr="00705266" w:rsidRDefault="006F3ED5">
      <w:pPr>
        <w:spacing w:before="8" w:line="200" w:lineRule="exact"/>
      </w:pPr>
    </w:p>
    <w:p w:rsidR="006F3ED5" w:rsidRPr="00705266" w:rsidRDefault="00B65BEC" w:rsidP="009C4859">
      <w:pPr>
        <w:spacing w:line="360" w:lineRule="auto"/>
        <w:ind w:left="119" w:right="868"/>
        <w:jc w:val="both"/>
        <w:rPr>
          <w:rFonts w:ascii="Arial" w:eastAsia="Arial" w:hAnsi="Arial" w:cs="Arial"/>
        </w:rPr>
      </w:pPr>
      <w:r>
        <w:rPr>
          <w:rFonts w:ascii="Arial" w:hAnsi="Arial"/>
        </w:rPr>
        <w:t>The main aim of this report is to present the activities carried out by the Instituto da Mobilidade e dos Transportes, I.P. (IMT, I.P.) in 2014, in its role as the National Safety Authority for railways, specifically with respect to initiatives for the improvement of rail system safety, publication of the relevant legislation, and development of safety certifications and authorisations for companies and the associated supervision of their activities. It also provides evidence of progress in passenger and freight railway safety performance and management on the National Railway Network.</w:t>
      </w:r>
    </w:p>
    <w:p w:rsidR="006F3ED5" w:rsidRPr="00705266" w:rsidRDefault="006F3ED5">
      <w:pPr>
        <w:spacing w:before="4" w:line="240" w:lineRule="exact"/>
        <w:rPr>
          <w:sz w:val="24"/>
          <w:szCs w:val="24"/>
        </w:rPr>
      </w:pPr>
    </w:p>
    <w:p w:rsidR="006F3ED5" w:rsidRPr="00705266" w:rsidRDefault="00B65BEC">
      <w:pPr>
        <w:spacing w:line="343" w:lineRule="auto"/>
        <w:ind w:left="120" w:right="864"/>
        <w:jc w:val="both"/>
        <w:rPr>
          <w:rFonts w:ascii="Arial" w:eastAsia="Arial" w:hAnsi="Arial" w:cs="Arial"/>
        </w:rPr>
      </w:pPr>
      <w:r>
        <w:rPr>
          <w:rFonts w:ascii="Arial" w:hAnsi="Arial"/>
        </w:rPr>
        <w:t>In addition to disclosing these activities, Annex C to this report also contains the Common Safety Indicators (CSIs)</w:t>
      </w:r>
      <w:r>
        <w:rPr>
          <w:rStyle w:val="FootnoteReference"/>
          <w:rFonts w:ascii="Arial" w:hAnsi="Arial"/>
          <w:spacing w:val="1"/>
        </w:rPr>
        <w:footnoteReference w:id="1"/>
      </w:r>
      <w:r>
        <w:rPr>
          <w:rFonts w:ascii="Arial" w:hAnsi="Arial"/>
        </w:rPr>
        <w:t>, which allow safety performance to be measured and evaluated.</w:t>
      </w:r>
    </w:p>
    <w:p w:rsidR="006F3ED5" w:rsidRPr="00705266" w:rsidRDefault="006F3ED5">
      <w:pPr>
        <w:spacing w:before="14" w:line="240" w:lineRule="exact"/>
        <w:rPr>
          <w:sz w:val="24"/>
          <w:szCs w:val="24"/>
        </w:rPr>
      </w:pPr>
    </w:p>
    <w:p w:rsidR="006F3ED5" w:rsidRPr="00705266" w:rsidRDefault="00B65BEC">
      <w:pPr>
        <w:spacing w:line="334" w:lineRule="auto"/>
        <w:ind w:left="120" w:right="861"/>
        <w:jc w:val="both"/>
        <w:rPr>
          <w:rFonts w:ascii="Arial" w:eastAsia="Arial" w:hAnsi="Arial" w:cs="Arial"/>
        </w:rPr>
      </w:pPr>
      <w:r>
        <w:rPr>
          <w:rFonts w:ascii="Arial" w:hAnsi="Arial"/>
          <w:spacing w:val="1"/>
        </w:rPr>
        <w:t xml:space="preserve">The information presented here was taken from the annual safety reports provided by the rail transport companies and the infrastructure manager </w:t>
      </w:r>
      <w:r>
        <w:rPr>
          <w:rFonts w:ascii="Arial" w:hAnsi="Arial"/>
          <w:spacing w:val="2"/>
          <w:sz w:val="18"/>
        </w:rPr>
        <w:t>(presented to t</w:t>
      </w:r>
      <w:r>
        <w:rPr>
          <w:rFonts w:ascii="Arial" w:hAnsi="Arial"/>
          <w:spacing w:val="1"/>
        </w:rPr>
        <w:t>he IMT, I.P.</w:t>
      </w:r>
      <w:r>
        <w:rPr>
          <w:rStyle w:val="FootnoteReference"/>
          <w:rFonts w:ascii="Arial" w:hAnsi="Arial"/>
          <w:spacing w:val="-1"/>
        </w:rPr>
        <w:footnoteReference w:id="2"/>
      </w:r>
      <w:r>
        <w:rPr>
          <w:rFonts w:ascii="Arial" w:hAnsi="Arial"/>
          <w:spacing w:val="1"/>
        </w:rPr>
        <w:t>) as well as from statistics supplied by Statistics Portugal.</w:t>
      </w:r>
    </w:p>
    <w:p w:rsidR="006F3ED5" w:rsidRPr="00705266" w:rsidRDefault="006F3ED5">
      <w:pPr>
        <w:spacing w:before="8" w:line="260" w:lineRule="exact"/>
        <w:rPr>
          <w:sz w:val="26"/>
          <w:szCs w:val="26"/>
        </w:rPr>
      </w:pPr>
    </w:p>
    <w:p w:rsidR="006F3ED5" w:rsidRPr="00705266" w:rsidRDefault="00B65BEC">
      <w:pPr>
        <w:spacing w:line="360" w:lineRule="auto"/>
        <w:ind w:left="120" w:right="868"/>
        <w:jc w:val="both"/>
        <w:rPr>
          <w:rFonts w:ascii="Arial" w:eastAsia="Arial" w:hAnsi="Arial" w:cs="Arial"/>
        </w:rPr>
      </w:pPr>
      <w:r>
        <w:rPr>
          <w:rFonts w:ascii="Arial" w:hAnsi="Arial"/>
        </w:rPr>
        <w:t>Accident data was checked for consistency, and underwent final validation using a transparent participatory process involving rail transport companies and the infrastructure manager, all of whom were given the opportunity to analyse and consolidate the data, thereby ensuring the reliability of the data presented.</w:t>
      </w:r>
    </w:p>
    <w:p w:rsidR="006F3ED5" w:rsidRPr="00705266" w:rsidRDefault="006F3ED5">
      <w:pPr>
        <w:spacing w:before="4" w:line="240" w:lineRule="exact"/>
        <w:rPr>
          <w:sz w:val="24"/>
          <w:szCs w:val="24"/>
        </w:rPr>
      </w:pPr>
    </w:p>
    <w:p w:rsidR="006F3ED5" w:rsidRPr="00705266" w:rsidRDefault="00B65BEC" w:rsidP="009C4859">
      <w:pPr>
        <w:spacing w:after="240"/>
        <w:ind w:left="119" w:right="2223"/>
        <w:jc w:val="both"/>
        <w:rPr>
          <w:rFonts w:ascii="Arial" w:eastAsia="Arial" w:hAnsi="Arial" w:cs="Arial"/>
        </w:rPr>
      </w:pPr>
      <w:r>
        <w:rPr>
          <w:rFonts w:ascii="Arial" w:hAnsi="Arial"/>
        </w:rPr>
        <w:t>This document will be provided to the following entities and bodies:</w:t>
      </w:r>
    </w:p>
    <w:p w:rsidR="006F3ED5" w:rsidRPr="00041E50" w:rsidRDefault="00B65BEC" w:rsidP="00041E50">
      <w:pPr>
        <w:pStyle w:val="BULLET1"/>
      </w:pPr>
      <w:r>
        <w:t>Ministry of the Economy;</w:t>
      </w:r>
    </w:p>
    <w:p w:rsidR="006F3ED5" w:rsidRPr="00705266" w:rsidRDefault="00B65BEC" w:rsidP="00041E50">
      <w:pPr>
        <w:pStyle w:val="BULLET1"/>
      </w:pPr>
      <w:r>
        <w:t>European Railway Agency (ERA);</w:t>
      </w:r>
    </w:p>
    <w:p w:rsidR="006F3ED5" w:rsidRPr="00705059" w:rsidRDefault="00B65BEC" w:rsidP="00041E50">
      <w:pPr>
        <w:pStyle w:val="BULLET1"/>
        <w:rPr>
          <w:lang/>
        </w:rPr>
      </w:pPr>
      <w:r w:rsidRPr="00705059">
        <w:rPr>
          <w:lang/>
        </w:rPr>
        <w:t>Gabinete de Investigação de Segurança e de Acidentes Ferroviários (GISAF);</w:t>
      </w:r>
    </w:p>
    <w:p w:rsidR="006F3ED5" w:rsidRPr="00705266" w:rsidRDefault="00B65BEC" w:rsidP="00041E50">
      <w:pPr>
        <w:pStyle w:val="BULLET1"/>
      </w:pPr>
      <w:r>
        <w:t>Infrastructure manager;</w:t>
      </w:r>
    </w:p>
    <w:p w:rsidR="006F3ED5" w:rsidRPr="00705266" w:rsidRDefault="00B65BEC" w:rsidP="00041E50">
      <w:pPr>
        <w:pStyle w:val="BULLET1"/>
      </w:pPr>
      <w:r>
        <w:t>Rail transport companies;</w:t>
      </w:r>
    </w:p>
    <w:p w:rsidR="006F3ED5" w:rsidRPr="00705266" w:rsidRDefault="00B65BEC" w:rsidP="00041E50">
      <w:pPr>
        <w:pStyle w:val="BULLET1"/>
      </w:pPr>
      <w:r>
        <w:t>The IMT, I.P. website, for access by the public.</w:t>
      </w:r>
    </w:p>
    <w:p w:rsidR="006F3ED5" w:rsidRPr="00705266" w:rsidRDefault="006F3ED5">
      <w:pPr>
        <w:spacing w:line="200" w:lineRule="exact"/>
      </w:pPr>
    </w:p>
    <w:p w:rsidR="006F3ED5" w:rsidRPr="00705266" w:rsidRDefault="00B65BEC">
      <w:pPr>
        <w:spacing w:line="360" w:lineRule="auto"/>
        <w:ind w:left="120" w:right="869"/>
        <w:jc w:val="both"/>
        <w:rPr>
          <w:rFonts w:ascii="Arial" w:eastAsia="Arial" w:hAnsi="Arial" w:cs="Arial"/>
        </w:rPr>
      </w:pPr>
      <w:r>
        <w:rPr>
          <w:rFonts w:ascii="Arial" w:hAnsi="Arial"/>
        </w:rPr>
        <w:t>This report does not include transportation that uses other guided transport systems such as metros, light rail, miniature trains, trams and passenger cableways.</w:t>
      </w:r>
    </w:p>
    <w:p w:rsidR="006F3ED5" w:rsidRPr="00705266" w:rsidRDefault="006F3ED5">
      <w:pPr>
        <w:spacing w:before="15" w:line="220" w:lineRule="exact"/>
        <w:rPr>
          <w:sz w:val="22"/>
          <w:szCs w:val="22"/>
        </w:rPr>
      </w:pPr>
    </w:p>
    <w:p w:rsidR="006F3ED5" w:rsidRPr="00705266" w:rsidRDefault="00B65BEC" w:rsidP="003B44FB">
      <w:pPr>
        <w:pStyle w:val="TITRE2"/>
      </w:pPr>
      <w:bookmarkStart w:id="5" w:name="_Toc435689568"/>
      <w:bookmarkStart w:id="6" w:name="_Toc442177334"/>
      <w:r>
        <w:t>Organisational changes</w:t>
      </w:r>
      <w:bookmarkEnd w:id="5"/>
      <w:bookmarkEnd w:id="6"/>
    </w:p>
    <w:p w:rsidR="006F3ED5" w:rsidRPr="00705266" w:rsidRDefault="006F3ED5">
      <w:pPr>
        <w:spacing w:before="8" w:line="200" w:lineRule="exact"/>
      </w:pPr>
    </w:p>
    <w:p w:rsidR="006F3ED5" w:rsidRPr="00705266" w:rsidRDefault="00B65BEC">
      <w:pPr>
        <w:spacing w:line="359" w:lineRule="auto"/>
        <w:ind w:left="120" w:right="871"/>
        <w:jc w:val="both"/>
        <w:rPr>
          <w:rFonts w:ascii="Arial" w:eastAsia="Arial" w:hAnsi="Arial" w:cs="Arial"/>
        </w:rPr>
      </w:pPr>
      <w:r>
        <w:rPr>
          <w:rFonts w:ascii="Arial" w:hAnsi="Arial"/>
          <w:spacing w:val="-2"/>
        </w:rPr>
        <w:t>In 2014, the nature and responsibilities of the IMT, I.P. were amended by the publication of a new law relating to the organisation of the institute, Decree Law No 77/2014 of 14 May. The process of consolidation of the IMT, I.P. has nevertheless continued over the past year, resulting from the approval of Decree Law No 236/2012 of 31 October.</w:t>
      </w:r>
    </w:p>
    <w:p w:rsidR="006F3ED5" w:rsidRPr="00705266" w:rsidRDefault="006F3ED5">
      <w:pPr>
        <w:spacing w:before="5" w:line="240" w:lineRule="exact"/>
        <w:rPr>
          <w:sz w:val="24"/>
          <w:szCs w:val="24"/>
        </w:rPr>
      </w:pPr>
    </w:p>
    <w:p w:rsidR="006F3ED5" w:rsidRPr="00705266" w:rsidRDefault="00B65BEC" w:rsidP="004119CA">
      <w:pPr>
        <w:spacing w:line="360" w:lineRule="auto"/>
        <w:ind w:left="120" w:right="863"/>
        <w:jc w:val="both"/>
        <w:rPr>
          <w:rFonts w:ascii="Arial" w:eastAsia="Arial" w:hAnsi="Arial" w:cs="Arial"/>
        </w:rPr>
      </w:pPr>
      <w:r>
        <w:rPr>
          <w:rFonts w:ascii="Arial" w:hAnsi="Arial"/>
          <w:spacing w:val="-2"/>
        </w:rPr>
        <w:t>The integration of staff from the now defunct IPTM, INIR and IMTT into the organisation of the IMT, I.P. continued unchanged in 2014 and was completed in 2015</w:t>
      </w:r>
      <w:r>
        <w:rPr>
          <w:rStyle w:val="FootnoteReference"/>
          <w:rFonts w:ascii="Arial" w:hAnsi="Arial"/>
        </w:rPr>
        <w:footnoteReference w:id="3"/>
      </w:r>
      <w:r>
        <w:rPr>
          <w:rFonts w:ascii="Arial" w:hAnsi="Arial"/>
          <w:spacing w:val="-2"/>
        </w:rPr>
        <w:t>. The organisational chart in Annex B shows the structure of the IMT, I.P. in 2014, in which the organisational structures of the defunct IPTM and INIR are not yet included.</w:t>
      </w:r>
    </w:p>
    <w:p w:rsidR="006F3ED5" w:rsidRPr="00705266" w:rsidRDefault="006F3ED5">
      <w:pPr>
        <w:spacing w:before="15" w:line="220" w:lineRule="exact"/>
        <w:rPr>
          <w:sz w:val="22"/>
          <w:szCs w:val="22"/>
        </w:rPr>
      </w:pPr>
    </w:p>
    <w:p w:rsidR="006F3ED5" w:rsidRPr="00705266" w:rsidRDefault="00B65BEC">
      <w:pPr>
        <w:spacing w:line="360" w:lineRule="auto"/>
        <w:ind w:left="120" w:right="862"/>
        <w:jc w:val="both"/>
        <w:rPr>
          <w:rFonts w:ascii="Arial" w:eastAsia="Arial" w:hAnsi="Arial" w:cs="Arial"/>
        </w:rPr>
      </w:pPr>
      <w:r>
        <w:rPr>
          <w:rFonts w:ascii="Arial" w:hAnsi="Arial"/>
        </w:rPr>
        <w:t>In order to fulfil its responsibilities in the sectors of road, rail, and maritime transport and the respective infrastructure throughout Portugal, on 31 December 2014 the IMT, I.P. had a total of 724 employees.</w:t>
      </w:r>
    </w:p>
    <w:p w:rsidR="006F3ED5" w:rsidRPr="00705266" w:rsidRDefault="006F3ED5">
      <w:pPr>
        <w:spacing w:before="4" w:line="140" w:lineRule="exact"/>
        <w:rPr>
          <w:sz w:val="15"/>
          <w:szCs w:val="15"/>
        </w:rPr>
      </w:pPr>
    </w:p>
    <w:p w:rsidR="006F3ED5" w:rsidRPr="00705266" w:rsidRDefault="00B65BEC">
      <w:pPr>
        <w:spacing w:line="340" w:lineRule="exact"/>
        <w:ind w:left="120" w:right="866"/>
        <w:jc w:val="both"/>
        <w:rPr>
          <w:rFonts w:ascii="Arial" w:eastAsia="Arial" w:hAnsi="Arial" w:cs="Arial"/>
        </w:rPr>
      </w:pPr>
      <w:r>
        <w:rPr>
          <w:rFonts w:ascii="Arial" w:hAnsi="Arial"/>
          <w:spacing w:val="-2"/>
        </w:rPr>
        <w:t>The part of the IMT-I.P. which is dedicated to railway matters, and in particular those relating to safety, underwent no significant organisational changes in 2014.</w:t>
      </w:r>
    </w:p>
    <w:p w:rsidR="00A27499" w:rsidRPr="00A27499" w:rsidRDefault="00A27499">
      <w:pPr>
        <w:rPr>
          <w:rFonts w:ascii="Arial" w:eastAsia="Courier New" w:hAnsi="Arial" w:cs="Arial"/>
          <w:position w:val="8"/>
          <w:sz w:val="13"/>
          <w:szCs w:val="13"/>
        </w:rPr>
      </w:pPr>
    </w:p>
    <w:p w:rsidR="004119CA" w:rsidRPr="00A27499" w:rsidRDefault="004119CA">
      <w:pPr>
        <w:rPr>
          <w:rFonts w:ascii="Arial" w:eastAsia="Courier New" w:hAnsi="Arial" w:cs="Arial"/>
          <w:position w:val="8"/>
          <w:sz w:val="13"/>
          <w:szCs w:val="13"/>
        </w:rPr>
      </w:pPr>
      <w:r>
        <w:br w:type="page"/>
      </w:r>
    </w:p>
    <w:p w:rsidR="006F3ED5" w:rsidRPr="00705266" w:rsidRDefault="006F3ED5">
      <w:pPr>
        <w:spacing w:before="9" w:line="220" w:lineRule="exact"/>
        <w:rPr>
          <w:sz w:val="22"/>
          <w:szCs w:val="22"/>
        </w:rPr>
      </w:pPr>
    </w:p>
    <w:p w:rsidR="006F3ED5" w:rsidRPr="00705266" w:rsidRDefault="00B65BEC" w:rsidP="00041E50">
      <w:pPr>
        <w:pStyle w:val="titre1"/>
      </w:pPr>
      <w:bookmarkStart w:id="7" w:name="_Toc435689569"/>
      <w:bookmarkStart w:id="8" w:name="_Toc442177335"/>
      <w:r>
        <w:t>SUMMARY OF PERFORMANCE AND SAFETY STRATEGY</w:t>
      </w:r>
      <w:bookmarkEnd w:id="7"/>
      <w:bookmarkEnd w:id="8"/>
    </w:p>
    <w:p w:rsidR="006F3ED5" w:rsidRPr="00705266" w:rsidRDefault="006F3ED5">
      <w:pPr>
        <w:spacing w:before="8" w:line="240" w:lineRule="exact"/>
        <w:rPr>
          <w:sz w:val="24"/>
          <w:szCs w:val="24"/>
        </w:rPr>
      </w:pPr>
    </w:p>
    <w:p w:rsidR="006F3ED5" w:rsidRPr="00705266" w:rsidRDefault="00B65BEC" w:rsidP="003B44FB">
      <w:pPr>
        <w:pStyle w:val="TITRE2"/>
      </w:pPr>
      <w:bookmarkStart w:id="9" w:name="_Toc435689570"/>
      <w:bookmarkStart w:id="10" w:name="_Toc442177336"/>
      <w:r>
        <w:t>Main conclusions</w:t>
      </w:r>
      <w:bookmarkEnd w:id="9"/>
      <w:bookmarkEnd w:id="10"/>
    </w:p>
    <w:p w:rsidR="006F3ED5" w:rsidRPr="00705266" w:rsidRDefault="006F3ED5">
      <w:pPr>
        <w:spacing w:before="8" w:line="200" w:lineRule="exact"/>
      </w:pPr>
    </w:p>
    <w:p w:rsidR="006F3ED5" w:rsidRPr="00705266" w:rsidRDefault="00B65BEC">
      <w:pPr>
        <w:spacing w:line="359" w:lineRule="auto"/>
        <w:ind w:left="120" w:right="862"/>
        <w:jc w:val="both"/>
        <w:rPr>
          <w:rFonts w:ascii="Arial" w:eastAsia="Arial" w:hAnsi="Arial" w:cs="Arial"/>
        </w:rPr>
      </w:pPr>
      <w:r>
        <w:rPr>
          <w:rFonts w:ascii="Arial" w:hAnsi="Arial"/>
          <w:spacing w:val="-2"/>
        </w:rPr>
        <w:t>In 2014 the severity of rail accidents lessened compared to 2013, particularly in relation to fatalities. There were, however, the number of significant accidents increased by 2 compared to 2013. This improvement is confirmed by the reduction in the Fatalities and Weighted Severe Injuries (FWSI) index.</w:t>
      </w:r>
    </w:p>
    <w:p w:rsidR="006F3ED5" w:rsidRPr="00705266" w:rsidRDefault="006F3ED5">
      <w:pPr>
        <w:spacing w:before="5" w:line="240" w:lineRule="exact"/>
        <w:rPr>
          <w:sz w:val="24"/>
          <w:szCs w:val="24"/>
        </w:rPr>
      </w:pPr>
    </w:p>
    <w:p w:rsidR="006F3ED5" w:rsidRPr="00705266" w:rsidRDefault="00B65BEC">
      <w:pPr>
        <w:spacing w:line="361" w:lineRule="auto"/>
        <w:ind w:left="120" w:right="874"/>
        <w:jc w:val="both"/>
        <w:rPr>
          <w:rFonts w:ascii="Arial" w:eastAsia="Arial" w:hAnsi="Arial" w:cs="Arial"/>
        </w:rPr>
      </w:pPr>
      <w:r>
        <w:rPr>
          <w:rFonts w:ascii="Arial" w:hAnsi="Arial"/>
          <w:spacing w:val="-2"/>
        </w:rPr>
        <w:t>There were fewer suicides in 2014 compared to 2013, with the figure being lower than the average for the last ten years.</w:t>
      </w:r>
    </w:p>
    <w:p w:rsidR="006F3ED5" w:rsidRPr="00705266" w:rsidRDefault="006F3ED5">
      <w:pPr>
        <w:spacing w:before="3" w:line="240" w:lineRule="exact"/>
        <w:rPr>
          <w:sz w:val="24"/>
          <w:szCs w:val="24"/>
        </w:rPr>
      </w:pPr>
    </w:p>
    <w:p w:rsidR="006F3ED5" w:rsidRPr="00705266" w:rsidRDefault="00B65BEC">
      <w:pPr>
        <w:spacing w:line="360" w:lineRule="auto"/>
        <w:ind w:left="120" w:right="867"/>
        <w:jc w:val="both"/>
        <w:rPr>
          <w:rFonts w:ascii="Arial" w:eastAsia="Arial" w:hAnsi="Arial" w:cs="Arial"/>
        </w:rPr>
      </w:pPr>
      <w:r>
        <w:rPr>
          <w:rFonts w:ascii="Arial" w:hAnsi="Arial"/>
        </w:rPr>
        <w:t>The trend in accident precursors over the last few years has been negative, with a sharp and substantial worsening having taken place mainly with respect to track buckles and broken rails, which may indicate problems with maintenance and upkeep of this fundamental aspect of rail transport safety.</w:t>
      </w:r>
    </w:p>
    <w:p w:rsidR="006F3ED5" w:rsidRPr="00705266" w:rsidRDefault="006F3ED5">
      <w:pPr>
        <w:spacing w:before="15" w:line="220" w:lineRule="exact"/>
        <w:rPr>
          <w:sz w:val="22"/>
          <w:szCs w:val="22"/>
        </w:rPr>
      </w:pPr>
    </w:p>
    <w:p w:rsidR="006F3ED5" w:rsidRPr="00041E50" w:rsidRDefault="00B65BEC" w:rsidP="00705059">
      <w:pPr>
        <w:pStyle w:val="TITRE2"/>
        <w:spacing w:line="276" w:lineRule="auto"/>
        <w:ind w:left="1757" w:hanging="561"/>
      </w:pPr>
      <w:bookmarkStart w:id="11" w:name="_Toc435689571"/>
      <w:bookmarkStart w:id="12" w:name="_Toc442177337"/>
      <w:r>
        <w:t>National strategy on safety, initiatives and other relevant facts</w:t>
      </w:r>
      <w:bookmarkEnd w:id="11"/>
      <w:bookmarkEnd w:id="12"/>
    </w:p>
    <w:p w:rsidR="006F3ED5" w:rsidRPr="00705266" w:rsidRDefault="00B65BEC">
      <w:pPr>
        <w:spacing w:before="70" w:line="360" w:lineRule="auto"/>
        <w:ind w:left="120" w:right="863"/>
        <w:jc w:val="both"/>
        <w:rPr>
          <w:rFonts w:ascii="Arial" w:eastAsia="Arial" w:hAnsi="Arial" w:cs="Arial"/>
        </w:rPr>
      </w:pPr>
      <w:r>
        <w:rPr>
          <w:rFonts w:ascii="Arial" w:hAnsi="Arial"/>
          <w:spacing w:val="-5"/>
        </w:rPr>
        <w:t>Although the last few years have not seen many projects undertaken in the area of safety, particularly those relating to infrastructure, it was possible to continue the programme for the reduction in level crossings. 14 level crossings were improved or closed during 2014. These activities will continue in the future in accordance with new objectives outlined for 2015-2020 by the infrastructure manager.</w:t>
      </w:r>
    </w:p>
    <w:p w:rsidR="006F3ED5" w:rsidRPr="00705266" w:rsidRDefault="006F3ED5">
      <w:pPr>
        <w:spacing w:before="4" w:line="240" w:lineRule="exact"/>
        <w:rPr>
          <w:sz w:val="24"/>
          <w:szCs w:val="24"/>
        </w:rPr>
      </w:pPr>
    </w:p>
    <w:p w:rsidR="006F3ED5" w:rsidRPr="00705266" w:rsidRDefault="00B65BEC">
      <w:pPr>
        <w:spacing w:line="359" w:lineRule="auto"/>
        <w:ind w:left="120" w:right="861"/>
        <w:jc w:val="both"/>
        <w:rPr>
          <w:rFonts w:ascii="Arial" w:eastAsia="Arial" w:hAnsi="Arial" w:cs="Arial"/>
        </w:rPr>
      </w:pPr>
      <w:r>
        <w:rPr>
          <w:rFonts w:ascii="Arial" w:hAnsi="Arial"/>
          <w:spacing w:val="-2"/>
        </w:rPr>
        <w:t>On 29 August 2013, in a move to promote the development and efficiency of the National Railway Network, the government created a Working Group to present recommendations for investment in infrastructure with a high added value (Infra-estruturas de Elevado Valor Acrescentado – GT IEVAS). In 2014 the group presented its conclusions, which served as the basis for the creation of the Strategic Plan for Transport and Infrastructure (Plano Estratégico de Transportes e Infraestruturas – PETI3+).</w:t>
      </w:r>
    </w:p>
    <w:p w:rsidR="006F3ED5" w:rsidRPr="00705266" w:rsidRDefault="006F3ED5">
      <w:pPr>
        <w:spacing w:before="4" w:line="240" w:lineRule="exact"/>
        <w:rPr>
          <w:sz w:val="24"/>
          <w:szCs w:val="24"/>
        </w:rPr>
      </w:pPr>
    </w:p>
    <w:p w:rsidR="006F3ED5" w:rsidRDefault="00B65BEC">
      <w:pPr>
        <w:spacing w:line="360" w:lineRule="auto"/>
        <w:ind w:left="120" w:right="873"/>
        <w:jc w:val="both"/>
        <w:rPr>
          <w:rFonts w:ascii="Arial" w:eastAsia="Arial" w:hAnsi="Arial" w:cs="Arial"/>
          <w:w w:val="101"/>
        </w:rPr>
      </w:pPr>
      <w:r>
        <w:rPr>
          <w:rFonts w:ascii="Arial" w:hAnsi="Arial"/>
        </w:rPr>
        <w:t>Implementation of this plan will have a positive impact on safety, given that the modernisation of infrastructure enables modern command and control systems to be installed on lines where they do not yet exist and for railway operating conditions to be improved on a variety of lines.</w:t>
      </w:r>
    </w:p>
    <w:p w:rsidR="004119CA" w:rsidRDefault="004119CA">
      <w:pPr>
        <w:spacing w:before="35" w:line="358" w:lineRule="auto"/>
        <w:ind w:left="120" w:right="868"/>
        <w:jc w:val="both"/>
        <w:rPr>
          <w:rFonts w:ascii="Arial" w:eastAsia="Arial" w:hAnsi="Arial" w:cs="Arial"/>
          <w:spacing w:val="-2"/>
        </w:rPr>
      </w:pPr>
    </w:p>
    <w:p w:rsidR="006F3ED5" w:rsidRPr="00705266" w:rsidRDefault="00B65BEC">
      <w:pPr>
        <w:spacing w:before="35" w:line="358" w:lineRule="auto"/>
        <w:ind w:left="120" w:right="868"/>
        <w:jc w:val="both"/>
        <w:rPr>
          <w:rFonts w:ascii="Arial" w:eastAsia="Arial" w:hAnsi="Arial" w:cs="Arial"/>
        </w:rPr>
      </w:pPr>
      <w:r>
        <w:rPr>
          <w:rFonts w:ascii="Arial" w:hAnsi="Arial"/>
          <w:spacing w:val="-2"/>
        </w:rPr>
        <w:t>IP, S.A. has developed a plan for the closure and requalification of level crossings and improvements to station crossings, which will also lead to an improvement in the number of rail-related accidents.</w:t>
      </w:r>
    </w:p>
    <w:p w:rsidR="006F3ED5" w:rsidRPr="00705266" w:rsidRDefault="006F3ED5">
      <w:pPr>
        <w:spacing w:before="5" w:line="240" w:lineRule="exact"/>
        <w:rPr>
          <w:sz w:val="24"/>
          <w:szCs w:val="24"/>
        </w:rPr>
      </w:pPr>
    </w:p>
    <w:p w:rsidR="006F3ED5" w:rsidRPr="00705266" w:rsidRDefault="00B65BEC">
      <w:pPr>
        <w:spacing w:line="360" w:lineRule="auto"/>
        <w:ind w:left="120" w:right="873"/>
        <w:jc w:val="both"/>
        <w:rPr>
          <w:rFonts w:ascii="Arial" w:eastAsia="Arial" w:hAnsi="Arial" w:cs="Arial"/>
        </w:rPr>
      </w:pPr>
      <w:r>
        <w:rPr>
          <w:rFonts w:ascii="Arial" w:hAnsi="Arial"/>
          <w:spacing w:val="-2"/>
        </w:rPr>
        <w:lastRenderedPageBreak/>
        <w:t>There continues to be a strong intention to move forward in terms of railway system safety and to comply consistently with the safety objectives outlined in European Community legislation for Portugal, within existing limitations.</w:t>
      </w:r>
    </w:p>
    <w:p w:rsidR="006F3ED5" w:rsidRPr="00705266" w:rsidRDefault="006F3ED5">
      <w:pPr>
        <w:spacing w:before="3" w:line="240" w:lineRule="exact"/>
        <w:rPr>
          <w:sz w:val="24"/>
          <w:szCs w:val="24"/>
        </w:rPr>
      </w:pPr>
    </w:p>
    <w:p w:rsidR="006F3ED5" w:rsidRPr="00705266" w:rsidRDefault="00B65BEC">
      <w:pPr>
        <w:spacing w:line="360" w:lineRule="auto"/>
        <w:ind w:left="120" w:right="870"/>
        <w:jc w:val="both"/>
        <w:rPr>
          <w:rFonts w:ascii="Arial" w:eastAsia="Arial" w:hAnsi="Arial" w:cs="Arial"/>
        </w:rPr>
      </w:pPr>
      <w:r>
        <w:rPr>
          <w:rFonts w:ascii="Arial" w:hAnsi="Arial"/>
          <w:spacing w:val="-2"/>
        </w:rPr>
        <w:t>Another noteworthy development in 2014 is the continuing certification process for entities in charge of wagon maintenance, and the increase in the number of risk analyses carried out by the infrastructure manager and rail transport companies within a context of the significant changes implemented in railway sub-systems.</w:t>
      </w:r>
    </w:p>
    <w:p w:rsidR="006F3ED5" w:rsidRPr="00705266" w:rsidRDefault="006F3ED5">
      <w:pPr>
        <w:spacing w:before="9" w:line="220" w:lineRule="exact"/>
        <w:rPr>
          <w:sz w:val="22"/>
          <w:szCs w:val="22"/>
        </w:rPr>
      </w:pPr>
    </w:p>
    <w:p w:rsidR="006F3ED5" w:rsidRPr="00705266" w:rsidRDefault="00B65BEC" w:rsidP="003B44FB">
      <w:pPr>
        <w:pStyle w:val="TITRE2"/>
      </w:pPr>
      <w:bookmarkStart w:id="13" w:name="_Toc435689572"/>
      <w:bookmarkStart w:id="14" w:name="_Toc442177338"/>
      <w:r>
        <w:t>Review of the previous year</w:t>
      </w:r>
      <w:bookmarkEnd w:id="13"/>
      <w:bookmarkEnd w:id="14"/>
    </w:p>
    <w:p w:rsidR="006F3ED5" w:rsidRPr="00705266" w:rsidRDefault="006F3ED5">
      <w:pPr>
        <w:spacing w:before="8" w:line="200" w:lineRule="exact"/>
      </w:pPr>
    </w:p>
    <w:p w:rsidR="006F3ED5" w:rsidRPr="00705266" w:rsidRDefault="00B65BEC">
      <w:pPr>
        <w:spacing w:line="348" w:lineRule="auto"/>
        <w:ind w:left="120" w:right="861"/>
        <w:jc w:val="both"/>
        <w:rPr>
          <w:rFonts w:ascii="Arial" w:eastAsia="Arial" w:hAnsi="Arial" w:cs="Arial"/>
        </w:rPr>
      </w:pPr>
      <w:r>
        <w:rPr>
          <w:rFonts w:ascii="Arial" w:hAnsi="Arial"/>
        </w:rPr>
        <w:t>The downwards trend in the accident rate was reversed in 2011, a year which produced the lowest figures since records began to be kept in accordance with the harmonised methodology developed by the European Railway Agency.</w:t>
      </w:r>
      <w:r>
        <w:rPr>
          <w:rStyle w:val="FootnoteReference"/>
          <w:rFonts w:ascii="Arial" w:hAnsi="Arial"/>
          <w:spacing w:val="-3"/>
        </w:rPr>
        <w:footnoteReference w:id="4"/>
      </w:r>
      <w:r>
        <w:rPr>
          <w:rFonts w:ascii="Arial" w:hAnsi="Arial"/>
        </w:rPr>
        <w:t xml:space="preserve"> In subsequent years there has been a slight increase in the total number of accidents per year, although with a decrease in fatalities in 2014.</w:t>
      </w:r>
    </w:p>
    <w:p w:rsidR="006F3ED5" w:rsidRPr="00705266" w:rsidRDefault="006F3ED5">
      <w:pPr>
        <w:spacing w:before="10" w:line="240" w:lineRule="exact"/>
        <w:rPr>
          <w:sz w:val="24"/>
          <w:szCs w:val="24"/>
        </w:rPr>
      </w:pPr>
    </w:p>
    <w:p w:rsidR="006F3ED5" w:rsidRPr="00705266" w:rsidRDefault="00B65BEC">
      <w:pPr>
        <w:spacing w:line="360" w:lineRule="auto"/>
        <w:ind w:left="120" w:right="863"/>
        <w:jc w:val="both"/>
        <w:rPr>
          <w:rFonts w:ascii="Arial" w:eastAsia="Arial" w:hAnsi="Arial" w:cs="Arial"/>
        </w:rPr>
      </w:pPr>
      <w:r>
        <w:rPr>
          <w:rFonts w:ascii="Arial" w:hAnsi="Arial"/>
        </w:rPr>
        <w:t>The increase in the number of accidents is due essentially to incidents that occur outside the sphere of core railway activity, specifically involving interfaces between the system and third parties, such as train collisions with trespassers on railway property and with people who do not obey the rules of use of level crossings. The death rate recorded in 2014 increased significantly (26.9%) compared to 2013, especially in deaths due to accidents at level crossings. The number of accidents leading passenger and railway staff deaths and injuries remains at a very low level and shows no signs of increasing. The exception is the increase in passenger injuries, which runs counter to the steady figures of previous years.</w:t>
      </w:r>
    </w:p>
    <w:p w:rsidR="006F3ED5" w:rsidRPr="00705266" w:rsidRDefault="006F3ED5">
      <w:pPr>
        <w:spacing w:before="4" w:line="240" w:lineRule="exact"/>
        <w:rPr>
          <w:sz w:val="24"/>
          <w:szCs w:val="24"/>
        </w:rPr>
      </w:pPr>
    </w:p>
    <w:p w:rsidR="006F3ED5" w:rsidRPr="00705266" w:rsidRDefault="00B65BEC" w:rsidP="00FB6632">
      <w:pPr>
        <w:spacing w:line="360" w:lineRule="auto"/>
        <w:ind w:left="120" w:right="867"/>
        <w:jc w:val="both"/>
        <w:rPr>
          <w:rFonts w:ascii="Arial" w:eastAsia="Arial" w:hAnsi="Arial" w:cs="Arial"/>
        </w:rPr>
      </w:pPr>
      <w:r>
        <w:rPr>
          <w:rFonts w:ascii="Arial" w:hAnsi="Arial"/>
        </w:rPr>
        <w:t>The reversal of the downwards trend in dangerous situations that could lead to accidents is a situation that deserves in-depth consideration by all players in the railway system, to allow identification of the most appropriate corrective measures from a technical and economic viewpoint. The reversal of this trend continues to be an objective shared and taken on by the companies involved, as well as by the National Safety Authority.</w:t>
      </w:r>
    </w:p>
    <w:p w:rsidR="00FB6632" w:rsidRDefault="00FB6632">
      <w:pPr>
        <w:spacing w:before="35" w:line="360" w:lineRule="auto"/>
        <w:ind w:left="120" w:right="864"/>
        <w:jc w:val="both"/>
        <w:rPr>
          <w:rFonts w:ascii="Arial" w:eastAsia="Arial" w:hAnsi="Arial" w:cs="Arial"/>
          <w:spacing w:val="-5"/>
        </w:rPr>
      </w:pPr>
    </w:p>
    <w:p w:rsidR="006F3ED5" w:rsidRPr="00705266" w:rsidRDefault="00B65BEC">
      <w:pPr>
        <w:spacing w:before="35" w:line="360" w:lineRule="auto"/>
        <w:ind w:left="120" w:right="864"/>
        <w:jc w:val="both"/>
        <w:rPr>
          <w:rFonts w:ascii="Arial" w:eastAsia="Arial" w:hAnsi="Arial" w:cs="Arial"/>
        </w:rPr>
      </w:pPr>
      <w:r>
        <w:rPr>
          <w:rFonts w:ascii="Arial" w:hAnsi="Arial"/>
          <w:spacing w:val="-5"/>
        </w:rPr>
        <w:t>In 2014 the National Safety Authority carried out a variety of supervisory and inspection activities, checking safety conditions in the operation of lines on which significant accidents had occurred. Other activities focused on checking the state of maintenance for certain series of rolling stock. These activities permitted a more concrete understanding of dangerous situations that can lead to the occurrence of accident precursors, and the delineation of strategies for more specific monitoring of such situations.</w:t>
      </w:r>
    </w:p>
    <w:p w:rsidR="006F3ED5" w:rsidRPr="00705266" w:rsidRDefault="006F3ED5">
      <w:pPr>
        <w:spacing w:before="4" w:line="240" w:lineRule="exact"/>
        <w:rPr>
          <w:sz w:val="24"/>
          <w:szCs w:val="24"/>
        </w:rPr>
      </w:pPr>
    </w:p>
    <w:p w:rsidR="006F3ED5" w:rsidRPr="00705266" w:rsidRDefault="00B65BEC">
      <w:pPr>
        <w:spacing w:line="360" w:lineRule="auto"/>
        <w:ind w:left="120" w:right="871"/>
        <w:jc w:val="both"/>
        <w:rPr>
          <w:rFonts w:ascii="Arial" w:eastAsia="Arial" w:hAnsi="Arial" w:cs="Arial"/>
        </w:rPr>
      </w:pPr>
      <w:r>
        <w:rPr>
          <w:rFonts w:ascii="Arial" w:hAnsi="Arial"/>
          <w:spacing w:val="-3"/>
        </w:rPr>
        <w:lastRenderedPageBreak/>
        <w:t>Following the accident that occurred in 2013, it must be noted that incidents of conditions of poor adhesion continued to be recorded in 2014, in accordance with the specific rule on the movement of trains in conditions of low adhesion.</w:t>
      </w:r>
    </w:p>
    <w:p w:rsidR="006F3ED5" w:rsidRPr="00705266" w:rsidRDefault="006F3ED5">
      <w:pPr>
        <w:spacing w:before="10" w:line="220" w:lineRule="exact"/>
        <w:rPr>
          <w:sz w:val="22"/>
          <w:szCs w:val="22"/>
        </w:rPr>
      </w:pPr>
    </w:p>
    <w:p w:rsidR="006F3ED5" w:rsidRPr="00705266" w:rsidRDefault="00B65BEC" w:rsidP="003B44FB">
      <w:pPr>
        <w:pStyle w:val="TITRE2"/>
      </w:pPr>
      <w:bookmarkStart w:id="15" w:name="_Toc435689573"/>
      <w:bookmarkStart w:id="16" w:name="_Toc442177339"/>
      <w:r>
        <w:t>Priority areas to be developed over the next year</w:t>
      </w:r>
      <w:bookmarkEnd w:id="15"/>
      <w:bookmarkEnd w:id="16"/>
    </w:p>
    <w:p w:rsidR="006F3ED5" w:rsidRPr="00705266" w:rsidRDefault="006F3ED5">
      <w:pPr>
        <w:spacing w:before="8" w:line="200" w:lineRule="exact"/>
      </w:pPr>
    </w:p>
    <w:p w:rsidR="006F3ED5" w:rsidRPr="00705266" w:rsidRDefault="00B65BEC">
      <w:pPr>
        <w:spacing w:line="360" w:lineRule="auto"/>
        <w:ind w:left="120" w:right="865"/>
        <w:jc w:val="both"/>
        <w:rPr>
          <w:rFonts w:ascii="Arial" w:eastAsia="Arial" w:hAnsi="Arial" w:cs="Arial"/>
        </w:rPr>
      </w:pPr>
      <w:r>
        <w:rPr>
          <w:rFonts w:ascii="Arial" w:hAnsi="Arial"/>
          <w:spacing w:val="-2"/>
        </w:rPr>
        <w:t>In 2015/16, the IMT, I.P. will intensify the supervision of companies subject to its governance, applying the supervisory strategy developed in the context of implementing Commission Regulation (EU) No 1077/2012.</w:t>
      </w:r>
    </w:p>
    <w:p w:rsidR="006F3ED5" w:rsidRPr="00705266" w:rsidRDefault="006F3ED5">
      <w:pPr>
        <w:spacing w:before="4" w:line="240" w:lineRule="exact"/>
        <w:rPr>
          <w:sz w:val="24"/>
          <w:szCs w:val="24"/>
        </w:rPr>
      </w:pPr>
    </w:p>
    <w:p w:rsidR="006F3ED5" w:rsidRPr="00705266" w:rsidRDefault="00B65BEC" w:rsidP="00FB6632">
      <w:pPr>
        <w:spacing w:line="358" w:lineRule="auto"/>
        <w:ind w:left="119" w:right="868"/>
        <w:jc w:val="both"/>
        <w:rPr>
          <w:rFonts w:ascii="Arial" w:eastAsia="Arial" w:hAnsi="Arial" w:cs="Arial"/>
        </w:rPr>
      </w:pPr>
      <w:r>
        <w:rPr>
          <w:rFonts w:ascii="Arial" w:hAnsi="Arial"/>
        </w:rPr>
        <w:t>Another priority for the IMT, I.P. is continuing the process of revising the technical regulations that comprise railway safety regulations, in order to simplify and better fit those regulations to the legal framework of both Portugal and the European Union.</w:t>
      </w:r>
    </w:p>
    <w:p w:rsidR="006F3ED5" w:rsidRPr="00705266" w:rsidRDefault="006F3ED5">
      <w:pPr>
        <w:spacing w:before="6" w:line="240" w:lineRule="exact"/>
        <w:rPr>
          <w:sz w:val="24"/>
          <w:szCs w:val="24"/>
        </w:rPr>
      </w:pPr>
    </w:p>
    <w:p w:rsidR="006F3ED5" w:rsidRPr="00705266" w:rsidRDefault="00B65BEC" w:rsidP="00FB6632">
      <w:pPr>
        <w:spacing w:line="358" w:lineRule="auto"/>
        <w:ind w:left="119" w:right="868"/>
        <w:jc w:val="both"/>
      </w:pPr>
      <w:r>
        <w:rPr>
          <w:rFonts w:ascii="Arial" w:hAnsi="Arial"/>
        </w:rPr>
        <w:t>Furthermore, in response to the organizational restructuring of the infrastructure manager, the monitoring of the process of reconverting and closing LCs mentioned in point B.2. has become a priority.</w:t>
      </w:r>
    </w:p>
    <w:p w:rsidR="00FB6632" w:rsidRDefault="00FB6632">
      <w:r>
        <w:br w:type="page"/>
      </w:r>
    </w:p>
    <w:p w:rsidR="006F3ED5" w:rsidRPr="00705266" w:rsidRDefault="00B65BEC" w:rsidP="00041E50">
      <w:pPr>
        <w:pStyle w:val="titre1"/>
      </w:pPr>
      <w:bookmarkStart w:id="17" w:name="_Toc435689574"/>
      <w:bookmarkStart w:id="18" w:name="_Toc442177340"/>
      <w:r>
        <w:lastRenderedPageBreak/>
        <w:t>DEVELOPMENT OF RAILWAY SAFETY</w:t>
      </w:r>
      <w:bookmarkEnd w:id="17"/>
      <w:bookmarkEnd w:id="18"/>
    </w:p>
    <w:p w:rsidR="006F3ED5" w:rsidRPr="00705266" w:rsidRDefault="006F3ED5">
      <w:pPr>
        <w:spacing w:before="8" w:line="180" w:lineRule="exact"/>
        <w:rPr>
          <w:sz w:val="19"/>
          <w:szCs w:val="19"/>
        </w:rPr>
      </w:pPr>
    </w:p>
    <w:p w:rsidR="006F3ED5" w:rsidRPr="00705266" w:rsidRDefault="006F3ED5">
      <w:pPr>
        <w:spacing w:line="200" w:lineRule="exact"/>
      </w:pPr>
    </w:p>
    <w:p w:rsidR="006F3ED5" w:rsidRPr="00705266" w:rsidRDefault="00B65BEC" w:rsidP="003B44FB">
      <w:pPr>
        <w:pStyle w:val="TITRE2"/>
      </w:pPr>
      <w:bookmarkStart w:id="19" w:name="_Toc435689575"/>
      <w:bookmarkStart w:id="20" w:name="_Toc442177341"/>
      <w:r>
        <w:t>Analysis of indicators and trends</w:t>
      </w:r>
      <w:bookmarkEnd w:id="19"/>
      <w:bookmarkEnd w:id="20"/>
    </w:p>
    <w:p w:rsidR="006F3ED5" w:rsidRPr="00705266" w:rsidRDefault="006F3ED5">
      <w:pPr>
        <w:spacing w:before="8" w:line="200" w:lineRule="exact"/>
      </w:pPr>
    </w:p>
    <w:p w:rsidR="006F3ED5" w:rsidRPr="00705266" w:rsidRDefault="00B65BEC" w:rsidP="00207CAC">
      <w:pPr>
        <w:pStyle w:val="paragraphe1"/>
      </w:pPr>
      <w:r>
        <w:t>This section of the report provides a detailed analysis of trends seen in the Common Safety Indicators over the ten year period of 2005 to 2014. It will also provide an analysis of rail system safety performance in 2014 through comparison with the previous year’s data and the average over the last five years. Annex C contains tables of the numerical data used in calculating the Common Safety Indicators for 2014. The data presented in this report was calculated and analysed based on the common European definitions and methods developed by the ERA</w:t>
      </w:r>
      <w:r>
        <w:rPr>
          <w:rStyle w:val="FootnoteReference"/>
          <w:spacing w:val="-4"/>
        </w:rPr>
        <w:footnoteReference w:id="5"/>
      </w:r>
      <w:r>
        <w:t>.</w:t>
      </w:r>
    </w:p>
    <w:p w:rsidR="006F3ED5" w:rsidRPr="00705266" w:rsidRDefault="006F3ED5" w:rsidP="00207CAC">
      <w:pPr>
        <w:pStyle w:val="paragraphe1"/>
      </w:pPr>
    </w:p>
    <w:p w:rsidR="006F3ED5" w:rsidRPr="00705266" w:rsidRDefault="00B65BEC" w:rsidP="00207CAC">
      <w:pPr>
        <w:pStyle w:val="paragraphe1"/>
      </w:pPr>
      <w:r>
        <w:t>The overall assessment generally shows that there was an improvement in the accident rate in 2014 compared to 2013. The number of accidents increased by 4.2% in comparison with the previous year, although it remained 15.3% below the average for the last ten years and 28.2% above the average of the last five years. The number of fatalities decreased by 7 units (-26.9%), a drop of 19.5% relative to the average for the last five years.</w:t>
      </w:r>
    </w:p>
    <w:p w:rsidR="006F3ED5" w:rsidRPr="00705266" w:rsidRDefault="006F3ED5" w:rsidP="00207CAC">
      <w:pPr>
        <w:pStyle w:val="paragraphe1"/>
        <w:rPr>
          <w:sz w:val="24"/>
          <w:szCs w:val="24"/>
        </w:rPr>
      </w:pPr>
    </w:p>
    <w:p w:rsidR="006F3ED5" w:rsidRPr="00705266" w:rsidRDefault="00B65BEC" w:rsidP="00207CAC">
      <w:pPr>
        <w:pStyle w:val="paragraphe1"/>
      </w:pPr>
      <w:r>
        <w:t>A positive point to emerge from this analysis is that for the fourth consecutive year there were no fatalities amongst passengers or rail workers, and that suicides (44) decreased by 6.4% versus 2013, a figure that was 17.0% lower than the average for the last five years and 10.2% lower than the average for the last ten years.</w:t>
      </w:r>
    </w:p>
    <w:p w:rsidR="006F3ED5" w:rsidRPr="00705266" w:rsidRDefault="006F3ED5" w:rsidP="00207CAC">
      <w:pPr>
        <w:pStyle w:val="paragraphe1"/>
        <w:rPr>
          <w:sz w:val="24"/>
          <w:szCs w:val="24"/>
        </w:rPr>
      </w:pPr>
    </w:p>
    <w:p w:rsidR="006F3ED5" w:rsidRPr="00705266" w:rsidRDefault="00B65BEC" w:rsidP="00207CAC">
      <w:pPr>
        <w:pStyle w:val="paragraphe1"/>
      </w:pPr>
      <w:r>
        <w:t>The process of reducing the number of level crossings and improving traffic conditions continues, with the elimination of an additional fourteen LCs. The number of LCs that have some type of active protection (manual or automatic) continues to be higher than the number of LCs with passive protection (458 vs 398). This reduction was reflected in a drop in the number of fatalities at level crossings: a decrease of 60% in relation to both 2013 and to the average of the last five years, and 66% compared to the previous ten years.</w:t>
      </w:r>
    </w:p>
    <w:p w:rsidR="006F3ED5" w:rsidRPr="00705266" w:rsidRDefault="006F3ED5" w:rsidP="00207CAC">
      <w:pPr>
        <w:pStyle w:val="paragraphe1"/>
        <w:rPr>
          <w:sz w:val="24"/>
          <w:szCs w:val="24"/>
        </w:rPr>
      </w:pPr>
    </w:p>
    <w:p w:rsidR="006F3ED5" w:rsidRPr="00705266" w:rsidRDefault="00B65BEC" w:rsidP="00207CAC">
      <w:pPr>
        <w:pStyle w:val="paragraphe1"/>
      </w:pPr>
      <w:r>
        <w:t>The following charts and graphs for the various indicators provide a clear and intuitive view of change in the area of safety over the last ten years.</w:t>
      </w:r>
    </w:p>
    <w:p w:rsidR="006F3ED5" w:rsidRPr="00705266" w:rsidRDefault="006F3ED5">
      <w:pPr>
        <w:spacing w:before="3" w:line="240" w:lineRule="exact"/>
        <w:rPr>
          <w:sz w:val="24"/>
          <w:szCs w:val="24"/>
        </w:rPr>
      </w:pPr>
    </w:p>
    <w:p w:rsidR="006F3ED5" w:rsidRPr="00705266" w:rsidRDefault="00B65BEC" w:rsidP="00BB2A51">
      <w:pPr>
        <w:pStyle w:val="TITRE3"/>
      </w:pPr>
      <w:r>
        <w:t>Fatalities and Serious Injuries</w:t>
      </w:r>
    </w:p>
    <w:p w:rsidR="006F3ED5" w:rsidRPr="00BB2A51" w:rsidRDefault="00B65BEC" w:rsidP="008F4808">
      <w:pPr>
        <w:pStyle w:val="TITRE4"/>
      </w:pPr>
      <w:r>
        <w:t>Fatalities per type of accident</w:t>
      </w:r>
    </w:p>
    <w:p w:rsidR="006F3ED5" w:rsidRPr="00705266" w:rsidRDefault="006F3ED5">
      <w:pPr>
        <w:spacing w:before="6" w:line="120" w:lineRule="exact"/>
        <w:rPr>
          <w:sz w:val="12"/>
          <w:szCs w:val="12"/>
        </w:rPr>
      </w:pPr>
    </w:p>
    <w:p w:rsidR="006F3ED5" w:rsidRPr="00705266" w:rsidRDefault="00B65BEC">
      <w:pPr>
        <w:spacing w:before="39" w:line="200" w:lineRule="exact"/>
        <w:ind w:left="1765"/>
        <w:rPr>
          <w:rFonts w:ascii="Arial" w:eastAsia="Arial" w:hAnsi="Arial" w:cs="Arial"/>
          <w:sz w:val="18"/>
          <w:szCs w:val="18"/>
        </w:rPr>
      </w:pPr>
      <w:r>
        <w:rPr>
          <w:rFonts w:ascii="Arial" w:hAnsi="Arial"/>
          <w:b/>
          <w:spacing w:val="-1"/>
          <w:position w:val="-1"/>
          <w:sz w:val="18"/>
        </w:rPr>
        <w:lastRenderedPageBreak/>
        <w:t>Table 1 – Total number of fatalities per type of accident, 2005-2014</w:t>
      </w:r>
    </w:p>
    <w:p w:rsidR="00FB6632" w:rsidRDefault="00FB6632">
      <w:pPr>
        <w:ind w:left="345" w:right="326"/>
        <w:jc w:val="center"/>
        <w:rPr>
          <w:rFonts w:ascii="Arial" w:eastAsia="Arial" w:hAnsi="Arial" w:cs="Arial"/>
          <w:b/>
          <w:spacing w:val="-1"/>
          <w:w w:val="101"/>
          <w:sz w:val="18"/>
          <w:szCs w:val="18"/>
        </w:rPr>
      </w:pPr>
    </w:p>
    <w:p w:rsidR="00746BB3" w:rsidRPr="00705266" w:rsidRDefault="00746BB3" w:rsidP="002121BE">
      <w:pPr>
        <w:jc w:val="center"/>
        <w:rPr>
          <w:rFonts w:ascii="Arial" w:eastAsia="Arial" w:hAnsi="Arial" w:cs="Arial"/>
          <w:sz w:val="18"/>
          <w:szCs w:val="18"/>
        </w:rPr>
      </w:pPr>
    </w:p>
    <w:p w:rsidR="002121BE" w:rsidRDefault="002121BE" w:rsidP="002121BE">
      <w:pPr>
        <w:rPr>
          <w:rFonts w:ascii="Arial" w:eastAsia="Arial" w:hAnsi="Arial" w:cs="Arial"/>
          <w:b/>
          <w:spacing w:val="-6"/>
          <w:sz w:val="18"/>
          <w:szCs w:val="18"/>
        </w:rPr>
      </w:pPr>
    </w:p>
    <w:tbl>
      <w:tblPr>
        <w:tblStyle w:val="TableGrid"/>
        <w:tblW w:w="0" w:type="auto"/>
        <w:tblLook w:val="04A0" w:firstRow="1" w:lastRow="0" w:firstColumn="1" w:lastColumn="0" w:noHBand="0" w:noVBand="1"/>
      </w:tblPr>
      <w:tblGrid>
        <w:gridCol w:w="2049"/>
        <w:gridCol w:w="630"/>
        <w:gridCol w:w="631"/>
        <w:gridCol w:w="631"/>
        <w:gridCol w:w="632"/>
        <w:gridCol w:w="632"/>
        <w:gridCol w:w="632"/>
        <w:gridCol w:w="632"/>
        <w:gridCol w:w="727"/>
        <w:gridCol w:w="537"/>
        <w:gridCol w:w="632"/>
        <w:gridCol w:w="632"/>
        <w:gridCol w:w="632"/>
      </w:tblGrid>
      <w:tr w:rsidR="002121BE" w:rsidRPr="002121BE" w:rsidTr="000E55DB">
        <w:trPr>
          <w:cantSplit/>
          <w:trHeight w:val="1134"/>
        </w:trPr>
        <w:tc>
          <w:tcPr>
            <w:tcW w:w="2049" w:type="dxa"/>
            <w:textDirection w:val="btLr"/>
            <w:vAlign w:val="center"/>
          </w:tcPr>
          <w:p w:rsidR="002121BE" w:rsidRPr="002121BE" w:rsidRDefault="002121BE" w:rsidP="006A2FC1">
            <w:pPr>
              <w:ind w:left="113" w:right="113"/>
              <w:jc w:val="center"/>
              <w:rPr>
                <w:rFonts w:ascii="Arial" w:eastAsia="Arial" w:hAnsi="Arial" w:cs="Arial"/>
                <w:b/>
                <w:sz w:val="16"/>
                <w:szCs w:val="16"/>
              </w:rPr>
            </w:pPr>
          </w:p>
        </w:tc>
        <w:tc>
          <w:tcPr>
            <w:tcW w:w="630" w:type="dxa"/>
            <w:textDirection w:val="btLr"/>
            <w:vAlign w:val="center"/>
          </w:tcPr>
          <w:p w:rsidR="002121BE" w:rsidRPr="002121BE" w:rsidRDefault="002121BE" w:rsidP="00A27499">
            <w:pPr>
              <w:pStyle w:val="DoNotTranslateExternal3"/>
              <w:rPr>
                <w:w w:val="101"/>
              </w:rPr>
            </w:pPr>
            <w:r>
              <w:rPr>
                <w:w w:val="101"/>
              </w:rPr>
              <w:t>2005</w:t>
            </w:r>
          </w:p>
        </w:tc>
        <w:tc>
          <w:tcPr>
            <w:tcW w:w="631" w:type="dxa"/>
            <w:textDirection w:val="btLr"/>
            <w:vAlign w:val="center"/>
          </w:tcPr>
          <w:p w:rsidR="002121BE" w:rsidRPr="002121BE" w:rsidRDefault="002121BE" w:rsidP="00A27499">
            <w:pPr>
              <w:pStyle w:val="DoNotTranslateExternal3"/>
              <w:rPr>
                <w:w w:val="101"/>
              </w:rPr>
            </w:pPr>
            <w:r>
              <w:rPr>
                <w:w w:val="101"/>
              </w:rPr>
              <w:t>2006</w:t>
            </w:r>
          </w:p>
        </w:tc>
        <w:tc>
          <w:tcPr>
            <w:tcW w:w="631" w:type="dxa"/>
            <w:textDirection w:val="btLr"/>
            <w:vAlign w:val="center"/>
          </w:tcPr>
          <w:p w:rsidR="002121BE" w:rsidRPr="002121BE" w:rsidRDefault="002121BE" w:rsidP="00A27499">
            <w:pPr>
              <w:pStyle w:val="DoNotTranslateExternal3"/>
              <w:rPr>
                <w:w w:val="101"/>
              </w:rPr>
            </w:pPr>
            <w:r>
              <w:rPr>
                <w:w w:val="101"/>
              </w:rPr>
              <w:t>2007</w:t>
            </w:r>
          </w:p>
        </w:tc>
        <w:tc>
          <w:tcPr>
            <w:tcW w:w="632" w:type="dxa"/>
            <w:textDirection w:val="btLr"/>
            <w:vAlign w:val="center"/>
          </w:tcPr>
          <w:p w:rsidR="002121BE" w:rsidRPr="002121BE" w:rsidRDefault="002121BE" w:rsidP="00A27499">
            <w:pPr>
              <w:pStyle w:val="DoNotTranslateExternal3"/>
              <w:rPr>
                <w:w w:val="101"/>
              </w:rPr>
            </w:pPr>
            <w:r>
              <w:rPr>
                <w:w w:val="101"/>
              </w:rPr>
              <w:t>2008</w:t>
            </w:r>
          </w:p>
        </w:tc>
        <w:tc>
          <w:tcPr>
            <w:tcW w:w="632" w:type="dxa"/>
            <w:textDirection w:val="btLr"/>
            <w:vAlign w:val="center"/>
          </w:tcPr>
          <w:p w:rsidR="002121BE" w:rsidRPr="002121BE" w:rsidRDefault="002121BE" w:rsidP="00A27499">
            <w:pPr>
              <w:pStyle w:val="DoNotTranslateExternal3"/>
              <w:rPr>
                <w:w w:val="101"/>
              </w:rPr>
            </w:pPr>
            <w:r>
              <w:rPr>
                <w:w w:val="101"/>
              </w:rPr>
              <w:t>2009</w:t>
            </w:r>
          </w:p>
        </w:tc>
        <w:tc>
          <w:tcPr>
            <w:tcW w:w="632" w:type="dxa"/>
            <w:textDirection w:val="btLr"/>
            <w:vAlign w:val="center"/>
          </w:tcPr>
          <w:p w:rsidR="002121BE" w:rsidRPr="002121BE" w:rsidRDefault="002121BE" w:rsidP="00A27499">
            <w:pPr>
              <w:pStyle w:val="DoNotTranslateExternal3"/>
              <w:rPr>
                <w:w w:val="101"/>
              </w:rPr>
            </w:pPr>
            <w:r>
              <w:rPr>
                <w:w w:val="101"/>
              </w:rPr>
              <w:t>2010</w:t>
            </w:r>
          </w:p>
        </w:tc>
        <w:tc>
          <w:tcPr>
            <w:tcW w:w="632" w:type="dxa"/>
            <w:textDirection w:val="btLr"/>
            <w:vAlign w:val="center"/>
          </w:tcPr>
          <w:p w:rsidR="002121BE" w:rsidRPr="002121BE" w:rsidRDefault="002121BE" w:rsidP="00A27499">
            <w:pPr>
              <w:pStyle w:val="DoNotTranslateExternal3"/>
              <w:rPr>
                <w:w w:val="101"/>
              </w:rPr>
            </w:pPr>
            <w:r>
              <w:rPr>
                <w:w w:val="101"/>
              </w:rPr>
              <w:t>2011</w:t>
            </w:r>
          </w:p>
        </w:tc>
        <w:tc>
          <w:tcPr>
            <w:tcW w:w="727" w:type="dxa"/>
            <w:textDirection w:val="btLr"/>
            <w:vAlign w:val="center"/>
          </w:tcPr>
          <w:p w:rsidR="002121BE" w:rsidRPr="002121BE" w:rsidRDefault="002121BE" w:rsidP="00A27499">
            <w:pPr>
              <w:pStyle w:val="DoNotTranslateExternal3"/>
              <w:rPr>
                <w:w w:val="101"/>
              </w:rPr>
            </w:pPr>
            <w:r>
              <w:rPr>
                <w:w w:val="101"/>
              </w:rPr>
              <w:t>2012</w:t>
            </w:r>
          </w:p>
        </w:tc>
        <w:tc>
          <w:tcPr>
            <w:tcW w:w="537" w:type="dxa"/>
            <w:textDirection w:val="btLr"/>
            <w:vAlign w:val="center"/>
          </w:tcPr>
          <w:p w:rsidR="002121BE" w:rsidRPr="002121BE" w:rsidRDefault="002121BE" w:rsidP="00A27499">
            <w:pPr>
              <w:pStyle w:val="DoNotTranslateExternal3"/>
              <w:rPr>
                <w:w w:val="101"/>
              </w:rPr>
            </w:pPr>
            <w:r>
              <w:rPr>
                <w:w w:val="101"/>
              </w:rPr>
              <w:t>2013</w:t>
            </w:r>
          </w:p>
        </w:tc>
        <w:tc>
          <w:tcPr>
            <w:tcW w:w="632" w:type="dxa"/>
            <w:textDirection w:val="btLr"/>
            <w:vAlign w:val="center"/>
          </w:tcPr>
          <w:p w:rsidR="002121BE" w:rsidRPr="002121BE" w:rsidRDefault="002121BE" w:rsidP="00A27499">
            <w:pPr>
              <w:pStyle w:val="DoNotTranslateExternal3"/>
              <w:rPr>
                <w:w w:val="101"/>
              </w:rPr>
            </w:pPr>
            <w:r>
              <w:rPr>
                <w:w w:val="101"/>
              </w:rPr>
              <w:t>2014</w:t>
            </w:r>
          </w:p>
        </w:tc>
        <w:tc>
          <w:tcPr>
            <w:tcW w:w="632" w:type="dxa"/>
            <w:textDirection w:val="btLr"/>
            <w:vAlign w:val="center"/>
          </w:tcPr>
          <w:p w:rsidR="002121BE" w:rsidRPr="002121BE" w:rsidRDefault="002121BE" w:rsidP="006A2FC1">
            <w:pPr>
              <w:ind w:left="113" w:right="113"/>
              <w:jc w:val="center"/>
              <w:rPr>
                <w:rFonts w:ascii="Arial" w:eastAsia="Arial" w:hAnsi="Arial" w:cs="Arial"/>
                <w:b/>
                <w:w w:val="101"/>
                <w:sz w:val="16"/>
                <w:szCs w:val="16"/>
              </w:rPr>
            </w:pPr>
            <w:r>
              <w:rPr>
                <w:rFonts w:ascii="Arial" w:hAnsi="Arial"/>
                <w:b/>
                <w:spacing w:val="1"/>
                <w:sz w:val="16"/>
              </w:rPr>
              <w:t>Average for the period</w:t>
            </w:r>
          </w:p>
        </w:tc>
        <w:tc>
          <w:tcPr>
            <w:tcW w:w="632" w:type="dxa"/>
            <w:textDirection w:val="btLr"/>
            <w:vAlign w:val="center"/>
          </w:tcPr>
          <w:p w:rsidR="002121BE" w:rsidRPr="002121BE" w:rsidRDefault="002121BE" w:rsidP="006A2FC1">
            <w:pPr>
              <w:ind w:left="113" w:right="113"/>
              <w:jc w:val="center"/>
              <w:rPr>
                <w:rFonts w:ascii="Arial" w:hAnsi="Arial" w:cs="Arial"/>
                <w:sz w:val="16"/>
                <w:szCs w:val="16"/>
              </w:rPr>
            </w:pPr>
            <w:r>
              <w:rPr>
                <w:rFonts w:ascii="Arial" w:hAnsi="Arial"/>
                <w:b/>
                <w:spacing w:val="1"/>
                <w:sz w:val="16"/>
              </w:rPr>
              <w:t>Average over the last 5 years</w:t>
            </w:r>
          </w:p>
        </w:tc>
      </w:tr>
      <w:tr w:rsidR="002121BE" w:rsidRPr="002121BE" w:rsidTr="000E55DB">
        <w:tc>
          <w:tcPr>
            <w:tcW w:w="2049" w:type="dxa"/>
            <w:vAlign w:val="center"/>
          </w:tcPr>
          <w:p w:rsidR="002121BE" w:rsidRPr="002121BE" w:rsidRDefault="002121BE" w:rsidP="002121BE">
            <w:pPr>
              <w:rPr>
                <w:rFonts w:ascii="Arial" w:eastAsia="Arial" w:hAnsi="Arial" w:cs="Arial"/>
                <w:b/>
                <w:sz w:val="18"/>
                <w:szCs w:val="18"/>
              </w:rPr>
            </w:pPr>
            <w:r>
              <w:rPr>
                <w:rFonts w:ascii="Arial" w:hAnsi="Arial"/>
                <w:b/>
                <w:sz w:val="18"/>
              </w:rPr>
              <w:t>Train collisions, including collisions [sic]</w:t>
            </w:r>
          </w:p>
        </w:tc>
        <w:tc>
          <w:tcPr>
            <w:tcW w:w="630" w:type="dxa"/>
            <w:vAlign w:val="center"/>
          </w:tcPr>
          <w:p w:rsidR="002121BE" w:rsidRPr="000E55DB" w:rsidRDefault="002121BE" w:rsidP="000E55DB">
            <w:pPr>
              <w:pStyle w:val="DoNotTranslateExternal2"/>
            </w:pPr>
            <w:r>
              <w:t>0</w:t>
            </w:r>
          </w:p>
        </w:tc>
        <w:tc>
          <w:tcPr>
            <w:tcW w:w="631" w:type="dxa"/>
            <w:vAlign w:val="center"/>
          </w:tcPr>
          <w:p w:rsidR="002121BE" w:rsidRPr="000E55DB" w:rsidRDefault="002121BE" w:rsidP="000E55DB">
            <w:pPr>
              <w:pStyle w:val="DoNotTranslateExternal2"/>
            </w:pPr>
            <w:r>
              <w:t>0</w:t>
            </w:r>
          </w:p>
        </w:tc>
        <w:tc>
          <w:tcPr>
            <w:tcW w:w="631"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727" w:type="dxa"/>
            <w:vAlign w:val="center"/>
          </w:tcPr>
          <w:p w:rsidR="002121BE" w:rsidRPr="000E55DB" w:rsidRDefault="002121BE" w:rsidP="000E55DB">
            <w:pPr>
              <w:pStyle w:val="DoNotTranslateExternal2"/>
            </w:pPr>
            <w:r>
              <w:t>0</w:t>
            </w:r>
          </w:p>
        </w:tc>
        <w:tc>
          <w:tcPr>
            <w:tcW w:w="537"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6A2FC1">
            <w:pPr>
              <w:pStyle w:val="DoNotTranslateExternal2"/>
            </w:pPr>
            <w:r>
              <w:t>0</w:t>
            </w:r>
          </w:p>
        </w:tc>
        <w:tc>
          <w:tcPr>
            <w:tcW w:w="632" w:type="dxa"/>
            <w:vAlign w:val="center"/>
          </w:tcPr>
          <w:p w:rsidR="002121BE" w:rsidRPr="000E55DB" w:rsidRDefault="002121BE" w:rsidP="006A2FC1">
            <w:pPr>
              <w:pStyle w:val="DoNotTranslateExternal2"/>
            </w:pPr>
            <w:r>
              <w:t>0</w:t>
            </w:r>
          </w:p>
        </w:tc>
      </w:tr>
      <w:tr w:rsidR="002121BE" w:rsidRPr="002121BE" w:rsidTr="000E55DB">
        <w:tc>
          <w:tcPr>
            <w:tcW w:w="2049" w:type="dxa"/>
            <w:vAlign w:val="center"/>
          </w:tcPr>
          <w:p w:rsidR="002121BE" w:rsidRPr="002121BE" w:rsidRDefault="002121BE" w:rsidP="002121BE">
            <w:pPr>
              <w:rPr>
                <w:rFonts w:ascii="Arial" w:eastAsia="Arial" w:hAnsi="Arial" w:cs="Arial"/>
                <w:b/>
                <w:sz w:val="18"/>
                <w:szCs w:val="18"/>
              </w:rPr>
            </w:pPr>
            <w:r>
              <w:rPr>
                <w:rFonts w:ascii="Arial" w:hAnsi="Arial"/>
                <w:b/>
                <w:sz w:val="18"/>
              </w:rPr>
              <w:t>Derailments</w:t>
            </w:r>
          </w:p>
        </w:tc>
        <w:tc>
          <w:tcPr>
            <w:tcW w:w="630" w:type="dxa"/>
            <w:vAlign w:val="center"/>
          </w:tcPr>
          <w:p w:rsidR="002121BE" w:rsidRPr="000E55DB" w:rsidRDefault="002121BE" w:rsidP="000E55DB">
            <w:pPr>
              <w:pStyle w:val="DoNotTranslateExternal2"/>
            </w:pPr>
            <w:r>
              <w:t>0</w:t>
            </w:r>
          </w:p>
        </w:tc>
        <w:tc>
          <w:tcPr>
            <w:tcW w:w="631" w:type="dxa"/>
            <w:vAlign w:val="center"/>
          </w:tcPr>
          <w:p w:rsidR="002121BE" w:rsidRPr="000E55DB" w:rsidRDefault="002121BE" w:rsidP="000E55DB">
            <w:pPr>
              <w:pStyle w:val="DoNotTranslateExternal2"/>
            </w:pPr>
            <w:r>
              <w:t>0</w:t>
            </w:r>
          </w:p>
        </w:tc>
        <w:tc>
          <w:tcPr>
            <w:tcW w:w="631" w:type="dxa"/>
            <w:vAlign w:val="center"/>
          </w:tcPr>
          <w:p w:rsidR="002121BE" w:rsidRPr="000E55DB" w:rsidRDefault="002121BE" w:rsidP="000E55DB">
            <w:pPr>
              <w:pStyle w:val="DoNotTranslateExternal2"/>
            </w:pPr>
            <w:r>
              <w:t>3</w:t>
            </w:r>
          </w:p>
        </w:tc>
        <w:tc>
          <w:tcPr>
            <w:tcW w:w="632" w:type="dxa"/>
            <w:vAlign w:val="center"/>
          </w:tcPr>
          <w:p w:rsidR="002121BE" w:rsidRPr="000E55DB" w:rsidRDefault="002121BE" w:rsidP="000E55DB">
            <w:pPr>
              <w:pStyle w:val="DoNotTranslateExternal2"/>
            </w:pPr>
            <w:r>
              <w:t>1</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727" w:type="dxa"/>
            <w:vAlign w:val="center"/>
          </w:tcPr>
          <w:p w:rsidR="002121BE" w:rsidRPr="000E55DB" w:rsidRDefault="002121BE" w:rsidP="000E55DB">
            <w:pPr>
              <w:pStyle w:val="DoNotTranslateExternal2"/>
            </w:pPr>
            <w:r>
              <w:t>0</w:t>
            </w:r>
          </w:p>
        </w:tc>
        <w:tc>
          <w:tcPr>
            <w:tcW w:w="537"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6A2FC1">
            <w:pPr>
              <w:rPr>
                <w:rFonts w:ascii="Arial" w:eastAsia="Arial" w:hAnsi="Arial" w:cs="Arial"/>
                <w:sz w:val="18"/>
                <w:szCs w:val="18"/>
              </w:rPr>
            </w:pPr>
            <w:r>
              <w:rPr>
                <w:rFonts w:ascii="Arial" w:hAnsi="Arial"/>
                <w:sz w:val="18"/>
              </w:rPr>
              <w:t>0.4</w:t>
            </w:r>
          </w:p>
        </w:tc>
        <w:tc>
          <w:tcPr>
            <w:tcW w:w="632" w:type="dxa"/>
            <w:vAlign w:val="center"/>
          </w:tcPr>
          <w:p w:rsidR="002121BE" w:rsidRPr="000E55DB" w:rsidRDefault="002121BE" w:rsidP="000E55DB">
            <w:pPr>
              <w:pStyle w:val="DoNotTranslateExternal2"/>
            </w:pPr>
            <w:r>
              <w:t>0</w:t>
            </w:r>
          </w:p>
        </w:tc>
      </w:tr>
      <w:tr w:rsidR="002121BE" w:rsidRPr="002121BE" w:rsidTr="000E55DB">
        <w:tc>
          <w:tcPr>
            <w:tcW w:w="2049" w:type="dxa"/>
            <w:vAlign w:val="center"/>
          </w:tcPr>
          <w:p w:rsidR="002121BE" w:rsidRPr="002121BE" w:rsidRDefault="002121BE" w:rsidP="002121BE">
            <w:pPr>
              <w:rPr>
                <w:rFonts w:ascii="Arial" w:eastAsia="Arial" w:hAnsi="Arial" w:cs="Arial"/>
                <w:b/>
                <w:sz w:val="18"/>
                <w:szCs w:val="18"/>
              </w:rPr>
            </w:pPr>
            <w:r>
              <w:rPr>
                <w:rFonts w:ascii="Arial" w:hAnsi="Arial"/>
                <w:b/>
                <w:sz w:val="18"/>
              </w:rPr>
              <w:t>Accidents at level crossings, including those involving pedestrians</w:t>
            </w:r>
          </w:p>
        </w:tc>
        <w:tc>
          <w:tcPr>
            <w:tcW w:w="630" w:type="dxa"/>
            <w:vAlign w:val="center"/>
          </w:tcPr>
          <w:p w:rsidR="002121BE" w:rsidRPr="000E55DB" w:rsidRDefault="002121BE" w:rsidP="000E55DB">
            <w:pPr>
              <w:pStyle w:val="DoNotTranslateExternal2"/>
            </w:pPr>
            <w:r>
              <w:t>11</w:t>
            </w:r>
          </w:p>
        </w:tc>
        <w:tc>
          <w:tcPr>
            <w:tcW w:w="631" w:type="dxa"/>
            <w:vAlign w:val="center"/>
          </w:tcPr>
          <w:p w:rsidR="002121BE" w:rsidRPr="000E55DB" w:rsidRDefault="002121BE" w:rsidP="000E55DB">
            <w:pPr>
              <w:pStyle w:val="DoNotTranslateExternal2"/>
            </w:pPr>
            <w:r>
              <w:t>18</w:t>
            </w:r>
          </w:p>
        </w:tc>
        <w:tc>
          <w:tcPr>
            <w:tcW w:w="631" w:type="dxa"/>
            <w:vAlign w:val="center"/>
          </w:tcPr>
          <w:p w:rsidR="002121BE" w:rsidRPr="000E55DB" w:rsidRDefault="002121BE" w:rsidP="000E55DB">
            <w:pPr>
              <w:pStyle w:val="DoNotTranslateExternal2"/>
            </w:pPr>
            <w:r>
              <w:t>20</w:t>
            </w:r>
          </w:p>
        </w:tc>
        <w:tc>
          <w:tcPr>
            <w:tcW w:w="632" w:type="dxa"/>
            <w:vAlign w:val="center"/>
          </w:tcPr>
          <w:p w:rsidR="002121BE" w:rsidRPr="000E55DB" w:rsidRDefault="002121BE" w:rsidP="000E55DB">
            <w:pPr>
              <w:pStyle w:val="DoNotTranslateExternal2"/>
            </w:pPr>
            <w:r>
              <w:t>15</w:t>
            </w:r>
          </w:p>
        </w:tc>
        <w:tc>
          <w:tcPr>
            <w:tcW w:w="632" w:type="dxa"/>
            <w:vAlign w:val="center"/>
          </w:tcPr>
          <w:p w:rsidR="002121BE" w:rsidRPr="000E55DB" w:rsidRDefault="002121BE" w:rsidP="000E55DB">
            <w:pPr>
              <w:pStyle w:val="DoNotTranslateExternal2"/>
            </w:pPr>
            <w:r>
              <w:t>17</w:t>
            </w:r>
          </w:p>
        </w:tc>
        <w:tc>
          <w:tcPr>
            <w:tcW w:w="632" w:type="dxa"/>
            <w:vAlign w:val="center"/>
          </w:tcPr>
          <w:p w:rsidR="002121BE" w:rsidRPr="000E55DB" w:rsidRDefault="002121BE" w:rsidP="000E55DB">
            <w:pPr>
              <w:pStyle w:val="DoNotTranslateExternal2"/>
            </w:pPr>
            <w:r>
              <w:t>11</w:t>
            </w:r>
          </w:p>
        </w:tc>
        <w:tc>
          <w:tcPr>
            <w:tcW w:w="632" w:type="dxa"/>
            <w:vAlign w:val="center"/>
          </w:tcPr>
          <w:p w:rsidR="002121BE" w:rsidRPr="000E55DB" w:rsidRDefault="002121BE" w:rsidP="000E55DB">
            <w:pPr>
              <w:pStyle w:val="DoNotTranslateExternal2"/>
            </w:pPr>
            <w:r>
              <w:t>4</w:t>
            </w:r>
          </w:p>
        </w:tc>
        <w:tc>
          <w:tcPr>
            <w:tcW w:w="727" w:type="dxa"/>
            <w:vAlign w:val="center"/>
          </w:tcPr>
          <w:p w:rsidR="002121BE" w:rsidRPr="000E55DB" w:rsidRDefault="002121BE" w:rsidP="000E55DB">
            <w:pPr>
              <w:pStyle w:val="DoNotTranslateExternal2"/>
            </w:pPr>
            <w:r>
              <w:t>8</w:t>
            </w:r>
          </w:p>
        </w:tc>
        <w:tc>
          <w:tcPr>
            <w:tcW w:w="537" w:type="dxa"/>
            <w:vAlign w:val="center"/>
          </w:tcPr>
          <w:p w:rsidR="002121BE" w:rsidRPr="000E55DB" w:rsidRDefault="002121BE" w:rsidP="000E55DB">
            <w:pPr>
              <w:pStyle w:val="DoNotTranslateExternal2"/>
            </w:pPr>
            <w:r>
              <w:t>10</w:t>
            </w:r>
          </w:p>
        </w:tc>
        <w:tc>
          <w:tcPr>
            <w:tcW w:w="632" w:type="dxa"/>
            <w:vAlign w:val="center"/>
          </w:tcPr>
          <w:p w:rsidR="002121BE" w:rsidRPr="000E55DB" w:rsidRDefault="002121BE" w:rsidP="000E55DB">
            <w:pPr>
              <w:pStyle w:val="DoNotTranslateExternal2"/>
            </w:pPr>
            <w:r>
              <w:t>4</w:t>
            </w:r>
          </w:p>
        </w:tc>
        <w:tc>
          <w:tcPr>
            <w:tcW w:w="632" w:type="dxa"/>
            <w:vAlign w:val="center"/>
          </w:tcPr>
          <w:p w:rsidR="002121BE" w:rsidRPr="000E55DB" w:rsidRDefault="002121BE" w:rsidP="006A2FC1">
            <w:pPr>
              <w:rPr>
                <w:rFonts w:ascii="Arial" w:eastAsia="Arial" w:hAnsi="Arial" w:cs="Arial"/>
                <w:sz w:val="18"/>
                <w:szCs w:val="18"/>
              </w:rPr>
            </w:pPr>
            <w:r>
              <w:rPr>
                <w:rFonts w:ascii="Arial" w:hAnsi="Arial"/>
                <w:sz w:val="18"/>
              </w:rPr>
              <w:t>11.8</w:t>
            </w:r>
          </w:p>
        </w:tc>
        <w:tc>
          <w:tcPr>
            <w:tcW w:w="632" w:type="dxa"/>
            <w:vAlign w:val="center"/>
          </w:tcPr>
          <w:p w:rsidR="002121BE" w:rsidRPr="000E55DB" w:rsidRDefault="002121BE" w:rsidP="006A2FC1">
            <w:pPr>
              <w:rPr>
                <w:rFonts w:ascii="Arial" w:eastAsia="Arial" w:hAnsi="Arial" w:cs="Arial"/>
                <w:sz w:val="18"/>
                <w:szCs w:val="18"/>
              </w:rPr>
            </w:pPr>
            <w:r>
              <w:rPr>
                <w:rFonts w:ascii="Arial" w:hAnsi="Arial"/>
                <w:sz w:val="18"/>
              </w:rPr>
              <w:t>10</w:t>
            </w:r>
          </w:p>
        </w:tc>
      </w:tr>
      <w:tr w:rsidR="002121BE" w:rsidRPr="002121BE" w:rsidTr="000E55DB">
        <w:tc>
          <w:tcPr>
            <w:tcW w:w="2049" w:type="dxa"/>
            <w:vAlign w:val="center"/>
          </w:tcPr>
          <w:p w:rsidR="002121BE" w:rsidRPr="002121BE" w:rsidRDefault="002121BE" w:rsidP="002121BE">
            <w:pPr>
              <w:rPr>
                <w:rFonts w:ascii="Arial" w:eastAsia="Arial" w:hAnsi="Arial" w:cs="Arial"/>
                <w:b/>
                <w:sz w:val="18"/>
                <w:szCs w:val="18"/>
              </w:rPr>
            </w:pPr>
            <w:r>
              <w:rPr>
                <w:rFonts w:ascii="Arial" w:hAnsi="Arial"/>
                <w:b/>
                <w:sz w:val="18"/>
              </w:rPr>
              <w:t>Accidents to persons caused by rolling stock in motion, excluding suicides</w:t>
            </w:r>
          </w:p>
        </w:tc>
        <w:tc>
          <w:tcPr>
            <w:tcW w:w="630" w:type="dxa"/>
            <w:vAlign w:val="center"/>
          </w:tcPr>
          <w:p w:rsidR="002121BE" w:rsidRPr="000E55DB" w:rsidRDefault="002121BE" w:rsidP="000E55DB">
            <w:pPr>
              <w:pStyle w:val="DoNotTranslateExternal2"/>
            </w:pPr>
            <w:r>
              <w:t>36</w:t>
            </w:r>
          </w:p>
        </w:tc>
        <w:tc>
          <w:tcPr>
            <w:tcW w:w="631" w:type="dxa"/>
            <w:vAlign w:val="center"/>
          </w:tcPr>
          <w:p w:rsidR="002121BE" w:rsidRPr="000E55DB" w:rsidRDefault="002121BE" w:rsidP="000E55DB">
            <w:pPr>
              <w:pStyle w:val="DoNotTranslateExternal2"/>
            </w:pPr>
            <w:r>
              <w:t>35</w:t>
            </w:r>
          </w:p>
        </w:tc>
        <w:tc>
          <w:tcPr>
            <w:tcW w:w="631" w:type="dxa"/>
            <w:vAlign w:val="center"/>
          </w:tcPr>
          <w:p w:rsidR="002121BE" w:rsidRPr="000E55DB" w:rsidRDefault="002121BE" w:rsidP="000E55DB">
            <w:pPr>
              <w:pStyle w:val="DoNotTranslateExternal2"/>
            </w:pPr>
            <w:r>
              <w:t>35</w:t>
            </w:r>
          </w:p>
        </w:tc>
        <w:tc>
          <w:tcPr>
            <w:tcW w:w="632" w:type="dxa"/>
            <w:vAlign w:val="center"/>
          </w:tcPr>
          <w:p w:rsidR="002121BE" w:rsidRPr="000E55DB" w:rsidRDefault="002121BE" w:rsidP="000E55DB">
            <w:pPr>
              <w:pStyle w:val="DoNotTranslateExternal2"/>
            </w:pPr>
            <w:r>
              <w:t>26</w:t>
            </w:r>
          </w:p>
        </w:tc>
        <w:tc>
          <w:tcPr>
            <w:tcW w:w="632" w:type="dxa"/>
            <w:vAlign w:val="center"/>
          </w:tcPr>
          <w:p w:rsidR="002121BE" w:rsidRPr="000E55DB" w:rsidRDefault="002121BE" w:rsidP="000E55DB">
            <w:pPr>
              <w:pStyle w:val="DoNotTranslateExternal2"/>
            </w:pPr>
            <w:r>
              <w:t>15</w:t>
            </w:r>
          </w:p>
        </w:tc>
        <w:tc>
          <w:tcPr>
            <w:tcW w:w="632" w:type="dxa"/>
            <w:vAlign w:val="center"/>
          </w:tcPr>
          <w:p w:rsidR="002121BE" w:rsidRPr="000E55DB" w:rsidRDefault="002121BE" w:rsidP="000E55DB">
            <w:pPr>
              <w:pStyle w:val="DoNotTranslateExternal2"/>
            </w:pPr>
            <w:r>
              <w:t>11</w:t>
            </w:r>
          </w:p>
        </w:tc>
        <w:tc>
          <w:tcPr>
            <w:tcW w:w="632" w:type="dxa"/>
            <w:vAlign w:val="center"/>
          </w:tcPr>
          <w:p w:rsidR="002121BE" w:rsidRPr="000E55DB" w:rsidRDefault="002121BE" w:rsidP="000E55DB">
            <w:pPr>
              <w:pStyle w:val="DoNotTranslateExternal2"/>
            </w:pPr>
            <w:r>
              <w:t>10</w:t>
            </w:r>
          </w:p>
        </w:tc>
        <w:tc>
          <w:tcPr>
            <w:tcW w:w="727" w:type="dxa"/>
            <w:vAlign w:val="center"/>
          </w:tcPr>
          <w:p w:rsidR="002121BE" w:rsidRPr="000E55DB" w:rsidRDefault="002121BE" w:rsidP="000E55DB">
            <w:pPr>
              <w:pStyle w:val="DoNotTranslateExternal2"/>
            </w:pPr>
            <w:r>
              <w:t>16</w:t>
            </w:r>
          </w:p>
        </w:tc>
        <w:tc>
          <w:tcPr>
            <w:tcW w:w="537" w:type="dxa"/>
            <w:vAlign w:val="center"/>
          </w:tcPr>
          <w:p w:rsidR="002121BE" w:rsidRPr="000E55DB" w:rsidRDefault="002121BE" w:rsidP="000E55DB">
            <w:pPr>
              <w:pStyle w:val="DoNotTranslateExternal2"/>
            </w:pPr>
            <w:r>
              <w:t>16</w:t>
            </w:r>
          </w:p>
        </w:tc>
        <w:tc>
          <w:tcPr>
            <w:tcW w:w="632" w:type="dxa"/>
            <w:vAlign w:val="center"/>
          </w:tcPr>
          <w:p w:rsidR="002121BE" w:rsidRPr="000E55DB" w:rsidRDefault="002121BE" w:rsidP="000E55DB">
            <w:pPr>
              <w:pStyle w:val="DoNotTranslateExternal2"/>
            </w:pPr>
            <w:r>
              <w:t>15</w:t>
            </w:r>
          </w:p>
        </w:tc>
        <w:tc>
          <w:tcPr>
            <w:tcW w:w="632" w:type="dxa"/>
            <w:vAlign w:val="center"/>
          </w:tcPr>
          <w:p w:rsidR="002121BE" w:rsidRPr="000E55DB" w:rsidRDefault="002121BE" w:rsidP="006A2FC1">
            <w:pPr>
              <w:rPr>
                <w:rFonts w:ascii="Arial" w:eastAsia="Arial" w:hAnsi="Arial" w:cs="Arial"/>
                <w:sz w:val="18"/>
                <w:szCs w:val="18"/>
              </w:rPr>
            </w:pPr>
            <w:r>
              <w:rPr>
                <w:rFonts w:ascii="Arial" w:hAnsi="Arial"/>
                <w:sz w:val="18"/>
              </w:rPr>
              <w:t>21.5</w:t>
            </w:r>
          </w:p>
        </w:tc>
        <w:tc>
          <w:tcPr>
            <w:tcW w:w="632" w:type="dxa"/>
            <w:vAlign w:val="center"/>
          </w:tcPr>
          <w:p w:rsidR="002121BE" w:rsidRPr="000E55DB" w:rsidRDefault="002121BE" w:rsidP="006A2FC1">
            <w:pPr>
              <w:rPr>
                <w:rFonts w:ascii="Arial" w:eastAsia="Arial" w:hAnsi="Arial" w:cs="Arial"/>
                <w:sz w:val="18"/>
                <w:szCs w:val="18"/>
              </w:rPr>
            </w:pPr>
            <w:r>
              <w:rPr>
                <w:rFonts w:ascii="Arial" w:hAnsi="Arial"/>
                <w:sz w:val="18"/>
              </w:rPr>
              <w:t>13.6</w:t>
            </w:r>
          </w:p>
        </w:tc>
      </w:tr>
      <w:tr w:rsidR="002121BE" w:rsidRPr="002121BE" w:rsidTr="000E55DB">
        <w:tc>
          <w:tcPr>
            <w:tcW w:w="2049" w:type="dxa"/>
            <w:vAlign w:val="center"/>
          </w:tcPr>
          <w:p w:rsidR="002121BE" w:rsidRPr="002121BE" w:rsidRDefault="002121BE" w:rsidP="002121BE">
            <w:pPr>
              <w:rPr>
                <w:rFonts w:ascii="Arial" w:eastAsia="Arial" w:hAnsi="Arial" w:cs="Arial"/>
                <w:b/>
                <w:sz w:val="18"/>
                <w:szCs w:val="18"/>
              </w:rPr>
            </w:pPr>
            <w:r>
              <w:rPr>
                <w:rFonts w:ascii="Arial" w:hAnsi="Arial"/>
                <w:b/>
                <w:sz w:val="18"/>
              </w:rPr>
              <w:t>Fires on rolling stock</w:t>
            </w:r>
          </w:p>
        </w:tc>
        <w:tc>
          <w:tcPr>
            <w:tcW w:w="630" w:type="dxa"/>
            <w:vAlign w:val="center"/>
          </w:tcPr>
          <w:p w:rsidR="002121BE" w:rsidRPr="000E55DB" w:rsidRDefault="002121BE" w:rsidP="000E55DB">
            <w:pPr>
              <w:pStyle w:val="DoNotTranslateExternal2"/>
            </w:pPr>
            <w:r>
              <w:t>0</w:t>
            </w:r>
          </w:p>
        </w:tc>
        <w:tc>
          <w:tcPr>
            <w:tcW w:w="631" w:type="dxa"/>
            <w:vAlign w:val="center"/>
          </w:tcPr>
          <w:p w:rsidR="002121BE" w:rsidRPr="000E55DB" w:rsidRDefault="002121BE" w:rsidP="000E55DB">
            <w:pPr>
              <w:pStyle w:val="DoNotTranslateExternal2"/>
            </w:pPr>
            <w:r>
              <w:t>0</w:t>
            </w:r>
          </w:p>
        </w:tc>
        <w:tc>
          <w:tcPr>
            <w:tcW w:w="631"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727" w:type="dxa"/>
            <w:vAlign w:val="center"/>
          </w:tcPr>
          <w:p w:rsidR="002121BE" w:rsidRPr="000E55DB" w:rsidRDefault="002121BE" w:rsidP="000E55DB">
            <w:pPr>
              <w:pStyle w:val="DoNotTranslateExternal2"/>
            </w:pPr>
            <w:r>
              <w:t>0</w:t>
            </w:r>
          </w:p>
        </w:tc>
        <w:tc>
          <w:tcPr>
            <w:tcW w:w="537"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6A2FC1">
            <w:pPr>
              <w:pStyle w:val="DoNotTranslateExternal2"/>
            </w:pPr>
            <w:r>
              <w:t>0</w:t>
            </w:r>
          </w:p>
        </w:tc>
        <w:tc>
          <w:tcPr>
            <w:tcW w:w="632" w:type="dxa"/>
            <w:vAlign w:val="center"/>
          </w:tcPr>
          <w:p w:rsidR="002121BE" w:rsidRPr="000E55DB" w:rsidRDefault="002121BE" w:rsidP="006A2FC1">
            <w:pPr>
              <w:pStyle w:val="DoNotTranslateExternal2"/>
            </w:pPr>
            <w:r>
              <w:t>0</w:t>
            </w:r>
          </w:p>
        </w:tc>
      </w:tr>
      <w:tr w:rsidR="002121BE" w:rsidRPr="002121BE" w:rsidTr="000E55DB">
        <w:tc>
          <w:tcPr>
            <w:tcW w:w="2049" w:type="dxa"/>
            <w:vAlign w:val="center"/>
          </w:tcPr>
          <w:p w:rsidR="002121BE" w:rsidRPr="002121BE" w:rsidRDefault="002121BE" w:rsidP="002121BE">
            <w:pPr>
              <w:rPr>
                <w:rFonts w:ascii="Arial" w:eastAsia="Arial" w:hAnsi="Arial" w:cs="Arial"/>
                <w:b/>
                <w:sz w:val="18"/>
                <w:szCs w:val="18"/>
              </w:rPr>
            </w:pPr>
            <w:r>
              <w:rPr>
                <w:rFonts w:ascii="Arial" w:hAnsi="Arial"/>
                <w:b/>
                <w:sz w:val="18"/>
              </w:rPr>
              <w:t>Other accidents</w:t>
            </w:r>
          </w:p>
        </w:tc>
        <w:tc>
          <w:tcPr>
            <w:tcW w:w="630" w:type="dxa"/>
            <w:vAlign w:val="center"/>
          </w:tcPr>
          <w:p w:rsidR="002121BE" w:rsidRPr="000E55DB" w:rsidRDefault="002121BE" w:rsidP="000E55DB">
            <w:pPr>
              <w:pStyle w:val="DoNotTranslateExternal2"/>
            </w:pPr>
            <w:r>
              <w:t>0</w:t>
            </w:r>
          </w:p>
        </w:tc>
        <w:tc>
          <w:tcPr>
            <w:tcW w:w="631" w:type="dxa"/>
            <w:vAlign w:val="center"/>
          </w:tcPr>
          <w:p w:rsidR="002121BE" w:rsidRPr="000E55DB" w:rsidRDefault="002121BE" w:rsidP="000E55DB">
            <w:pPr>
              <w:pStyle w:val="DoNotTranslateExternal2"/>
            </w:pPr>
            <w:r>
              <w:t>0</w:t>
            </w:r>
          </w:p>
        </w:tc>
        <w:tc>
          <w:tcPr>
            <w:tcW w:w="631"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727" w:type="dxa"/>
            <w:vAlign w:val="center"/>
          </w:tcPr>
          <w:p w:rsidR="002121BE" w:rsidRPr="000E55DB" w:rsidRDefault="002121BE" w:rsidP="000E55DB">
            <w:pPr>
              <w:pStyle w:val="DoNotTranslateExternal2"/>
            </w:pPr>
            <w:r>
              <w:t>0</w:t>
            </w:r>
          </w:p>
        </w:tc>
        <w:tc>
          <w:tcPr>
            <w:tcW w:w="537"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0E55DB">
            <w:pPr>
              <w:pStyle w:val="DoNotTranslateExternal2"/>
            </w:pPr>
            <w:r>
              <w:t>0</w:t>
            </w:r>
          </w:p>
        </w:tc>
        <w:tc>
          <w:tcPr>
            <w:tcW w:w="632" w:type="dxa"/>
            <w:vAlign w:val="center"/>
          </w:tcPr>
          <w:p w:rsidR="002121BE" w:rsidRPr="000E55DB" w:rsidRDefault="002121BE" w:rsidP="006A2FC1">
            <w:pPr>
              <w:pStyle w:val="DoNotTranslateExternal2"/>
            </w:pPr>
            <w:r>
              <w:t>0</w:t>
            </w:r>
          </w:p>
        </w:tc>
        <w:tc>
          <w:tcPr>
            <w:tcW w:w="632" w:type="dxa"/>
            <w:vAlign w:val="center"/>
          </w:tcPr>
          <w:p w:rsidR="002121BE" w:rsidRPr="000E55DB" w:rsidRDefault="002121BE" w:rsidP="006A2FC1">
            <w:pPr>
              <w:pStyle w:val="DoNotTranslateExternal2"/>
            </w:pPr>
            <w:r>
              <w:t>0</w:t>
            </w:r>
          </w:p>
        </w:tc>
      </w:tr>
      <w:tr w:rsidR="002121BE" w:rsidRPr="002121BE" w:rsidTr="000E55DB">
        <w:tc>
          <w:tcPr>
            <w:tcW w:w="2049" w:type="dxa"/>
            <w:vAlign w:val="center"/>
          </w:tcPr>
          <w:p w:rsidR="002121BE" w:rsidRPr="002121BE" w:rsidRDefault="002121BE" w:rsidP="002121BE">
            <w:pPr>
              <w:rPr>
                <w:rFonts w:ascii="Arial" w:eastAsia="Arial" w:hAnsi="Arial" w:cs="Arial"/>
                <w:b/>
                <w:sz w:val="18"/>
                <w:szCs w:val="18"/>
              </w:rPr>
            </w:pPr>
            <w:r>
              <w:rPr>
                <w:rFonts w:ascii="Arial" w:hAnsi="Arial"/>
                <w:b/>
                <w:sz w:val="18"/>
              </w:rPr>
              <w:t>Total of all accidents</w:t>
            </w:r>
          </w:p>
        </w:tc>
        <w:tc>
          <w:tcPr>
            <w:tcW w:w="630" w:type="dxa"/>
            <w:vAlign w:val="center"/>
          </w:tcPr>
          <w:p w:rsidR="002121BE" w:rsidRPr="000E55DB" w:rsidRDefault="002121BE" w:rsidP="000E55DB">
            <w:pPr>
              <w:pStyle w:val="DoNotTranslateExternal2"/>
              <w:rPr>
                <w:b/>
              </w:rPr>
            </w:pPr>
            <w:r>
              <w:rPr>
                <w:b/>
              </w:rPr>
              <w:t>47</w:t>
            </w:r>
          </w:p>
        </w:tc>
        <w:tc>
          <w:tcPr>
            <w:tcW w:w="631" w:type="dxa"/>
            <w:vAlign w:val="center"/>
          </w:tcPr>
          <w:p w:rsidR="002121BE" w:rsidRPr="000E55DB" w:rsidRDefault="002121BE" w:rsidP="000E55DB">
            <w:pPr>
              <w:pStyle w:val="DoNotTranslateExternal2"/>
              <w:rPr>
                <w:b/>
              </w:rPr>
            </w:pPr>
            <w:r>
              <w:rPr>
                <w:b/>
              </w:rPr>
              <w:t>53</w:t>
            </w:r>
          </w:p>
        </w:tc>
        <w:tc>
          <w:tcPr>
            <w:tcW w:w="631" w:type="dxa"/>
            <w:vAlign w:val="center"/>
          </w:tcPr>
          <w:p w:rsidR="002121BE" w:rsidRPr="000E55DB" w:rsidRDefault="002121BE" w:rsidP="000E55DB">
            <w:pPr>
              <w:pStyle w:val="DoNotTranslateExternal2"/>
              <w:rPr>
                <w:b/>
              </w:rPr>
            </w:pPr>
            <w:r>
              <w:rPr>
                <w:b/>
              </w:rPr>
              <w:t>58</w:t>
            </w:r>
          </w:p>
        </w:tc>
        <w:tc>
          <w:tcPr>
            <w:tcW w:w="632" w:type="dxa"/>
            <w:vAlign w:val="center"/>
          </w:tcPr>
          <w:p w:rsidR="002121BE" w:rsidRPr="000E55DB" w:rsidRDefault="002121BE" w:rsidP="000E55DB">
            <w:pPr>
              <w:pStyle w:val="DoNotTranslateExternal2"/>
              <w:rPr>
                <w:b/>
              </w:rPr>
            </w:pPr>
            <w:r>
              <w:rPr>
                <w:b/>
              </w:rPr>
              <w:t>42</w:t>
            </w:r>
          </w:p>
        </w:tc>
        <w:tc>
          <w:tcPr>
            <w:tcW w:w="632" w:type="dxa"/>
            <w:vAlign w:val="center"/>
          </w:tcPr>
          <w:p w:rsidR="002121BE" w:rsidRPr="000E55DB" w:rsidRDefault="002121BE" w:rsidP="000E55DB">
            <w:pPr>
              <w:pStyle w:val="DoNotTranslateExternal2"/>
              <w:rPr>
                <w:b/>
              </w:rPr>
            </w:pPr>
            <w:r>
              <w:rPr>
                <w:b/>
              </w:rPr>
              <w:t>32</w:t>
            </w:r>
          </w:p>
        </w:tc>
        <w:tc>
          <w:tcPr>
            <w:tcW w:w="632" w:type="dxa"/>
            <w:vAlign w:val="center"/>
          </w:tcPr>
          <w:p w:rsidR="002121BE" w:rsidRPr="000E55DB" w:rsidRDefault="002121BE" w:rsidP="000E55DB">
            <w:pPr>
              <w:pStyle w:val="DoNotTranslateExternal2"/>
              <w:rPr>
                <w:b/>
              </w:rPr>
            </w:pPr>
            <w:r>
              <w:rPr>
                <w:b/>
              </w:rPr>
              <w:t>22</w:t>
            </w:r>
          </w:p>
        </w:tc>
        <w:tc>
          <w:tcPr>
            <w:tcW w:w="632" w:type="dxa"/>
            <w:vAlign w:val="center"/>
          </w:tcPr>
          <w:p w:rsidR="002121BE" w:rsidRPr="000E55DB" w:rsidRDefault="002121BE" w:rsidP="000E55DB">
            <w:pPr>
              <w:pStyle w:val="DoNotTranslateExternal2"/>
              <w:rPr>
                <w:b/>
              </w:rPr>
            </w:pPr>
            <w:r>
              <w:rPr>
                <w:b/>
              </w:rPr>
              <w:t>14</w:t>
            </w:r>
          </w:p>
        </w:tc>
        <w:tc>
          <w:tcPr>
            <w:tcW w:w="727" w:type="dxa"/>
            <w:vAlign w:val="center"/>
          </w:tcPr>
          <w:p w:rsidR="002121BE" w:rsidRPr="000E55DB" w:rsidRDefault="002121BE" w:rsidP="000E55DB">
            <w:pPr>
              <w:pStyle w:val="DoNotTranslateExternal2"/>
              <w:rPr>
                <w:b/>
              </w:rPr>
            </w:pPr>
            <w:r>
              <w:rPr>
                <w:b/>
              </w:rPr>
              <w:t>24</w:t>
            </w:r>
          </w:p>
        </w:tc>
        <w:tc>
          <w:tcPr>
            <w:tcW w:w="537" w:type="dxa"/>
            <w:vAlign w:val="center"/>
          </w:tcPr>
          <w:p w:rsidR="002121BE" w:rsidRPr="000E55DB" w:rsidRDefault="002121BE" w:rsidP="000E55DB">
            <w:pPr>
              <w:pStyle w:val="DoNotTranslateExternal2"/>
              <w:rPr>
                <w:b/>
              </w:rPr>
            </w:pPr>
            <w:r>
              <w:rPr>
                <w:b/>
              </w:rPr>
              <w:t>26</w:t>
            </w:r>
          </w:p>
        </w:tc>
        <w:tc>
          <w:tcPr>
            <w:tcW w:w="632" w:type="dxa"/>
            <w:vAlign w:val="center"/>
          </w:tcPr>
          <w:p w:rsidR="002121BE" w:rsidRPr="000E55DB" w:rsidRDefault="002121BE" w:rsidP="000E55DB">
            <w:pPr>
              <w:pStyle w:val="DoNotTranslateExternal2"/>
              <w:rPr>
                <w:b/>
              </w:rPr>
            </w:pPr>
            <w:r>
              <w:rPr>
                <w:b/>
              </w:rPr>
              <w:t>19</w:t>
            </w:r>
          </w:p>
        </w:tc>
        <w:tc>
          <w:tcPr>
            <w:tcW w:w="632" w:type="dxa"/>
            <w:vAlign w:val="center"/>
          </w:tcPr>
          <w:p w:rsidR="002121BE" w:rsidRPr="000E55DB" w:rsidRDefault="002121BE" w:rsidP="006A2FC1">
            <w:pPr>
              <w:rPr>
                <w:rFonts w:ascii="Arial" w:eastAsia="Arial" w:hAnsi="Arial" w:cs="Arial"/>
                <w:b/>
                <w:sz w:val="18"/>
                <w:szCs w:val="18"/>
              </w:rPr>
            </w:pPr>
            <w:r>
              <w:rPr>
                <w:rFonts w:ascii="Arial" w:hAnsi="Arial"/>
                <w:b/>
                <w:sz w:val="18"/>
              </w:rPr>
              <w:t>33.7</w:t>
            </w:r>
          </w:p>
        </w:tc>
        <w:tc>
          <w:tcPr>
            <w:tcW w:w="632" w:type="dxa"/>
            <w:vAlign w:val="center"/>
          </w:tcPr>
          <w:p w:rsidR="002121BE" w:rsidRPr="000E55DB" w:rsidRDefault="002121BE" w:rsidP="006A2FC1">
            <w:pPr>
              <w:rPr>
                <w:rFonts w:ascii="Arial" w:eastAsia="Arial" w:hAnsi="Arial" w:cs="Arial"/>
                <w:b/>
                <w:sz w:val="18"/>
                <w:szCs w:val="18"/>
              </w:rPr>
            </w:pPr>
            <w:r>
              <w:rPr>
                <w:rFonts w:ascii="Arial" w:hAnsi="Arial"/>
                <w:b/>
                <w:sz w:val="18"/>
              </w:rPr>
              <w:t>23.6</w:t>
            </w:r>
          </w:p>
        </w:tc>
      </w:tr>
    </w:tbl>
    <w:p w:rsidR="00FB6632" w:rsidRPr="00705266" w:rsidRDefault="00FB6632" w:rsidP="00FB6632">
      <w:pPr>
        <w:rPr>
          <w:sz w:val="13"/>
          <w:szCs w:val="13"/>
        </w:rPr>
      </w:pPr>
    </w:p>
    <w:p w:rsidR="006F3ED5" w:rsidRPr="00705266" w:rsidRDefault="006F3ED5" w:rsidP="00FB6632"/>
    <w:p w:rsidR="006F3ED5" w:rsidRPr="00705266" w:rsidRDefault="006F3ED5" w:rsidP="00FB6632"/>
    <w:p w:rsidR="006F3ED5" w:rsidRPr="00705266" w:rsidRDefault="00B65BEC" w:rsidP="00DB7666">
      <w:pPr>
        <w:pStyle w:val="paragraphe1"/>
      </w:pPr>
      <w:r>
        <w:t>The strong downwards trend in fatalities from railway accidents recorded between 2007 and 2011—which had reversed in 2012 and 2013—resumed in 2014, dropping by 26.9% with respect to 2013 and by 19.5% to the average of the past five years. This data shows an important improvement in the number of rail accidents in 2014, which recorded the best figures since 2011, a year in which the railway system experienced improved performance with respect to safety and saw fewer fatalities than 2014.</w:t>
      </w:r>
    </w:p>
    <w:p w:rsidR="006F3ED5" w:rsidRPr="00705266" w:rsidRDefault="006F3ED5" w:rsidP="00DB7666">
      <w:pPr>
        <w:pStyle w:val="paragraphe1"/>
        <w:rPr>
          <w:sz w:val="24"/>
          <w:szCs w:val="24"/>
        </w:rPr>
      </w:pPr>
    </w:p>
    <w:p w:rsidR="006F3ED5" w:rsidRDefault="00B65BEC" w:rsidP="00DB7666">
      <w:pPr>
        <w:pStyle w:val="paragraphe1"/>
        <w:rPr>
          <w:w w:val="101"/>
        </w:rPr>
      </w:pPr>
      <w:r>
        <w:t>In Portugal, as in other European countries, the overwhelming majority of fatalities (100%) involve people making improper use of railway property, either by trespassing or by failing to observe the rules at level crossings. As has been the case since 2009, these two categories accounted for all 2014 fatalities, a sign of the high level of safety that the rail system offers its users and staff.</w:t>
      </w:r>
    </w:p>
    <w:p w:rsidR="006A2FC1" w:rsidRDefault="006A2FC1">
      <w:pPr>
        <w:rPr>
          <w:rFonts w:ascii="Arial" w:eastAsia="Arial" w:hAnsi="Arial" w:cs="Arial"/>
          <w:w w:val="101"/>
        </w:rPr>
      </w:pPr>
      <w:r>
        <w:br w:type="page"/>
      </w:r>
    </w:p>
    <w:p w:rsidR="006F3ED5" w:rsidRPr="006A2FC1" w:rsidRDefault="00B65BEC" w:rsidP="006A2FC1">
      <w:pPr>
        <w:jc w:val="center"/>
        <w:rPr>
          <w:rFonts w:ascii="Arial" w:eastAsia="Arial" w:hAnsi="Arial" w:cs="Arial"/>
          <w:sz w:val="18"/>
          <w:szCs w:val="18"/>
        </w:rPr>
      </w:pPr>
      <w:r>
        <w:rPr>
          <w:rFonts w:ascii="Arial" w:hAnsi="Arial"/>
          <w:b/>
          <w:sz w:val="18"/>
        </w:rPr>
        <w:lastRenderedPageBreak/>
        <w:t>Chart 1 – Average percentage of fatalities per accident category, 2005-2014</w:t>
      </w:r>
    </w:p>
    <w:p w:rsidR="006F3ED5" w:rsidRPr="00705266" w:rsidRDefault="006F3ED5">
      <w:pPr>
        <w:spacing w:before="6" w:line="220" w:lineRule="exact"/>
        <w:rPr>
          <w:sz w:val="22"/>
          <w:szCs w:val="22"/>
        </w:rPr>
      </w:pPr>
    </w:p>
    <w:p w:rsidR="006A2FC1" w:rsidRDefault="006A2FC1" w:rsidP="006A2FC1">
      <w:pPr>
        <w:spacing w:before="35" w:line="359" w:lineRule="auto"/>
        <w:ind w:left="120" w:right="863"/>
        <w:jc w:val="center"/>
        <w:rPr>
          <w:rFonts w:ascii="Arial" w:eastAsia="Arial" w:hAnsi="Arial" w:cs="Arial"/>
          <w:spacing w:val="1"/>
        </w:rPr>
      </w:pPr>
      <w:r>
        <w:rPr>
          <w:rFonts w:ascii="Arial" w:eastAsia="Arial" w:hAnsi="Arial" w:cs="Arial"/>
          <w:noProof/>
          <w:spacing w:val="1"/>
          <w:lang w:val="fr-LU" w:eastAsia="fr-LU" w:bidi="ar-SA"/>
        </w:rPr>
        <w:drawing>
          <wp:inline distT="0" distB="0" distL="0" distR="0" wp14:anchorId="004FE1E0" wp14:editId="1398F86A">
            <wp:extent cx="4831080" cy="1776730"/>
            <wp:effectExtent l="0" t="0" r="762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1080" cy="1776730"/>
                    </a:xfrm>
                    <a:prstGeom prst="rect">
                      <a:avLst/>
                    </a:prstGeom>
                    <a:noFill/>
                    <a:ln>
                      <a:noFill/>
                    </a:ln>
                  </pic:spPr>
                </pic:pic>
              </a:graphicData>
            </a:graphic>
          </wp:inline>
        </w:drawing>
      </w:r>
    </w:p>
    <w:tbl>
      <w:tblPr>
        <w:tblStyle w:val="TableGrid"/>
        <w:tblW w:w="9629" w:type="dxa"/>
        <w:tblLook w:val="04A0" w:firstRow="1" w:lastRow="0" w:firstColumn="1" w:lastColumn="0" w:noHBand="0" w:noVBand="1"/>
      </w:tblPr>
      <w:tblGrid>
        <w:gridCol w:w="5234"/>
        <w:gridCol w:w="4395"/>
      </w:tblGrid>
      <w:tr w:rsidR="006A2FC1" w:rsidRPr="006A2FC1" w:rsidTr="006A2FC1">
        <w:tc>
          <w:tcPr>
            <w:tcW w:w="5234" w:type="dxa"/>
          </w:tcPr>
          <w:p w:rsidR="006A2FC1" w:rsidRPr="006A2FC1" w:rsidRDefault="006A2FC1" w:rsidP="006A2FC1">
            <w:pPr>
              <w:pStyle w:val="DoNotTranslateExternal1"/>
            </w:pPr>
            <w:r>
              <w:t>Em descarrilamentos de comboios</w:t>
            </w:r>
          </w:p>
        </w:tc>
        <w:tc>
          <w:tcPr>
            <w:tcW w:w="4395" w:type="dxa"/>
          </w:tcPr>
          <w:p w:rsidR="006A2FC1" w:rsidRPr="00351904" w:rsidRDefault="006A2FC1" w:rsidP="00E96A19">
            <w:pPr>
              <w:rPr>
                <w:rFonts w:ascii="Arial" w:hAnsi="Arial" w:cs="Arial"/>
                <w:sz w:val="18"/>
                <w:szCs w:val="18"/>
              </w:rPr>
            </w:pPr>
            <w:r>
              <w:rPr>
                <w:rFonts w:ascii="Arial" w:hAnsi="Arial"/>
                <w:sz w:val="18"/>
              </w:rPr>
              <w:t>Derailments</w:t>
            </w:r>
          </w:p>
        </w:tc>
      </w:tr>
      <w:tr w:rsidR="006A2FC1" w:rsidRPr="00B63285" w:rsidTr="006A2FC1">
        <w:tc>
          <w:tcPr>
            <w:tcW w:w="5234" w:type="dxa"/>
          </w:tcPr>
          <w:p w:rsidR="006A2FC1" w:rsidRPr="00705059" w:rsidRDefault="006A2FC1" w:rsidP="006A2FC1">
            <w:pPr>
              <w:pStyle w:val="DoNotTranslateExternal1"/>
              <w:rPr>
                <w:lang/>
              </w:rPr>
            </w:pPr>
            <w:r w:rsidRPr="00705059">
              <w:rPr>
                <w:lang/>
              </w:rPr>
              <w:t>Em acidentes em PN, incluindo acidentes envolvendo peões</w:t>
            </w:r>
          </w:p>
        </w:tc>
        <w:tc>
          <w:tcPr>
            <w:tcW w:w="4395" w:type="dxa"/>
          </w:tcPr>
          <w:p w:rsidR="006A2FC1" w:rsidRPr="00351904" w:rsidRDefault="006A2FC1" w:rsidP="00E96A19">
            <w:pPr>
              <w:rPr>
                <w:rFonts w:ascii="Arial" w:hAnsi="Arial" w:cs="Arial"/>
                <w:sz w:val="18"/>
                <w:szCs w:val="18"/>
              </w:rPr>
            </w:pPr>
            <w:r>
              <w:rPr>
                <w:rFonts w:ascii="Arial" w:hAnsi="Arial"/>
                <w:sz w:val="18"/>
              </w:rPr>
              <w:t>Accidents at LCs, including those involving pedestrians</w:t>
            </w:r>
          </w:p>
        </w:tc>
      </w:tr>
      <w:tr w:rsidR="006A2FC1" w:rsidRPr="00B63285" w:rsidTr="006A2FC1">
        <w:tc>
          <w:tcPr>
            <w:tcW w:w="5234" w:type="dxa"/>
          </w:tcPr>
          <w:p w:rsidR="006A2FC1" w:rsidRPr="00705059" w:rsidRDefault="006A2FC1" w:rsidP="006A2FC1">
            <w:pPr>
              <w:pStyle w:val="DoNotTranslateExternal1"/>
              <w:rPr>
                <w:lang/>
              </w:rPr>
            </w:pPr>
            <w:r w:rsidRPr="00705059">
              <w:rPr>
                <w:lang/>
              </w:rPr>
              <w:t>Em acidentes com pessoas causados por material circulante em movimento, com a excepção de suicídios</w:t>
            </w:r>
          </w:p>
        </w:tc>
        <w:tc>
          <w:tcPr>
            <w:tcW w:w="4395" w:type="dxa"/>
          </w:tcPr>
          <w:p w:rsidR="006A2FC1" w:rsidRPr="00351904" w:rsidRDefault="006A2FC1" w:rsidP="00E96A19">
            <w:pPr>
              <w:rPr>
                <w:rFonts w:ascii="Arial" w:eastAsia="Calibri" w:hAnsi="Arial" w:cs="Arial"/>
                <w:sz w:val="18"/>
                <w:szCs w:val="18"/>
              </w:rPr>
            </w:pPr>
            <w:r>
              <w:rPr>
                <w:rFonts w:ascii="Arial" w:hAnsi="Arial"/>
                <w:sz w:val="18"/>
              </w:rPr>
              <w:t>Accidents between persons and rolling stock in motion, excluding suicides</w:t>
            </w:r>
          </w:p>
        </w:tc>
      </w:tr>
    </w:tbl>
    <w:p w:rsidR="006A2FC1" w:rsidRPr="006A2FC1" w:rsidRDefault="006A2FC1" w:rsidP="006A2FC1">
      <w:pPr>
        <w:rPr>
          <w:rFonts w:ascii="Arial" w:eastAsia="Arial" w:hAnsi="Arial" w:cs="Arial"/>
        </w:rPr>
      </w:pPr>
    </w:p>
    <w:p w:rsidR="006F3ED5" w:rsidRPr="00705266" w:rsidRDefault="00B65BEC" w:rsidP="00DB7666">
      <w:pPr>
        <w:pStyle w:val="paragraphe1"/>
      </w:pPr>
      <w:r>
        <w:t>Accidents caused by rolling stock in motion are most likely to result in fatalities (almost 63.8%), while those occurring at level crossings result in fatalities approximately 35% of the time. In 2014 there continued to be no fatalities as a result of derailments or collisions. Although these types of accident attract intense media attention and have great social impact, they have accounted for only 1.2% of fatalities in the past ten years.</w:t>
      </w:r>
    </w:p>
    <w:p w:rsidR="006F3ED5" w:rsidRPr="00705266" w:rsidRDefault="006F3ED5" w:rsidP="00DB7666">
      <w:pPr>
        <w:pStyle w:val="paragraphe1"/>
        <w:rPr>
          <w:sz w:val="24"/>
          <w:szCs w:val="24"/>
        </w:rPr>
      </w:pPr>
    </w:p>
    <w:p w:rsidR="006F3ED5" w:rsidRPr="00705266" w:rsidRDefault="00B65BEC" w:rsidP="00DB7666">
      <w:pPr>
        <w:pStyle w:val="paragraphe1"/>
      </w:pPr>
      <w:r>
        <w:t>In 2014 there was a greater polarization between the number of fatalities caused by rolling stock in motion (78.9%) and those that occurred at LCs (21.1%).</w:t>
      </w:r>
    </w:p>
    <w:p w:rsidR="006F3ED5" w:rsidRPr="00705266" w:rsidRDefault="006F3ED5">
      <w:pPr>
        <w:spacing w:before="19" w:line="220" w:lineRule="exact"/>
        <w:rPr>
          <w:sz w:val="22"/>
          <w:szCs w:val="22"/>
        </w:rPr>
      </w:pPr>
    </w:p>
    <w:p w:rsidR="006F3ED5" w:rsidRPr="00705266" w:rsidRDefault="00B65BEC" w:rsidP="008F4808">
      <w:pPr>
        <w:pStyle w:val="TITRE4"/>
      </w:pPr>
      <w:r>
        <w:t>Fatalities by category of person</w:t>
      </w:r>
    </w:p>
    <w:p w:rsidR="006F3ED5" w:rsidRPr="006A2FC1" w:rsidRDefault="00B65BEC" w:rsidP="00DB7666">
      <w:pPr>
        <w:pStyle w:val="paragraphe1"/>
      </w:pPr>
      <w:r>
        <w:t>Table 2 presents railway fatalities by the category of victim; 2014 was the fourth consecutive year with no passenger fatalities. There were also no fatalities amongst rail workers (persons employed in the railway sector) and “Others”, trends which have been observed since 2011 and 2006, respectively.</w:t>
      </w:r>
    </w:p>
    <w:p w:rsidR="006F3ED5" w:rsidRPr="006A2FC1" w:rsidRDefault="006F3ED5">
      <w:pPr>
        <w:spacing w:line="200" w:lineRule="exact"/>
      </w:pPr>
    </w:p>
    <w:p w:rsidR="006A2FC1" w:rsidRPr="000E55DB" w:rsidRDefault="00B65BEC" w:rsidP="000E55DB">
      <w:pPr>
        <w:spacing w:after="120"/>
        <w:jc w:val="center"/>
        <w:rPr>
          <w:sz w:val="18"/>
          <w:szCs w:val="18"/>
        </w:rPr>
      </w:pPr>
      <w:r>
        <w:rPr>
          <w:rFonts w:ascii="Arial" w:hAnsi="Arial"/>
          <w:b/>
          <w:sz w:val="18"/>
        </w:rPr>
        <w:t>Table 2 – Number of fatalities by category of person, 2005-2014</w:t>
      </w:r>
    </w:p>
    <w:tbl>
      <w:tblPr>
        <w:tblStyle w:val="TableGrid"/>
        <w:tblW w:w="0" w:type="auto"/>
        <w:tblLook w:val="04A0" w:firstRow="1" w:lastRow="0" w:firstColumn="1" w:lastColumn="0" w:noHBand="0" w:noVBand="1"/>
      </w:tblPr>
      <w:tblGrid>
        <w:gridCol w:w="2049"/>
        <w:gridCol w:w="630"/>
        <w:gridCol w:w="631"/>
        <w:gridCol w:w="631"/>
        <w:gridCol w:w="632"/>
        <w:gridCol w:w="632"/>
        <w:gridCol w:w="632"/>
        <w:gridCol w:w="632"/>
        <w:gridCol w:w="632"/>
        <w:gridCol w:w="632"/>
        <w:gridCol w:w="632"/>
        <w:gridCol w:w="632"/>
        <w:gridCol w:w="632"/>
      </w:tblGrid>
      <w:tr w:rsidR="006A2FC1" w:rsidRPr="006A2FC1" w:rsidTr="00E96A19">
        <w:trPr>
          <w:cantSplit/>
          <w:trHeight w:val="1134"/>
        </w:trPr>
        <w:tc>
          <w:tcPr>
            <w:tcW w:w="2049" w:type="dxa"/>
            <w:textDirection w:val="btLr"/>
            <w:vAlign w:val="center"/>
          </w:tcPr>
          <w:p w:rsidR="006A2FC1" w:rsidRPr="006A2FC1" w:rsidRDefault="006A2FC1" w:rsidP="00E96A19">
            <w:pPr>
              <w:ind w:left="113" w:right="113"/>
              <w:jc w:val="center"/>
              <w:rPr>
                <w:rFonts w:ascii="Arial" w:eastAsia="Arial" w:hAnsi="Arial" w:cs="Arial"/>
                <w:b/>
                <w:sz w:val="16"/>
                <w:szCs w:val="16"/>
              </w:rPr>
            </w:pPr>
          </w:p>
        </w:tc>
        <w:tc>
          <w:tcPr>
            <w:tcW w:w="630" w:type="dxa"/>
            <w:textDirection w:val="btLr"/>
            <w:vAlign w:val="center"/>
          </w:tcPr>
          <w:p w:rsidR="006A2FC1" w:rsidRPr="006A2FC1" w:rsidRDefault="006A2FC1" w:rsidP="00A27499">
            <w:pPr>
              <w:pStyle w:val="DoNotTranslateExternal3"/>
            </w:pPr>
            <w:r>
              <w:t>2005</w:t>
            </w:r>
          </w:p>
        </w:tc>
        <w:tc>
          <w:tcPr>
            <w:tcW w:w="631" w:type="dxa"/>
            <w:textDirection w:val="btLr"/>
            <w:vAlign w:val="center"/>
          </w:tcPr>
          <w:p w:rsidR="006A2FC1" w:rsidRPr="006A2FC1" w:rsidRDefault="006A2FC1" w:rsidP="00A27499">
            <w:pPr>
              <w:pStyle w:val="DoNotTranslateExternal3"/>
            </w:pPr>
            <w:r>
              <w:t>2006</w:t>
            </w:r>
          </w:p>
        </w:tc>
        <w:tc>
          <w:tcPr>
            <w:tcW w:w="631" w:type="dxa"/>
            <w:textDirection w:val="btLr"/>
            <w:vAlign w:val="center"/>
          </w:tcPr>
          <w:p w:rsidR="006A2FC1" w:rsidRPr="006A2FC1" w:rsidRDefault="006A2FC1" w:rsidP="00A27499">
            <w:pPr>
              <w:pStyle w:val="DoNotTranslateExternal3"/>
            </w:pPr>
            <w:r>
              <w:t>2007</w:t>
            </w:r>
          </w:p>
        </w:tc>
        <w:tc>
          <w:tcPr>
            <w:tcW w:w="632" w:type="dxa"/>
            <w:textDirection w:val="btLr"/>
            <w:vAlign w:val="center"/>
          </w:tcPr>
          <w:p w:rsidR="006A2FC1" w:rsidRPr="006A2FC1" w:rsidRDefault="006A2FC1" w:rsidP="00A27499">
            <w:pPr>
              <w:pStyle w:val="DoNotTranslateExternal3"/>
            </w:pPr>
            <w:r>
              <w:t>2008</w:t>
            </w:r>
          </w:p>
        </w:tc>
        <w:tc>
          <w:tcPr>
            <w:tcW w:w="632" w:type="dxa"/>
            <w:textDirection w:val="btLr"/>
            <w:vAlign w:val="center"/>
          </w:tcPr>
          <w:p w:rsidR="006A2FC1" w:rsidRPr="006A2FC1" w:rsidRDefault="006A2FC1" w:rsidP="00A27499">
            <w:pPr>
              <w:pStyle w:val="DoNotTranslateExternal3"/>
            </w:pPr>
            <w:r>
              <w:t>2009</w:t>
            </w:r>
          </w:p>
        </w:tc>
        <w:tc>
          <w:tcPr>
            <w:tcW w:w="632" w:type="dxa"/>
            <w:textDirection w:val="btLr"/>
            <w:vAlign w:val="center"/>
          </w:tcPr>
          <w:p w:rsidR="006A2FC1" w:rsidRPr="006A2FC1" w:rsidRDefault="006A2FC1" w:rsidP="00A27499">
            <w:pPr>
              <w:pStyle w:val="DoNotTranslateExternal3"/>
            </w:pPr>
            <w:r>
              <w:t>2010</w:t>
            </w:r>
          </w:p>
        </w:tc>
        <w:tc>
          <w:tcPr>
            <w:tcW w:w="632" w:type="dxa"/>
            <w:textDirection w:val="btLr"/>
            <w:vAlign w:val="center"/>
          </w:tcPr>
          <w:p w:rsidR="006A2FC1" w:rsidRPr="006A2FC1" w:rsidRDefault="006A2FC1" w:rsidP="00A27499">
            <w:pPr>
              <w:pStyle w:val="DoNotTranslateExternal3"/>
            </w:pPr>
            <w:r>
              <w:t>2011</w:t>
            </w:r>
          </w:p>
        </w:tc>
        <w:tc>
          <w:tcPr>
            <w:tcW w:w="632" w:type="dxa"/>
            <w:textDirection w:val="btLr"/>
            <w:vAlign w:val="center"/>
          </w:tcPr>
          <w:p w:rsidR="006A2FC1" w:rsidRPr="006A2FC1" w:rsidRDefault="006A2FC1" w:rsidP="00A27499">
            <w:pPr>
              <w:pStyle w:val="DoNotTranslateExternal3"/>
            </w:pPr>
            <w:r>
              <w:t>2012</w:t>
            </w:r>
          </w:p>
        </w:tc>
        <w:tc>
          <w:tcPr>
            <w:tcW w:w="632" w:type="dxa"/>
            <w:textDirection w:val="btLr"/>
            <w:vAlign w:val="center"/>
          </w:tcPr>
          <w:p w:rsidR="006A2FC1" w:rsidRPr="006A2FC1" w:rsidRDefault="006A2FC1" w:rsidP="00A27499">
            <w:pPr>
              <w:pStyle w:val="DoNotTranslateExternal3"/>
            </w:pPr>
            <w:r>
              <w:t>2013</w:t>
            </w:r>
          </w:p>
        </w:tc>
        <w:tc>
          <w:tcPr>
            <w:tcW w:w="632" w:type="dxa"/>
            <w:textDirection w:val="btLr"/>
            <w:vAlign w:val="center"/>
          </w:tcPr>
          <w:p w:rsidR="006A2FC1" w:rsidRPr="006A2FC1" w:rsidRDefault="006A2FC1" w:rsidP="00A27499">
            <w:pPr>
              <w:pStyle w:val="DoNotTranslateExternal3"/>
            </w:pPr>
            <w:r>
              <w:t>2014</w:t>
            </w:r>
          </w:p>
        </w:tc>
        <w:tc>
          <w:tcPr>
            <w:tcW w:w="632" w:type="dxa"/>
            <w:textDirection w:val="btLr"/>
            <w:vAlign w:val="center"/>
          </w:tcPr>
          <w:p w:rsidR="006A2FC1" w:rsidRPr="006A2FC1" w:rsidRDefault="006A2FC1" w:rsidP="00E96A19">
            <w:pPr>
              <w:ind w:left="113" w:right="113"/>
              <w:jc w:val="center"/>
              <w:rPr>
                <w:rFonts w:ascii="Arial" w:eastAsia="Arial" w:hAnsi="Arial" w:cs="Arial"/>
                <w:b/>
                <w:sz w:val="16"/>
                <w:szCs w:val="16"/>
              </w:rPr>
            </w:pPr>
            <w:r>
              <w:rPr>
                <w:rFonts w:ascii="Arial" w:hAnsi="Arial"/>
                <w:b/>
                <w:sz w:val="16"/>
              </w:rPr>
              <w:t>Average for the period</w:t>
            </w:r>
          </w:p>
        </w:tc>
        <w:tc>
          <w:tcPr>
            <w:tcW w:w="632" w:type="dxa"/>
            <w:textDirection w:val="btLr"/>
            <w:vAlign w:val="center"/>
          </w:tcPr>
          <w:p w:rsidR="006A2FC1" w:rsidRPr="006A2FC1" w:rsidRDefault="006A2FC1" w:rsidP="00E96A19">
            <w:pPr>
              <w:ind w:left="113" w:right="113"/>
              <w:jc w:val="center"/>
              <w:rPr>
                <w:rFonts w:ascii="Arial" w:hAnsi="Arial" w:cs="Arial"/>
                <w:sz w:val="16"/>
                <w:szCs w:val="16"/>
              </w:rPr>
            </w:pPr>
            <w:r>
              <w:rPr>
                <w:rFonts w:ascii="Arial" w:hAnsi="Arial"/>
                <w:b/>
                <w:sz w:val="16"/>
              </w:rPr>
              <w:t>Average over the last 5 years</w:t>
            </w:r>
          </w:p>
        </w:tc>
      </w:tr>
      <w:tr w:rsidR="006A2FC1" w:rsidRPr="006A2FC1" w:rsidTr="00E96A19">
        <w:tc>
          <w:tcPr>
            <w:tcW w:w="2049" w:type="dxa"/>
            <w:vAlign w:val="center"/>
          </w:tcPr>
          <w:p w:rsidR="006A2FC1" w:rsidRPr="006A2FC1" w:rsidRDefault="006A2FC1" w:rsidP="00E96A19">
            <w:pPr>
              <w:rPr>
                <w:rFonts w:ascii="Arial" w:eastAsia="Arial" w:hAnsi="Arial" w:cs="Arial"/>
                <w:b/>
                <w:sz w:val="18"/>
                <w:szCs w:val="18"/>
              </w:rPr>
            </w:pPr>
            <w:r>
              <w:rPr>
                <w:rFonts w:ascii="Arial" w:hAnsi="Arial"/>
                <w:b/>
                <w:sz w:val="18"/>
              </w:rPr>
              <w:t>Passengers</w:t>
            </w:r>
          </w:p>
        </w:tc>
        <w:tc>
          <w:tcPr>
            <w:tcW w:w="630" w:type="dxa"/>
            <w:vAlign w:val="center"/>
          </w:tcPr>
          <w:p w:rsidR="006A2FC1" w:rsidRPr="006A2FC1" w:rsidRDefault="006A2FC1" w:rsidP="000E55DB">
            <w:pPr>
              <w:pStyle w:val="DoNotTranslateExternal2"/>
            </w:pPr>
            <w:r>
              <w:t>0</w:t>
            </w:r>
          </w:p>
        </w:tc>
        <w:tc>
          <w:tcPr>
            <w:tcW w:w="631" w:type="dxa"/>
            <w:vAlign w:val="center"/>
          </w:tcPr>
          <w:p w:rsidR="006A2FC1" w:rsidRPr="006A2FC1" w:rsidRDefault="006A2FC1" w:rsidP="000E55DB">
            <w:pPr>
              <w:pStyle w:val="DoNotTranslateExternal2"/>
            </w:pPr>
            <w:r>
              <w:t>0</w:t>
            </w:r>
          </w:p>
        </w:tc>
        <w:tc>
          <w:tcPr>
            <w:tcW w:w="631" w:type="dxa"/>
            <w:vAlign w:val="center"/>
          </w:tcPr>
          <w:p w:rsidR="006A2FC1" w:rsidRPr="006A2FC1" w:rsidRDefault="006A2FC1" w:rsidP="000E55DB">
            <w:pPr>
              <w:pStyle w:val="DoNotTranslateExternal2"/>
            </w:pPr>
            <w:r>
              <w:t>1</w:t>
            </w:r>
          </w:p>
        </w:tc>
        <w:tc>
          <w:tcPr>
            <w:tcW w:w="632" w:type="dxa"/>
            <w:vAlign w:val="center"/>
          </w:tcPr>
          <w:p w:rsidR="006A2FC1" w:rsidRPr="006A2FC1" w:rsidRDefault="006A2FC1" w:rsidP="000E55DB">
            <w:pPr>
              <w:pStyle w:val="DoNotTranslateExternal2"/>
            </w:pPr>
            <w:r>
              <w:t>3</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1</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0E55DB" w:rsidRDefault="006A2FC1" w:rsidP="006A2FC1">
            <w:pPr>
              <w:rPr>
                <w:rFonts w:ascii="Arial" w:eastAsia="Arial" w:hAnsi="Arial" w:cs="Arial"/>
                <w:sz w:val="18"/>
                <w:szCs w:val="18"/>
              </w:rPr>
            </w:pPr>
            <w:r>
              <w:rPr>
                <w:rFonts w:ascii="Arial" w:hAnsi="Arial"/>
                <w:sz w:val="18"/>
              </w:rPr>
              <w:t>0.5</w:t>
            </w:r>
          </w:p>
        </w:tc>
        <w:tc>
          <w:tcPr>
            <w:tcW w:w="632" w:type="dxa"/>
            <w:vAlign w:val="center"/>
          </w:tcPr>
          <w:p w:rsidR="006A2FC1" w:rsidRPr="000E55DB" w:rsidRDefault="006A2FC1" w:rsidP="006A2FC1">
            <w:pPr>
              <w:rPr>
                <w:rFonts w:ascii="Arial" w:eastAsia="Arial" w:hAnsi="Arial" w:cs="Arial"/>
                <w:sz w:val="18"/>
                <w:szCs w:val="18"/>
              </w:rPr>
            </w:pPr>
            <w:r>
              <w:rPr>
                <w:rFonts w:ascii="Arial" w:hAnsi="Arial"/>
                <w:sz w:val="18"/>
              </w:rPr>
              <w:t>0.2</w:t>
            </w:r>
          </w:p>
        </w:tc>
      </w:tr>
      <w:tr w:rsidR="006A2FC1" w:rsidRPr="006A2FC1" w:rsidTr="00E96A19">
        <w:tc>
          <w:tcPr>
            <w:tcW w:w="2049" w:type="dxa"/>
            <w:vAlign w:val="center"/>
          </w:tcPr>
          <w:p w:rsidR="006A2FC1" w:rsidRPr="006A2FC1" w:rsidRDefault="006A2FC1" w:rsidP="00E96A19">
            <w:pPr>
              <w:rPr>
                <w:rFonts w:ascii="Arial" w:eastAsia="Arial" w:hAnsi="Arial" w:cs="Arial"/>
                <w:b/>
                <w:sz w:val="18"/>
                <w:szCs w:val="18"/>
              </w:rPr>
            </w:pPr>
            <w:r>
              <w:rPr>
                <w:rFonts w:ascii="Arial" w:hAnsi="Arial"/>
                <w:b/>
                <w:sz w:val="18"/>
              </w:rPr>
              <w:t>Employees</w:t>
            </w:r>
          </w:p>
        </w:tc>
        <w:tc>
          <w:tcPr>
            <w:tcW w:w="630" w:type="dxa"/>
            <w:vAlign w:val="center"/>
          </w:tcPr>
          <w:p w:rsidR="006A2FC1" w:rsidRPr="006A2FC1" w:rsidRDefault="006A2FC1" w:rsidP="000E55DB">
            <w:pPr>
              <w:pStyle w:val="DoNotTranslateExternal2"/>
            </w:pPr>
            <w:r>
              <w:t>2</w:t>
            </w:r>
          </w:p>
        </w:tc>
        <w:tc>
          <w:tcPr>
            <w:tcW w:w="631" w:type="dxa"/>
            <w:vAlign w:val="center"/>
          </w:tcPr>
          <w:p w:rsidR="006A2FC1" w:rsidRPr="006A2FC1" w:rsidRDefault="006A2FC1" w:rsidP="000E55DB">
            <w:pPr>
              <w:pStyle w:val="DoNotTranslateExternal2"/>
            </w:pPr>
            <w:r>
              <w:t>1</w:t>
            </w:r>
          </w:p>
        </w:tc>
        <w:tc>
          <w:tcPr>
            <w:tcW w:w="631" w:type="dxa"/>
            <w:vAlign w:val="center"/>
          </w:tcPr>
          <w:p w:rsidR="006A2FC1" w:rsidRPr="006A2FC1" w:rsidRDefault="006A2FC1" w:rsidP="000E55DB">
            <w:pPr>
              <w:pStyle w:val="DoNotTranslateExternal2"/>
            </w:pPr>
            <w:r>
              <w:t>5</w:t>
            </w:r>
          </w:p>
        </w:tc>
        <w:tc>
          <w:tcPr>
            <w:tcW w:w="632" w:type="dxa"/>
            <w:vAlign w:val="center"/>
          </w:tcPr>
          <w:p w:rsidR="006A2FC1" w:rsidRPr="006A2FC1" w:rsidRDefault="006A2FC1" w:rsidP="000E55DB">
            <w:pPr>
              <w:pStyle w:val="DoNotTranslateExternal2"/>
            </w:pPr>
            <w:r>
              <w:t>1</w:t>
            </w:r>
          </w:p>
        </w:tc>
        <w:tc>
          <w:tcPr>
            <w:tcW w:w="632" w:type="dxa"/>
            <w:vAlign w:val="center"/>
          </w:tcPr>
          <w:p w:rsidR="006A2FC1" w:rsidRPr="006A2FC1" w:rsidRDefault="006A2FC1" w:rsidP="000E55DB">
            <w:pPr>
              <w:pStyle w:val="DoNotTranslateExternal2"/>
            </w:pPr>
            <w:r>
              <w:t>1</w:t>
            </w:r>
          </w:p>
        </w:tc>
        <w:tc>
          <w:tcPr>
            <w:tcW w:w="632" w:type="dxa"/>
            <w:vAlign w:val="center"/>
          </w:tcPr>
          <w:p w:rsidR="006A2FC1" w:rsidRPr="006A2FC1" w:rsidRDefault="006A2FC1" w:rsidP="000E55DB">
            <w:pPr>
              <w:pStyle w:val="DoNotTranslateExternal2"/>
            </w:pPr>
            <w:r>
              <w:t>1</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0E55DB" w:rsidRDefault="006A2FC1" w:rsidP="006A2FC1">
            <w:pPr>
              <w:rPr>
                <w:rFonts w:ascii="Arial" w:eastAsia="Arial" w:hAnsi="Arial" w:cs="Arial"/>
                <w:sz w:val="18"/>
                <w:szCs w:val="18"/>
              </w:rPr>
            </w:pPr>
            <w:r>
              <w:rPr>
                <w:rFonts w:ascii="Arial" w:hAnsi="Arial"/>
                <w:sz w:val="18"/>
              </w:rPr>
              <w:t>1.1</w:t>
            </w:r>
          </w:p>
        </w:tc>
        <w:tc>
          <w:tcPr>
            <w:tcW w:w="632" w:type="dxa"/>
            <w:vAlign w:val="center"/>
          </w:tcPr>
          <w:p w:rsidR="006A2FC1" w:rsidRPr="000E55DB" w:rsidRDefault="006A2FC1" w:rsidP="006A2FC1">
            <w:pPr>
              <w:rPr>
                <w:rFonts w:ascii="Arial" w:eastAsia="Arial" w:hAnsi="Arial" w:cs="Arial"/>
                <w:sz w:val="18"/>
                <w:szCs w:val="18"/>
              </w:rPr>
            </w:pPr>
            <w:r>
              <w:rPr>
                <w:rFonts w:ascii="Arial" w:hAnsi="Arial"/>
                <w:sz w:val="18"/>
              </w:rPr>
              <w:t>0.4</w:t>
            </w:r>
          </w:p>
        </w:tc>
      </w:tr>
      <w:tr w:rsidR="006A2FC1" w:rsidRPr="006A2FC1" w:rsidTr="00E96A19">
        <w:tc>
          <w:tcPr>
            <w:tcW w:w="2049" w:type="dxa"/>
            <w:vAlign w:val="center"/>
          </w:tcPr>
          <w:p w:rsidR="006A2FC1" w:rsidRPr="006A2FC1" w:rsidRDefault="006A2FC1" w:rsidP="00E96A19">
            <w:pPr>
              <w:rPr>
                <w:rFonts w:ascii="Arial" w:eastAsia="Arial" w:hAnsi="Arial" w:cs="Arial"/>
                <w:b/>
                <w:sz w:val="18"/>
                <w:szCs w:val="18"/>
              </w:rPr>
            </w:pPr>
            <w:r>
              <w:rPr>
                <w:rFonts w:ascii="Arial" w:hAnsi="Arial"/>
                <w:b/>
                <w:sz w:val="18"/>
              </w:rPr>
              <w:t>LC Users</w:t>
            </w:r>
          </w:p>
        </w:tc>
        <w:tc>
          <w:tcPr>
            <w:tcW w:w="630" w:type="dxa"/>
            <w:vAlign w:val="center"/>
          </w:tcPr>
          <w:p w:rsidR="006A2FC1" w:rsidRPr="006A2FC1" w:rsidRDefault="006A2FC1" w:rsidP="000E55DB">
            <w:pPr>
              <w:pStyle w:val="DoNotTranslateExternal2"/>
            </w:pPr>
            <w:r>
              <w:t>11</w:t>
            </w:r>
          </w:p>
        </w:tc>
        <w:tc>
          <w:tcPr>
            <w:tcW w:w="631" w:type="dxa"/>
            <w:vAlign w:val="center"/>
          </w:tcPr>
          <w:p w:rsidR="006A2FC1" w:rsidRPr="006A2FC1" w:rsidRDefault="006A2FC1" w:rsidP="000E55DB">
            <w:pPr>
              <w:pStyle w:val="DoNotTranslateExternal2"/>
            </w:pPr>
            <w:r>
              <w:t>18</w:t>
            </w:r>
          </w:p>
        </w:tc>
        <w:tc>
          <w:tcPr>
            <w:tcW w:w="631" w:type="dxa"/>
            <w:vAlign w:val="center"/>
          </w:tcPr>
          <w:p w:rsidR="006A2FC1" w:rsidRPr="006A2FC1" w:rsidRDefault="006A2FC1" w:rsidP="000E55DB">
            <w:pPr>
              <w:pStyle w:val="DoNotTranslateExternal2"/>
            </w:pPr>
            <w:r>
              <w:t>20</w:t>
            </w:r>
          </w:p>
        </w:tc>
        <w:tc>
          <w:tcPr>
            <w:tcW w:w="632" w:type="dxa"/>
            <w:vAlign w:val="center"/>
          </w:tcPr>
          <w:p w:rsidR="006A2FC1" w:rsidRPr="006A2FC1" w:rsidRDefault="006A2FC1" w:rsidP="000E55DB">
            <w:pPr>
              <w:pStyle w:val="DoNotTranslateExternal2"/>
            </w:pPr>
            <w:r>
              <w:t>15</w:t>
            </w:r>
          </w:p>
        </w:tc>
        <w:tc>
          <w:tcPr>
            <w:tcW w:w="632" w:type="dxa"/>
            <w:vAlign w:val="center"/>
          </w:tcPr>
          <w:p w:rsidR="006A2FC1" w:rsidRPr="006A2FC1" w:rsidRDefault="006A2FC1" w:rsidP="000E55DB">
            <w:pPr>
              <w:pStyle w:val="DoNotTranslateExternal2"/>
            </w:pPr>
            <w:r>
              <w:t>17</w:t>
            </w:r>
          </w:p>
        </w:tc>
        <w:tc>
          <w:tcPr>
            <w:tcW w:w="632" w:type="dxa"/>
            <w:vAlign w:val="center"/>
          </w:tcPr>
          <w:p w:rsidR="006A2FC1" w:rsidRPr="006A2FC1" w:rsidRDefault="006A2FC1" w:rsidP="000E55DB">
            <w:pPr>
              <w:pStyle w:val="DoNotTranslateExternal2"/>
            </w:pPr>
            <w:r>
              <w:t>11</w:t>
            </w:r>
          </w:p>
        </w:tc>
        <w:tc>
          <w:tcPr>
            <w:tcW w:w="632" w:type="dxa"/>
            <w:vAlign w:val="center"/>
          </w:tcPr>
          <w:p w:rsidR="006A2FC1" w:rsidRPr="006A2FC1" w:rsidRDefault="006A2FC1" w:rsidP="000E55DB">
            <w:pPr>
              <w:pStyle w:val="DoNotTranslateExternal2"/>
            </w:pPr>
            <w:r>
              <w:t>4</w:t>
            </w:r>
          </w:p>
        </w:tc>
        <w:tc>
          <w:tcPr>
            <w:tcW w:w="632" w:type="dxa"/>
            <w:vAlign w:val="center"/>
          </w:tcPr>
          <w:p w:rsidR="006A2FC1" w:rsidRPr="006A2FC1" w:rsidRDefault="006A2FC1" w:rsidP="000E55DB">
            <w:pPr>
              <w:pStyle w:val="DoNotTranslateExternal2"/>
            </w:pPr>
            <w:r>
              <w:t>8</w:t>
            </w:r>
          </w:p>
        </w:tc>
        <w:tc>
          <w:tcPr>
            <w:tcW w:w="632" w:type="dxa"/>
            <w:vAlign w:val="center"/>
          </w:tcPr>
          <w:p w:rsidR="006A2FC1" w:rsidRPr="006A2FC1" w:rsidRDefault="006A2FC1" w:rsidP="000E55DB">
            <w:pPr>
              <w:pStyle w:val="DoNotTranslateExternal2"/>
            </w:pPr>
            <w:r>
              <w:t>10</w:t>
            </w:r>
          </w:p>
        </w:tc>
        <w:tc>
          <w:tcPr>
            <w:tcW w:w="632" w:type="dxa"/>
            <w:vAlign w:val="center"/>
          </w:tcPr>
          <w:p w:rsidR="006A2FC1" w:rsidRPr="006A2FC1" w:rsidRDefault="006A2FC1" w:rsidP="000E55DB">
            <w:pPr>
              <w:pStyle w:val="DoNotTranslateExternal2"/>
            </w:pPr>
            <w:r>
              <w:t>4</w:t>
            </w:r>
          </w:p>
        </w:tc>
        <w:tc>
          <w:tcPr>
            <w:tcW w:w="632" w:type="dxa"/>
            <w:vAlign w:val="center"/>
          </w:tcPr>
          <w:p w:rsidR="006A2FC1" w:rsidRPr="000E55DB" w:rsidRDefault="006A2FC1" w:rsidP="006A2FC1">
            <w:pPr>
              <w:rPr>
                <w:rFonts w:ascii="Arial" w:eastAsia="Arial" w:hAnsi="Arial" w:cs="Arial"/>
                <w:sz w:val="18"/>
                <w:szCs w:val="18"/>
              </w:rPr>
            </w:pPr>
            <w:r>
              <w:rPr>
                <w:rFonts w:ascii="Arial" w:hAnsi="Arial"/>
                <w:sz w:val="18"/>
              </w:rPr>
              <w:t>7.4</w:t>
            </w:r>
          </w:p>
        </w:tc>
        <w:tc>
          <w:tcPr>
            <w:tcW w:w="632" w:type="dxa"/>
            <w:vAlign w:val="center"/>
          </w:tcPr>
          <w:p w:rsidR="006A2FC1" w:rsidRPr="000E55DB" w:rsidRDefault="006A2FC1" w:rsidP="006A2FC1">
            <w:pPr>
              <w:rPr>
                <w:rFonts w:ascii="Arial" w:eastAsia="Arial" w:hAnsi="Arial" w:cs="Arial"/>
                <w:sz w:val="18"/>
                <w:szCs w:val="18"/>
              </w:rPr>
            </w:pPr>
            <w:r>
              <w:rPr>
                <w:rFonts w:ascii="Arial" w:hAnsi="Arial"/>
                <w:sz w:val="18"/>
              </w:rPr>
              <w:t>10.0</w:t>
            </w:r>
          </w:p>
        </w:tc>
      </w:tr>
      <w:tr w:rsidR="006A2FC1" w:rsidRPr="006A2FC1" w:rsidTr="00E96A19">
        <w:tc>
          <w:tcPr>
            <w:tcW w:w="2049" w:type="dxa"/>
            <w:vAlign w:val="center"/>
          </w:tcPr>
          <w:p w:rsidR="006A2FC1" w:rsidRPr="006A2FC1" w:rsidRDefault="006A2FC1" w:rsidP="00E96A19">
            <w:pPr>
              <w:rPr>
                <w:rFonts w:ascii="Arial" w:eastAsia="Arial" w:hAnsi="Arial" w:cs="Arial"/>
                <w:b/>
                <w:sz w:val="18"/>
                <w:szCs w:val="18"/>
              </w:rPr>
            </w:pPr>
            <w:r>
              <w:rPr>
                <w:rFonts w:ascii="Arial" w:hAnsi="Arial"/>
                <w:b/>
                <w:sz w:val="18"/>
              </w:rPr>
              <w:t>Trespassers</w:t>
            </w:r>
          </w:p>
        </w:tc>
        <w:tc>
          <w:tcPr>
            <w:tcW w:w="630" w:type="dxa"/>
            <w:vAlign w:val="center"/>
          </w:tcPr>
          <w:p w:rsidR="006A2FC1" w:rsidRPr="006A2FC1" w:rsidRDefault="006A2FC1" w:rsidP="000E55DB">
            <w:pPr>
              <w:pStyle w:val="DoNotTranslateExternal2"/>
            </w:pPr>
            <w:r>
              <w:t>33</w:t>
            </w:r>
          </w:p>
        </w:tc>
        <w:tc>
          <w:tcPr>
            <w:tcW w:w="631" w:type="dxa"/>
            <w:vAlign w:val="center"/>
          </w:tcPr>
          <w:p w:rsidR="006A2FC1" w:rsidRPr="006A2FC1" w:rsidRDefault="006A2FC1" w:rsidP="000E55DB">
            <w:pPr>
              <w:pStyle w:val="DoNotTranslateExternal2"/>
            </w:pPr>
            <w:r>
              <w:t>34</w:t>
            </w:r>
          </w:p>
        </w:tc>
        <w:tc>
          <w:tcPr>
            <w:tcW w:w="631" w:type="dxa"/>
            <w:vAlign w:val="center"/>
          </w:tcPr>
          <w:p w:rsidR="006A2FC1" w:rsidRPr="006A2FC1" w:rsidRDefault="006A2FC1" w:rsidP="000E55DB">
            <w:pPr>
              <w:pStyle w:val="DoNotTranslateExternal2"/>
            </w:pPr>
            <w:r>
              <w:t>32</w:t>
            </w:r>
          </w:p>
        </w:tc>
        <w:tc>
          <w:tcPr>
            <w:tcW w:w="632" w:type="dxa"/>
            <w:vAlign w:val="center"/>
          </w:tcPr>
          <w:p w:rsidR="006A2FC1" w:rsidRPr="006A2FC1" w:rsidRDefault="006A2FC1" w:rsidP="000E55DB">
            <w:pPr>
              <w:pStyle w:val="DoNotTranslateExternal2"/>
            </w:pPr>
            <w:r>
              <w:t>23</w:t>
            </w:r>
          </w:p>
        </w:tc>
        <w:tc>
          <w:tcPr>
            <w:tcW w:w="632" w:type="dxa"/>
            <w:vAlign w:val="center"/>
          </w:tcPr>
          <w:p w:rsidR="006A2FC1" w:rsidRPr="006A2FC1" w:rsidRDefault="006A2FC1" w:rsidP="000E55DB">
            <w:pPr>
              <w:pStyle w:val="DoNotTranslateExternal2"/>
            </w:pPr>
            <w:r>
              <w:t>14</w:t>
            </w:r>
          </w:p>
        </w:tc>
        <w:tc>
          <w:tcPr>
            <w:tcW w:w="632" w:type="dxa"/>
            <w:vAlign w:val="center"/>
          </w:tcPr>
          <w:p w:rsidR="006A2FC1" w:rsidRPr="006A2FC1" w:rsidRDefault="006A2FC1" w:rsidP="000E55DB">
            <w:pPr>
              <w:pStyle w:val="DoNotTranslateExternal2"/>
            </w:pPr>
            <w:r>
              <w:t>9</w:t>
            </w:r>
          </w:p>
        </w:tc>
        <w:tc>
          <w:tcPr>
            <w:tcW w:w="632" w:type="dxa"/>
            <w:vAlign w:val="center"/>
          </w:tcPr>
          <w:p w:rsidR="006A2FC1" w:rsidRPr="006A2FC1" w:rsidRDefault="006A2FC1" w:rsidP="000E55DB">
            <w:pPr>
              <w:pStyle w:val="DoNotTranslateExternal2"/>
            </w:pPr>
            <w:r>
              <w:t>10</w:t>
            </w:r>
          </w:p>
        </w:tc>
        <w:tc>
          <w:tcPr>
            <w:tcW w:w="632" w:type="dxa"/>
            <w:vAlign w:val="center"/>
          </w:tcPr>
          <w:p w:rsidR="006A2FC1" w:rsidRPr="006A2FC1" w:rsidRDefault="006A2FC1" w:rsidP="000E55DB">
            <w:pPr>
              <w:pStyle w:val="DoNotTranslateExternal2"/>
            </w:pPr>
            <w:r>
              <w:t>16</w:t>
            </w:r>
          </w:p>
        </w:tc>
        <w:tc>
          <w:tcPr>
            <w:tcW w:w="632" w:type="dxa"/>
            <w:vAlign w:val="center"/>
          </w:tcPr>
          <w:p w:rsidR="006A2FC1" w:rsidRPr="006A2FC1" w:rsidRDefault="006A2FC1" w:rsidP="000E55DB">
            <w:pPr>
              <w:pStyle w:val="DoNotTranslateExternal2"/>
            </w:pPr>
            <w:r>
              <w:t>16</w:t>
            </w:r>
          </w:p>
        </w:tc>
        <w:tc>
          <w:tcPr>
            <w:tcW w:w="632" w:type="dxa"/>
            <w:vAlign w:val="center"/>
          </w:tcPr>
          <w:p w:rsidR="006A2FC1" w:rsidRPr="006A2FC1" w:rsidRDefault="006A2FC1" w:rsidP="000E55DB">
            <w:pPr>
              <w:pStyle w:val="DoNotTranslateExternal2"/>
            </w:pPr>
            <w:r>
              <w:t>15</w:t>
            </w:r>
          </w:p>
        </w:tc>
        <w:tc>
          <w:tcPr>
            <w:tcW w:w="632" w:type="dxa"/>
            <w:vAlign w:val="center"/>
          </w:tcPr>
          <w:p w:rsidR="006A2FC1" w:rsidRPr="000E55DB" w:rsidRDefault="006A2FC1" w:rsidP="006A2FC1">
            <w:pPr>
              <w:rPr>
                <w:rFonts w:ascii="Arial" w:eastAsia="Arial" w:hAnsi="Arial" w:cs="Arial"/>
                <w:sz w:val="18"/>
                <w:szCs w:val="18"/>
              </w:rPr>
            </w:pPr>
            <w:r>
              <w:rPr>
                <w:rFonts w:ascii="Arial" w:hAnsi="Arial"/>
                <w:sz w:val="18"/>
              </w:rPr>
              <w:t>20.2</w:t>
            </w:r>
          </w:p>
        </w:tc>
        <w:tc>
          <w:tcPr>
            <w:tcW w:w="632" w:type="dxa"/>
            <w:vAlign w:val="center"/>
          </w:tcPr>
          <w:p w:rsidR="006A2FC1" w:rsidRPr="000E55DB" w:rsidRDefault="006A2FC1" w:rsidP="006A2FC1">
            <w:pPr>
              <w:rPr>
                <w:rFonts w:ascii="Arial" w:eastAsia="Arial" w:hAnsi="Arial" w:cs="Arial"/>
                <w:sz w:val="18"/>
                <w:szCs w:val="18"/>
              </w:rPr>
            </w:pPr>
            <w:r>
              <w:rPr>
                <w:rFonts w:ascii="Arial" w:hAnsi="Arial"/>
                <w:sz w:val="18"/>
              </w:rPr>
              <w:t>13.0</w:t>
            </w:r>
          </w:p>
        </w:tc>
      </w:tr>
      <w:tr w:rsidR="006A2FC1" w:rsidRPr="006A2FC1" w:rsidTr="00E96A19">
        <w:tc>
          <w:tcPr>
            <w:tcW w:w="2049" w:type="dxa"/>
            <w:vAlign w:val="center"/>
          </w:tcPr>
          <w:p w:rsidR="006A2FC1" w:rsidRPr="006A2FC1" w:rsidRDefault="006A2FC1" w:rsidP="00E96A19">
            <w:pPr>
              <w:rPr>
                <w:rFonts w:ascii="Arial" w:eastAsia="Arial" w:hAnsi="Arial" w:cs="Arial"/>
                <w:b/>
                <w:sz w:val="18"/>
                <w:szCs w:val="18"/>
              </w:rPr>
            </w:pPr>
            <w:r>
              <w:rPr>
                <w:rFonts w:ascii="Arial" w:hAnsi="Arial"/>
                <w:b/>
                <w:sz w:val="18"/>
              </w:rPr>
              <w:t>Others</w:t>
            </w:r>
          </w:p>
        </w:tc>
        <w:tc>
          <w:tcPr>
            <w:tcW w:w="630" w:type="dxa"/>
            <w:vAlign w:val="center"/>
          </w:tcPr>
          <w:p w:rsidR="006A2FC1" w:rsidRPr="006A2FC1" w:rsidRDefault="006A2FC1" w:rsidP="000E55DB">
            <w:pPr>
              <w:pStyle w:val="DoNotTranslateExternal2"/>
            </w:pPr>
            <w:r>
              <w:t>1</w:t>
            </w:r>
          </w:p>
        </w:tc>
        <w:tc>
          <w:tcPr>
            <w:tcW w:w="631" w:type="dxa"/>
            <w:vAlign w:val="center"/>
          </w:tcPr>
          <w:p w:rsidR="006A2FC1" w:rsidRPr="006A2FC1" w:rsidRDefault="006A2FC1" w:rsidP="000E55DB">
            <w:pPr>
              <w:pStyle w:val="DoNotTranslateExternal2"/>
            </w:pPr>
            <w:r>
              <w:t>0</w:t>
            </w:r>
          </w:p>
        </w:tc>
        <w:tc>
          <w:tcPr>
            <w:tcW w:w="631"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6A2FC1" w:rsidRDefault="006A2FC1" w:rsidP="000E55DB">
            <w:pPr>
              <w:pStyle w:val="DoNotTranslateExternal2"/>
            </w:pPr>
            <w:r>
              <w:t>0</w:t>
            </w:r>
          </w:p>
        </w:tc>
        <w:tc>
          <w:tcPr>
            <w:tcW w:w="632" w:type="dxa"/>
            <w:vAlign w:val="center"/>
          </w:tcPr>
          <w:p w:rsidR="006A2FC1" w:rsidRPr="000E55DB" w:rsidRDefault="006A2FC1" w:rsidP="006A2FC1">
            <w:pPr>
              <w:rPr>
                <w:rFonts w:ascii="Arial" w:eastAsia="Arial" w:hAnsi="Arial" w:cs="Arial"/>
                <w:sz w:val="18"/>
                <w:szCs w:val="18"/>
              </w:rPr>
            </w:pPr>
            <w:r>
              <w:rPr>
                <w:rFonts w:ascii="Arial" w:hAnsi="Arial"/>
                <w:sz w:val="18"/>
              </w:rPr>
              <w:t>0.1</w:t>
            </w:r>
          </w:p>
        </w:tc>
        <w:tc>
          <w:tcPr>
            <w:tcW w:w="632" w:type="dxa"/>
            <w:vAlign w:val="center"/>
          </w:tcPr>
          <w:p w:rsidR="006A2FC1" w:rsidRPr="000E55DB" w:rsidRDefault="006A2FC1" w:rsidP="006A2FC1">
            <w:pPr>
              <w:rPr>
                <w:rFonts w:ascii="Arial" w:eastAsia="Arial" w:hAnsi="Arial" w:cs="Arial"/>
                <w:sz w:val="18"/>
                <w:szCs w:val="18"/>
              </w:rPr>
            </w:pPr>
            <w:r>
              <w:rPr>
                <w:rFonts w:ascii="Arial" w:hAnsi="Arial"/>
                <w:sz w:val="18"/>
              </w:rPr>
              <w:t>0.0</w:t>
            </w:r>
          </w:p>
        </w:tc>
      </w:tr>
      <w:tr w:rsidR="006A2FC1" w:rsidRPr="00207CAC" w:rsidTr="00E96A19">
        <w:tc>
          <w:tcPr>
            <w:tcW w:w="2049" w:type="dxa"/>
            <w:vAlign w:val="center"/>
          </w:tcPr>
          <w:p w:rsidR="006A2FC1" w:rsidRPr="00207CAC" w:rsidRDefault="006A2FC1" w:rsidP="00E96A19">
            <w:pPr>
              <w:rPr>
                <w:rFonts w:ascii="Arial" w:eastAsia="Arial" w:hAnsi="Arial" w:cs="Arial"/>
                <w:b/>
                <w:sz w:val="18"/>
                <w:szCs w:val="18"/>
              </w:rPr>
            </w:pPr>
            <w:r>
              <w:rPr>
                <w:rFonts w:ascii="Arial" w:hAnsi="Arial"/>
                <w:b/>
                <w:sz w:val="18"/>
              </w:rPr>
              <w:t>Total</w:t>
            </w:r>
          </w:p>
        </w:tc>
        <w:tc>
          <w:tcPr>
            <w:tcW w:w="630" w:type="dxa"/>
            <w:vAlign w:val="center"/>
          </w:tcPr>
          <w:p w:rsidR="006A2FC1" w:rsidRPr="00207CAC" w:rsidRDefault="006A2FC1" w:rsidP="000E55DB">
            <w:pPr>
              <w:pStyle w:val="DoNotTranslateExternal2"/>
              <w:rPr>
                <w:b/>
              </w:rPr>
            </w:pPr>
            <w:r>
              <w:rPr>
                <w:b/>
              </w:rPr>
              <w:t>47</w:t>
            </w:r>
          </w:p>
        </w:tc>
        <w:tc>
          <w:tcPr>
            <w:tcW w:w="631" w:type="dxa"/>
            <w:vAlign w:val="center"/>
          </w:tcPr>
          <w:p w:rsidR="006A2FC1" w:rsidRPr="00207CAC" w:rsidRDefault="006A2FC1" w:rsidP="000E55DB">
            <w:pPr>
              <w:pStyle w:val="DoNotTranslateExternal2"/>
              <w:rPr>
                <w:b/>
              </w:rPr>
            </w:pPr>
            <w:r>
              <w:rPr>
                <w:b/>
              </w:rPr>
              <w:t>53</w:t>
            </w:r>
          </w:p>
        </w:tc>
        <w:tc>
          <w:tcPr>
            <w:tcW w:w="631" w:type="dxa"/>
            <w:vAlign w:val="center"/>
          </w:tcPr>
          <w:p w:rsidR="006A2FC1" w:rsidRPr="00207CAC" w:rsidRDefault="006A2FC1" w:rsidP="000E55DB">
            <w:pPr>
              <w:pStyle w:val="DoNotTranslateExternal2"/>
              <w:rPr>
                <w:b/>
              </w:rPr>
            </w:pPr>
            <w:r>
              <w:rPr>
                <w:b/>
              </w:rPr>
              <w:t>58</w:t>
            </w:r>
          </w:p>
        </w:tc>
        <w:tc>
          <w:tcPr>
            <w:tcW w:w="632" w:type="dxa"/>
            <w:vAlign w:val="center"/>
          </w:tcPr>
          <w:p w:rsidR="006A2FC1" w:rsidRPr="00207CAC" w:rsidRDefault="006A2FC1" w:rsidP="000E55DB">
            <w:pPr>
              <w:pStyle w:val="DoNotTranslateExternal2"/>
              <w:rPr>
                <w:b/>
              </w:rPr>
            </w:pPr>
            <w:r>
              <w:rPr>
                <w:b/>
              </w:rPr>
              <w:t>42</w:t>
            </w:r>
          </w:p>
        </w:tc>
        <w:tc>
          <w:tcPr>
            <w:tcW w:w="632" w:type="dxa"/>
            <w:vAlign w:val="center"/>
          </w:tcPr>
          <w:p w:rsidR="006A2FC1" w:rsidRPr="00207CAC" w:rsidRDefault="006A2FC1" w:rsidP="000E55DB">
            <w:pPr>
              <w:pStyle w:val="DoNotTranslateExternal2"/>
              <w:rPr>
                <w:b/>
              </w:rPr>
            </w:pPr>
            <w:r>
              <w:rPr>
                <w:b/>
              </w:rPr>
              <w:t>32</w:t>
            </w:r>
          </w:p>
        </w:tc>
        <w:tc>
          <w:tcPr>
            <w:tcW w:w="632" w:type="dxa"/>
            <w:vAlign w:val="center"/>
          </w:tcPr>
          <w:p w:rsidR="006A2FC1" w:rsidRPr="00207CAC" w:rsidRDefault="006A2FC1" w:rsidP="000E55DB">
            <w:pPr>
              <w:pStyle w:val="DoNotTranslateExternal2"/>
              <w:rPr>
                <w:b/>
              </w:rPr>
            </w:pPr>
            <w:r>
              <w:rPr>
                <w:b/>
              </w:rPr>
              <w:t>22</w:t>
            </w:r>
          </w:p>
        </w:tc>
        <w:tc>
          <w:tcPr>
            <w:tcW w:w="632" w:type="dxa"/>
            <w:vAlign w:val="center"/>
          </w:tcPr>
          <w:p w:rsidR="006A2FC1" w:rsidRPr="00207CAC" w:rsidRDefault="006A2FC1" w:rsidP="000E55DB">
            <w:pPr>
              <w:pStyle w:val="DoNotTranslateExternal2"/>
              <w:rPr>
                <w:b/>
              </w:rPr>
            </w:pPr>
            <w:r>
              <w:rPr>
                <w:b/>
              </w:rPr>
              <w:t>14</w:t>
            </w:r>
          </w:p>
        </w:tc>
        <w:tc>
          <w:tcPr>
            <w:tcW w:w="632" w:type="dxa"/>
            <w:vAlign w:val="center"/>
          </w:tcPr>
          <w:p w:rsidR="006A2FC1" w:rsidRPr="00207CAC" w:rsidRDefault="006A2FC1" w:rsidP="000E55DB">
            <w:pPr>
              <w:pStyle w:val="DoNotTranslateExternal2"/>
              <w:rPr>
                <w:b/>
              </w:rPr>
            </w:pPr>
            <w:r>
              <w:rPr>
                <w:b/>
              </w:rPr>
              <w:t>24</w:t>
            </w:r>
          </w:p>
        </w:tc>
        <w:tc>
          <w:tcPr>
            <w:tcW w:w="632" w:type="dxa"/>
            <w:vAlign w:val="center"/>
          </w:tcPr>
          <w:p w:rsidR="006A2FC1" w:rsidRPr="00207CAC" w:rsidRDefault="006A2FC1" w:rsidP="000E55DB">
            <w:pPr>
              <w:pStyle w:val="DoNotTranslateExternal2"/>
              <w:rPr>
                <w:b/>
              </w:rPr>
            </w:pPr>
            <w:r>
              <w:rPr>
                <w:b/>
              </w:rPr>
              <w:t>26</w:t>
            </w:r>
          </w:p>
        </w:tc>
        <w:tc>
          <w:tcPr>
            <w:tcW w:w="632" w:type="dxa"/>
            <w:vAlign w:val="center"/>
          </w:tcPr>
          <w:p w:rsidR="006A2FC1" w:rsidRPr="00207CAC" w:rsidRDefault="006A2FC1" w:rsidP="000E55DB">
            <w:pPr>
              <w:pStyle w:val="DoNotTranslateExternal2"/>
              <w:rPr>
                <w:b/>
              </w:rPr>
            </w:pPr>
            <w:r>
              <w:rPr>
                <w:b/>
              </w:rPr>
              <w:t>19</w:t>
            </w:r>
          </w:p>
        </w:tc>
        <w:tc>
          <w:tcPr>
            <w:tcW w:w="632" w:type="dxa"/>
            <w:vAlign w:val="center"/>
          </w:tcPr>
          <w:p w:rsidR="006A2FC1" w:rsidRPr="00207CAC" w:rsidRDefault="006A2FC1" w:rsidP="006A2FC1">
            <w:pPr>
              <w:rPr>
                <w:rFonts w:ascii="Arial" w:eastAsia="Arial" w:hAnsi="Arial" w:cs="Arial"/>
                <w:b/>
                <w:sz w:val="18"/>
                <w:szCs w:val="18"/>
              </w:rPr>
            </w:pPr>
            <w:r>
              <w:rPr>
                <w:rFonts w:ascii="Arial" w:hAnsi="Arial"/>
                <w:b/>
                <w:sz w:val="18"/>
              </w:rPr>
              <w:t>33.7</w:t>
            </w:r>
          </w:p>
        </w:tc>
        <w:tc>
          <w:tcPr>
            <w:tcW w:w="632" w:type="dxa"/>
            <w:vAlign w:val="center"/>
          </w:tcPr>
          <w:p w:rsidR="006A2FC1" w:rsidRPr="00207CAC" w:rsidRDefault="006A2FC1" w:rsidP="006A2FC1">
            <w:pPr>
              <w:rPr>
                <w:rFonts w:ascii="Arial" w:eastAsia="Arial" w:hAnsi="Arial" w:cs="Arial"/>
                <w:b/>
                <w:sz w:val="18"/>
                <w:szCs w:val="18"/>
              </w:rPr>
            </w:pPr>
            <w:r>
              <w:rPr>
                <w:rFonts w:ascii="Arial" w:hAnsi="Arial"/>
                <w:b/>
                <w:sz w:val="18"/>
              </w:rPr>
              <w:t>23.6</w:t>
            </w:r>
          </w:p>
        </w:tc>
      </w:tr>
    </w:tbl>
    <w:p w:rsidR="006A2FC1" w:rsidRPr="006A2FC1" w:rsidRDefault="006A2FC1">
      <w:pPr>
        <w:spacing w:line="200" w:lineRule="exact"/>
      </w:pPr>
    </w:p>
    <w:p w:rsidR="006F3ED5" w:rsidRPr="006A2FC1" w:rsidRDefault="006F3ED5">
      <w:pPr>
        <w:spacing w:before="8" w:line="260" w:lineRule="exact"/>
        <w:rPr>
          <w:sz w:val="26"/>
          <w:szCs w:val="26"/>
        </w:rPr>
      </w:pPr>
    </w:p>
    <w:p w:rsidR="006F3ED5" w:rsidRPr="006A2FC1" w:rsidRDefault="00B65BEC" w:rsidP="00207CAC">
      <w:pPr>
        <w:pStyle w:val="paragraphe1"/>
      </w:pPr>
      <w:r>
        <w:lastRenderedPageBreak/>
        <w:t>In 2014 the number of fatalities dropped by 26.9% compared to the previous year, a figure that reflects the significant drop (60%) among LC users, as well as by a slight decrease in fatalities amongst trespassers (6.3%) relative to 2013. A similar change is seen in comparison to averages for the previous five years. The breakdown of averages over the past ten years shows that the overwhelming majority of fatal accidents involve persons external to railway operations – trespassers (on railway property) and LC users (402 out of 409 victims).</w:t>
      </w:r>
    </w:p>
    <w:p w:rsidR="006F3ED5" w:rsidRPr="006A2FC1" w:rsidRDefault="006F3ED5" w:rsidP="00207CAC">
      <w:pPr>
        <w:pStyle w:val="paragraphe1"/>
        <w:rPr>
          <w:sz w:val="24"/>
          <w:szCs w:val="24"/>
        </w:rPr>
      </w:pPr>
    </w:p>
    <w:p w:rsidR="006F3ED5" w:rsidRPr="006A2FC1" w:rsidRDefault="00B65BEC" w:rsidP="00207CAC">
      <w:pPr>
        <w:pStyle w:val="paragraphe1"/>
      </w:pPr>
      <w:r>
        <w:t>Records show that rail transportation is particularly safe for users, as only 1.2% of railway accident victims were passengers.</w:t>
      </w:r>
    </w:p>
    <w:p w:rsidR="006F3ED5" w:rsidRPr="006A2FC1" w:rsidRDefault="006F3ED5" w:rsidP="00207CAC">
      <w:pPr>
        <w:pStyle w:val="paragraphe1"/>
        <w:rPr>
          <w:sz w:val="24"/>
          <w:szCs w:val="24"/>
        </w:rPr>
      </w:pPr>
    </w:p>
    <w:p w:rsidR="006F3ED5" w:rsidRPr="006A2FC1" w:rsidRDefault="00B65BEC" w:rsidP="00207CAC">
      <w:pPr>
        <w:pStyle w:val="paragraphe1"/>
      </w:pPr>
      <w:r>
        <w:t>The long-term trend shows a clear and consistent drop in the number of fatal railway accidents over the last ten years (see charts on next page), which is obviously very positive and correlates directly with measures taken to reduce the number of level crossings and modernise those that remain, as well as improvements to the management of risks associated with traffic safety, whether through new regulations or the introduction and improvement of technical systems.</w:t>
      </w:r>
    </w:p>
    <w:p w:rsidR="006F3ED5" w:rsidRPr="006A2FC1" w:rsidRDefault="006F3ED5">
      <w:pPr>
        <w:spacing w:before="20" w:line="220" w:lineRule="exact"/>
        <w:rPr>
          <w:sz w:val="22"/>
          <w:szCs w:val="22"/>
        </w:rPr>
      </w:pPr>
    </w:p>
    <w:p w:rsidR="006F3ED5" w:rsidRPr="006A2FC1" w:rsidRDefault="00B65BEC" w:rsidP="008F4808">
      <w:pPr>
        <w:pStyle w:val="TITRE4"/>
      </w:pPr>
      <w:r>
        <w:t>Serious Injuries</w:t>
      </w:r>
    </w:p>
    <w:p w:rsidR="006F3ED5" w:rsidRPr="006A2FC1" w:rsidRDefault="006F3ED5">
      <w:pPr>
        <w:spacing w:line="200" w:lineRule="exact"/>
      </w:pPr>
    </w:p>
    <w:p w:rsidR="006F3ED5" w:rsidRDefault="00B65BEC">
      <w:pPr>
        <w:ind w:left="2329"/>
        <w:rPr>
          <w:rFonts w:ascii="Arial" w:eastAsia="Arial" w:hAnsi="Arial" w:cs="Arial"/>
          <w:b/>
          <w:sz w:val="18"/>
          <w:szCs w:val="18"/>
        </w:rPr>
      </w:pPr>
      <w:r>
        <w:rPr>
          <w:rFonts w:ascii="Arial" w:hAnsi="Arial"/>
          <w:b/>
          <w:sz w:val="18"/>
        </w:rPr>
        <w:t>Table 3 – Number of serious injuries by category, 2005-2014</w:t>
      </w:r>
    </w:p>
    <w:p w:rsidR="000E55DB" w:rsidRDefault="000E55DB" w:rsidP="000E55DB">
      <w:pPr>
        <w:rPr>
          <w:rFonts w:ascii="Arial" w:eastAsia="Arial" w:hAnsi="Arial" w:cs="Arial"/>
          <w:b/>
          <w:sz w:val="18"/>
          <w:szCs w:val="18"/>
        </w:rPr>
      </w:pPr>
    </w:p>
    <w:tbl>
      <w:tblPr>
        <w:tblStyle w:val="TableGrid"/>
        <w:tblW w:w="10031" w:type="dxa"/>
        <w:tblLook w:val="04A0" w:firstRow="1" w:lastRow="0" w:firstColumn="1" w:lastColumn="0" w:noHBand="0" w:noVBand="1"/>
      </w:tblPr>
      <w:tblGrid>
        <w:gridCol w:w="1931"/>
        <w:gridCol w:w="587"/>
        <w:gridCol w:w="588"/>
        <w:gridCol w:w="589"/>
        <w:gridCol w:w="591"/>
        <w:gridCol w:w="591"/>
        <w:gridCol w:w="591"/>
        <w:gridCol w:w="591"/>
        <w:gridCol w:w="591"/>
        <w:gridCol w:w="591"/>
        <w:gridCol w:w="591"/>
        <w:gridCol w:w="618"/>
        <w:gridCol w:w="618"/>
        <w:gridCol w:w="963"/>
      </w:tblGrid>
      <w:tr w:rsidR="000E55DB" w:rsidRPr="00B63285" w:rsidTr="00207CAC">
        <w:trPr>
          <w:cantSplit/>
          <w:trHeight w:val="1701"/>
        </w:trPr>
        <w:tc>
          <w:tcPr>
            <w:tcW w:w="1934" w:type="dxa"/>
            <w:textDirection w:val="btLr"/>
            <w:vAlign w:val="center"/>
          </w:tcPr>
          <w:p w:rsidR="000E55DB" w:rsidRPr="006A2FC1" w:rsidRDefault="000E55DB" w:rsidP="000E55DB">
            <w:pPr>
              <w:jc w:val="center"/>
              <w:rPr>
                <w:rFonts w:ascii="Arial" w:eastAsia="Arial" w:hAnsi="Arial" w:cs="Arial"/>
                <w:b/>
                <w:sz w:val="16"/>
                <w:szCs w:val="16"/>
              </w:rPr>
            </w:pPr>
          </w:p>
        </w:tc>
        <w:tc>
          <w:tcPr>
            <w:tcW w:w="588" w:type="dxa"/>
            <w:textDirection w:val="btLr"/>
            <w:vAlign w:val="center"/>
          </w:tcPr>
          <w:p w:rsidR="000E55DB" w:rsidRPr="006A2FC1" w:rsidRDefault="000E55DB" w:rsidP="00A27499">
            <w:pPr>
              <w:pStyle w:val="DoNotTranslateExternal3"/>
            </w:pPr>
            <w:r>
              <w:t>2005</w:t>
            </w:r>
          </w:p>
        </w:tc>
        <w:tc>
          <w:tcPr>
            <w:tcW w:w="589" w:type="dxa"/>
            <w:textDirection w:val="btLr"/>
            <w:vAlign w:val="center"/>
          </w:tcPr>
          <w:p w:rsidR="000E55DB" w:rsidRPr="006A2FC1" w:rsidRDefault="000E55DB" w:rsidP="00A27499">
            <w:pPr>
              <w:pStyle w:val="DoNotTranslateExternal3"/>
            </w:pPr>
            <w:r>
              <w:t>2006</w:t>
            </w:r>
          </w:p>
        </w:tc>
        <w:tc>
          <w:tcPr>
            <w:tcW w:w="590" w:type="dxa"/>
            <w:textDirection w:val="btLr"/>
            <w:vAlign w:val="center"/>
          </w:tcPr>
          <w:p w:rsidR="000E55DB" w:rsidRPr="006A2FC1" w:rsidRDefault="000E55DB" w:rsidP="00A27499">
            <w:pPr>
              <w:pStyle w:val="DoNotTranslateExternal3"/>
            </w:pPr>
            <w:r>
              <w:t>2007</w:t>
            </w:r>
          </w:p>
        </w:tc>
        <w:tc>
          <w:tcPr>
            <w:tcW w:w="591" w:type="dxa"/>
            <w:textDirection w:val="btLr"/>
            <w:vAlign w:val="center"/>
          </w:tcPr>
          <w:p w:rsidR="000E55DB" w:rsidRPr="006A2FC1" w:rsidRDefault="000E55DB" w:rsidP="00A27499">
            <w:pPr>
              <w:pStyle w:val="DoNotTranslateExternal3"/>
            </w:pPr>
            <w:r>
              <w:t>2008</w:t>
            </w:r>
          </w:p>
        </w:tc>
        <w:tc>
          <w:tcPr>
            <w:tcW w:w="591" w:type="dxa"/>
            <w:textDirection w:val="btLr"/>
            <w:vAlign w:val="center"/>
          </w:tcPr>
          <w:p w:rsidR="000E55DB" w:rsidRPr="006A2FC1" w:rsidRDefault="000E55DB" w:rsidP="00A27499">
            <w:pPr>
              <w:pStyle w:val="DoNotTranslateExternal3"/>
            </w:pPr>
            <w:r>
              <w:t>2009</w:t>
            </w:r>
          </w:p>
        </w:tc>
        <w:tc>
          <w:tcPr>
            <w:tcW w:w="591" w:type="dxa"/>
            <w:textDirection w:val="btLr"/>
            <w:vAlign w:val="center"/>
          </w:tcPr>
          <w:p w:rsidR="000E55DB" w:rsidRPr="006A2FC1" w:rsidRDefault="000E55DB" w:rsidP="00A27499">
            <w:pPr>
              <w:pStyle w:val="DoNotTranslateExternal3"/>
            </w:pPr>
            <w:r>
              <w:t>2010</w:t>
            </w:r>
          </w:p>
        </w:tc>
        <w:tc>
          <w:tcPr>
            <w:tcW w:w="591" w:type="dxa"/>
            <w:textDirection w:val="btLr"/>
            <w:vAlign w:val="center"/>
          </w:tcPr>
          <w:p w:rsidR="000E55DB" w:rsidRPr="006A2FC1" w:rsidRDefault="000E55DB" w:rsidP="00A27499">
            <w:pPr>
              <w:pStyle w:val="DoNotTranslateExternal3"/>
            </w:pPr>
            <w:r>
              <w:t>2011</w:t>
            </w:r>
          </w:p>
        </w:tc>
        <w:tc>
          <w:tcPr>
            <w:tcW w:w="591" w:type="dxa"/>
            <w:textDirection w:val="btLr"/>
            <w:vAlign w:val="center"/>
          </w:tcPr>
          <w:p w:rsidR="000E55DB" w:rsidRPr="006A2FC1" w:rsidRDefault="000E55DB" w:rsidP="00A27499">
            <w:pPr>
              <w:pStyle w:val="DoNotTranslateExternal3"/>
            </w:pPr>
            <w:r>
              <w:t>2012</w:t>
            </w:r>
          </w:p>
        </w:tc>
        <w:tc>
          <w:tcPr>
            <w:tcW w:w="591" w:type="dxa"/>
            <w:textDirection w:val="btLr"/>
            <w:vAlign w:val="center"/>
          </w:tcPr>
          <w:p w:rsidR="000E55DB" w:rsidRPr="006A2FC1" w:rsidRDefault="000E55DB" w:rsidP="00A27499">
            <w:pPr>
              <w:pStyle w:val="DoNotTranslateExternal3"/>
            </w:pPr>
            <w:r>
              <w:t>2013</w:t>
            </w:r>
          </w:p>
        </w:tc>
        <w:tc>
          <w:tcPr>
            <w:tcW w:w="591" w:type="dxa"/>
            <w:textDirection w:val="btLr"/>
            <w:vAlign w:val="center"/>
          </w:tcPr>
          <w:p w:rsidR="000E55DB" w:rsidRPr="006A2FC1" w:rsidRDefault="000E55DB" w:rsidP="00A27499">
            <w:pPr>
              <w:pStyle w:val="DoNotTranslateExternal3"/>
            </w:pPr>
            <w:r>
              <w:t>2014</w:t>
            </w:r>
          </w:p>
        </w:tc>
        <w:tc>
          <w:tcPr>
            <w:tcW w:w="619" w:type="dxa"/>
            <w:textDirection w:val="btLr"/>
            <w:vAlign w:val="center"/>
          </w:tcPr>
          <w:p w:rsidR="000E55DB" w:rsidRPr="006A2FC1" w:rsidRDefault="000E55DB" w:rsidP="000E55DB">
            <w:pPr>
              <w:jc w:val="center"/>
              <w:rPr>
                <w:rFonts w:ascii="Arial" w:eastAsia="Arial" w:hAnsi="Arial" w:cs="Arial"/>
                <w:b/>
                <w:sz w:val="16"/>
                <w:szCs w:val="16"/>
              </w:rPr>
            </w:pPr>
            <w:r>
              <w:rPr>
                <w:rFonts w:ascii="Arial" w:hAnsi="Arial"/>
                <w:b/>
                <w:sz w:val="16"/>
              </w:rPr>
              <w:t>Average for the period</w:t>
            </w:r>
          </w:p>
        </w:tc>
        <w:tc>
          <w:tcPr>
            <w:tcW w:w="619" w:type="dxa"/>
            <w:textDirection w:val="btLr"/>
            <w:vAlign w:val="center"/>
          </w:tcPr>
          <w:p w:rsidR="000E55DB" w:rsidRPr="006A2FC1" w:rsidRDefault="000E55DB" w:rsidP="000E55DB">
            <w:pPr>
              <w:jc w:val="center"/>
              <w:rPr>
                <w:rFonts w:ascii="Arial" w:hAnsi="Arial" w:cs="Arial"/>
                <w:sz w:val="16"/>
                <w:szCs w:val="16"/>
              </w:rPr>
            </w:pPr>
            <w:r>
              <w:rPr>
                <w:rFonts w:ascii="Arial" w:hAnsi="Arial"/>
                <w:b/>
                <w:sz w:val="16"/>
              </w:rPr>
              <w:t>Average over the last 5 years</w:t>
            </w:r>
          </w:p>
        </w:tc>
        <w:tc>
          <w:tcPr>
            <w:tcW w:w="955" w:type="dxa"/>
            <w:vAlign w:val="center"/>
          </w:tcPr>
          <w:p w:rsidR="000E55DB" w:rsidRPr="006A2FC1" w:rsidRDefault="000E55DB" w:rsidP="00207CAC">
            <w:pPr>
              <w:jc w:val="center"/>
              <w:rPr>
                <w:rFonts w:ascii="Arial" w:eastAsia="Arial" w:hAnsi="Arial" w:cs="Arial"/>
                <w:b/>
                <w:sz w:val="16"/>
                <w:szCs w:val="16"/>
              </w:rPr>
            </w:pPr>
            <w:r>
              <w:rPr>
                <w:rFonts w:ascii="Arial" w:hAnsi="Arial"/>
                <w:b/>
                <w:sz w:val="16"/>
              </w:rPr>
              <w:t>Total weighting of the category during the period</w:t>
            </w:r>
          </w:p>
        </w:tc>
      </w:tr>
      <w:tr w:rsidR="000E55DB" w:rsidRPr="006A2FC1" w:rsidTr="00207CAC">
        <w:tc>
          <w:tcPr>
            <w:tcW w:w="1934" w:type="dxa"/>
            <w:vAlign w:val="center"/>
          </w:tcPr>
          <w:p w:rsidR="000E55DB" w:rsidRPr="006A2FC1" w:rsidRDefault="000E55DB" w:rsidP="00E96A19">
            <w:pPr>
              <w:rPr>
                <w:rFonts w:ascii="Arial" w:eastAsia="Arial" w:hAnsi="Arial" w:cs="Arial"/>
                <w:b/>
                <w:sz w:val="18"/>
                <w:szCs w:val="18"/>
              </w:rPr>
            </w:pPr>
            <w:r>
              <w:rPr>
                <w:rFonts w:ascii="Arial" w:hAnsi="Arial"/>
                <w:b/>
                <w:sz w:val="18"/>
              </w:rPr>
              <w:t>Passengers</w:t>
            </w:r>
          </w:p>
        </w:tc>
        <w:tc>
          <w:tcPr>
            <w:tcW w:w="588" w:type="dxa"/>
            <w:vAlign w:val="center"/>
          </w:tcPr>
          <w:p w:rsidR="000E55DB" w:rsidRPr="006A2FC1" w:rsidRDefault="000E55DB" w:rsidP="000E55DB">
            <w:pPr>
              <w:pStyle w:val="DoNotTranslateExternal2"/>
            </w:pPr>
            <w:r>
              <w:t>7</w:t>
            </w:r>
          </w:p>
        </w:tc>
        <w:tc>
          <w:tcPr>
            <w:tcW w:w="589" w:type="dxa"/>
            <w:vAlign w:val="center"/>
          </w:tcPr>
          <w:p w:rsidR="000E55DB" w:rsidRPr="006A2FC1" w:rsidRDefault="000E55DB" w:rsidP="000E55DB">
            <w:pPr>
              <w:pStyle w:val="DoNotTranslateExternal2"/>
            </w:pPr>
            <w:r>
              <w:t>8</w:t>
            </w:r>
          </w:p>
        </w:tc>
        <w:tc>
          <w:tcPr>
            <w:tcW w:w="590" w:type="dxa"/>
            <w:vAlign w:val="center"/>
          </w:tcPr>
          <w:p w:rsidR="000E55DB" w:rsidRPr="006A2FC1" w:rsidRDefault="000E55DB" w:rsidP="000E55DB">
            <w:pPr>
              <w:pStyle w:val="DoNotTranslateExternal2"/>
            </w:pPr>
            <w:r>
              <w:t>5</w:t>
            </w:r>
          </w:p>
        </w:tc>
        <w:tc>
          <w:tcPr>
            <w:tcW w:w="591" w:type="dxa"/>
            <w:vAlign w:val="center"/>
          </w:tcPr>
          <w:p w:rsidR="000E55DB" w:rsidRPr="006A2FC1" w:rsidRDefault="000E55DB" w:rsidP="000E55DB">
            <w:pPr>
              <w:pStyle w:val="DoNotTranslateExternal2"/>
            </w:pPr>
            <w:r>
              <w:t>6</w:t>
            </w:r>
          </w:p>
        </w:tc>
        <w:tc>
          <w:tcPr>
            <w:tcW w:w="591" w:type="dxa"/>
            <w:vAlign w:val="center"/>
          </w:tcPr>
          <w:p w:rsidR="000E55DB" w:rsidRPr="006A2FC1" w:rsidRDefault="000E55DB" w:rsidP="000E55DB">
            <w:pPr>
              <w:pStyle w:val="DoNotTranslateExternal2"/>
            </w:pPr>
            <w:r>
              <w:t>4</w:t>
            </w:r>
          </w:p>
        </w:tc>
        <w:tc>
          <w:tcPr>
            <w:tcW w:w="591" w:type="dxa"/>
            <w:vAlign w:val="center"/>
          </w:tcPr>
          <w:p w:rsidR="000E55DB" w:rsidRPr="006A2FC1" w:rsidRDefault="000E55DB" w:rsidP="000E55DB">
            <w:pPr>
              <w:pStyle w:val="DoNotTranslateExternal2"/>
            </w:pPr>
            <w:r>
              <w:t>3</w:t>
            </w:r>
          </w:p>
        </w:tc>
        <w:tc>
          <w:tcPr>
            <w:tcW w:w="591" w:type="dxa"/>
            <w:vAlign w:val="center"/>
          </w:tcPr>
          <w:p w:rsidR="000E55DB" w:rsidRPr="006A2FC1" w:rsidRDefault="000E55DB" w:rsidP="000E55DB">
            <w:pPr>
              <w:pStyle w:val="DoNotTranslateExternal2"/>
            </w:pPr>
            <w:r>
              <w:t>2</w:t>
            </w:r>
          </w:p>
        </w:tc>
        <w:tc>
          <w:tcPr>
            <w:tcW w:w="591" w:type="dxa"/>
            <w:vAlign w:val="center"/>
          </w:tcPr>
          <w:p w:rsidR="000E55DB" w:rsidRPr="006A2FC1" w:rsidRDefault="000E55DB" w:rsidP="000E55DB">
            <w:pPr>
              <w:pStyle w:val="DoNotTranslateExternal2"/>
            </w:pPr>
            <w:r>
              <w:t>3</w:t>
            </w:r>
          </w:p>
        </w:tc>
        <w:tc>
          <w:tcPr>
            <w:tcW w:w="591" w:type="dxa"/>
            <w:vAlign w:val="center"/>
          </w:tcPr>
          <w:p w:rsidR="000E55DB" w:rsidRPr="006A2FC1" w:rsidRDefault="000E55DB" w:rsidP="000E55DB">
            <w:pPr>
              <w:pStyle w:val="DoNotTranslateExternal2"/>
            </w:pPr>
            <w:r>
              <w:t>3</w:t>
            </w:r>
          </w:p>
        </w:tc>
        <w:tc>
          <w:tcPr>
            <w:tcW w:w="591" w:type="dxa"/>
            <w:vAlign w:val="center"/>
          </w:tcPr>
          <w:p w:rsidR="000E55DB" w:rsidRPr="006A2FC1" w:rsidRDefault="000E55DB" w:rsidP="000E55DB">
            <w:pPr>
              <w:pStyle w:val="DoNotTranslateExternal2"/>
            </w:pPr>
            <w:r>
              <w:t>9</w:t>
            </w:r>
          </w:p>
        </w:tc>
        <w:tc>
          <w:tcPr>
            <w:tcW w:w="619" w:type="dxa"/>
            <w:vAlign w:val="center"/>
          </w:tcPr>
          <w:p w:rsidR="000E55DB" w:rsidRPr="000E55DB" w:rsidRDefault="000E55DB" w:rsidP="000E55DB">
            <w:pPr>
              <w:pStyle w:val="DoNotTranslateExternal2"/>
              <w:rPr>
                <w:b/>
              </w:rPr>
            </w:pPr>
            <w:r>
              <w:rPr>
                <w:b/>
              </w:rPr>
              <w:t>5</w:t>
            </w:r>
          </w:p>
        </w:tc>
        <w:tc>
          <w:tcPr>
            <w:tcW w:w="619" w:type="dxa"/>
            <w:vAlign w:val="center"/>
          </w:tcPr>
          <w:p w:rsidR="000E55DB" w:rsidRPr="000E55DB" w:rsidRDefault="000E55DB" w:rsidP="000E55DB">
            <w:pPr>
              <w:pStyle w:val="DoNotTranslateExternal2"/>
              <w:rPr>
                <w:b/>
              </w:rPr>
            </w:pPr>
            <w:r>
              <w:rPr>
                <w:b/>
              </w:rPr>
              <w:t>3</w:t>
            </w:r>
          </w:p>
        </w:tc>
        <w:tc>
          <w:tcPr>
            <w:tcW w:w="955" w:type="dxa"/>
            <w:vAlign w:val="center"/>
          </w:tcPr>
          <w:p w:rsidR="000E55DB" w:rsidRPr="000E55DB" w:rsidRDefault="000E55DB" w:rsidP="00207CAC">
            <w:pPr>
              <w:jc w:val="center"/>
              <w:rPr>
                <w:rFonts w:ascii="Arial" w:hAnsi="Arial" w:cs="Arial"/>
                <w:b/>
                <w:sz w:val="18"/>
                <w:szCs w:val="18"/>
              </w:rPr>
            </w:pPr>
            <w:r>
              <w:rPr>
                <w:rFonts w:ascii="Arial" w:hAnsi="Arial"/>
                <w:b/>
                <w:sz w:val="18"/>
              </w:rPr>
              <w:t>20.4%</w:t>
            </w:r>
          </w:p>
        </w:tc>
      </w:tr>
      <w:tr w:rsidR="000E55DB" w:rsidRPr="006A2FC1" w:rsidTr="00207CAC">
        <w:tc>
          <w:tcPr>
            <w:tcW w:w="1934" w:type="dxa"/>
            <w:vAlign w:val="center"/>
          </w:tcPr>
          <w:p w:rsidR="000E55DB" w:rsidRPr="006A2FC1" w:rsidRDefault="000E55DB" w:rsidP="00E96A19">
            <w:pPr>
              <w:rPr>
                <w:rFonts w:ascii="Arial" w:eastAsia="Arial" w:hAnsi="Arial" w:cs="Arial"/>
                <w:b/>
                <w:sz w:val="18"/>
                <w:szCs w:val="18"/>
              </w:rPr>
            </w:pPr>
            <w:r>
              <w:rPr>
                <w:rFonts w:ascii="Arial" w:hAnsi="Arial"/>
                <w:b/>
                <w:sz w:val="18"/>
              </w:rPr>
              <w:t>Workers</w:t>
            </w:r>
          </w:p>
        </w:tc>
        <w:tc>
          <w:tcPr>
            <w:tcW w:w="588" w:type="dxa"/>
            <w:vAlign w:val="center"/>
          </w:tcPr>
          <w:p w:rsidR="000E55DB" w:rsidRPr="006A2FC1" w:rsidRDefault="000E55DB" w:rsidP="000E55DB">
            <w:pPr>
              <w:pStyle w:val="DoNotTranslateExternal2"/>
            </w:pPr>
            <w:r>
              <w:t>0</w:t>
            </w:r>
          </w:p>
        </w:tc>
        <w:tc>
          <w:tcPr>
            <w:tcW w:w="589" w:type="dxa"/>
            <w:vAlign w:val="center"/>
          </w:tcPr>
          <w:p w:rsidR="000E55DB" w:rsidRPr="006A2FC1" w:rsidRDefault="000E55DB" w:rsidP="000E55DB">
            <w:pPr>
              <w:pStyle w:val="DoNotTranslateExternal2"/>
            </w:pPr>
            <w:r>
              <w:t>2</w:t>
            </w:r>
          </w:p>
        </w:tc>
        <w:tc>
          <w:tcPr>
            <w:tcW w:w="590" w:type="dxa"/>
            <w:vAlign w:val="center"/>
          </w:tcPr>
          <w:p w:rsidR="000E55DB" w:rsidRPr="006A2FC1" w:rsidRDefault="000E55DB" w:rsidP="000E55DB">
            <w:pPr>
              <w:pStyle w:val="DoNotTranslateExternal2"/>
            </w:pPr>
            <w:r>
              <w:t>2</w:t>
            </w:r>
          </w:p>
        </w:tc>
        <w:tc>
          <w:tcPr>
            <w:tcW w:w="591" w:type="dxa"/>
            <w:vAlign w:val="center"/>
          </w:tcPr>
          <w:p w:rsidR="000E55DB" w:rsidRPr="006A2FC1" w:rsidRDefault="000E55DB" w:rsidP="000E55DB">
            <w:pPr>
              <w:pStyle w:val="DoNotTranslateExternal2"/>
            </w:pPr>
            <w:r>
              <w:t>2</w:t>
            </w:r>
          </w:p>
        </w:tc>
        <w:tc>
          <w:tcPr>
            <w:tcW w:w="591" w:type="dxa"/>
            <w:vAlign w:val="center"/>
          </w:tcPr>
          <w:p w:rsidR="000E55DB" w:rsidRPr="006A2FC1" w:rsidRDefault="000E55DB" w:rsidP="000E55DB">
            <w:pPr>
              <w:pStyle w:val="DoNotTranslateExternal2"/>
            </w:pPr>
            <w:r>
              <w:t>2</w:t>
            </w:r>
          </w:p>
        </w:tc>
        <w:tc>
          <w:tcPr>
            <w:tcW w:w="591" w:type="dxa"/>
            <w:vAlign w:val="center"/>
          </w:tcPr>
          <w:p w:rsidR="000E55DB" w:rsidRPr="006A2FC1" w:rsidRDefault="000E55DB" w:rsidP="000E55DB">
            <w:pPr>
              <w:pStyle w:val="DoNotTranslateExternal2"/>
            </w:pPr>
            <w:r>
              <w:t>2</w:t>
            </w:r>
          </w:p>
        </w:tc>
        <w:tc>
          <w:tcPr>
            <w:tcW w:w="591" w:type="dxa"/>
            <w:vAlign w:val="center"/>
          </w:tcPr>
          <w:p w:rsidR="000E55DB" w:rsidRPr="006A2FC1" w:rsidRDefault="000E55DB" w:rsidP="000E55DB">
            <w:pPr>
              <w:pStyle w:val="DoNotTranslateExternal2"/>
            </w:pPr>
            <w:r>
              <w:t>0</w:t>
            </w:r>
          </w:p>
        </w:tc>
        <w:tc>
          <w:tcPr>
            <w:tcW w:w="591" w:type="dxa"/>
            <w:vAlign w:val="center"/>
          </w:tcPr>
          <w:p w:rsidR="000E55DB" w:rsidRPr="006A2FC1" w:rsidRDefault="000E55DB" w:rsidP="000E55DB">
            <w:pPr>
              <w:pStyle w:val="DoNotTranslateExternal2"/>
            </w:pPr>
            <w:r>
              <w:t>0</w:t>
            </w:r>
          </w:p>
        </w:tc>
        <w:tc>
          <w:tcPr>
            <w:tcW w:w="591" w:type="dxa"/>
            <w:vAlign w:val="center"/>
          </w:tcPr>
          <w:p w:rsidR="000E55DB" w:rsidRPr="006A2FC1" w:rsidRDefault="000E55DB" w:rsidP="000E55DB">
            <w:pPr>
              <w:pStyle w:val="DoNotTranslateExternal2"/>
            </w:pPr>
            <w:r>
              <w:t>0</w:t>
            </w:r>
          </w:p>
        </w:tc>
        <w:tc>
          <w:tcPr>
            <w:tcW w:w="591" w:type="dxa"/>
            <w:vAlign w:val="center"/>
          </w:tcPr>
          <w:p w:rsidR="000E55DB" w:rsidRPr="006A2FC1" w:rsidRDefault="000E55DB" w:rsidP="000E55DB">
            <w:pPr>
              <w:pStyle w:val="DoNotTranslateExternal2"/>
            </w:pPr>
            <w:r>
              <w:t>0</w:t>
            </w:r>
          </w:p>
        </w:tc>
        <w:tc>
          <w:tcPr>
            <w:tcW w:w="619" w:type="dxa"/>
            <w:vAlign w:val="center"/>
          </w:tcPr>
          <w:p w:rsidR="000E55DB" w:rsidRPr="000E55DB" w:rsidRDefault="000E55DB" w:rsidP="000E55DB">
            <w:pPr>
              <w:pStyle w:val="DoNotTranslateExternal2"/>
              <w:rPr>
                <w:b/>
              </w:rPr>
            </w:pPr>
            <w:r>
              <w:rPr>
                <w:b/>
              </w:rPr>
              <w:t>1</w:t>
            </w:r>
          </w:p>
        </w:tc>
        <w:tc>
          <w:tcPr>
            <w:tcW w:w="619" w:type="dxa"/>
            <w:vAlign w:val="center"/>
          </w:tcPr>
          <w:p w:rsidR="000E55DB" w:rsidRPr="000E55DB" w:rsidRDefault="000E55DB" w:rsidP="000E55DB">
            <w:pPr>
              <w:pStyle w:val="DoNotTranslateExternal2"/>
              <w:rPr>
                <w:b/>
              </w:rPr>
            </w:pPr>
            <w:r>
              <w:rPr>
                <w:b/>
              </w:rPr>
              <w:t>1</w:t>
            </w:r>
          </w:p>
        </w:tc>
        <w:tc>
          <w:tcPr>
            <w:tcW w:w="955" w:type="dxa"/>
            <w:vAlign w:val="center"/>
          </w:tcPr>
          <w:p w:rsidR="000E55DB" w:rsidRPr="000E55DB" w:rsidRDefault="000E55DB" w:rsidP="00207CAC">
            <w:pPr>
              <w:jc w:val="center"/>
              <w:rPr>
                <w:rFonts w:ascii="Arial" w:hAnsi="Arial" w:cs="Arial"/>
                <w:b/>
                <w:sz w:val="18"/>
                <w:szCs w:val="18"/>
              </w:rPr>
            </w:pPr>
            <w:r>
              <w:rPr>
                <w:rFonts w:ascii="Arial" w:hAnsi="Arial"/>
                <w:b/>
                <w:sz w:val="18"/>
              </w:rPr>
              <w:t>4.1%</w:t>
            </w:r>
          </w:p>
        </w:tc>
      </w:tr>
      <w:tr w:rsidR="000E55DB" w:rsidRPr="006A2FC1" w:rsidTr="00207CAC">
        <w:tc>
          <w:tcPr>
            <w:tcW w:w="1934" w:type="dxa"/>
            <w:vAlign w:val="center"/>
          </w:tcPr>
          <w:p w:rsidR="000E55DB" w:rsidRPr="006A2FC1" w:rsidRDefault="000E55DB" w:rsidP="00E96A19">
            <w:pPr>
              <w:rPr>
                <w:rFonts w:ascii="Arial" w:eastAsia="Arial" w:hAnsi="Arial" w:cs="Arial"/>
                <w:b/>
                <w:sz w:val="18"/>
                <w:szCs w:val="18"/>
              </w:rPr>
            </w:pPr>
            <w:r>
              <w:rPr>
                <w:rFonts w:ascii="Arial" w:hAnsi="Arial"/>
                <w:b/>
                <w:sz w:val="18"/>
              </w:rPr>
              <w:t>LC Users</w:t>
            </w:r>
          </w:p>
        </w:tc>
        <w:tc>
          <w:tcPr>
            <w:tcW w:w="588" w:type="dxa"/>
            <w:vAlign w:val="center"/>
          </w:tcPr>
          <w:p w:rsidR="000E55DB" w:rsidRPr="006A2FC1" w:rsidRDefault="000E55DB" w:rsidP="000E55DB">
            <w:pPr>
              <w:pStyle w:val="DoNotTranslateExternal2"/>
            </w:pPr>
            <w:r>
              <w:t>15</w:t>
            </w:r>
          </w:p>
        </w:tc>
        <w:tc>
          <w:tcPr>
            <w:tcW w:w="589" w:type="dxa"/>
            <w:vAlign w:val="center"/>
          </w:tcPr>
          <w:p w:rsidR="000E55DB" w:rsidRPr="006A2FC1" w:rsidRDefault="000E55DB" w:rsidP="000E55DB">
            <w:pPr>
              <w:pStyle w:val="DoNotTranslateExternal2"/>
            </w:pPr>
            <w:r>
              <w:t>9</w:t>
            </w:r>
          </w:p>
        </w:tc>
        <w:tc>
          <w:tcPr>
            <w:tcW w:w="590" w:type="dxa"/>
            <w:vAlign w:val="center"/>
          </w:tcPr>
          <w:p w:rsidR="000E55DB" w:rsidRPr="006A2FC1" w:rsidRDefault="000E55DB" w:rsidP="000E55DB">
            <w:pPr>
              <w:pStyle w:val="DoNotTranslateExternal2"/>
            </w:pPr>
            <w:r>
              <w:t>8</w:t>
            </w:r>
          </w:p>
        </w:tc>
        <w:tc>
          <w:tcPr>
            <w:tcW w:w="591" w:type="dxa"/>
            <w:vAlign w:val="center"/>
          </w:tcPr>
          <w:p w:rsidR="000E55DB" w:rsidRPr="006A2FC1" w:rsidRDefault="000E55DB" w:rsidP="000E55DB">
            <w:pPr>
              <w:pStyle w:val="DoNotTranslateExternal2"/>
            </w:pPr>
            <w:r>
              <w:t>10</w:t>
            </w:r>
          </w:p>
        </w:tc>
        <w:tc>
          <w:tcPr>
            <w:tcW w:w="591" w:type="dxa"/>
            <w:vAlign w:val="center"/>
          </w:tcPr>
          <w:p w:rsidR="000E55DB" w:rsidRPr="006A2FC1" w:rsidRDefault="000E55DB" w:rsidP="000E55DB">
            <w:pPr>
              <w:pStyle w:val="DoNotTranslateExternal2"/>
            </w:pPr>
            <w:r>
              <w:t>5</w:t>
            </w:r>
          </w:p>
        </w:tc>
        <w:tc>
          <w:tcPr>
            <w:tcW w:w="591" w:type="dxa"/>
            <w:vAlign w:val="center"/>
          </w:tcPr>
          <w:p w:rsidR="000E55DB" w:rsidRPr="006A2FC1" w:rsidRDefault="000E55DB" w:rsidP="000E55DB">
            <w:pPr>
              <w:pStyle w:val="DoNotTranslateExternal2"/>
            </w:pPr>
            <w:r>
              <w:t>3</w:t>
            </w:r>
          </w:p>
        </w:tc>
        <w:tc>
          <w:tcPr>
            <w:tcW w:w="591" w:type="dxa"/>
            <w:vAlign w:val="center"/>
          </w:tcPr>
          <w:p w:rsidR="000E55DB" w:rsidRPr="006A2FC1" w:rsidRDefault="000E55DB" w:rsidP="000E55DB">
            <w:pPr>
              <w:pStyle w:val="DoNotTranslateExternal2"/>
            </w:pPr>
            <w:r>
              <w:t>3</w:t>
            </w:r>
          </w:p>
        </w:tc>
        <w:tc>
          <w:tcPr>
            <w:tcW w:w="591" w:type="dxa"/>
            <w:vAlign w:val="center"/>
          </w:tcPr>
          <w:p w:rsidR="000E55DB" w:rsidRPr="006A2FC1" w:rsidRDefault="000E55DB" w:rsidP="000E55DB">
            <w:pPr>
              <w:pStyle w:val="DoNotTranslateExternal2"/>
            </w:pPr>
            <w:r>
              <w:t>5</w:t>
            </w:r>
          </w:p>
        </w:tc>
        <w:tc>
          <w:tcPr>
            <w:tcW w:w="591" w:type="dxa"/>
            <w:vAlign w:val="center"/>
          </w:tcPr>
          <w:p w:rsidR="000E55DB" w:rsidRPr="006A2FC1" w:rsidRDefault="000E55DB" w:rsidP="000E55DB">
            <w:pPr>
              <w:pStyle w:val="DoNotTranslateExternal2"/>
            </w:pPr>
            <w:r>
              <w:t>5</w:t>
            </w:r>
          </w:p>
        </w:tc>
        <w:tc>
          <w:tcPr>
            <w:tcW w:w="591" w:type="dxa"/>
            <w:vAlign w:val="center"/>
          </w:tcPr>
          <w:p w:rsidR="000E55DB" w:rsidRPr="006A2FC1" w:rsidRDefault="000E55DB" w:rsidP="000E55DB">
            <w:pPr>
              <w:pStyle w:val="DoNotTranslateExternal2"/>
            </w:pPr>
            <w:r>
              <w:t>5</w:t>
            </w:r>
          </w:p>
        </w:tc>
        <w:tc>
          <w:tcPr>
            <w:tcW w:w="619" w:type="dxa"/>
            <w:vAlign w:val="center"/>
          </w:tcPr>
          <w:p w:rsidR="000E55DB" w:rsidRPr="000E55DB" w:rsidRDefault="000E55DB" w:rsidP="000E55DB">
            <w:pPr>
              <w:pStyle w:val="DoNotTranslateExternal2"/>
              <w:rPr>
                <w:b/>
              </w:rPr>
            </w:pPr>
            <w:r>
              <w:rPr>
                <w:b/>
              </w:rPr>
              <w:t>7</w:t>
            </w:r>
          </w:p>
        </w:tc>
        <w:tc>
          <w:tcPr>
            <w:tcW w:w="619" w:type="dxa"/>
            <w:vAlign w:val="center"/>
          </w:tcPr>
          <w:p w:rsidR="000E55DB" w:rsidRPr="000E55DB" w:rsidRDefault="000E55DB" w:rsidP="000E55DB">
            <w:pPr>
              <w:pStyle w:val="DoNotTranslateExternal2"/>
              <w:rPr>
                <w:b/>
              </w:rPr>
            </w:pPr>
            <w:r>
              <w:rPr>
                <w:b/>
              </w:rPr>
              <w:t>4</w:t>
            </w:r>
          </w:p>
        </w:tc>
        <w:tc>
          <w:tcPr>
            <w:tcW w:w="955" w:type="dxa"/>
            <w:vAlign w:val="center"/>
          </w:tcPr>
          <w:p w:rsidR="000E55DB" w:rsidRPr="000E55DB" w:rsidRDefault="000E55DB" w:rsidP="00207CAC">
            <w:pPr>
              <w:jc w:val="center"/>
              <w:rPr>
                <w:rFonts w:ascii="Arial" w:hAnsi="Arial" w:cs="Arial"/>
                <w:b/>
                <w:sz w:val="18"/>
                <w:szCs w:val="18"/>
              </w:rPr>
            </w:pPr>
            <w:r>
              <w:rPr>
                <w:rFonts w:ascii="Arial" w:hAnsi="Arial"/>
                <w:b/>
                <w:sz w:val="18"/>
              </w:rPr>
              <w:t>27.8%</w:t>
            </w:r>
          </w:p>
        </w:tc>
      </w:tr>
      <w:tr w:rsidR="000E55DB" w:rsidRPr="006A2FC1" w:rsidTr="00207CAC">
        <w:tc>
          <w:tcPr>
            <w:tcW w:w="1934" w:type="dxa"/>
            <w:vAlign w:val="center"/>
          </w:tcPr>
          <w:p w:rsidR="000E55DB" w:rsidRPr="006A2FC1" w:rsidRDefault="000E55DB" w:rsidP="00E96A19">
            <w:pPr>
              <w:rPr>
                <w:rFonts w:ascii="Arial" w:eastAsia="Arial" w:hAnsi="Arial" w:cs="Arial"/>
                <w:b/>
                <w:sz w:val="18"/>
                <w:szCs w:val="18"/>
              </w:rPr>
            </w:pPr>
            <w:r>
              <w:rPr>
                <w:rFonts w:ascii="Arial" w:hAnsi="Arial"/>
                <w:b/>
                <w:sz w:val="18"/>
              </w:rPr>
              <w:t>Trespassers</w:t>
            </w:r>
          </w:p>
        </w:tc>
        <w:tc>
          <w:tcPr>
            <w:tcW w:w="588" w:type="dxa"/>
            <w:vAlign w:val="center"/>
          </w:tcPr>
          <w:p w:rsidR="000E55DB" w:rsidRPr="006A2FC1" w:rsidRDefault="000E55DB" w:rsidP="000E55DB">
            <w:pPr>
              <w:pStyle w:val="DoNotTranslateExternal2"/>
            </w:pPr>
            <w:r>
              <w:t>22</w:t>
            </w:r>
          </w:p>
        </w:tc>
        <w:tc>
          <w:tcPr>
            <w:tcW w:w="589" w:type="dxa"/>
            <w:vAlign w:val="center"/>
          </w:tcPr>
          <w:p w:rsidR="000E55DB" w:rsidRPr="006A2FC1" w:rsidRDefault="000E55DB" w:rsidP="000E55DB">
            <w:pPr>
              <w:pStyle w:val="DoNotTranslateExternal2"/>
            </w:pPr>
            <w:r>
              <w:t>12</w:t>
            </w:r>
          </w:p>
        </w:tc>
        <w:tc>
          <w:tcPr>
            <w:tcW w:w="590" w:type="dxa"/>
            <w:vAlign w:val="center"/>
          </w:tcPr>
          <w:p w:rsidR="000E55DB" w:rsidRPr="006A2FC1" w:rsidRDefault="000E55DB" w:rsidP="000E55DB">
            <w:pPr>
              <w:pStyle w:val="DoNotTranslateExternal2"/>
            </w:pPr>
            <w:r>
              <w:t>18</w:t>
            </w:r>
          </w:p>
        </w:tc>
        <w:tc>
          <w:tcPr>
            <w:tcW w:w="591" w:type="dxa"/>
            <w:vAlign w:val="center"/>
          </w:tcPr>
          <w:p w:rsidR="000E55DB" w:rsidRPr="006A2FC1" w:rsidRDefault="000E55DB" w:rsidP="000E55DB">
            <w:pPr>
              <w:pStyle w:val="DoNotTranslateExternal2"/>
            </w:pPr>
            <w:r>
              <w:t>20</w:t>
            </w:r>
          </w:p>
        </w:tc>
        <w:tc>
          <w:tcPr>
            <w:tcW w:w="591" w:type="dxa"/>
            <w:vAlign w:val="center"/>
          </w:tcPr>
          <w:p w:rsidR="000E55DB" w:rsidRPr="006A2FC1" w:rsidRDefault="000E55DB" w:rsidP="000E55DB">
            <w:pPr>
              <w:pStyle w:val="DoNotTranslateExternal2"/>
            </w:pPr>
            <w:r>
              <w:t>7</w:t>
            </w:r>
          </w:p>
        </w:tc>
        <w:tc>
          <w:tcPr>
            <w:tcW w:w="591" w:type="dxa"/>
            <w:vAlign w:val="center"/>
          </w:tcPr>
          <w:p w:rsidR="000E55DB" w:rsidRPr="006A2FC1" w:rsidRDefault="000E55DB" w:rsidP="000E55DB">
            <w:pPr>
              <w:pStyle w:val="DoNotTranslateExternal2"/>
            </w:pPr>
            <w:r>
              <w:t>8</w:t>
            </w:r>
          </w:p>
        </w:tc>
        <w:tc>
          <w:tcPr>
            <w:tcW w:w="591" w:type="dxa"/>
            <w:vAlign w:val="center"/>
          </w:tcPr>
          <w:p w:rsidR="000E55DB" w:rsidRPr="006A2FC1" w:rsidRDefault="000E55DB" w:rsidP="000E55DB">
            <w:pPr>
              <w:pStyle w:val="DoNotTranslateExternal2"/>
            </w:pPr>
            <w:r>
              <w:t>5</w:t>
            </w:r>
          </w:p>
        </w:tc>
        <w:tc>
          <w:tcPr>
            <w:tcW w:w="591" w:type="dxa"/>
            <w:vAlign w:val="center"/>
          </w:tcPr>
          <w:p w:rsidR="000E55DB" w:rsidRPr="006A2FC1" w:rsidRDefault="000E55DB" w:rsidP="000E55DB">
            <w:pPr>
              <w:pStyle w:val="DoNotTranslateExternal2"/>
            </w:pPr>
            <w:r>
              <w:t>7</w:t>
            </w:r>
          </w:p>
        </w:tc>
        <w:tc>
          <w:tcPr>
            <w:tcW w:w="591" w:type="dxa"/>
            <w:vAlign w:val="center"/>
          </w:tcPr>
          <w:p w:rsidR="000E55DB" w:rsidRPr="006A2FC1" w:rsidRDefault="000E55DB" w:rsidP="000E55DB">
            <w:pPr>
              <w:pStyle w:val="DoNotTranslateExternal2"/>
            </w:pPr>
            <w:r>
              <w:t>5</w:t>
            </w:r>
          </w:p>
        </w:tc>
        <w:tc>
          <w:tcPr>
            <w:tcW w:w="591" w:type="dxa"/>
            <w:vAlign w:val="center"/>
          </w:tcPr>
          <w:p w:rsidR="000E55DB" w:rsidRPr="006A2FC1" w:rsidRDefault="000E55DB" w:rsidP="000E55DB">
            <w:pPr>
              <w:pStyle w:val="DoNotTranslateExternal2"/>
            </w:pPr>
            <w:r>
              <w:t>7</w:t>
            </w:r>
          </w:p>
        </w:tc>
        <w:tc>
          <w:tcPr>
            <w:tcW w:w="619" w:type="dxa"/>
            <w:vAlign w:val="center"/>
          </w:tcPr>
          <w:p w:rsidR="000E55DB" w:rsidRPr="000E55DB" w:rsidRDefault="000E55DB" w:rsidP="000E55DB">
            <w:pPr>
              <w:pStyle w:val="DoNotTranslateExternal2"/>
              <w:rPr>
                <w:b/>
              </w:rPr>
            </w:pPr>
            <w:r>
              <w:rPr>
                <w:b/>
              </w:rPr>
              <w:t>12</w:t>
            </w:r>
          </w:p>
        </w:tc>
        <w:tc>
          <w:tcPr>
            <w:tcW w:w="619" w:type="dxa"/>
            <w:vAlign w:val="center"/>
          </w:tcPr>
          <w:p w:rsidR="000E55DB" w:rsidRPr="000E55DB" w:rsidRDefault="000E55DB" w:rsidP="000E55DB">
            <w:pPr>
              <w:pStyle w:val="DoNotTranslateExternal2"/>
              <w:rPr>
                <w:b/>
              </w:rPr>
            </w:pPr>
            <w:r>
              <w:rPr>
                <w:b/>
              </w:rPr>
              <w:t>6</w:t>
            </w:r>
          </w:p>
        </w:tc>
        <w:tc>
          <w:tcPr>
            <w:tcW w:w="955" w:type="dxa"/>
            <w:vAlign w:val="center"/>
          </w:tcPr>
          <w:p w:rsidR="000E55DB" w:rsidRPr="000E55DB" w:rsidRDefault="000E55DB" w:rsidP="00207CAC">
            <w:pPr>
              <w:jc w:val="center"/>
              <w:rPr>
                <w:rFonts w:ascii="Arial" w:hAnsi="Arial" w:cs="Arial"/>
                <w:b/>
                <w:sz w:val="18"/>
                <w:szCs w:val="18"/>
              </w:rPr>
            </w:pPr>
            <w:r>
              <w:rPr>
                <w:rFonts w:ascii="Arial" w:hAnsi="Arial"/>
                <w:b/>
                <w:sz w:val="18"/>
              </w:rPr>
              <w:t>45.3%</w:t>
            </w:r>
          </w:p>
        </w:tc>
      </w:tr>
      <w:tr w:rsidR="000E55DB" w:rsidRPr="006A2FC1" w:rsidTr="00207CAC">
        <w:tc>
          <w:tcPr>
            <w:tcW w:w="1934" w:type="dxa"/>
            <w:vAlign w:val="center"/>
          </w:tcPr>
          <w:p w:rsidR="000E55DB" w:rsidRPr="006A2FC1" w:rsidRDefault="000E55DB" w:rsidP="00E96A19">
            <w:pPr>
              <w:rPr>
                <w:rFonts w:ascii="Arial" w:eastAsia="Arial" w:hAnsi="Arial" w:cs="Arial"/>
                <w:b/>
                <w:sz w:val="18"/>
                <w:szCs w:val="18"/>
              </w:rPr>
            </w:pPr>
            <w:r>
              <w:rPr>
                <w:rFonts w:ascii="Arial" w:hAnsi="Arial"/>
                <w:b/>
                <w:sz w:val="18"/>
              </w:rPr>
              <w:t>Others</w:t>
            </w:r>
          </w:p>
        </w:tc>
        <w:tc>
          <w:tcPr>
            <w:tcW w:w="588" w:type="dxa"/>
            <w:vAlign w:val="center"/>
          </w:tcPr>
          <w:p w:rsidR="000E55DB" w:rsidRPr="006A2FC1" w:rsidRDefault="000E55DB" w:rsidP="000E55DB">
            <w:pPr>
              <w:pStyle w:val="DoNotTranslateExternal2"/>
            </w:pPr>
            <w:r>
              <w:t>0</w:t>
            </w:r>
          </w:p>
        </w:tc>
        <w:tc>
          <w:tcPr>
            <w:tcW w:w="589" w:type="dxa"/>
            <w:vAlign w:val="center"/>
          </w:tcPr>
          <w:p w:rsidR="000E55DB" w:rsidRPr="006A2FC1" w:rsidRDefault="000E55DB" w:rsidP="00E96A19">
            <w:pPr>
              <w:pStyle w:val="DoNotTranslateExternal2"/>
            </w:pPr>
            <w:r>
              <w:t>2</w:t>
            </w:r>
          </w:p>
        </w:tc>
        <w:tc>
          <w:tcPr>
            <w:tcW w:w="590" w:type="dxa"/>
            <w:vAlign w:val="center"/>
          </w:tcPr>
          <w:p w:rsidR="000E55DB" w:rsidRPr="006A2FC1" w:rsidRDefault="000E55DB" w:rsidP="00E96A19">
            <w:pPr>
              <w:pStyle w:val="DoNotTranslateExternal2"/>
            </w:pPr>
            <w:r>
              <w:t>1</w:t>
            </w:r>
          </w:p>
        </w:tc>
        <w:tc>
          <w:tcPr>
            <w:tcW w:w="591" w:type="dxa"/>
            <w:vAlign w:val="center"/>
          </w:tcPr>
          <w:p w:rsidR="000E55DB" w:rsidRPr="006A2FC1" w:rsidRDefault="000E55DB" w:rsidP="00E96A19">
            <w:pPr>
              <w:pStyle w:val="DoNotTranslateExternal2"/>
            </w:pPr>
            <w:r>
              <w:t>1</w:t>
            </w:r>
          </w:p>
        </w:tc>
        <w:tc>
          <w:tcPr>
            <w:tcW w:w="591" w:type="dxa"/>
            <w:vAlign w:val="center"/>
          </w:tcPr>
          <w:p w:rsidR="000E55DB" w:rsidRPr="006A2FC1" w:rsidRDefault="000E55DB" w:rsidP="000E55DB">
            <w:pPr>
              <w:pStyle w:val="DoNotTranslateExternal2"/>
            </w:pPr>
            <w:r>
              <w:t>0</w:t>
            </w:r>
          </w:p>
        </w:tc>
        <w:tc>
          <w:tcPr>
            <w:tcW w:w="591" w:type="dxa"/>
            <w:vAlign w:val="center"/>
          </w:tcPr>
          <w:p w:rsidR="000E55DB" w:rsidRPr="006A2FC1" w:rsidRDefault="000E55DB" w:rsidP="000E55DB">
            <w:pPr>
              <w:pStyle w:val="DoNotTranslateExternal2"/>
            </w:pPr>
            <w:r>
              <w:t>0</w:t>
            </w:r>
          </w:p>
        </w:tc>
        <w:tc>
          <w:tcPr>
            <w:tcW w:w="591" w:type="dxa"/>
            <w:vAlign w:val="center"/>
          </w:tcPr>
          <w:p w:rsidR="000E55DB" w:rsidRPr="006A2FC1" w:rsidRDefault="000E55DB" w:rsidP="000E55DB">
            <w:pPr>
              <w:pStyle w:val="DoNotTranslateExternal2"/>
            </w:pPr>
            <w:r>
              <w:t>0</w:t>
            </w:r>
          </w:p>
        </w:tc>
        <w:tc>
          <w:tcPr>
            <w:tcW w:w="591" w:type="dxa"/>
            <w:vAlign w:val="center"/>
          </w:tcPr>
          <w:p w:rsidR="000E55DB" w:rsidRPr="006A2FC1" w:rsidRDefault="000E55DB" w:rsidP="000E55DB">
            <w:pPr>
              <w:pStyle w:val="DoNotTranslateExternal2"/>
            </w:pPr>
            <w:r>
              <w:t>1</w:t>
            </w:r>
          </w:p>
        </w:tc>
        <w:tc>
          <w:tcPr>
            <w:tcW w:w="591" w:type="dxa"/>
            <w:vAlign w:val="center"/>
          </w:tcPr>
          <w:p w:rsidR="000E55DB" w:rsidRPr="006A2FC1" w:rsidRDefault="000E55DB" w:rsidP="000E55DB">
            <w:pPr>
              <w:pStyle w:val="DoNotTranslateExternal2"/>
            </w:pPr>
            <w:r>
              <w:t>1</w:t>
            </w:r>
          </w:p>
        </w:tc>
        <w:tc>
          <w:tcPr>
            <w:tcW w:w="591" w:type="dxa"/>
            <w:vAlign w:val="center"/>
          </w:tcPr>
          <w:p w:rsidR="000E55DB" w:rsidRPr="006A2FC1" w:rsidRDefault="000E55DB" w:rsidP="000E55DB">
            <w:pPr>
              <w:pStyle w:val="DoNotTranslateExternal2"/>
            </w:pPr>
            <w:r>
              <w:t>0</w:t>
            </w:r>
          </w:p>
        </w:tc>
        <w:tc>
          <w:tcPr>
            <w:tcW w:w="619" w:type="dxa"/>
            <w:vAlign w:val="center"/>
          </w:tcPr>
          <w:p w:rsidR="000E55DB" w:rsidRPr="000E55DB" w:rsidRDefault="000E55DB" w:rsidP="000E55DB">
            <w:pPr>
              <w:pStyle w:val="DoNotTranslateExternal2"/>
              <w:rPr>
                <w:b/>
              </w:rPr>
            </w:pPr>
            <w:r>
              <w:rPr>
                <w:b/>
              </w:rPr>
              <w:t>1</w:t>
            </w:r>
          </w:p>
        </w:tc>
        <w:tc>
          <w:tcPr>
            <w:tcW w:w="619" w:type="dxa"/>
            <w:vAlign w:val="center"/>
          </w:tcPr>
          <w:p w:rsidR="000E55DB" w:rsidRPr="000E55DB" w:rsidRDefault="000E55DB" w:rsidP="000E55DB">
            <w:pPr>
              <w:pStyle w:val="DoNotTranslateExternal2"/>
              <w:rPr>
                <w:b/>
              </w:rPr>
            </w:pPr>
            <w:r>
              <w:rPr>
                <w:b/>
              </w:rPr>
              <w:t>0</w:t>
            </w:r>
          </w:p>
        </w:tc>
        <w:tc>
          <w:tcPr>
            <w:tcW w:w="955" w:type="dxa"/>
            <w:vAlign w:val="center"/>
          </w:tcPr>
          <w:p w:rsidR="000E55DB" w:rsidRPr="000E55DB" w:rsidRDefault="000E55DB" w:rsidP="00207CAC">
            <w:pPr>
              <w:jc w:val="center"/>
              <w:rPr>
                <w:rFonts w:ascii="Arial" w:hAnsi="Arial" w:cs="Arial"/>
                <w:b/>
                <w:sz w:val="18"/>
                <w:szCs w:val="18"/>
              </w:rPr>
            </w:pPr>
            <w:r>
              <w:rPr>
                <w:rFonts w:ascii="Arial" w:hAnsi="Arial"/>
                <w:b/>
                <w:sz w:val="18"/>
              </w:rPr>
              <w:t>2.4%</w:t>
            </w:r>
          </w:p>
        </w:tc>
      </w:tr>
      <w:tr w:rsidR="000E55DB" w:rsidRPr="006A2FC1" w:rsidTr="00207CAC">
        <w:tc>
          <w:tcPr>
            <w:tcW w:w="1934" w:type="dxa"/>
            <w:vAlign w:val="center"/>
          </w:tcPr>
          <w:p w:rsidR="000E55DB" w:rsidRPr="006A2FC1" w:rsidRDefault="000E55DB" w:rsidP="00E96A19">
            <w:pPr>
              <w:rPr>
                <w:rFonts w:ascii="Arial" w:eastAsia="Arial" w:hAnsi="Arial" w:cs="Arial"/>
                <w:b/>
                <w:sz w:val="18"/>
                <w:szCs w:val="18"/>
              </w:rPr>
            </w:pPr>
            <w:r>
              <w:rPr>
                <w:rFonts w:ascii="Arial" w:hAnsi="Arial"/>
                <w:b/>
                <w:sz w:val="18"/>
              </w:rPr>
              <w:t>Total</w:t>
            </w:r>
          </w:p>
        </w:tc>
        <w:tc>
          <w:tcPr>
            <w:tcW w:w="588" w:type="dxa"/>
            <w:vAlign w:val="center"/>
          </w:tcPr>
          <w:p w:rsidR="000E55DB" w:rsidRPr="006A2FC1" w:rsidRDefault="000E55DB" w:rsidP="000E55DB">
            <w:pPr>
              <w:pStyle w:val="DoNotTranslateExternal2"/>
            </w:pPr>
            <w:r>
              <w:t>44</w:t>
            </w:r>
          </w:p>
        </w:tc>
        <w:tc>
          <w:tcPr>
            <w:tcW w:w="589" w:type="dxa"/>
            <w:vAlign w:val="center"/>
          </w:tcPr>
          <w:p w:rsidR="000E55DB" w:rsidRPr="006A2FC1" w:rsidRDefault="000E55DB" w:rsidP="000E55DB">
            <w:pPr>
              <w:pStyle w:val="DoNotTranslateExternal2"/>
            </w:pPr>
            <w:r>
              <w:t>33</w:t>
            </w:r>
          </w:p>
        </w:tc>
        <w:tc>
          <w:tcPr>
            <w:tcW w:w="590" w:type="dxa"/>
            <w:vAlign w:val="center"/>
          </w:tcPr>
          <w:p w:rsidR="000E55DB" w:rsidRPr="006A2FC1" w:rsidRDefault="000E55DB" w:rsidP="000E55DB">
            <w:pPr>
              <w:pStyle w:val="DoNotTranslateExternal2"/>
            </w:pPr>
            <w:r>
              <w:t>34</w:t>
            </w:r>
          </w:p>
        </w:tc>
        <w:tc>
          <w:tcPr>
            <w:tcW w:w="591" w:type="dxa"/>
            <w:vAlign w:val="center"/>
          </w:tcPr>
          <w:p w:rsidR="000E55DB" w:rsidRPr="006A2FC1" w:rsidRDefault="000E55DB" w:rsidP="000E55DB">
            <w:pPr>
              <w:pStyle w:val="DoNotTranslateExternal2"/>
            </w:pPr>
            <w:r>
              <w:t>39</w:t>
            </w:r>
          </w:p>
        </w:tc>
        <w:tc>
          <w:tcPr>
            <w:tcW w:w="591" w:type="dxa"/>
            <w:vAlign w:val="center"/>
          </w:tcPr>
          <w:p w:rsidR="000E55DB" w:rsidRPr="006A2FC1" w:rsidRDefault="000E55DB" w:rsidP="000E55DB">
            <w:pPr>
              <w:pStyle w:val="DoNotTranslateExternal2"/>
            </w:pPr>
            <w:r>
              <w:t>18</w:t>
            </w:r>
          </w:p>
        </w:tc>
        <w:tc>
          <w:tcPr>
            <w:tcW w:w="591" w:type="dxa"/>
            <w:vAlign w:val="center"/>
          </w:tcPr>
          <w:p w:rsidR="000E55DB" w:rsidRPr="006A2FC1" w:rsidRDefault="000E55DB" w:rsidP="000E55DB">
            <w:pPr>
              <w:pStyle w:val="DoNotTranslateExternal2"/>
            </w:pPr>
            <w:r>
              <w:t>16</w:t>
            </w:r>
          </w:p>
        </w:tc>
        <w:tc>
          <w:tcPr>
            <w:tcW w:w="591" w:type="dxa"/>
            <w:vAlign w:val="center"/>
          </w:tcPr>
          <w:p w:rsidR="000E55DB" w:rsidRPr="006A2FC1" w:rsidRDefault="000E55DB" w:rsidP="000E55DB">
            <w:pPr>
              <w:pStyle w:val="DoNotTranslateExternal2"/>
            </w:pPr>
            <w:r>
              <w:t>10</w:t>
            </w:r>
          </w:p>
        </w:tc>
        <w:tc>
          <w:tcPr>
            <w:tcW w:w="591" w:type="dxa"/>
            <w:vAlign w:val="center"/>
          </w:tcPr>
          <w:p w:rsidR="000E55DB" w:rsidRPr="006A2FC1" w:rsidRDefault="000E55DB" w:rsidP="000E55DB">
            <w:pPr>
              <w:pStyle w:val="DoNotTranslateExternal2"/>
            </w:pPr>
            <w:r>
              <w:t>16</w:t>
            </w:r>
          </w:p>
        </w:tc>
        <w:tc>
          <w:tcPr>
            <w:tcW w:w="591" w:type="dxa"/>
            <w:vAlign w:val="center"/>
          </w:tcPr>
          <w:p w:rsidR="000E55DB" w:rsidRPr="006A2FC1" w:rsidRDefault="000E55DB" w:rsidP="000E55DB">
            <w:pPr>
              <w:pStyle w:val="DoNotTranslateExternal2"/>
            </w:pPr>
            <w:r>
              <w:t>14</w:t>
            </w:r>
          </w:p>
        </w:tc>
        <w:tc>
          <w:tcPr>
            <w:tcW w:w="591" w:type="dxa"/>
            <w:vAlign w:val="center"/>
          </w:tcPr>
          <w:p w:rsidR="000E55DB" w:rsidRPr="006A2FC1" w:rsidRDefault="000E55DB" w:rsidP="000E55DB">
            <w:pPr>
              <w:pStyle w:val="DoNotTranslateExternal2"/>
            </w:pPr>
            <w:r>
              <w:t>21</w:t>
            </w:r>
          </w:p>
        </w:tc>
        <w:tc>
          <w:tcPr>
            <w:tcW w:w="619" w:type="dxa"/>
            <w:vAlign w:val="center"/>
          </w:tcPr>
          <w:p w:rsidR="000E55DB" w:rsidRPr="000E55DB" w:rsidRDefault="000E55DB" w:rsidP="000E55DB">
            <w:pPr>
              <w:pStyle w:val="DoNotTranslateExternal2"/>
              <w:rPr>
                <w:b/>
              </w:rPr>
            </w:pPr>
            <w:r>
              <w:rPr>
                <w:b/>
              </w:rPr>
              <w:t>25</w:t>
            </w:r>
          </w:p>
        </w:tc>
        <w:tc>
          <w:tcPr>
            <w:tcW w:w="619" w:type="dxa"/>
            <w:vAlign w:val="center"/>
          </w:tcPr>
          <w:p w:rsidR="000E55DB" w:rsidRPr="000E55DB" w:rsidRDefault="000E55DB" w:rsidP="000E55DB">
            <w:pPr>
              <w:pStyle w:val="DoNotTranslateExternal2"/>
              <w:rPr>
                <w:b/>
              </w:rPr>
            </w:pPr>
            <w:r>
              <w:rPr>
                <w:b/>
              </w:rPr>
              <w:t>15</w:t>
            </w:r>
          </w:p>
        </w:tc>
        <w:tc>
          <w:tcPr>
            <w:tcW w:w="955" w:type="dxa"/>
            <w:vAlign w:val="center"/>
          </w:tcPr>
          <w:p w:rsidR="000E55DB" w:rsidRPr="000E55DB" w:rsidRDefault="000E55DB" w:rsidP="00207CAC">
            <w:pPr>
              <w:jc w:val="center"/>
              <w:rPr>
                <w:rFonts w:ascii="Arial" w:eastAsia="Arial" w:hAnsi="Arial" w:cs="Arial"/>
                <w:b/>
                <w:sz w:val="18"/>
                <w:szCs w:val="18"/>
              </w:rPr>
            </w:pPr>
            <w:r>
              <w:rPr>
                <w:rFonts w:ascii="Arial" w:hAnsi="Arial"/>
                <w:b/>
                <w:sz w:val="18"/>
              </w:rPr>
              <w:t>100.0%</w:t>
            </w:r>
          </w:p>
        </w:tc>
      </w:tr>
    </w:tbl>
    <w:p w:rsidR="000E55DB" w:rsidRDefault="000E55DB">
      <w:pPr>
        <w:spacing w:line="360" w:lineRule="auto"/>
        <w:ind w:left="480" w:right="868"/>
        <w:jc w:val="both"/>
        <w:rPr>
          <w:rFonts w:ascii="Arial" w:eastAsia="Arial" w:hAnsi="Arial" w:cs="Arial"/>
        </w:rPr>
      </w:pPr>
    </w:p>
    <w:p w:rsidR="006F3ED5" w:rsidRPr="006A2FC1" w:rsidRDefault="00B65BEC" w:rsidP="00E96A19">
      <w:pPr>
        <w:pStyle w:val="paragraphe1"/>
      </w:pPr>
      <w:r>
        <w:t>The number of serious injuries has fallen significantly and consistently over the past ten years; however, this figure did increase in 2014. The rise of 50% (7 more injuries than 2013) still remained below the average of 25 serious injuries during the period.</w:t>
      </w:r>
    </w:p>
    <w:p w:rsidR="006F3ED5" w:rsidRPr="006A2FC1" w:rsidRDefault="006F3ED5">
      <w:pPr>
        <w:spacing w:before="19" w:line="220" w:lineRule="exact"/>
        <w:rPr>
          <w:sz w:val="22"/>
          <w:szCs w:val="22"/>
        </w:rPr>
      </w:pPr>
    </w:p>
    <w:p w:rsidR="006F3ED5" w:rsidRPr="000E55DB" w:rsidRDefault="00B65BEC" w:rsidP="00E96A19">
      <w:pPr>
        <w:pStyle w:val="paragraphe1"/>
        <w:rPr>
          <w:rFonts w:ascii="Times New Roman" w:eastAsia="Times New Roman" w:hAnsi="Times New Roman" w:cs="Times New Roman"/>
        </w:rPr>
      </w:pPr>
      <w:r>
        <w:t>Broken down by category, during the ten-year period (last column in Table 3) the overwhelming majority of serious injuries involve trespassers and LC users (73.1%). This percentage was much lower in 2014 (57.1%) due to the fact that there was a significant number of serious injuries involving passengers.</w:t>
      </w:r>
    </w:p>
    <w:p w:rsidR="006F3ED5" w:rsidRPr="006A2FC1" w:rsidRDefault="006F3ED5">
      <w:pPr>
        <w:spacing w:before="1" w:line="120" w:lineRule="exact"/>
        <w:rPr>
          <w:sz w:val="12"/>
          <w:szCs w:val="12"/>
        </w:rPr>
      </w:pPr>
    </w:p>
    <w:p w:rsidR="006F3ED5" w:rsidRPr="006A2FC1" w:rsidRDefault="00B65BEC" w:rsidP="00E96A19">
      <w:pPr>
        <w:pStyle w:val="paragraphe1"/>
      </w:pPr>
      <w:r>
        <w:lastRenderedPageBreak/>
        <w:t>The average distribution over the last ten years (2005-2014) continues to show the existence of a not insubstantial percentage of passenger injuries (20.4%), in contrast to the low percentage of passenger fatalities, where they represent only 1.5% of the total.</w:t>
      </w:r>
    </w:p>
    <w:p w:rsidR="006F3ED5" w:rsidRPr="006A2FC1" w:rsidRDefault="006F3ED5">
      <w:pPr>
        <w:spacing w:before="3" w:line="240" w:lineRule="exact"/>
        <w:rPr>
          <w:sz w:val="24"/>
          <w:szCs w:val="24"/>
        </w:rPr>
      </w:pPr>
    </w:p>
    <w:p w:rsidR="006F3ED5" w:rsidRPr="006A2FC1" w:rsidRDefault="00B65BEC" w:rsidP="00E96A19">
      <w:pPr>
        <w:spacing w:after="120"/>
        <w:jc w:val="center"/>
        <w:rPr>
          <w:rFonts w:ascii="Arial" w:eastAsia="Arial" w:hAnsi="Arial" w:cs="Arial"/>
          <w:sz w:val="18"/>
          <w:szCs w:val="18"/>
        </w:rPr>
      </w:pPr>
      <w:r>
        <w:rPr>
          <w:rFonts w:ascii="Arial" w:hAnsi="Arial"/>
          <w:b/>
          <w:sz w:val="18"/>
        </w:rPr>
        <w:t>Table 4 – Serious injuries by type of accident, 2005-2014</w:t>
      </w:r>
    </w:p>
    <w:tbl>
      <w:tblPr>
        <w:tblStyle w:val="TableGrid"/>
        <w:tblW w:w="0" w:type="auto"/>
        <w:tblLook w:val="04A0" w:firstRow="1" w:lastRow="0" w:firstColumn="1" w:lastColumn="0" w:noHBand="0" w:noVBand="1"/>
      </w:tblPr>
      <w:tblGrid>
        <w:gridCol w:w="1899"/>
        <w:gridCol w:w="551"/>
        <w:gridCol w:w="549"/>
        <w:gridCol w:w="549"/>
        <w:gridCol w:w="550"/>
        <w:gridCol w:w="550"/>
        <w:gridCol w:w="550"/>
        <w:gridCol w:w="550"/>
        <w:gridCol w:w="606"/>
        <w:gridCol w:w="493"/>
        <w:gridCol w:w="550"/>
        <w:gridCol w:w="573"/>
        <w:gridCol w:w="573"/>
        <w:gridCol w:w="1086"/>
      </w:tblGrid>
      <w:tr w:rsidR="00E96A19" w:rsidRPr="00B63285" w:rsidTr="00E96A19">
        <w:trPr>
          <w:cantSplit/>
          <w:trHeight w:val="1134"/>
        </w:trPr>
        <w:tc>
          <w:tcPr>
            <w:tcW w:w="1919" w:type="dxa"/>
            <w:textDirection w:val="btLr"/>
            <w:vAlign w:val="center"/>
          </w:tcPr>
          <w:p w:rsidR="00E96A19" w:rsidRPr="00E96A19" w:rsidRDefault="00E96A19" w:rsidP="00E96A19">
            <w:pPr>
              <w:ind w:left="113" w:right="113"/>
              <w:jc w:val="center"/>
              <w:rPr>
                <w:rFonts w:ascii="Arial" w:eastAsia="Arial" w:hAnsi="Arial" w:cs="Arial"/>
                <w:b/>
                <w:sz w:val="18"/>
                <w:szCs w:val="18"/>
              </w:rPr>
            </w:pPr>
          </w:p>
        </w:tc>
        <w:tc>
          <w:tcPr>
            <w:tcW w:w="554" w:type="dxa"/>
            <w:textDirection w:val="btLr"/>
            <w:vAlign w:val="center"/>
          </w:tcPr>
          <w:p w:rsidR="00E96A19" w:rsidRPr="00E96A19" w:rsidRDefault="00E96A19" w:rsidP="00A27499">
            <w:pPr>
              <w:pStyle w:val="DoNotTranslateExternal3"/>
            </w:pPr>
            <w:r>
              <w:t>2005</w:t>
            </w:r>
          </w:p>
        </w:tc>
        <w:tc>
          <w:tcPr>
            <w:tcW w:w="553" w:type="dxa"/>
            <w:textDirection w:val="btLr"/>
            <w:vAlign w:val="center"/>
          </w:tcPr>
          <w:p w:rsidR="00E96A19" w:rsidRPr="00E96A19" w:rsidRDefault="00E96A19" w:rsidP="00A27499">
            <w:pPr>
              <w:pStyle w:val="DoNotTranslateExternal3"/>
            </w:pPr>
            <w:r>
              <w:t>2006</w:t>
            </w:r>
          </w:p>
        </w:tc>
        <w:tc>
          <w:tcPr>
            <w:tcW w:w="553" w:type="dxa"/>
            <w:textDirection w:val="btLr"/>
            <w:vAlign w:val="center"/>
          </w:tcPr>
          <w:p w:rsidR="00E96A19" w:rsidRPr="00E96A19" w:rsidRDefault="00E96A19" w:rsidP="00A27499">
            <w:pPr>
              <w:pStyle w:val="DoNotTranslateExternal3"/>
            </w:pPr>
            <w:r>
              <w:t>2007</w:t>
            </w:r>
          </w:p>
        </w:tc>
        <w:tc>
          <w:tcPr>
            <w:tcW w:w="554" w:type="dxa"/>
            <w:textDirection w:val="btLr"/>
            <w:vAlign w:val="center"/>
          </w:tcPr>
          <w:p w:rsidR="00E96A19" w:rsidRPr="00E96A19" w:rsidRDefault="00E96A19" w:rsidP="00A27499">
            <w:pPr>
              <w:pStyle w:val="DoNotTranslateExternal3"/>
            </w:pPr>
            <w:r>
              <w:t>2008</w:t>
            </w:r>
          </w:p>
        </w:tc>
        <w:tc>
          <w:tcPr>
            <w:tcW w:w="554" w:type="dxa"/>
            <w:textDirection w:val="btLr"/>
            <w:vAlign w:val="center"/>
          </w:tcPr>
          <w:p w:rsidR="00E96A19" w:rsidRPr="00E96A19" w:rsidRDefault="00E96A19" w:rsidP="00A27499">
            <w:pPr>
              <w:pStyle w:val="DoNotTranslateExternal3"/>
            </w:pPr>
            <w:r>
              <w:t>2009</w:t>
            </w:r>
          </w:p>
        </w:tc>
        <w:tc>
          <w:tcPr>
            <w:tcW w:w="554" w:type="dxa"/>
            <w:textDirection w:val="btLr"/>
            <w:vAlign w:val="center"/>
          </w:tcPr>
          <w:p w:rsidR="00E96A19" w:rsidRPr="00E96A19" w:rsidRDefault="00E96A19" w:rsidP="00A27499">
            <w:pPr>
              <w:pStyle w:val="DoNotTranslateExternal3"/>
            </w:pPr>
            <w:r>
              <w:t>2010</w:t>
            </w:r>
          </w:p>
        </w:tc>
        <w:tc>
          <w:tcPr>
            <w:tcW w:w="554" w:type="dxa"/>
            <w:textDirection w:val="btLr"/>
            <w:vAlign w:val="center"/>
          </w:tcPr>
          <w:p w:rsidR="00E96A19" w:rsidRPr="00E96A19" w:rsidRDefault="00E96A19" w:rsidP="00A27499">
            <w:pPr>
              <w:pStyle w:val="DoNotTranslateExternal3"/>
            </w:pPr>
            <w:r>
              <w:t>2011</w:t>
            </w:r>
          </w:p>
        </w:tc>
        <w:tc>
          <w:tcPr>
            <w:tcW w:w="612" w:type="dxa"/>
            <w:textDirection w:val="btLr"/>
            <w:vAlign w:val="center"/>
          </w:tcPr>
          <w:p w:rsidR="00E96A19" w:rsidRPr="00E96A19" w:rsidRDefault="00E96A19" w:rsidP="00A27499">
            <w:pPr>
              <w:pStyle w:val="DoNotTranslateExternal3"/>
            </w:pPr>
            <w:r>
              <w:t>2012</w:t>
            </w:r>
          </w:p>
        </w:tc>
        <w:tc>
          <w:tcPr>
            <w:tcW w:w="495" w:type="dxa"/>
            <w:textDirection w:val="btLr"/>
            <w:vAlign w:val="center"/>
          </w:tcPr>
          <w:p w:rsidR="00E96A19" w:rsidRPr="00E96A19" w:rsidRDefault="00E96A19" w:rsidP="00A27499">
            <w:pPr>
              <w:pStyle w:val="DoNotTranslateExternal3"/>
            </w:pPr>
            <w:r>
              <w:t>2013</w:t>
            </w:r>
          </w:p>
        </w:tc>
        <w:tc>
          <w:tcPr>
            <w:tcW w:w="554" w:type="dxa"/>
            <w:textDirection w:val="btLr"/>
            <w:vAlign w:val="center"/>
          </w:tcPr>
          <w:p w:rsidR="00E96A19" w:rsidRPr="00E96A19" w:rsidRDefault="00E96A19" w:rsidP="00A27499">
            <w:pPr>
              <w:pStyle w:val="DoNotTranslateExternal3"/>
            </w:pPr>
            <w:r>
              <w:t>2014</w:t>
            </w:r>
          </w:p>
        </w:tc>
        <w:tc>
          <w:tcPr>
            <w:tcW w:w="578" w:type="dxa"/>
            <w:textDirection w:val="btLr"/>
            <w:vAlign w:val="center"/>
          </w:tcPr>
          <w:p w:rsidR="00E96A19" w:rsidRPr="00E96A19" w:rsidRDefault="00E96A19" w:rsidP="00E96A19">
            <w:pPr>
              <w:ind w:left="113" w:right="113"/>
              <w:jc w:val="center"/>
              <w:rPr>
                <w:rFonts w:ascii="Arial" w:eastAsia="Arial" w:hAnsi="Arial" w:cs="Arial"/>
                <w:b/>
                <w:sz w:val="18"/>
                <w:szCs w:val="18"/>
              </w:rPr>
            </w:pPr>
            <w:r>
              <w:rPr>
                <w:rFonts w:ascii="Arial" w:hAnsi="Arial"/>
                <w:b/>
                <w:sz w:val="18"/>
              </w:rPr>
              <w:t>Average for the period</w:t>
            </w:r>
          </w:p>
        </w:tc>
        <w:tc>
          <w:tcPr>
            <w:tcW w:w="578" w:type="dxa"/>
            <w:textDirection w:val="btLr"/>
            <w:vAlign w:val="center"/>
          </w:tcPr>
          <w:p w:rsidR="00E96A19" w:rsidRPr="00E96A19" w:rsidRDefault="00E96A19" w:rsidP="00E96A19">
            <w:pPr>
              <w:ind w:left="113" w:right="113"/>
              <w:jc w:val="center"/>
              <w:rPr>
                <w:rFonts w:ascii="Arial" w:hAnsi="Arial" w:cs="Arial"/>
                <w:sz w:val="18"/>
                <w:szCs w:val="18"/>
              </w:rPr>
            </w:pPr>
            <w:r>
              <w:rPr>
                <w:rFonts w:ascii="Arial" w:hAnsi="Arial"/>
                <w:b/>
                <w:sz w:val="18"/>
              </w:rPr>
              <w:t>Average over the last 5 years</w:t>
            </w:r>
          </w:p>
        </w:tc>
        <w:tc>
          <w:tcPr>
            <w:tcW w:w="1017" w:type="dxa"/>
          </w:tcPr>
          <w:p w:rsidR="00E96A19" w:rsidRPr="00E96A19" w:rsidRDefault="00E96A19" w:rsidP="00E96A19">
            <w:pPr>
              <w:jc w:val="center"/>
              <w:rPr>
                <w:rFonts w:ascii="Arial" w:eastAsia="Arial" w:hAnsi="Arial" w:cs="Arial"/>
                <w:b/>
                <w:sz w:val="18"/>
                <w:szCs w:val="18"/>
              </w:rPr>
            </w:pPr>
            <w:r>
              <w:rPr>
                <w:rFonts w:ascii="Arial" w:hAnsi="Arial"/>
                <w:b/>
                <w:sz w:val="18"/>
              </w:rPr>
              <w:t>Weighting of the category in total serious injuries during the period</w:t>
            </w:r>
          </w:p>
        </w:tc>
      </w:tr>
      <w:tr w:rsidR="00E96A19" w:rsidRPr="00E96A19" w:rsidTr="00E96A19">
        <w:tc>
          <w:tcPr>
            <w:tcW w:w="1919" w:type="dxa"/>
            <w:vAlign w:val="center"/>
          </w:tcPr>
          <w:p w:rsidR="00E96A19" w:rsidRPr="00E96A19" w:rsidRDefault="00E96A19" w:rsidP="00E96A19">
            <w:pPr>
              <w:rPr>
                <w:rFonts w:ascii="Arial" w:eastAsia="Arial" w:hAnsi="Arial" w:cs="Arial"/>
                <w:b/>
                <w:sz w:val="18"/>
                <w:szCs w:val="18"/>
              </w:rPr>
            </w:pPr>
            <w:r>
              <w:rPr>
                <w:rFonts w:ascii="Arial" w:hAnsi="Arial"/>
                <w:b/>
                <w:sz w:val="18"/>
              </w:rPr>
              <w:t>Collisions with obstacles within the clearance gauge</w:t>
            </w:r>
          </w:p>
        </w:tc>
        <w:tc>
          <w:tcPr>
            <w:tcW w:w="554" w:type="dxa"/>
            <w:vAlign w:val="center"/>
          </w:tcPr>
          <w:p w:rsidR="00E96A19" w:rsidRPr="00E96A19" w:rsidRDefault="00E96A19" w:rsidP="00E96A19">
            <w:pPr>
              <w:pStyle w:val="DoNotTranslateExternal2"/>
            </w:pPr>
            <w:r>
              <w:t>1</w:t>
            </w:r>
          </w:p>
        </w:tc>
        <w:tc>
          <w:tcPr>
            <w:tcW w:w="553" w:type="dxa"/>
            <w:vAlign w:val="center"/>
          </w:tcPr>
          <w:p w:rsidR="00E96A19" w:rsidRPr="00E96A19" w:rsidRDefault="00E96A19" w:rsidP="00E96A19">
            <w:pPr>
              <w:pStyle w:val="DoNotTranslateExternal2"/>
            </w:pPr>
            <w:r>
              <w:t>0</w:t>
            </w:r>
          </w:p>
        </w:tc>
        <w:tc>
          <w:tcPr>
            <w:tcW w:w="553" w:type="dxa"/>
            <w:vAlign w:val="center"/>
          </w:tcPr>
          <w:p w:rsidR="00E96A19" w:rsidRPr="00E96A19" w:rsidRDefault="00E96A19" w:rsidP="00E96A19">
            <w:pPr>
              <w:pStyle w:val="DoNotTranslateExternal2"/>
            </w:pPr>
            <w:r>
              <w:t>1</w:t>
            </w:r>
          </w:p>
        </w:tc>
        <w:tc>
          <w:tcPr>
            <w:tcW w:w="554"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612" w:type="dxa"/>
            <w:vAlign w:val="center"/>
          </w:tcPr>
          <w:p w:rsidR="00E96A19" w:rsidRPr="00E96A19" w:rsidRDefault="00E96A19" w:rsidP="00E96A19">
            <w:pPr>
              <w:pStyle w:val="DoNotTranslateExternal2"/>
            </w:pPr>
            <w:r>
              <w:t>0</w:t>
            </w:r>
          </w:p>
        </w:tc>
        <w:tc>
          <w:tcPr>
            <w:tcW w:w="495" w:type="dxa"/>
            <w:vAlign w:val="center"/>
          </w:tcPr>
          <w:p w:rsidR="00E96A19" w:rsidRPr="00E96A19" w:rsidRDefault="00E96A19" w:rsidP="00E96A19">
            <w:pPr>
              <w:pStyle w:val="DoNotTranslateExternal2"/>
            </w:pPr>
            <w:r>
              <w:t>2</w:t>
            </w:r>
          </w:p>
        </w:tc>
        <w:tc>
          <w:tcPr>
            <w:tcW w:w="554" w:type="dxa"/>
            <w:vAlign w:val="center"/>
          </w:tcPr>
          <w:p w:rsidR="00E96A19" w:rsidRPr="00E96A19" w:rsidRDefault="00E96A19" w:rsidP="00E96A19">
            <w:pPr>
              <w:pStyle w:val="DoNotTranslateExternal2"/>
            </w:pPr>
            <w:r>
              <w:t>0</w:t>
            </w:r>
          </w:p>
        </w:tc>
        <w:tc>
          <w:tcPr>
            <w:tcW w:w="578" w:type="dxa"/>
            <w:vAlign w:val="center"/>
          </w:tcPr>
          <w:p w:rsidR="00E96A19" w:rsidRPr="00E96A19" w:rsidRDefault="00E96A19" w:rsidP="00E96A19">
            <w:pPr>
              <w:pStyle w:val="DoNotTranslateExternal2"/>
            </w:pPr>
            <w:r>
              <w:t>0</w:t>
            </w:r>
          </w:p>
        </w:tc>
        <w:tc>
          <w:tcPr>
            <w:tcW w:w="578" w:type="dxa"/>
            <w:vAlign w:val="center"/>
          </w:tcPr>
          <w:p w:rsidR="00E96A19" w:rsidRPr="00E96A19" w:rsidRDefault="00E96A19" w:rsidP="00E96A19">
            <w:pPr>
              <w:pStyle w:val="DoNotTranslateExternal2"/>
            </w:pPr>
            <w:r>
              <w:t>0</w:t>
            </w:r>
          </w:p>
        </w:tc>
        <w:tc>
          <w:tcPr>
            <w:tcW w:w="1017" w:type="dxa"/>
            <w:vAlign w:val="center"/>
          </w:tcPr>
          <w:p w:rsidR="00E96A19" w:rsidRPr="00E96A19" w:rsidRDefault="00E96A19" w:rsidP="00E96A19">
            <w:pPr>
              <w:jc w:val="center"/>
              <w:rPr>
                <w:rFonts w:ascii="Arial" w:hAnsi="Arial" w:cs="Arial"/>
                <w:sz w:val="18"/>
                <w:szCs w:val="18"/>
              </w:rPr>
            </w:pPr>
            <w:r>
              <w:rPr>
                <w:rFonts w:ascii="Arial" w:hAnsi="Arial"/>
                <w:sz w:val="18"/>
              </w:rPr>
              <w:t>1.2%</w:t>
            </w:r>
          </w:p>
        </w:tc>
      </w:tr>
      <w:tr w:rsidR="00E96A19" w:rsidRPr="00E96A19" w:rsidTr="00E96A19">
        <w:tc>
          <w:tcPr>
            <w:tcW w:w="1919" w:type="dxa"/>
            <w:vAlign w:val="center"/>
          </w:tcPr>
          <w:p w:rsidR="00E96A19" w:rsidRPr="00E96A19" w:rsidRDefault="00E96A19" w:rsidP="00E96A19">
            <w:pPr>
              <w:rPr>
                <w:rFonts w:ascii="Arial" w:eastAsia="Arial" w:hAnsi="Arial" w:cs="Arial"/>
                <w:b/>
                <w:sz w:val="18"/>
                <w:szCs w:val="18"/>
              </w:rPr>
            </w:pPr>
            <w:r>
              <w:rPr>
                <w:rFonts w:ascii="Arial" w:hAnsi="Arial"/>
                <w:b/>
                <w:sz w:val="18"/>
              </w:rPr>
              <w:t>Derailments</w:t>
            </w:r>
          </w:p>
        </w:tc>
        <w:tc>
          <w:tcPr>
            <w:tcW w:w="554" w:type="dxa"/>
            <w:vAlign w:val="center"/>
          </w:tcPr>
          <w:p w:rsidR="00E96A19" w:rsidRPr="00E96A19" w:rsidRDefault="00E96A19" w:rsidP="00E96A19">
            <w:pPr>
              <w:pStyle w:val="DoNotTranslateExternal2"/>
            </w:pPr>
            <w:r>
              <w:t>0</w:t>
            </w:r>
          </w:p>
        </w:tc>
        <w:tc>
          <w:tcPr>
            <w:tcW w:w="553" w:type="dxa"/>
            <w:vAlign w:val="center"/>
          </w:tcPr>
          <w:p w:rsidR="00E96A19" w:rsidRPr="00E96A19" w:rsidRDefault="00E96A19" w:rsidP="00E96A19">
            <w:pPr>
              <w:pStyle w:val="DoNotTranslateExternal2"/>
            </w:pPr>
            <w:r>
              <w:t>0</w:t>
            </w:r>
          </w:p>
        </w:tc>
        <w:tc>
          <w:tcPr>
            <w:tcW w:w="553" w:type="dxa"/>
            <w:vAlign w:val="center"/>
          </w:tcPr>
          <w:p w:rsidR="00E96A19" w:rsidRPr="00E96A19" w:rsidRDefault="00E96A19" w:rsidP="00E96A19">
            <w:pPr>
              <w:pStyle w:val="DoNotTranslateExternal2"/>
            </w:pPr>
            <w:r>
              <w:t>1</w:t>
            </w:r>
          </w:p>
        </w:tc>
        <w:tc>
          <w:tcPr>
            <w:tcW w:w="554" w:type="dxa"/>
            <w:vAlign w:val="center"/>
          </w:tcPr>
          <w:p w:rsidR="00E96A19" w:rsidRPr="00E96A19" w:rsidRDefault="00E96A19" w:rsidP="00E96A19">
            <w:pPr>
              <w:pStyle w:val="DoNotTranslateExternal2"/>
            </w:pPr>
            <w:r>
              <w:t>2</w:t>
            </w:r>
          </w:p>
        </w:tc>
        <w:tc>
          <w:tcPr>
            <w:tcW w:w="554" w:type="dxa"/>
            <w:vAlign w:val="center"/>
          </w:tcPr>
          <w:p w:rsidR="00E96A19" w:rsidRPr="00E96A19" w:rsidRDefault="00E96A19" w:rsidP="00E96A19">
            <w:pPr>
              <w:pStyle w:val="DoNotTranslateExternal2"/>
            </w:pPr>
            <w:r>
              <w:t>4</w:t>
            </w:r>
          </w:p>
        </w:tc>
        <w:tc>
          <w:tcPr>
            <w:tcW w:w="554"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612" w:type="dxa"/>
            <w:vAlign w:val="center"/>
          </w:tcPr>
          <w:p w:rsidR="00E96A19" w:rsidRPr="00E96A19" w:rsidRDefault="00E96A19" w:rsidP="00E96A19">
            <w:pPr>
              <w:pStyle w:val="DoNotTranslateExternal2"/>
            </w:pPr>
            <w:r>
              <w:t>0</w:t>
            </w:r>
          </w:p>
        </w:tc>
        <w:tc>
          <w:tcPr>
            <w:tcW w:w="495"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578" w:type="dxa"/>
            <w:vAlign w:val="center"/>
          </w:tcPr>
          <w:p w:rsidR="00E96A19" w:rsidRPr="00E96A19" w:rsidRDefault="00E96A19" w:rsidP="00E96A19">
            <w:pPr>
              <w:pStyle w:val="DoNotTranslateExternal2"/>
            </w:pPr>
            <w:r>
              <w:t>1</w:t>
            </w:r>
          </w:p>
        </w:tc>
        <w:tc>
          <w:tcPr>
            <w:tcW w:w="578" w:type="dxa"/>
            <w:vAlign w:val="center"/>
          </w:tcPr>
          <w:p w:rsidR="00E96A19" w:rsidRPr="00E96A19" w:rsidRDefault="00E96A19" w:rsidP="00E96A19">
            <w:pPr>
              <w:pStyle w:val="DoNotTranslateExternal2"/>
            </w:pPr>
            <w:r>
              <w:t>0</w:t>
            </w:r>
          </w:p>
        </w:tc>
        <w:tc>
          <w:tcPr>
            <w:tcW w:w="1017" w:type="dxa"/>
            <w:vAlign w:val="center"/>
          </w:tcPr>
          <w:p w:rsidR="00E96A19" w:rsidRPr="00E96A19" w:rsidRDefault="00E96A19" w:rsidP="00E96A19">
            <w:pPr>
              <w:jc w:val="center"/>
              <w:rPr>
                <w:rFonts w:ascii="Arial" w:hAnsi="Arial" w:cs="Arial"/>
                <w:sz w:val="18"/>
                <w:szCs w:val="18"/>
              </w:rPr>
            </w:pPr>
            <w:r>
              <w:rPr>
                <w:rFonts w:ascii="Arial" w:hAnsi="Arial"/>
                <w:sz w:val="18"/>
              </w:rPr>
              <w:t>2.9%</w:t>
            </w:r>
          </w:p>
        </w:tc>
      </w:tr>
      <w:tr w:rsidR="00E96A19" w:rsidRPr="00E96A19" w:rsidTr="00E96A19">
        <w:tc>
          <w:tcPr>
            <w:tcW w:w="1919" w:type="dxa"/>
            <w:vAlign w:val="center"/>
          </w:tcPr>
          <w:p w:rsidR="00E96A19" w:rsidRPr="00E96A19" w:rsidRDefault="00E96A19" w:rsidP="00E96A19">
            <w:pPr>
              <w:rPr>
                <w:rFonts w:ascii="Arial" w:eastAsia="Arial" w:hAnsi="Arial" w:cs="Arial"/>
                <w:b/>
                <w:sz w:val="18"/>
                <w:szCs w:val="18"/>
              </w:rPr>
            </w:pPr>
            <w:r>
              <w:rPr>
                <w:rFonts w:ascii="Arial" w:hAnsi="Arial"/>
                <w:b/>
                <w:sz w:val="18"/>
              </w:rPr>
              <w:t>Accidents at LCs, including those involving pedestrians</w:t>
            </w:r>
          </w:p>
        </w:tc>
        <w:tc>
          <w:tcPr>
            <w:tcW w:w="554" w:type="dxa"/>
            <w:vAlign w:val="center"/>
          </w:tcPr>
          <w:p w:rsidR="00E96A19" w:rsidRPr="00E96A19" w:rsidRDefault="00E96A19" w:rsidP="00E96A19">
            <w:pPr>
              <w:pStyle w:val="DoNotTranslateExternal2"/>
            </w:pPr>
            <w:r>
              <w:t>13</w:t>
            </w:r>
          </w:p>
        </w:tc>
        <w:tc>
          <w:tcPr>
            <w:tcW w:w="553" w:type="dxa"/>
            <w:vAlign w:val="center"/>
          </w:tcPr>
          <w:p w:rsidR="00E96A19" w:rsidRPr="00E96A19" w:rsidRDefault="00E96A19" w:rsidP="00E96A19">
            <w:pPr>
              <w:pStyle w:val="DoNotTranslateExternal2"/>
            </w:pPr>
            <w:r>
              <w:t>15</w:t>
            </w:r>
          </w:p>
        </w:tc>
        <w:tc>
          <w:tcPr>
            <w:tcW w:w="553" w:type="dxa"/>
            <w:vAlign w:val="center"/>
          </w:tcPr>
          <w:p w:rsidR="00E96A19" w:rsidRPr="00E96A19" w:rsidRDefault="00E96A19" w:rsidP="00E96A19">
            <w:pPr>
              <w:pStyle w:val="DoNotTranslateExternal2"/>
            </w:pPr>
            <w:r>
              <w:t>9</w:t>
            </w:r>
          </w:p>
        </w:tc>
        <w:tc>
          <w:tcPr>
            <w:tcW w:w="554" w:type="dxa"/>
            <w:vAlign w:val="center"/>
          </w:tcPr>
          <w:p w:rsidR="00E96A19" w:rsidRPr="00E96A19" w:rsidRDefault="00E96A19" w:rsidP="00E96A19">
            <w:pPr>
              <w:pStyle w:val="DoNotTranslateExternal2"/>
            </w:pPr>
            <w:r>
              <w:t>8</w:t>
            </w:r>
          </w:p>
        </w:tc>
        <w:tc>
          <w:tcPr>
            <w:tcW w:w="554" w:type="dxa"/>
            <w:vAlign w:val="center"/>
          </w:tcPr>
          <w:p w:rsidR="00E96A19" w:rsidRPr="00E96A19" w:rsidRDefault="00E96A19" w:rsidP="00E96A19">
            <w:pPr>
              <w:pStyle w:val="DoNotTranslateExternal2"/>
            </w:pPr>
            <w:r>
              <w:t>10</w:t>
            </w:r>
          </w:p>
        </w:tc>
        <w:tc>
          <w:tcPr>
            <w:tcW w:w="554" w:type="dxa"/>
            <w:vAlign w:val="center"/>
          </w:tcPr>
          <w:p w:rsidR="00E96A19" w:rsidRPr="00E96A19" w:rsidRDefault="00E96A19" w:rsidP="00E96A19">
            <w:pPr>
              <w:pStyle w:val="DoNotTranslateExternal2"/>
            </w:pPr>
            <w:r>
              <w:t>5</w:t>
            </w:r>
          </w:p>
        </w:tc>
        <w:tc>
          <w:tcPr>
            <w:tcW w:w="554" w:type="dxa"/>
            <w:vAlign w:val="center"/>
          </w:tcPr>
          <w:p w:rsidR="00E96A19" w:rsidRPr="00E96A19" w:rsidRDefault="00E96A19" w:rsidP="00E96A19">
            <w:pPr>
              <w:pStyle w:val="DoNotTranslateExternal2"/>
            </w:pPr>
            <w:r>
              <w:t>3</w:t>
            </w:r>
          </w:p>
        </w:tc>
        <w:tc>
          <w:tcPr>
            <w:tcW w:w="612" w:type="dxa"/>
            <w:vAlign w:val="center"/>
          </w:tcPr>
          <w:p w:rsidR="00E96A19" w:rsidRPr="00E96A19" w:rsidRDefault="00E96A19" w:rsidP="00E96A19">
            <w:pPr>
              <w:pStyle w:val="DoNotTranslateExternal2"/>
            </w:pPr>
            <w:r>
              <w:t>3</w:t>
            </w:r>
          </w:p>
        </w:tc>
        <w:tc>
          <w:tcPr>
            <w:tcW w:w="495" w:type="dxa"/>
            <w:vAlign w:val="center"/>
          </w:tcPr>
          <w:p w:rsidR="00E96A19" w:rsidRPr="00E96A19" w:rsidRDefault="00E96A19" w:rsidP="00E96A19">
            <w:pPr>
              <w:pStyle w:val="DoNotTranslateExternal2"/>
            </w:pPr>
            <w:r>
              <w:t>5</w:t>
            </w:r>
          </w:p>
        </w:tc>
        <w:tc>
          <w:tcPr>
            <w:tcW w:w="554" w:type="dxa"/>
            <w:vAlign w:val="center"/>
          </w:tcPr>
          <w:p w:rsidR="00E96A19" w:rsidRPr="00E96A19" w:rsidRDefault="00E96A19" w:rsidP="00E96A19">
            <w:pPr>
              <w:pStyle w:val="DoNotTranslateExternal2"/>
            </w:pPr>
            <w:r>
              <w:t>5</w:t>
            </w:r>
          </w:p>
        </w:tc>
        <w:tc>
          <w:tcPr>
            <w:tcW w:w="578" w:type="dxa"/>
            <w:vAlign w:val="center"/>
          </w:tcPr>
          <w:p w:rsidR="00E96A19" w:rsidRPr="00E96A19" w:rsidRDefault="00E96A19" w:rsidP="00E96A19">
            <w:pPr>
              <w:pStyle w:val="DoNotTranslateExternal2"/>
            </w:pPr>
            <w:r>
              <w:t>8</w:t>
            </w:r>
          </w:p>
        </w:tc>
        <w:tc>
          <w:tcPr>
            <w:tcW w:w="578" w:type="dxa"/>
            <w:vAlign w:val="center"/>
          </w:tcPr>
          <w:p w:rsidR="00E96A19" w:rsidRPr="00E96A19" w:rsidRDefault="00E96A19" w:rsidP="00E96A19">
            <w:pPr>
              <w:pStyle w:val="DoNotTranslateExternal2"/>
            </w:pPr>
            <w:r>
              <w:t>4</w:t>
            </w:r>
          </w:p>
        </w:tc>
        <w:tc>
          <w:tcPr>
            <w:tcW w:w="1017" w:type="dxa"/>
            <w:vAlign w:val="center"/>
          </w:tcPr>
          <w:p w:rsidR="00E96A19" w:rsidRPr="00E96A19" w:rsidRDefault="00E96A19" w:rsidP="00E96A19">
            <w:pPr>
              <w:jc w:val="center"/>
              <w:rPr>
                <w:rFonts w:ascii="Arial" w:eastAsia="Arial" w:hAnsi="Arial" w:cs="Arial"/>
                <w:sz w:val="18"/>
                <w:szCs w:val="18"/>
              </w:rPr>
            </w:pPr>
            <w:r>
              <w:rPr>
                <w:rFonts w:ascii="Arial" w:hAnsi="Arial"/>
                <w:sz w:val="18"/>
              </w:rPr>
              <w:t>27.8%</w:t>
            </w:r>
          </w:p>
        </w:tc>
      </w:tr>
      <w:tr w:rsidR="00E96A19" w:rsidRPr="00E96A19" w:rsidTr="00E96A19">
        <w:tc>
          <w:tcPr>
            <w:tcW w:w="1919" w:type="dxa"/>
            <w:vAlign w:val="center"/>
          </w:tcPr>
          <w:p w:rsidR="00E96A19" w:rsidRPr="00E96A19" w:rsidRDefault="00E96A19" w:rsidP="00E96A19">
            <w:pPr>
              <w:rPr>
                <w:rFonts w:ascii="Arial" w:eastAsia="Arial" w:hAnsi="Arial" w:cs="Arial"/>
                <w:b/>
                <w:sz w:val="18"/>
                <w:szCs w:val="18"/>
              </w:rPr>
            </w:pPr>
            <w:r>
              <w:rPr>
                <w:rFonts w:ascii="Arial" w:hAnsi="Arial"/>
                <w:b/>
                <w:sz w:val="18"/>
              </w:rPr>
              <w:t>Accidents to persons caused by rolling stock in motion, excluding suicides</w:t>
            </w:r>
          </w:p>
        </w:tc>
        <w:tc>
          <w:tcPr>
            <w:tcW w:w="554" w:type="dxa"/>
            <w:vAlign w:val="center"/>
          </w:tcPr>
          <w:p w:rsidR="00E96A19" w:rsidRPr="00E96A19" w:rsidRDefault="00E96A19" w:rsidP="00E96A19">
            <w:pPr>
              <w:pStyle w:val="DoNotTranslateExternal2"/>
            </w:pPr>
            <w:r>
              <w:t>36</w:t>
            </w:r>
          </w:p>
        </w:tc>
        <w:tc>
          <w:tcPr>
            <w:tcW w:w="553" w:type="dxa"/>
            <w:vAlign w:val="center"/>
          </w:tcPr>
          <w:p w:rsidR="00E96A19" w:rsidRPr="00E96A19" w:rsidRDefault="00E96A19" w:rsidP="00E96A19">
            <w:pPr>
              <w:pStyle w:val="DoNotTranslateExternal2"/>
            </w:pPr>
            <w:r>
              <w:t>29</w:t>
            </w:r>
          </w:p>
        </w:tc>
        <w:tc>
          <w:tcPr>
            <w:tcW w:w="553" w:type="dxa"/>
            <w:vAlign w:val="center"/>
          </w:tcPr>
          <w:p w:rsidR="00E96A19" w:rsidRPr="00E96A19" w:rsidRDefault="00E96A19" w:rsidP="00E96A19">
            <w:pPr>
              <w:pStyle w:val="DoNotTranslateExternal2"/>
            </w:pPr>
            <w:r>
              <w:t>22</w:t>
            </w:r>
          </w:p>
        </w:tc>
        <w:tc>
          <w:tcPr>
            <w:tcW w:w="554" w:type="dxa"/>
            <w:vAlign w:val="center"/>
          </w:tcPr>
          <w:p w:rsidR="00E96A19" w:rsidRPr="00E96A19" w:rsidRDefault="00E96A19" w:rsidP="00E96A19">
            <w:pPr>
              <w:pStyle w:val="DoNotTranslateExternal2"/>
            </w:pPr>
            <w:r>
              <w:t>23</w:t>
            </w:r>
          </w:p>
        </w:tc>
        <w:tc>
          <w:tcPr>
            <w:tcW w:w="554" w:type="dxa"/>
            <w:vAlign w:val="center"/>
          </w:tcPr>
          <w:p w:rsidR="00E96A19" w:rsidRPr="00E96A19" w:rsidRDefault="00E96A19" w:rsidP="00E96A19">
            <w:pPr>
              <w:pStyle w:val="DoNotTranslateExternal2"/>
            </w:pPr>
            <w:r>
              <w:t>23</w:t>
            </w:r>
          </w:p>
        </w:tc>
        <w:tc>
          <w:tcPr>
            <w:tcW w:w="554" w:type="dxa"/>
            <w:vAlign w:val="center"/>
          </w:tcPr>
          <w:p w:rsidR="00E96A19" w:rsidRPr="00E96A19" w:rsidRDefault="00E96A19" w:rsidP="00E96A19">
            <w:pPr>
              <w:pStyle w:val="DoNotTranslateExternal2"/>
            </w:pPr>
            <w:r>
              <w:t>13</w:t>
            </w:r>
          </w:p>
        </w:tc>
        <w:tc>
          <w:tcPr>
            <w:tcW w:w="554" w:type="dxa"/>
            <w:vAlign w:val="center"/>
          </w:tcPr>
          <w:p w:rsidR="00E96A19" w:rsidRPr="00E96A19" w:rsidRDefault="00E96A19" w:rsidP="00E96A19">
            <w:pPr>
              <w:pStyle w:val="DoNotTranslateExternal2"/>
            </w:pPr>
            <w:r>
              <w:t>13</w:t>
            </w:r>
          </w:p>
        </w:tc>
        <w:tc>
          <w:tcPr>
            <w:tcW w:w="612" w:type="dxa"/>
            <w:vAlign w:val="center"/>
          </w:tcPr>
          <w:p w:rsidR="00E96A19" w:rsidRPr="00E96A19" w:rsidRDefault="00E96A19" w:rsidP="00E96A19">
            <w:pPr>
              <w:pStyle w:val="DoNotTranslateExternal2"/>
            </w:pPr>
            <w:r>
              <w:t>7</w:t>
            </w:r>
          </w:p>
        </w:tc>
        <w:tc>
          <w:tcPr>
            <w:tcW w:w="495" w:type="dxa"/>
            <w:vAlign w:val="center"/>
          </w:tcPr>
          <w:p w:rsidR="00E96A19" w:rsidRPr="00E96A19" w:rsidRDefault="00E96A19" w:rsidP="00E96A19">
            <w:pPr>
              <w:pStyle w:val="DoNotTranslateExternal2"/>
            </w:pPr>
            <w:r>
              <w:t>9</w:t>
            </w:r>
          </w:p>
        </w:tc>
        <w:tc>
          <w:tcPr>
            <w:tcW w:w="554" w:type="dxa"/>
            <w:vAlign w:val="center"/>
          </w:tcPr>
          <w:p w:rsidR="00E96A19" w:rsidRPr="00E96A19" w:rsidRDefault="00E96A19" w:rsidP="00E96A19">
            <w:pPr>
              <w:pStyle w:val="DoNotTranslateExternal2"/>
            </w:pPr>
            <w:r>
              <w:t>16</w:t>
            </w:r>
          </w:p>
        </w:tc>
        <w:tc>
          <w:tcPr>
            <w:tcW w:w="578" w:type="dxa"/>
            <w:vAlign w:val="center"/>
          </w:tcPr>
          <w:p w:rsidR="00E96A19" w:rsidRPr="00E96A19" w:rsidRDefault="00E96A19" w:rsidP="00E96A19">
            <w:pPr>
              <w:pStyle w:val="DoNotTranslateExternal2"/>
            </w:pPr>
            <w:r>
              <w:t>18</w:t>
            </w:r>
          </w:p>
        </w:tc>
        <w:tc>
          <w:tcPr>
            <w:tcW w:w="578" w:type="dxa"/>
            <w:vAlign w:val="center"/>
          </w:tcPr>
          <w:p w:rsidR="00E96A19" w:rsidRPr="00E96A19" w:rsidRDefault="00E96A19" w:rsidP="00E96A19">
            <w:pPr>
              <w:pStyle w:val="DoNotTranslateExternal2"/>
            </w:pPr>
            <w:r>
              <w:t>10</w:t>
            </w:r>
          </w:p>
        </w:tc>
        <w:tc>
          <w:tcPr>
            <w:tcW w:w="1017" w:type="dxa"/>
            <w:vAlign w:val="center"/>
          </w:tcPr>
          <w:p w:rsidR="00E96A19" w:rsidRPr="00E96A19" w:rsidRDefault="00E96A19" w:rsidP="00E96A19">
            <w:pPr>
              <w:jc w:val="center"/>
              <w:rPr>
                <w:rFonts w:ascii="Arial" w:eastAsia="Arial" w:hAnsi="Arial" w:cs="Arial"/>
                <w:sz w:val="18"/>
                <w:szCs w:val="18"/>
              </w:rPr>
            </w:pPr>
            <w:r>
              <w:rPr>
                <w:rFonts w:ascii="Arial" w:hAnsi="Arial"/>
                <w:sz w:val="18"/>
              </w:rPr>
              <w:t>66.9%</w:t>
            </w:r>
          </w:p>
        </w:tc>
      </w:tr>
      <w:tr w:rsidR="00E96A19" w:rsidRPr="00E96A19" w:rsidTr="00E96A19">
        <w:tc>
          <w:tcPr>
            <w:tcW w:w="1919" w:type="dxa"/>
            <w:vAlign w:val="center"/>
          </w:tcPr>
          <w:p w:rsidR="00E96A19" w:rsidRPr="00E96A19" w:rsidRDefault="00E96A19" w:rsidP="00E96A19">
            <w:pPr>
              <w:rPr>
                <w:rFonts w:ascii="Arial" w:eastAsia="Arial" w:hAnsi="Arial" w:cs="Arial"/>
                <w:b/>
                <w:sz w:val="18"/>
                <w:szCs w:val="18"/>
              </w:rPr>
            </w:pPr>
            <w:r>
              <w:rPr>
                <w:rFonts w:ascii="Arial" w:hAnsi="Arial"/>
                <w:b/>
                <w:sz w:val="18"/>
              </w:rPr>
              <w:t>Fires on rolling stock</w:t>
            </w:r>
          </w:p>
        </w:tc>
        <w:tc>
          <w:tcPr>
            <w:tcW w:w="554" w:type="dxa"/>
            <w:vAlign w:val="center"/>
          </w:tcPr>
          <w:p w:rsidR="00E96A19" w:rsidRPr="00E96A19" w:rsidRDefault="00E96A19" w:rsidP="00E96A19">
            <w:pPr>
              <w:pStyle w:val="DoNotTranslateExternal2"/>
            </w:pPr>
            <w:r>
              <w:t>0</w:t>
            </w:r>
          </w:p>
        </w:tc>
        <w:tc>
          <w:tcPr>
            <w:tcW w:w="553" w:type="dxa"/>
            <w:vAlign w:val="center"/>
          </w:tcPr>
          <w:p w:rsidR="00E96A19" w:rsidRPr="00E96A19" w:rsidRDefault="00E96A19" w:rsidP="00E96A19">
            <w:pPr>
              <w:pStyle w:val="DoNotTranslateExternal2"/>
            </w:pPr>
            <w:r>
              <w:t>0</w:t>
            </w:r>
          </w:p>
        </w:tc>
        <w:tc>
          <w:tcPr>
            <w:tcW w:w="553"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612" w:type="dxa"/>
            <w:vAlign w:val="center"/>
          </w:tcPr>
          <w:p w:rsidR="00E96A19" w:rsidRPr="00E96A19" w:rsidRDefault="00E96A19" w:rsidP="00E96A19">
            <w:pPr>
              <w:pStyle w:val="DoNotTranslateExternal2"/>
            </w:pPr>
            <w:r>
              <w:t>0</w:t>
            </w:r>
          </w:p>
        </w:tc>
        <w:tc>
          <w:tcPr>
            <w:tcW w:w="495"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578" w:type="dxa"/>
            <w:vAlign w:val="center"/>
          </w:tcPr>
          <w:p w:rsidR="00E96A19" w:rsidRPr="00E96A19" w:rsidRDefault="00E96A19" w:rsidP="00E96A19">
            <w:pPr>
              <w:pStyle w:val="DoNotTranslateExternal2"/>
            </w:pPr>
            <w:r>
              <w:t>0</w:t>
            </w:r>
          </w:p>
        </w:tc>
        <w:tc>
          <w:tcPr>
            <w:tcW w:w="578" w:type="dxa"/>
            <w:vAlign w:val="center"/>
          </w:tcPr>
          <w:p w:rsidR="00E96A19" w:rsidRPr="00E96A19" w:rsidRDefault="00E96A19" w:rsidP="00E96A19">
            <w:pPr>
              <w:pStyle w:val="DoNotTranslateExternal2"/>
            </w:pPr>
            <w:r>
              <w:t>0</w:t>
            </w:r>
          </w:p>
        </w:tc>
        <w:tc>
          <w:tcPr>
            <w:tcW w:w="1017" w:type="dxa"/>
            <w:vAlign w:val="center"/>
          </w:tcPr>
          <w:p w:rsidR="00E96A19" w:rsidRPr="00E96A19" w:rsidRDefault="00E96A19" w:rsidP="00E96A19">
            <w:pPr>
              <w:jc w:val="center"/>
              <w:rPr>
                <w:rFonts w:ascii="Arial" w:hAnsi="Arial" w:cs="Arial"/>
                <w:sz w:val="18"/>
                <w:szCs w:val="18"/>
              </w:rPr>
            </w:pPr>
            <w:r>
              <w:rPr>
                <w:rFonts w:ascii="Arial" w:hAnsi="Arial"/>
                <w:sz w:val="18"/>
              </w:rPr>
              <w:t>0.0%</w:t>
            </w:r>
          </w:p>
        </w:tc>
      </w:tr>
      <w:tr w:rsidR="00E96A19" w:rsidRPr="00E96A19" w:rsidTr="00E96A19">
        <w:tc>
          <w:tcPr>
            <w:tcW w:w="1919" w:type="dxa"/>
            <w:vAlign w:val="center"/>
          </w:tcPr>
          <w:p w:rsidR="00E96A19" w:rsidRPr="00E96A19" w:rsidRDefault="00E96A19" w:rsidP="00E96A19">
            <w:pPr>
              <w:rPr>
                <w:rFonts w:ascii="Arial" w:eastAsia="Arial" w:hAnsi="Arial" w:cs="Arial"/>
                <w:b/>
                <w:sz w:val="18"/>
                <w:szCs w:val="18"/>
              </w:rPr>
            </w:pPr>
            <w:r>
              <w:rPr>
                <w:rFonts w:ascii="Arial" w:hAnsi="Arial"/>
                <w:b/>
                <w:sz w:val="18"/>
              </w:rPr>
              <w:t>Other accidents</w:t>
            </w:r>
          </w:p>
        </w:tc>
        <w:tc>
          <w:tcPr>
            <w:tcW w:w="554" w:type="dxa"/>
            <w:vAlign w:val="center"/>
          </w:tcPr>
          <w:p w:rsidR="00E96A19" w:rsidRPr="00E96A19" w:rsidRDefault="00E96A19" w:rsidP="00E96A19">
            <w:pPr>
              <w:pStyle w:val="DoNotTranslateExternal2"/>
            </w:pPr>
            <w:r>
              <w:t>0</w:t>
            </w:r>
          </w:p>
        </w:tc>
        <w:tc>
          <w:tcPr>
            <w:tcW w:w="553" w:type="dxa"/>
            <w:vAlign w:val="center"/>
          </w:tcPr>
          <w:p w:rsidR="00E96A19" w:rsidRPr="00E96A19" w:rsidRDefault="00E96A19" w:rsidP="00E96A19">
            <w:pPr>
              <w:pStyle w:val="DoNotTranslateExternal2"/>
            </w:pPr>
            <w:r>
              <w:t>0</w:t>
            </w:r>
          </w:p>
        </w:tc>
        <w:tc>
          <w:tcPr>
            <w:tcW w:w="553"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612" w:type="dxa"/>
            <w:vAlign w:val="center"/>
          </w:tcPr>
          <w:p w:rsidR="00E96A19" w:rsidRPr="00E96A19" w:rsidRDefault="00E96A19" w:rsidP="00E96A19">
            <w:pPr>
              <w:pStyle w:val="DoNotTranslateExternal2"/>
            </w:pPr>
            <w:r>
              <w:t>0</w:t>
            </w:r>
          </w:p>
        </w:tc>
        <w:tc>
          <w:tcPr>
            <w:tcW w:w="495" w:type="dxa"/>
            <w:vAlign w:val="center"/>
          </w:tcPr>
          <w:p w:rsidR="00E96A19" w:rsidRPr="00E96A19" w:rsidRDefault="00E96A19" w:rsidP="00E96A19">
            <w:pPr>
              <w:pStyle w:val="DoNotTranslateExternal2"/>
            </w:pPr>
            <w:r>
              <w:t>0</w:t>
            </w:r>
          </w:p>
        </w:tc>
        <w:tc>
          <w:tcPr>
            <w:tcW w:w="554" w:type="dxa"/>
            <w:vAlign w:val="center"/>
          </w:tcPr>
          <w:p w:rsidR="00E96A19" w:rsidRPr="00E96A19" w:rsidRDefault="00E96A19" w:rsidP="00E96A19">
            <w:pPr>
              <w:pStyle w:val="DoNotTranslateExternal2"/>
            </w:pPr>
            <w:r>
              <w:t>0</w:t>
            </w:r>
          </w:p>
        </w:tc>
        <w:tc>
          <w:tcPr>
            <w:tcW w:w="578" w:type="dxa"/>
            <w:vAlign w:val="center"/>
          </w:tcPr>
          <w:p w:rsidR="00E96A19" w:rsidRPr="00E96A19" w:rsidRDefault="00E96A19" w:rsidP="00E96A19">
            <w:pPr>
              <w:pStyle w:val="DoNotTranslateExternal2"/>
            </w:pPr>
            <w:r>
              <w:t>0</w:t>
            </w:r>
          </w:p>
        </w:tc>
        <w:tc>
          <w:tcPr>
            <w:tcW w:w="578" w:type="dxa"/>
            <w:vAlign w:val="center"/>
          </w:tcPr>
          <w:p w:rsidR="00E96A19" w:rsidRPr="00E96A19" w:rsidRDefault="00E96A19" w:rsidP="00E96A19">
            <w:pPr>
              <w:pStyle w:val="DoNotTranslateExternal2"/>
            </w:pPr>
            <w:r>
              <w:t>0</w:t>
            </w:r>
          </w:p>
        </w:tc>
        <w:tc>
          <w:tcPr>
            <w:tcW w:w="1017" w:type="dxa"/>
            <w:vAlign w:val="center"/>
          </w:tcPr>
          <w:p w:rsidR="00E96A19" w:rsidRPr="00E96A19" w:rsidRDefault="00E96A19" w:rsidP="00E96A19">
            <w:pPr>
              <w:jc w:val="center"/>
              <w:rPr>
                <w:rFonts w:ascii="Arial" w:hAnsi="Arial" w:cs="Arial"/>
                <w:sz w:val="18"/>
                <w:szCs w:val="18"/>
              </w:rPr>
            </w:pPr>
            <w:r>
              <w:rPr>
                <w:rFonts w:ascii="Arial" w:hAnsi="Arial"/>
                <w:sz w:val="18"/>
              </w:rPr>
              <w:t>1.2%</w:t>
            </w:r>
          </w:p>
        </w:tc>
      </w:tr>
      <w:tr w:rsidR="00E96A19" w:rsidRPr="00E96A19" w:rsidTr="00E96A19">
        <w:tc>
          <w:tcPr>
            <w:tcW w:w="1919" w:type="dxa"/>
            <w:vAlign w:val="center"/>
          </w:tcPr>
          <w:p w:rsidR="00E96A19" w:rsidRPr="00E96A19" w:rsidRDefault="00E96A19" w:rsidP="00E96A19">
            <w:pPr>
              <w:rPr>
                <w:rFonts w:ascii="Arial" w:eastAsia="Arial" w:hAnsi="Arial" w:cs="Arial"/>
                <w:b/>
                <w:sz w:val="18"/>
                <w:szCs w:val="18"/>
              </w:rPr>
            </w:pPr>
            <w:r>
              <w:rPr>
                <w:rFonts w:ascii="Arial" w:hAnsi="Arial"/>
                <w:b/>
                <w:sz w:val="18"/>
              </w:rPr>
              <w:t>Total of all accidents</w:t>
            </w:r>
          </w:p>
        </w:tc>
        <w:tc>
          <w:tcPr>
            <w:tcW w:w="554" w:type="dxa"/>
            <w:vAlign w:val="center"/>
          </w:tcPr>
          <w:p w:rsidR="00E96A19" w:rsidRPr="00E96A19" w:rsidRDefault="00E96A19" w:rsidP="00E96A19">
            <w:pPr>
              <w:pStyle w:val="DoNotTranslateExternal2"/>
              <w:rPr>
                <w:b/>
              </w:rPr>
            </w:pPr>
            <w:r>
              <w:rPr>
                <w:b/>
              </w:rPr>
              <w:t>50</w:t>
            </w:r>
          </w:p>
        </w:tc>
        <w:tc>
          <w:tcPr>
            <w:tcW w:w="553" w:type="dxa"/>
            <w:vAlign w:val="center"/>
          </w:tcPr>
          <w:p w:rsidR="00E96A19" w:rsidRPr="00E96A19" w:rsidRDefault="00E96A19" w:rsidP="00E96A19">
            <w:pPr>
              <w:pStyle w:val="DoNotTranslateExternal2"/>
              <w:rPr>
                <w:b/>
              </w:rPr>
            </w:pPr>
            <w:r>
              <w:rPr>
                <w:b/>
              </w:rPr>
              <w:t>44</w:t>
            </w:r>
          </w:p>
        </w:tc>
        <w:tc>
          <w:tcPr>
            <w:tcW w:w="553" w:type="dxa"/>
            <w:vAlign w:val="center"/>
          </w:tcPr>
          <w:p w:rsidR="00E96A19" w:rsidRPr="00E96A19" w:rsidRDefault="00E96A19" w:rsidP="00E96A19">
            <w:pPr>
              <w:pStyle w:val="DoNotTranslateExternal2"/>
              <w:rPr>
                <w:b/>
              </w:rPr>
            </w:pPr>
            <w:r>
              <w:rPr>
                <w:b/>
              </w:rPr>
              <w:t>33</w:t>
            </w:r>
          </w:p>
        </w:tc>
        <w:tc>
          <w:tcPr>
            <w:tcW w:w="554" w:type="dxa"/>
            <w:vAlign w:val="center"/>
          </w:tcPr>
          <w:p w:rsidR="00E96A19" w:rsidRPr="00E96A19" w:rsidRDefault="00E96A19" w:rsidP="00E96A19">
            <w:pPr>
              <w:pStyle w:val="DoNotTranslateExternal2"/>
              <w:rPr>
                <w:b/>
              </w:rPr>
            </w:pPr>
            <w:r>
              <w:rPr>
                <w:b/>
              </w:rPr>
              <w:t>34</w:t>
            </w:r>
          </w:p>
        </w:tc>
        <w:tc>
          <w:tcPr>
            <w:tcW w:w="554" w:type="dxa"/>
            <w:vAlign w:val="center"/>
          </w:tcPr>
          <w:p w:rsidR="00E96A19" w:rsidRPr="00E96A19" w:rsidRDefault="00E96A19" w:rsidP="00E96A19">
            <w:pPr>
              <w:pStyle w:val="DoNotTranslateExternal2"/>
              <w:rPr>
                <w:b/>
              </w:rPr>
            </w:pPr>
            <w:r>
              <w:rPr>
                <w:b/>
              </w:rPr>
              <w:t>39</w:t>
            </w:r>
          </w:p>
        </w:tc>
        <w:tc>
          <w:tcPr>
            <w:tcW w:w="554" w:type="dxa"/>
            <w:vAlign w:val="center"/>
          </w:tcPr>
          <w:p w:rsidR="00E96A19" w:rsidRPr="00E96A19" w:rsidRDefault="00E96A19" w:rsidP="00E96A19">
            <w:pPr>
              <w:pStyle w:val="DoNotTranslateExternal2"/>
              <w:rPr>
                <w:b/>
              </w:rPr>
            </w:pPr>
            <w:r>
              <w:rPr>
                <w:b/>
              </w:rPr>
              <w:t>18</w:t>
            </w:r>
          </w:p>
        </w:tc>
        <w:tc>
          <w:tcPr>
            <w:tcW w:w="554" w:type="dxa"/>
            <w:vAlign w:val="center"/>
          </w:tcPr>
          <w:p w:rsidR="00E96A19" w:rsidRPr="00E96A19" w:rsidRDefault="00E96A19" w:rsidP="00E96A19">
            <w:pPr>
              <w:pStyle w:val="DoNotTranslateExternal2"/>
              <w:rPr>
                <w:b/>
              </w:rPr>
            </w:pPr>
            <w:r>
              <w:rPr>
                <w:b/>
              </w:rPr>
              <w:t>16</w:t>
            </w:r>
          </w:p>
        </w:tc>
        <w:tc>
          <w:tcPr>
            <w:tcW w:w="612" w:type="dxa"/>
            <w:vAlign w:val="center"/>
          </w:tcPr>
          <w:p w:rsidR="00E96A19" w:rsidRPr="00E96A19" w:rsidRDefault="00E96A19" w:rsidP="00E96A19">
            <w:pPr>
              <w:pStyle w:val="DoNotTranslateExternal2"/>
              <w:rPr>
                <w:b/>
              </w:rPr>
            </w:pPr>
            <w:r>
              <w:rPr>
                <w:b/>
              </w:rPr>
              <w:t>10</w:t>
            </w:r>
          </w:p>
        </w:tc>
        <w:tc>
          <w:tcPr>
            <w:tcW w:w="495" w:type="dxa"/>
            <w:vAlign w:val="center"/>
          </w:tcPr>
          <w:p w:rsidR="00E96A19" w:rsidRPr="00E96A19" w:rsidRDefault="00E96A19" w:rsidP="00E96A19">
            <w:pPr>
              <w:pStyle w:val="DoNotTranslateExternal2"/>
              <w:rPr>
                <w:b/>
              </w:rPr>
            </w:pPr>
            <w:r>
              <w:rPr>
                <w:b/>
              </w:rPr>
              <w:t>16</w:t>
            </w:r>
          </w:p>
        </w:tc>
        <w:tc>
          <w:tcPr>
            <w:tcW w:w="554" w:type="dxa"/>
            <w:vAlign w:val="center"/>
          </w:tcPr>
          <w:p w:rsidR="00E96A19" w:rsidRPr="00E96A19" w:rsidRDefault="00E96A19" w:rsidP="00E96A19">
            <w:pPr>
              <w:pStyle w:val="DoNotTranslateExternal2"/>
              <w:rPr>
                <w:b/>
              </w:rPr>
            </w:pPr>
            <w:r>
              <w:rPr>
                <w:b/>
              </w:rPr>
              <w:t>21</w:t>
            </w:r>
          </w:p>
        </w:tc>
        <w:tc>
          <w:tcPr>
            <w:tcW w:w="578" w:type="dxa"/>
            <w:vAlign w:val="center"/>
          </w:tcPr>
          <w:p w:rsidR="00E96A19" w:rsidRPr="00E96A19" w:rsidRDefault="00E96A19" w:rsidP="00E96A19">
            <w:pPr>
              <w:pStyle w:val="DoNotTranslateExternal2"/>
              <w:rPr>
                <w:b/>
              </w:rPr>
            </w:pPr>
            <w:r>
              <w:rPr>
                <w:b/>
              </w:rPr>
              <w:t>27</w:t>
            </w:r>
          </w:p>
        </w:tc>
        <w:tc>
          <w:tcPr>
            <w:tcW w:w="578" w:type="dxa"/>
            <w:vAlign w:val="center"/>
          </w:tcPr>
          <w:p w:rsidR="00E96A19" w:rsidRPr="00E96A19" w:rsidRDefault="00E96A19" w:rsidP="00E96A19">
            <w:pPr>
              <w:pStyle w:val="DoNotTranslateExternal2"/>
              <w:rPr>
                <w:b/>
              </w:rPr>
            </w:pPr>
            <w:r>
              <w:rPr>
                <w:b/>
              </w:rPr>
              <w:t>15</w:t>
            </w:r>
          </w:p>
        </w:tc>
        <w:tc>
          <w:tcPr>
            <w:tcW w:w="1017" w:type="dxa"/>
            <w:vAlign w:val="center"/>
          </w:tcPr>
          <w:p w:rsidR="00E96A19" w:rsidRPr="00E96A19" w:rsidRDefault="00E96A19" w:rsidP="00E96A19">
            <w:pPr>
              <w:jc w:val="center"/>
              <w:rPr>
                <w:rFonts w:ascii="Arial" w:eastAsia="Arial" w:hAnsi="Arial" w:cs="Arial"/>
                <w:b/>
                <w:sz w:val="18"/>
                <w:szCs w:val="18"/>
              </w:rPr>
            </w:pPr>
            <w:r>
              <w:rPr>
                <w:rFonts w:ascii="Arial" w:hAnsi="Arial"/>
                <w:b/>
                <w:sz w:val="18"/>
              </w:rPr>
              <w:t>100%</w:t>
            </w:r>
          </w:p>
        </w:tc>
      </w:tr>
    </w:tbl>
    <w:p w:rsidR="00E96A19" w:rsidRDefault="00E96A19" w:rsidP="00E96A19">
      <w:pPr>
        <w:jc w:val="both"/>
        <w:rPr>
          <w:rFonts w:ascii="Arial" w:eastAsia="Arial" w:hAnsi="Arial" w:cs="Arial"/>
        </w:rPr>
      </w:pPr>
    </w:p>
    <w:p w:rsidR="006F3ED5" w:rsidRPr="006A2FC1" w:rsidRDefault="00B65BEC" w:rsidP="00207CAC">
      <w:pPr>
        <w:pStyle w:val="paragraphe1"/>
      </w:pPr>
      <w:r>
        <w:t>In 2014, all serious injuries were caused by accidents at LCs or accidents with rolling stock. The absence of serious injuries caused by collisions and derailment must be noted. Around 94.7% of serious injuries during the ten-year period occurred in accidents involving LCs or rolling stock in motion.</w:t>
      </w:r>
    </w:p>
    <w:p w:rsidR="006F3ED5" w:rsidRPr="006A2FC1" w:rsidRDefault="006F3ED5">
      <w:pPr>
        <w:spacing w:before="18" w:line="220" w:lineRule="exact"/>
        <w:rPr>
          <w:sz w:val="22"/>
          <w:szCs w:val="22"/>
        </w:rPr>
      </w:pPr>
    </w:p>
    <w:p w:rsidR="006F3ED5" w:rsidRPr="006A2FC1" w:rsidRDefault="00B65BEC" w:rsidP="008F4808">
      <w:pPr>
        <w:pStyle w:val="TITRE4"/>
      </w:pPr>
      <w:r>
        <w:t>Risk to society</w:t>
      </w:r>
    </w:p>
    <w:p w:rsidR="00E96A19" w:rsidRDefault="00E96A19" w:rsidP="00E96A19">
      <w:pPr>
        <w:pStyle w:val="paragraphe1"/>
      </w:pPr>
    </w:p>
    <w:p w:rsidR="006F3ED5" w:rsidRPr="006A2FC1" w:rsidRDefault="00B65BEC" w:rsidP="00E96A19">
      <w:pPr>
        <w:pStyle w:val="paragraphe1"/>
      </w:pPr>
      <w:r>
        <w:t>A useful method for analysing overall trends in railway accidents and the risks to which society is exposed by rail transport involves calculating a standard index that takes into account the number of fatalities and severe injuries during the year, and distances travelled by trains.</w:t>
      </w:r>
    </w:p>
    <w:p w:rsidR="006F3ED5" w:rsidRPr="006A2FC1" w:rsidRDefault="006F3ED5">
      <w:pPr>
        <w:spacing w:line="220" w:lineRule="exact"/>
        <w:rPr>
          <w:sz w:val="22"/>
          <w:szCs w:val="22"/>
        </w:rPr>
      </w:pPr>
    </w:p>
    <w:p w:rsidR="006F3ED5" w:rsidRPr="006A2FC1" w:rsidRDefault="00B65BEC" w:rsidP="006E2B85">
      <w:pPr>
        <w:pStyle w:val="figure"/>
        <w:rPr>
          <w:sz w:val="24"/>
          <w:szCs w:val="24"/>
        </w:rPr>
      </w:pPr>
      <w:r>
        <w:t>Table 5 – FWSI index per million train-km, by category of person, 2005-2014</w:t>
      </w:r>
    </w:p>
    <w:tbl>
      <w:tblPr>
        <w:tblStyle w:val="TableGrid"/>
        <w:tblW w:w="9076" w:type="dxa"/>
        <w:tblLook w:val="04A0" w:firstRow="1" w:lastRow="0" w:firstColumn="1" w:lastColumn="0" w:noHBand="0" w:noVBand="1"/>
      </w:tblPr>
      <w:tblGrid>
        <w:gridCol w:w="1893"/>
        <w:gridCol w:w="586"/>
        <w:gridCol w:w="587"/>
        <w:gridCol w:w="588"/>
        <w:gridCol w:w="589"/>
        <w:gridCol w:w="590"/>
        <w:gridCol w:w="590"/>
        <w:gridCol w:w="590"/>
        <w:gridCol w:w="590"/>
        <w:gridCol w:w="590"/>
        <w:gridCol w:w="590"/>
        <w:gridCol w:w="616"/>
        <w:gridCol w:w="677"/>
      </w:tblGrid>
      <w:tr w:rsidR="001E0240" w:rsidRPr="006A2FC1" w:rsidTr="001E0240">
        <w:trPr>
          <w:cantSplit/>
          <w:trHeight w:val="1701"/>
        </w:trPr>
        <w:tc>
          <w:tcPr>
            <w:tcW w:w="1934" w:type="dxa"/>
            <w:textDirection w:val="btLr"/>
            <w:vAlign w:val="center"/>
          </w:tcPr>
          <w:p w:rsidR="001E0240" w:rsidRPr="006A2FC1" w:rsidRDefault="001E0240" w:rsidP="00920E23">
            <w:pPr>
              <w:jc w:val="center"/>
              <w:rPr>
                <w:rFonts w:ascii="Arial" w:eastAsia="Arial" w:hAnsi="Arial" w:cs="Arial"/>
                <w:b/>
                <w:sz w:val="16"/>
                <w:szCs w:val="16"/>
              </w:rPr>
            </w:pPr>
          </w:p>
        </w:tc>
        <w:tc>
          <w:tcPr>
            <w:tcW w:w="588" w:type="dxa"/>
            <w:textDirection w:val="btLr"/>
            <w:vAlign w:val="center"/>
          </w:tcPr>
          <w:p w:rsidR="001E0240" w:rsidRPr="006A2FC1" w:rsidRDefault="001E0240" w:rsidP="00A27499">
            <w:pPr>
              <w:pStyle w:val="DoNotTranslateExternal3"/>
            </w:pPr>
            <w:r>
              <w:t>2005</w:t>
            </w:r>
          </w:p>
        </w:tc>
        <w:tc>
          <w:tcPr>
            <w:tcW w:w="589" w:type="dxa"/>
            <w:textDirection w:val="btLr"/>
            <w:vAlign w:val="center"/>
          </w:tcPr>
          <w:p w:rsidR="001E0240" w:rsidRPr="006A2FC1" w:rsidRDefault="001E0240" w:rsidP="00A27499">
            <w:pPr>
              <w:pStyle w:val="DoNotTranslateExternal3"/>
            </w:pPr>
            <w:r>
              <w:t>2006</w:t>
            </w:r>
          </w:p>
        </w:tc>
        <w:tc>
          <w:tcPr>
            <w:tcW w:w="590" w:type="dxa"/>
            <w:textDirection w:val="btLr"/>
            <w:vAlign w:val="center"/>
          </w:tcPr>
          <w:p w:rsidR="001E0240" w:rsidRPr="006A2FC1" w:rsidRDefault="001E0240" w:rsidP="00A27499">
            <w:pPr>
              <w:pStyle w:val="DoNotTranslateExternal3"/>
            </w:pPr>
            <w:r>
              <w:t>2007</w:t>
            </w:r>
          </w:p>
        </w:tc>
        <w:tc>
          <w:tcPr>
            <w:tcW w:w="591" w:type="dxa"/>
            <w:textDirection w:val="btLr"/>
            <w:vAlign w:val="center"/>
          </w:tcPr>
          <w:p w:rsidR="001E0240" w:rsidRPr="006A2FC1" w:rsidRDefault="001E0240" w:rsidP="00A27499">
            <w:pPr>
              <w:pStyle w:val="DoNotTranslateExternal3"/>
            </w:pPr>
            <w:r>
              <w:t>2008</w:t>
            </w:r>
          </w:p>
        </w:tc>
        <w:tc>
          <w:tcPr>
            <w:tcW w:w="591" w:type="dxa"/>
            <w:textDirection w:val="btLr"/>
            <w:vAlign w:val="center"/>
          </w:tcPr>
          <w:p w:rsidR="001E0240" w:rsidRPr="006A2FC1" w:rsidRDefault="001E0240" w:rsidP="00A27499">
            <w:pPr>
              <w:pStyle w:val="DoNotTranslateExternal3"/>
            </w:pPr>
            <w:r>
              <w:t>2009</w:t>
            </w:r>
          </w:p>
        </w:tc>
        <w:tc>
          <w:tcPr>
            <w:tcW w:w="591" w:type="dxa"/>
            <w:textDirection w:val="btLr"/>
            <w:vAlign w:val="center"/>
          </w:tcPr>
          <w:p w:rsidR="001E0240" w:rsidRPr="006A2FC1" w:rsidRDefault="001E0240" w:rsidP="00A27499">
            <w:pPr>
              <w:pStyle w:val="DoNotTranslateExternal3"/>
            </w:pPr>
            <w:r>
              <w:t>2010</w:t>
            </w:r>
          </w:p>
        </w:tc>
        <w:tc>
          <w:tcPr>
            <w:tcW w:w="591" w:type="dxa"/>
            <w:textDirection w:val="btLr"/>
            <w:vAlign w:val="center"/>
          </w:tcPr>
          <w:p w:rsidR="001E0240" w:rsidRPr="006A2FC1" w:rsidRDefault="001E0240" w:rsidP="00A27499">
            <w:pPr>
              <w:pStyle w:val="DoNotTranslateExternal3"/>
            </w:pPr>
            <w:r>
              <w:t>2011</w:t>
            </w:r>
          </w:p>
        </w:tc>
        <w:tc>
          <w:tcPr>
            <w:tcW w:w="591" w:type="dxa"/>
            <w:textDirection w:val="btLr"/>
            <w:vAlign w:val="center"/>
          </w:tcPr>
          <w:p w:rsidR="001E0240" w:rsidRPr="006A2FC1" w:rsidRDefault="001E0240" w:rsidP="00A27499">
            <w:pPr>
              <w:pStyle w:val="DoNotTranslateExternal3"/>
            </w:pPr>
            <w:r>
              <w:t>2012</w:t>
            </w:r>
          </w:p>
        </w:tc>
        <w:tc>
          <w:tcPr>
            <w:tcW w:w="591" w:type="dxa"/>
            <w:textDirection w:val="btLr"/>
            <w:vAlign w:val="center"/>
          </w:tcPr>
          <w:p w:rsidR="001E0240" w:rsidRPr="006A2FC1" w:rsidRDefault="001E0240" w:rsidP="00A27499">
            <w:pPr>
              <w:pStyle w:val="DoNotTranslateExternal3"/>
            </w:pPr>
            <w:r>
              <w:t>2013</w:t>
            </w:r>
          </w:p>
        </w:tc>
        <w:tc>
          <w:tcPr>
            <w:tcW w:w="591" w:type="dxa"/>
            <w:textDirection w:val="btLr"/>
            <w:vAlign w:val="center"/>
          </w:tcPr>
          <w:p w:rsidR="001E0240" w:rsidRPr="006A2FC1" w:rsidRDefault="001E0240" w:rsidP="00A27499">
            <w:pPr>
              <w:pStyle w:val="DoNotTranslateExternal3"/>
            </w:pPr>
            <w:r>
              <w:t>2014</w:t>
            </w:r>
          </w:p>
        </w:tc>
        <w:tc>
          <w:tcPr>
            <w:tcW w:w="619" w:type="dxa"/>
            <w:textDirection w:val="btLr"/>
            <w:vAlign w:val="center"/>
          </w:tcPr>
          <w:p w:rsidR="001E0240" w:rsidRPr="006A2FC1" w:rsidRDefault="001E0240" w:rsidP="001E0240">
            <w:pPr>
              <w:ind w:left="113" w:right="113"/>
              <w:jc w:val="center"/>
              <w:rPr>
                <w:rFonts w:ascii="Arial" w:eastAsia="Arial" w:hAnsi="Arial" w:cs="Arial"/>
                <w:b/>
                <w:sz w:val="16"/>
                <w:szCs w:val="16"/>
              </w:rPr>
            </w:pPr>
            <w:r>
              <w:rPr>
                <w:rFonts w:ascii="Arial" w:hAnsi="Arial"/>
                <w:b/>
                <w:sz w:val="16"/>
              </w:rPr>
              <w:t>Average over the last 5 years</w:t>
            </w:r>
          </w:p>
        </w:tc>
        <w:tc>
          <w:tcPr>
            <w:tcW w:w="619" w:type="dxa"/>
            <w:textDirection w:val="btLr"/>
            <w:vAlign w:val="center"/>
          </w:tcPr>
          <w:p w:rsidR="001E0240" w:rsidRPr="006A2FC1" w:rsidRDefault="001E0240" w:rsidP="001E0240">
            <w:pPr>
              <w:ind w:left="113" w:right="113"/>
              <w:jc w:val="center"/>
              <w:rPr>
                <w:rFonts w:ascii="Arial" w:hAnsi="Arial" w:cs="Arial"/>
                <w:sz w:val="16"/>
                <w:szCs w:val="16"/>
              </w:rPr>
            </w:pPr>
            <w:r>
              <w:rPr>
                <w:rFonts w:ascii="Arial" w:hAnsi="Arial"/>
                <w:b/>
                <w:sz w:val="16"/>
              </w:rPr>
              <w:t>Distribution</w:t>
            </w:r>
          </w:p>
        </w:tc>
      </w:tr>
      <w:tr w:rsidR="001E0240" w:rsidRPr="006A2FC1" w:rsidTr="001E0240">
        <w:tc>
          <w:tcPr>
            <w:tcW w:w="1934" w:type="dxa"/>
            <w:vAlign w:val="center"/>
          </w:tcPr>
          <w:p w:rsidR="001E0240" w:rsidRPr="006A2FC1" w:rsidRDefault="001E0240" w:rsidP="00920E23">
            <w:pPr>
              <w:rPr>
                <w:rFonts w:ascii="Arial" w:eastAsia="Arial" w:hAnsi="Arial" w:cs="Arial"/>
                <w:b/>
                <w:sz w:val="18"/>
                <w:szCs w:val="18"/>
              </w:rPr>
            </w:pPr>
            <w:r>
              <w:rPr>
                <w:rFonts w:ascii="Arial" w:hAnsi="Arial"/>
                <w:b/>
                <w:sz w:val="18"/>
              </w:rPr>
              <w:lastRenderedPageBreak/>
              <w:t>Passengers</w:t>
            </w:r>
          </w:p>
        </w:tc>
        <w:tc>
          <w:tcPr>
            <w:tcW w:w="588" w:type="dxa"/>
            <w:vAlign w:val="center"/>
          </w:tcPr>
          <w:p w:rsidR="001E0240" w:rsidRPr="001E0240" w:rsidRDefault="001E0240" w:rsidP="00920E23">
            <w:pPr>
              <w:rPr>
                <w:rFonts w:ascii="Arial" w:hAnsi="Arial" w:cs="Arial"/>
                <w:sz w:val="18"/>
                <w:szCs w:val="18"/>
              </w:rPr>
            </w:pPr>
            <w:r>
              <w:rPr>
                <w:rFonts w:ascii="Arial" w:hAnsi="Arial"/>
                <w:sz w:val="18"/>
              </w:rPr>
              <w:t>0.02</w:t>
            </w:r>
          </w:p>
        </w:tc>
        <w:tc>
          <w:tcPr>
            <w:tcW w:w="589" w:type="dxa"/>
            <w:vAlign w:val="center"/>
          </w:tcPr>
          <w:p w:rsidR="001E0240" w:rsidRPr="001E0240" w:rsidRDefault="001E0240" w:rsidP="00920E23">
            <w:pPr>
              <w:rPr>
                <w:rFonts w:ascii="Arial" w:hAnsi="Arial" w:cs="Arial"/>
                <w:sz w:val="18"/>
                <w:szCs w:val="18"/>
              </w:rPr>
            </w:pPr>
            <w:r>
              <w:rPr>
                <w:rFonts w:ascii="Arial" w:hAnsi="Arial"/>
                <w:sz w:val="18"/>
              </w:rPr>
              <w:t>0.02</w:t>
            </w:r>
          </w:p>
        </w:tc>
        <w:tc>
          <w:tcPr>
            <w:tcW w:w="590" w:type="dxa"/>
            <w:vAlign w:val="center"/>
          </w:tcPr>
          <w:p w:rsidR="001E0240" w:rsidRPr="001E0240" w:rsidRDefault="001E0240" w:rsidP="00920E23">
            <w:pPr>
              <w:rPr>
                <w:rFonts w:ascii="Arial" w:hAnsi="Arial" w:cs="Arial"/>
                <w:sz w:val="18"/>
                <w:szCs w:val="18"/>
              </w:rPr>
            </w:pPr>
            <w:r>
              <w:rPr>
                <w:rFonts w:ascii="Arial" w:hAnsi="Arial"/>
                <w:sz w:val="18"/>
              </w:rPr>
              <w:t>0.04</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0.09</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0.01</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0.03</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0.01</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0.01</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0.03</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0.03</w:t>
            </w:r>
          </w:p>
        </w:tc>
        <w:tc>
          <w:tcPr>
            <w:tcW w:w="619" w:type="dxa"/>
            <w:vAlign w:val="center"/>
          </w:tcPr>
          <w:p w:rsidR="001E0240" w:rsidRPr="001E0240" w:rsidRDefault="001E0240" w:rsidP="00920E23">
            <w:pPr>
              <w:rPr>
                <w:rFonts w:ascii="Arial" w:hAnsi="Arial" w:cs="Arial"/>
                <w:b/>
                <w:sz w:val="18"/>
                <w:szCs w:val="18"/>
              </w:rPr>
            </w:pPr>
            <w:r>
              <w:rPr>
                <w:rFonts w:ascii="Arial" w:hAnsi="Arial"/>
                <w:b/>
                <w:sz w:val="18"/>
              </w:rPr>
              <w:t>0.01</w:t>
            </w:r>
          </w:p>
        </w:tc>
        <w:tc>
          <w:tcPr>
            <w:tcW w:w="619" w:type="dxa"/>
            <w:vAlign w:val="center"/>
          </w:tcPr>
          <w:p w:rsidR="001E0240" w:rsidRPr="001E0240" w:rsidRDefault="001E0240" w:rsidP="00920E23">
            <w:pPr>
              <w:rPr>
                <w:rFonts w:ascii="Arial" w:hAnsi="Arial" w:cs="Arial"/>
                <w:b/>
                <w:sz w:val="18"/>
                <w:szCs w:val="18"/>
              </w:rPr>
            </w:pPr>
            <w:r>
              <w:rPr>
                <w:rFonts w:ascii="Arial" w:hAnsi="Arial"/>
                <w:b/>
                <w:sz w:val="18"/>
              </w:rPr>
              <w:t>2%</w:t>
            </w:r>
          </w:p>
        </w:tc>
      </w:tr>
      <w:tr w:rsidR="001E0240" w:rsidRPr="006A2FC1" w:rsidTr="001E0240">
        <w:tc>
          <w:tcPr>
            <w:tcW w:w="1934" w:type="dxa"/>
            <w:vAlign w:val="center"/>
          </w:tcPr>
          <w:p w:rsidR="001E0240" w:rsidRPr="006A2FC1" w:rsidRDefault="001E0240" w:rsidP="00920E23">
            <w:pPr>
              <w:rPr>
                <w:rFonts w:ascii="Arial" w:eastAsia="Arial" w:hAnsi="Arial" w:cs="Arial"/>
                <w:b/>
                <w:sz w:val="18"/>
                <w:szCs w:val="18"/>
              </w:rPr>
            </w:pPr>
            <w:r>
              <w:rPr>
                <w:rFonts w:ascii="Arial" w:hAnsi="Arial"/>
                <w:b/>
                <w:sz w:val="18"/>
              </w:rPr>
              <w:t>Workers</w:t>
            </w:r>
          </w:p>
        </w:tc>
        <w:tc>
          <w:tcPr>
            <w:tcW w:w="588" w:type="dxa"/>
            <w:vAlign w:val="center"/>
          </w:tcPr>
          <w:p w:rsidR="001E0240" w:rsidRPr="001E0240" w:rsidRDefault="001E0240" w:rsidP="00920E23">
            <w:pPr>
              <w:rPr>
                <w:rFonts w:ascii="Arial" w:hAnsi="Arial" w:cs="Arial"/>
                <w:sz w:val="18"/>
                <w:szCs w:val="18"/>
              </w:rPr>
            </w:pPr>
            <w:r>
              <w:rPr>
                <w:rFonts w:ascii="Arial" w:hAnsi="Arial"/>
                <w:sz w:val="18"/>
              </w:rPr>
              <w:t>0.05</w:t>
            </w:r>
          </w:p>
        </w:tc>
        <w:tc>
          <w:tcPr>
            <w:tcW w:w="589" w:type="dxa"/>
            <w:vAlign w:val="center"/>
          </w:tcPr>
          <w:p w:rsidR="001E0240" w:rsidRPr="001E0240" w:rsidRDefault="001E0240" w:rsidP="00920E23">
            <w:pPr>
              <w:rPr>
                <w:rFonts w:ascii="Arial" w:hAnsi="Arial" w:cs="Arial"/>
                <w:sz w:val="18"/>
                <w:szCs w:val="18"/>
              </w:rPr>
            </w:pPr>
            <w:r>
              <w:rPr>
                <w:rFonts w:ascii="Arial" w:hAnsi="Arial"/>
                <w:sz w:val="18"/>
              </w:rPr>
              <w:t>0.03</w:t>
            </w:r>
          </w:p>
        </w:tc>
        <w:tc>
          <w:tcPr>
            <w:tcW w:w="590" w:type="dxa"/>
            <w:vAlign w:val="center"/>
          </w:tcPr>
          <w:p w:rsidR="001E0240" w:rsidRPr="001E0240" w:rsidRDefault="001E0240" w:rsidP="00920E23">
            <w:pPr>
              <w:rPr>
                <w:rFonts w:ascii="Arial" w:hAnsi="Arial" w:cs="Arial"/>
                <w:sz w:val="18"/>
                <w:szCs w:val="18"/>
              </w:rPr>
            </w:pPr>
            <w:r>
              <w:rPr>
                <w:rFonts w:ascii="Arial" w:hAnsi="Arial"/>
                <w:sz w:val="18"/>
              </w:rPr>
              <w:t>0.13</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0.03</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0.03</w:t>
            </w:r>
          </w:p>
        </w:tc>
        <w:tc>
          <w:tcPr>
            <w:tcW w:w="591" w:type="dxa"/>
            <w:vAlign w:val="center"/>
          </w:tcPr>
          <w:p w:rsidR="001E0240" w:rsidRPr="001E0240" w:rsidRDefault="001E0240" w:rsidP="001E0240">
            <w:pPr>
              <w:pStyle w:val="DoNotTranslateExternal2"/>
            </w:pPr>
            <w:r>
              <w:t>0</w:t>
            </w:r>
          </w:p>
        </w:tc>
        <w:tc>
          <w:tcPr>
            <w:tcW w:w="591" w:type="dxa"/>
            <w:vAlign w:val="center"/>
          </w:tcPr>
          <w:p w:rsidR="001E0240" w:rsidRPr="001E0240" w:rsidRDefault="001E0240" w:rsidP="001E0240">
            <w:pPr>
              <w:pStyle w:val="DoNotTranslateExternal2"/>
            </w:pPr>
            <w:r>
              <w:t>0</w:t>
            </w:r>
          </w:p>
        </w:tc>
        <w:tc>
          <w:tcPr>
            <w:tcW w:w="591" w:type="dxa"/>
            <w:vAlign w:val="center"/>
          </w:tcPr>
          <w:p w:rsidR="001E0240" w:rsidRPr="001E0240" w:rsidRDefault="001E0240" w:rsidP="001E0240">
            <w:pPr>
              <w:pStyle w:val="DoNotTranslateExternal2"/>
            </w:pPr>
            <w:r>
              <w:t>0</w:t>
            </w:r>
          </w:p>
        </w:tc>
        <w:tc>
          <w:tcPr>
            <w:tcW w:w="591" w:type="dxa"/>
            <w:vAlign w:val="center"/>
          </w:tcPr>
          <w:p w:rsidR="001E0240" w:rsidRPr="001E0240" w:rsidRDefault="001E0240" w:rsidP="001E0240">
            <w:pPr>
              <w:pStyle w:val="DoNotTranslateExternal2"/>
            </w:pPr>
            <w:r>
              <w:t>0</w:t>
            </w:r>
          </w:p>
        </w:tc>
        <w:tc>
          <w:tcPr>
            <w:tcW w:w="591" w:type="dxa"/>
            <w:vAlign w:val="center"/>
          </w:tcPr>
          <w:p w:rsidR="001E0240" w:rsidRPr="001E0240" w:rsidRDefault="001E0240" w:rsidP="001E0240">
            <w:pPr>
              <w:pStyle w:val="DoNotTranslateExternal2"/>
            </w:pPr>
            <w:r>
              <w:t>0</w:t>
            </w:r>
          </w:p>
        </w:tc>
        <w:tc>
          <w:tcPr>
            <w:tcW w:w="619" w:type="dxa"/>
            <w:vAlign w:val="center"/>
          </w:tcPr>
          <w:p w:rsidR="001E0240" w:rsidRPr="001E0240" w:rsidRDefault="001E0240" w:rsidP="00920E23">
            <w:pPr>
              <w:rPr>
                <w:rFonts w:ascii="Arial" w:hAnsi="Arial" w:cs="Arial"/>
                <w:b/>
                <w:sz w:val="18"/>
                <w:szCs w:val="18"/>
              </w:rPr>
            </w:pPr>
            <w:r>
              <w:rPr>
                <w:rFonts w:ascii="Arial" w:hAnsi="Arial"/>
                <w:b/>
                <w:sz w:val="18"/>
              </w:rPr>
              <w:t>0.01</w:t>
            </w:r>
          </w:p>
        </w:tc>
        <w:tc>
          <w:tcPr>
            <w:tcW w:w="619" w:type="dxa"/>
            <w:vAlign w:val="center"/>
          </w:tcPr>
          <w:p w:rsidR="001E0240" w:rsidRPr="001E0240" w:rsidRDefault="001E0240" w:rsidP="00920E23">
            <w:pPr>
              <w:rPr>
                <w:rFonts w:ascii="Arial" w:hAnsi="Arial" w:cs="Arial"/>
                <w:b/>
                <w:sz w:val="18"/>
                <w:szCs w:val="18"/>
              </w:rPr>
            </w:pPr>
            <w:r>
              <w:rPr>
                <w:rFonts w:ascii="Arial" w:hAnsi="Arial"/>
                <w:b/>
                <w:sz w:val="18"/>
              </w:rPr>
              <w:t>2%</w:t>
            </w:r>
          </w:p>
        </w:tc>
      </w:tr>
      <w:tr w:rsidR="001E0240" w:rsidRPr="006A2FC1" w:rsidTr="001E0240">
        <w:tc>
          <w:tcPr>
            <w:tcW w:w="1934" w:type="dxa"/>
            <w:vAlign w:val="center"/>
          </w:tcPr>
          <w:p w:rsidR="001E0240" w:rsidRPr="006A2FC1" w:rsidRDefault="001E0240" w:rsidP="00920E23">
            <w:pPr>
              <w:rPr>
                <w:rFonts w:ascii="Arial" w:eastAsia="Arial" w:hAnsi="Arial" w:cs="Arial"/>
                <w:b/>
                <w:sz w:val="18"/>
                <w:szCs w:val="18"/>
              </w:rPr>
            </w:pPr>
            <w:r>
              <w:rPr>
                <w:rFonts w:ascii="Arial" w:hAnsi="Arial"/>
                <w:b/>
                <w:sz w:val="18"/>
              </w:rPr>
              <w:t>LC Users</w:t>
            </w:r>
          </w:p>
        </w:tc>
        <w:tc>
          <w:tcPr>
            <w:tcW w:w="588" w:type="dxa"/>
            <w:vAlign w:val="center"/>
          </w:tcPr>
          <w:p w:rsidR="001E0240" w:rsidRPr="001E0240" w:rsidRDefault="001E0240" w:rsidP="00920E23">
            <w:pPr>
              <w:rPr>
                <w:rFonts w:ascii="Arial" w:hAnsi="Arial" w:cs="Arial"/>
                <w:sz w:val="18"/>
                <w:szCs w:val="18"/>
              </w:rPr>
            </w:pPr>
            <w:r>
              <w:rPr>
                <w:rFonts w:ascii="Arial" w:hAnsi="Arial"/>
                <w:sz w:val="18"/>
              </w:rPr>
              <w:t>0.32</w:t>
            </w:r>
          </w:p>
        </w:tc>
        <w:tc>
          <w:tcPr>
            <w:tcW w:w="589" w:type="dxa"/>
            <w:vAlign w:val="center"/>
          </w:tcPr>
          <w:p w:rsidR="001E0240" w:rsidRPr="001E0240" w:rsidRDefault="001E0240" w:rsidP="00920E23">
            <w:pPr>
              <w:rPr>
                <w:rFonts w:ascii="Arial" w:hAnsi="Arial" w:cs="Arial"/>
                <w:sz w:val="18"/>
                <w:szCs w:val="18"/>
              </w:rPr>
            </w:pPr>
            <w:r>
              <w:rPr>
                <w:rFonts w:ascii="Arial" w:hAnsi="Arial"/>
                <w:sz w:val="18"/>
              </w:rPr>
              <w:t>0.48</w:t>
            </w:r>
          </w:p>
        </w:tc>
        <w:tc>
          <w:tcPr>
            <w:tcW w:w="590" w:type="dxa"/>
            <w:vAlign w:val="center"/>
          </w:tcPr>
          <w:p w:rsidR="001E0240" w:rsidRPr="001E0240" w:rsidRDefault="001E0240" w:rsidP="00920E23">
            <w:pPr>
              <w:rPr>
                <w:rFonts w:ascii="Arial" w:hAnsi="Arial" w:cs="Arial"/>
                <w:sz w:val="18"/>
                <w:szCs w:val="18"/>
              </w:rPr>
            </w:pPr>
            <w:r>
              <w:rPr>
                <w:rFonts w:ascii="Arial" w:hAnsi="Arial"/>
                <w:sz w:val="18"/>
              </w:rPr>
              <w:t>0.51</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0.38</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0.43</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0.28</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0.12</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0.23</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0.29</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0.12</w:t>
            </w:r>
          </w:p>
        </w:tc>
        <w:tc>
          <w:tcPr>
            <w:tcW w:w="619" w:type="dxa"/>
            <w:vAlign w:val="center"/>
          </w:tcPr>
          <w:p w:rsidR="001E0240" w:rsidRPr="001E0240" w:rsidRDefault="001E0240" w:rsidP="00920E23">
            <w:pPr>
              <w:rPr>
                <w:rFonts w:ascii="Arial" w:hAnsi="Arial" w:cs="Arial"/>
                <w:b/>
                <w:sz w:val="18"/>
                <w:szCs w:val="18"/>
              </w:rPr>
            </w:pPr>
            <w:r>
              <w:rPr>
                <w:rFonts w:ascii="Arial" w:hAnsi="Arial"/>
                <w:b/>
                <w:sz w:val="18"/>
              </w:rPr>
              <w:t>0.26</w:t>
            </w:r>
          </w:p>
        </w:tc>
        <w:tc>
          <w:tcPr>
            <w:tcW w:w="619" w:type="dxa"/>
            <w:vAlign w:val="center"/>
          </w:tcPr>
          <w:p w:rsidR="001E0240" w:rsidRPr="001E0240" w:rsidRDefault="001E0240" w:rsidP="00920E23">
            <w:pPr>
              <w:rPr>
                <w:rFonts w:ascii="Arial" w:hAnsi="Arial" w:cs="Arial"/>
                <w:b/>
                <w:sz w:val="18"/>
                <w:szCs w:val="18"/>
              </w:rPr>
            </w:pPr>
            <w:r>
              <w:rPr>
                <w:rFonts w:ascii="Arial" w:hAnsi="Arial"/>
                <w:b/>
                <w:sz w:val="18"/>
              </w:rPr>
              <w:t>41%</w:t>
            </w:r>
          </w:p>
        </w:tc>
      </w:tr>
      <w:tr w:rsidR="001E0240" w:rsidRPr="006A2FC1" w:rsidTr="001E0240">
        <w:tc>
          <w:tcPr>
            <w:tcW w:w="1934" w:type="dxa"/>
            <w:vAlign w:val="center"/>
          </w:tcPr>
          <w:p w:rsidR="001E0240" w:rsidRPr="006A2FC1" w:rsidRDefault="001E0240" w:rsidP="00920E23">
            <w:pPr>
              <w:rPr>
                <w:rFonts w:ascii="Arial" w:eastAsia="Arial" w:hAnsi="Arial" w:cs="Arial"/>
                <w:b/>
                <w:sz w:val="18"/>
                <w:szCs w:val="18"/>
              </w:rPr>
            </w:pPr>
            <w:r>
              <w:rPr>
                <w:rFonts w:ascii="Arial" w:hAnsi="Arial"/>
                <w:b/>
                <w:sz w:val="18"/>
              </w:rPr>
              <w:t>Trespassers</w:t>
            </w:r>
          </w:p>
        </w:tc>
        <w:tc>
          <w:tcPr>
            <w:tcW w:w="588" w:type="dxa"/>
            <w:vAlign w:val="center"/>
          </w:tcPr>
          <w:p w:rsidR="001E0240" w:rsidRPr="001E0240" w:rsidRDefault="001E0240" w:rsidP="00920E23">
            <w:pPr>
              <w:rPr>
                <w:rFonts w:ascii="Arial" w:hAnsi="Arial" w:cs="Arial"/>
                <w:sz w:val="18"/>
                <w:szCs w:val="18"/>
              </w:rPr>
            </w:pPr>
            <w:r>
              <w:rPr>
                <w:rFonts w:ascii="Arial" w:hAnsi="Arial"/>
                <w:sz w:val="18"/>
              </w:rPr>
              <w:t>0.9</w:t>
            </w:r>
          </w:p>
        </w:tc>
        <w:tc>
          <w:tcPr>
            <w:tcW w:w="589" w:type="dxa"/>
            <w:vAlign w:val="center"/>
          </w:tcPr>
          <w:p w:rsidR="001E0240" w:rsidRPr="001E0240" w:rsidRDefault="001E0240" w:rsidP="00920E23">
            <w:pPr>
              <w:rPr>
                <w:rFonts w:ascii="Arial" w:hAnsi="Arial" w:cs="Arial"/>
                <w:sz w:val="18"/>
                <w:szCs w:val="18"/>
              </w:rPr>
            </w:pPr>
            <w:r>
              <w:rPr>
                <w:rFonts w:ascii="Arial" w:hAnsi="Arial"/>
                <w:sz w:val="18"/>
              </w:rPr>
              <w:t>0.9</w:t>
            </w:r>
          </w:p>
        </w:tc>
        <w:tc>
          <w:tcPr>
            <w:tcW w:w="590" w:type="dxa"/>
            <w:vAlign w:val="center"/>
          </w:tcPr>
          <w:p w:rsidR="001E0240" w:rsidRPr="001E0240" w:rsidRDefault="001E0240" w:rsidP="00920E23">
            <w:pPr>
              <w:rPr>
                <w:rFonts w:ascii="Arial" w:hAnsi="Arial" w:cs="Arial"/>
                <w:sz w:val="18"/>
                <w:szCs w:val="18"/>
              </w:rPr>
            </w:pPr>
            <w:r>
              <w:rPr>
                <w:rFonts w:ascii="Arial" w:hAnsi="Arial"/>
                <w:sz w:val="18"/>
              </w:rPr>
              <w:t>0.82</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0.6</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0.36</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0.25</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0.28</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0.45</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0.26</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0.42</w:t>
            </w:r>
          </w:p>
        </w:tc>
        <w:tc>
          <w:tcPr>
            <w:tcW w:w="619" w:type="dxa"/>
            <w:vAlign w:val="center"/>
          </w:tcPr>
          <w:p w:rsidR="001E0240" w:rsidRPr="001E0240" w:rsidRDefault="001E0240" w:rsidP="00920E23">
            <w:pPr>
              <w:rPr>
                <w:rFonts w:ascii="Arial" w:hAnsi="Arial" w:cs="Arial"/>
                <w:b/>
                <w:sz w:val="18"/>
                <w:szCs w:val="18"/>
              </w:rPr>
            </w:pPr>
            <w:r>
              <w:rPr>
                <w:rFonts w:ascii="Arial" w:hAnsi="Arial"/>
                <w:b/>
                <w:sz w:val="18"/>
              </w:rPr>
              <w:t>0.35</w:t>
            </w:r>
          </w:p>
        </w:tc>
        <w:tc>
          <w:tcPr>
            <w:tcW w:w="619" w:type="dxa"/>
            <w:vAlign w:val="center"/>
          </w:tcPr>
          <w:p w:rsidR="001E0240" w:rsidRPr="001E0240" w:rsidRDefault="001E0240" w:rsidP="00920E23">
            <w:pPr>
              <w:rPr>
                <w:rFonts w:ascii="Arial" w:hAnsi="Arial" w:cs="Arial"/>
                <w:b/>
                <w:sz w:val="18"/>
                <w:szCs w:val="18"/>
              </w:rPr>
            </w:pPr>
            <w:r>
              <w:rPr>
                <w:rFonts w:ascii="Arial" w:hAnsi="Arial"/>
                <w:b/>
                <w:sz w:val="18"/>
              </w:rPr>
              <w:t>56%</w:t>
            </w:r>
          </w:p>
        </w:tc>
      </w:tr>
      <w:tr w:rsidR="001E0240" w:rsidRPr="006A2FC1" w:rsidTr="001E0240">
        <w:tc>
          <w:tcPr>
            <w:tcW w:w="1934" w:type="dxa"/>
            <w:vAlign w:val="center"/>
          </w:tcPr>
          <w:p w:rsidR="001E0240" w:rsidRPr="006A2FC1" w:rsidRDefault="001E0240" w:rsidP="00920E23">
            <w:pPr>
              <w:rPr>
                <w:rFonts w:ascii="Arial" w:eastAsia="Arial" w:hAnsi="Arial" w:cs="Arial"/>
                <w:b/>
                <w:sz w:val="18"/>
                <w:szCs w:val="18"/>
              </w:rPr>
            </w:pPr>
            <w:r>
              <w:rPr>
                <w:rFonts w:ascii="Arial" w:hAnsi="Arial"/>
                <w:b/>
                <w:sz w:val="18"/>
              </w:rPr>
              <w:t>Others</w:t>
            </w:r>
          </w:p>
        </w:tc>
        <w:tc>
          <w:tcPr>
            <w:tcW w:w="588" w:type="dxa"/>
            <w:vAlign w:val="center"/>
          </w:tcPr>
          <w:p w:rsidR="001E0240" w:rsidRPr="001E0240" w:rsidRDefault="001E0240" w:rsidP="00920E23">
            <w:pPr>
              <w:rPr>
                <w:rFonts w:ascii="Arial" w:hAnsi="Arial" w:cs="Arial"/>
                <w:sz w:val="18"/>
                <w:szCs w:val="18"/>
              </w:rPr>
            </w:pPr>
            <w:r>
              <w:rPr>
                <w:rFonts w:ascii="Arial" w:hAnsi="Arial"/>
                <w:sz w:val="18"/>
              </w:rPr>
              <w:t>0.03</w:t>
            </w:r>
          </w:p>
        </w:tc>
        <w:tc>
          <w:tcPr>
            <w:tcW w:w="589" w:type="dxa"/>
            <w:vAlign w:val="center"/>
          </w:tcPr>
          <w:p w:rsidR="001E0240" w:rsidRPr="001E0240" w:rsidRDefault="001E0240" w:rsidP="00920E23">
            <w:pPr>
              <w:rPr>
                <w:rFonts w:ascii="Arial" w:hAnsi="Arial" w:cs="Arial"/>
                <w:sz w:val="18"/>
                <w:szCs w:val="18"/>
              </w:rPr>
            </w:pPr>
            <w:r>
              <w:rPr>
                <w:rFonts w:ascii="Arial" w:hAnsi="Arial"/>
                <w:sz w:val="18"/>
              </w:rPr>
              <w:t>0.01</w:t>
            </w:r>
          </w:p>
        </w:tc>
        <w:tc>
          <w:tcPr>
            <w:tcW w:w="590" w:type="dxa"/>
            <w:vAlign w:val="center"/>
          </w:tcPr>
          <w:p w:rsidR="001E0240" w:rsidRPr="001E0240" w:rsidRDefault="001E0240" w:rsidP="001E0240">
            <w:pPr>
              <w:pStyle w:val="DoNotTranslateExternal2"/>
            </w:pPr>
            <w:r>
              <w:t>0</w:t>
            </w:r>
          </w:p>
        </w:tc>
        <w:tc>
          <w:tcPr>
            <w:tcW w:w="591" w:type="dxa"/>
            <w:vAlign w:val="center"/>
          </w:tcPr>
          <w:p w:rsidR="001E0240" w:rsidRPr="001E0240" w:rsidRDefault="001E0240" w:rsidP="001E0240">
            <w:pPr>
              <w:pStyle w:val="DoNotTranslateExternal2"/>
            </w:pPr>
            <w:r>
              <w:t>0</w:t>
            </w:r>
          </w:p>
        </w:tc>
        <w:tc>
          <w:tcPr>
            <w:tcW w:w="591" w:type="dxa"/>
            <w:vAlign w:val="center"/>
          </w:tcPr>
          <w:p w:rsidR="001E0240" w:rsidRPr="001E0240" w:rsidRDefault="001E0240" w:rsidP="001E0240">
            <w:pPr>
              <w:pStyle w:val="DoNotTranslateExternal2"/>
            </w:pPr>
            <w:r>
              <w:t>0</w:t>
            </w:r>
          </w:p>
        </w:tc>
        <w:tc>
          <w:tcPr>
            <w:tcW w:w="591" w:type="dxa"/>
            <w:vAlign w:val="center"/>
          </w:tcPr>
          <w:p w:rsidR="001E0240" w:rsidRPr="001E0240" w:rsidRDefault="001E0240" w:rsidP="001E0240">
            <w:pPr>
              <w:pStyle w:val="DoNotTranslateExternal2"/>
            </w:pPr>
            <w:r>
              <w:t>0</w:t>
            </w:r>
          </w:p>
        </w:tc>
        <w:tc>
          <w:tcPr>
            <w:tcW w:w="591" w:type="dxa"/>
            <w:vAlign w:val="center"/>
          </w:tcPr>
          <w:p w:rsidR="001E0240" w:rsidRPr="001E0240" w:rsidRDefault="001E0240" w:rsidP="001E0240">
            <w:pPr>
              <w:pStyle w:val="DoNotTranslateExternal2"/>
            </w:pPr>
            <w:r>
              <w:t>0</w:t>
            </w:r>
          </w:p>
        </w:tc>
        <w:tc>
          <w:tcPr>
            <w:tcW w:w="591" w:type="dxa"/>
            <w:vAlign w:val="center"/>
          </w:tcPr>
          <w:p w:rsidR="001E0240" w:rsidRPr="001E0240" w:rsidRDefault="001E0240" w:rsidP="001E0240">
            <w:pPr>
              <w:pStyle w:val="DoNotTranslateExternal2"/>
            </w:pPr>
            <w:r>
              <w:t>0</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0.03</w:t>
            </w:r>
          </w:p>
        </w:tc>
        <w:tc>
          <w:tcPr>
            <w:tcW w:w="591" w:type="dxa"/>
            <w:vAlign w:val="center"/>
          </w:tcPr>
          <w:p w:rsidR="001E0240" w:rsidRPr="001E0240" w:rsidRDefault="001E0240" w:rsidP="001E0240">
            <w:pPr>
              <w:pStyle w:val="DoNotTranslateExternal2"/>
            </w:pPr>
            <w:r>
              <w:t>0</w:t>
            </w:r>
          </w:p>
        </w:tc>
        <w:tc>
          <w:tcPr>
            <w:tcW w:w="619" w:type="dxa"/>
            <w:vAlign w:val="center"/>
          </w:tcPr>
          <w:p w:rsidR="001E0240" w:rsidRPr="001E0240" w:rsidRDefault="001E0240" w:rsidP="001E0240">
            <w:pPr>
              <w:pStyle w:val="DoNotTranslateExternal2"/>
            </w:pPr>
            <w:r>
              <w:t>0</w:t>
            </w:r>
          </w:p>
        </w:tc>
        <w:tc>
          <w:tcPr>
            <w:tcW w:w="619" w:type="dxa"/>
            <w:vAlign w:val="center"/>
          </w:tcPr>
          <w:p w:rsidR="001E0240" w:rsidRPr="001E0240" w:rsidRDefault="001E0240" w:rsidP="00920E23">
            <w:pPr>
              <w:rPr>
                <w:rFonts w:ascii="Arial" w:hAnsi="Arial" w:cs="Arial"/>
                <w:b/>
                <w:sz w:val="18"/>
                <w:szCs w:val="18"/>
              </w:rPr>
            </w:pPr>
            <w:r>
              <w:rPr>
                <w:rFonts w:ascii="Arial" w:hAnsi="Arial"/>
                <w:b/>
                <w:sz w:val="18"/>
              </w:rPr>
              <w:t>0%</w:t>
            </w:r>
          </w:p>
        </w:tc>
      </w:tr>
      <w:tr w:rsidR="001E0240" w:rsidRPr="006A2FC1" w:rsidTr="001E0240">
        <w:tc>
          <w:tcPr>
            <w:tcW w:w="1934" w:type="dxa"/>
            <w:vAlign w:val="center"/>
          </w:tcPr>
          <w:p w:rsidR="001E0240" w:rsidRPr="006A2FC1" w:rsidRDefault="001E0240" w:rsidP="00920E23">
            <w:pPr>
              <w:rPr>
                <w:rFonts w:ascii="Arial" w:eastAsia="Arial" w:hAnsi="Arial" w:cs="Arial"/>
                <w:b/>
                <w:sz w:val="18"/>
                <w:szCs w:val="18"/>
              </w:rPr>
            </w:pPr>
            <w:r>
              <w:rPr>
                <w:rFonts w:ascii="Arial" w:hAnsi="Arial"/>
                <w:b/>
                <w:sz w:val="18"/>
              </w:rPr>
              <w:t>Total</w:t>
            </w:r>
          </w:p>
        </w:tc>
        <w:tc>
          <w:tcPr>
            <w:tcW w:w="588" w:type="dxa"/>
            <w:vAlign w:val="center"/>
          </w:tcPr>
          <w:p w:rsidR="001E0240" w:rsidRPr="001E0240" w:rsidRDefault="001E0240" w:rsidP="00920E23">
            <w:pPr>
              <w:rPr>
                <w:rFonts w:ascii="Arial" w:hAnsi="Arial" w:cs="Arial"/>
                <w:sz w:val="18"/>
                <w:szCs w:val="18"/>
              </w:rPr>
            </w:pPr>
            <w:r>
              <w:rPr>
                <w:rFonts w:ascii="Arial" w:hAnsi="Arial"/>
                <w:sz w:val="18"/>
              </w:rPr>
              <w:t>1.32</w:t>
            </w:r>
          </w:p>
        </w:tc>
        <w:tc>
          <w:tcPr>
            <w:tcW w:w="589" w:type="dxa"/>
            <w:vAlign w:val="center"/>
          </w:tcPr>
          <w:p w:rsidR="001E0240" w:rsidRPr="001E0240" w:rsidRDefault="001E0240" w:rsidP="00920E23">
            <w:pPr>
              <w:rPr>
                <w:rFonts w:ascii="Arial" w:hAnsi="Arial" w:cs="Arial"/>
                <w:sz w:val="18"/>
                <w:szCs w:val="18"/>
              </w:rPr>
            </w:pPr>
            <w:r>
              <w:rPr>
                <w:rFonts w:ascii="Arial" w:hAnsi="Arial"/>
                <w:sz w:val="18"/>
              </w:rPr>
              <w:t>1.43</w:t>
            </w:r>
          </w:p>
        </w:tc>
        <w:tc>
          <w:tcPr>
            <w:tcW w:w="590" w:type="dxa"/>
            <w:vAlign w:val="center"/>
          </w:tcPr>
          <w:p w:rsidR="001E0240" w:rsidRPr="001E0240" w:rsidRDefault="001E0240" w:rsidP="00920E23">
            <w:pPr>
              <w:rPr>
                <w:rFonts w:ascii="Arial" w:hAnsi="Arial" w:cs="Arial"/>
                <w:sz w:val="18"/>
                <w:szCs w:val="18"/>
              </w:rPr>
            </w:pPr>
            <w:r>
              <w:rPr>
                <w:rFonts w:ascii="Arial" w:hAnsi="Arial"/>
                <w:sz w:val="18"/>
              </w:rPr>
              <w:t>1.5</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1.1</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0.83</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0.59</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0.4</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0.68</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0.69</w:t>
            </w:r>
          </w:p>
        </w:tc>
        <w:tc>
          <w:tcPr>
            <w:tcW w:w="591" w:type="dxa"/>
            <w:vAlign w:val="center"/>
          </w:tcPr>
          <w:p w:rsidR="001E0240" w:rsidRPr="001E0240" w:rsidRDefault="001E0240" w:rsidP="00920E23">
            <w:pPr>
              <w:rPr>
                <w:rFonts w:ascii="Arial" w:hAnsi="Arial" w:cs="Arial"/>
                <w:sz w:val="18"/>
                <w:szCs w:val="18"/>
              </w:rPr>
            </w:pPr>
            <w:r>
              <w:rPr>
                <w:rFonts w:ascii="Arial" w:hAnsi="Arial"/>
                <w:sz w:val="18"/>
              </w:rPr>
              <w:t>0.57</w:t>
            </w:r>
          </w:p>
        </w:tc>
        <w:tc>
          <w:tcPr>
            <w:tcW w:w="619" w:type="dxa"/>
            <w:vAlign w:val="center"/>
          </w:tcPr>
          <w:p w:rsidR="001E0240" w:rsidRPr="001E0240" w:rsidRDefault="001E0240" w:rsidP="00920E23">
            <w:pPr>
              <w:rPr>
                <w:rFonts w:ascii="Arial" w:hAnsi="Arial" w:cs="Arial"/>
                <w:b/>
                <w:sz w:val="18"/>
                <w:szCs w:val="18"/>
              </w:rPr>
            </w:pPr>
            <w:r>
              <w:rPr>
                <w:rFonts w:ascii="Arial" w:hAnsi="Arial"/>
                <w:b/>
                <w:sz w:val="18"/>
              </w:rPr>
              <w:t>0.63</w:t>
            </w:r>
          </w:p>
        </w:tc>
        <w:tc>
          <w:tcPr>
            <w:tcW w:w="619" w:type="dxa"/>
            <w:vAlign w:val="center"/>
          </w:tcPr>
          <w:p w:rsidR="001E0240" w:rsidRPr="001E0240" w:rsidRDefault="001E0240" w:rsidP="00920E23">
            <w:pPr>
              <w:rPr>
                <w:rFonts w:ascii="Arial" w:hAnsi="Arial" w:cs="Arial"/>
                <w:b/>
                <w:sz w:val="18"/>
                <w:szCs w:val="18"/>
              </w:rPr>
            </w:pPr>
            <w:r>
              <w:rPr>
                <w:rFonts w:ascii="Arial" w:hAnsi="Arial"/>
                <w:b/>
                <w:sz w:val="18"/>
              </w:rPr>
              <w:t>100%</w:t>
            </w:r>
          </w:p>
        </w:tc>
      </w:tr>
    </w:tbl>
    <w:p w:rsidR="006F3ED5" w:rsidRDefault="006F3ED5">
      <w:pPr>
        <w:spacing w:before="14" w:line="280" w:lineRule="exact"/>
        <w:rPr>
          <w:sz w:val="28"/>
          <w:szCs w:val="28"/>
        </w:rPr>
      </w:pPr>
    </w:p>
    <w:p w:rsidR="00E96A19" w:rsidRPr="00E96A19" w:rsidRDefault="00E96A19">
      <w:pPr>
        <w:spacing w:before="14" w:line="280" w:lineRule="exact"/>
        <w:rPr>
          <w:sz w:val="28"/>
          <w:szCs w:val="28"/>
        </w:rPr>
      </w:pPr>
    </w:p>
    <w:p w:rsidR="006F3ED5" w:rsidRPr="006A2FC1" w:rsidRDefault="00B65BEC" w:rsidP="001E0240">
      <w:pPr>
        <w:pStyle w:val="paragraphe1"/>
      </w:pPr>
      <w:r>
        <w:t>This indicator is calculated by dividing the total number of Fatalities and Weighted Serious Injuries (FWSI) by millions of train-kilometres travelled during the year in question. For the purposes of calculating the index, one weighted serious injury is regarded as statistically equivalent to 0.1 fatality.</w:t>
      </w:r>
    </w:p>
    <w:p w:rsidR="006F3ED5" w:rsidRPr="006A2FC1" w:rsidRDefault="006F3ED5" w:rsidP="001E0240">
      <w:pPr>
        <w:pStyle w:val="paragraphe1"/>
        <w:rPr>
          <w:sz w:val="24"/>
          <w:szCs w:val="24"/>
        </w:rPr>
      </w:pPr>
    </w:p>
    <w:p w:rsidR="006F3ED5" w:rsidRPr="006A2FC1" w:rsidRDefault="00B65BEC" w:rsidP="001E0240">
      <w:pPr>
        <w:pStyle w:val="paragraphe1"/>
      </w:pPr>
      <w:r>
        <w:t>The trend indicates a clear reduction over the past ten years in the overall risk to society posed by the railway network, as shown in Chart 2, although in 2012 and 2013 the trend was negative. The best figures for the entire ten year period were recorded in 2011, followed by 2014.</w:t>
      </w:r>
    </w:p>
    <w:p w:rsidR="006F3ED5" w:rsidRPr="006A2FC1" w:rsidRDefault="006F3ED5">
      <w:pPr>
        <w:spacing w:before="11" w:line="200" w:lineRule="exact"/>
      </w:pPr>
    </w:p>
    <w:p w:rsidR="006F3ED5" w:rsidRDefault="00B65BEC" w:rsidP="006E2B85">
      <w:pPr>
        <w:pStyle w:val="figure"/>
      </w:pPr>
      <w:r>
        <w:t>Chart 2 – FWSI index x 106 km by category, 2005-2014</w:t>
      </w:r>
    </w:p>
    <w:p w:rsidR="001E0240" w:rsidRDefault="001E0240" w:rsidP="001E0240">
      <w:r>
        <w:rPr>
          <w:noProof/>
          <w:lang w:val="fr-LU" w:eastAsia="fr-LU" w:bidi="ar-SA"/>
        </w:rPr>
        <w:drawing>
          <wp:inline distT="0" distB="0" distL="0" distR="0" wp14:anchorId="0A34EECE" wp14:editId="2BB9FCC6">
            <wp:extent cx="5288280" cy="2346325"/>
            <wp:effectExtent l="0" t="0" r="762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8280" cy="2346325"/>
                    </a:xfrm>
                    <a:prstGeom prst="rect">
                      <a:avLst/>
                    </a:prstGeom>
                    <a:noFill/>
                    <a:ln>
                      <a:noFill/>
                    </a:ln>
                  </pic:spPr>
                </pic:pic>
              </a:graphicData>
            </a:graphic>
          </wp:inline>
        </w:drawing>
      </w:r>
    </w:p>
    <w:p w:rsidR="001E0240" w:rsidRDefault="001E0240">
      <w:pPr>
        <w:spacing w:before="15" w:line="200" w:lineRule="exact"/>
      </w:pPr>
    </w:p>
    <w:tbl>
      <w:tblPr>
        <w:tblStyle w:val="TableGrid"/>
        <w:tblW w:w="9629" w:type="dxa"/>
        <w:tblLook w:val="04A0" w:firstRow="1" w:lastRow="0" w:firstColumn="1" w:lastColumn="0" w:noHBand="0" w:noVBand="1"/>
      </w:tblPr>
      <w:tblGrid>
        <w:gridCol w:w="5165"/>
        <w:gridCol w:w="4464"/>
      </w:tblGrid>
      <w:tr w:rsidR="00ED7E36" w:rsidRPr="00ED7E36" w:rsidTr="00ED7E36">
        <w:tc>
          <w:tcPr>
            <w:tcW w:w="5165" w:type="dxa"/>
          </w:tcPr>
          <w:p w:rsidR="00ED7E36" w:rsidRPr="00ED7E36" w:rsidRDefault="00ED7E36" w:rsidP="00ED7E36">
            <w:pPr>
              <w:pStyle w:val="DoNotTranslateExternal1"/>
            </w:pPr>
            <w:r>
              <w:t>Pessoas não autorizadas</w:t>
            </w:r>
          </w:p>
        </w:tc>
        <w:tc>
          <w:tcPr>
            <w:tcW w:w="4464" w:type="dxa"/>
          </w:tcPr>
          <w:p w:rsidR="00ED7E36" w:rsidRPr="00351904" w:rsidRDefault="00ED7E36" w:rsidP="00920E23">
            <w:pPr>
              <w:spacing w:before="15" w:line="200" w:lineRule="exact"/>
              <w:rPr>
                <w:rFonts w:ascii="Arial" w:hAnsi="Arial" w:cs="Arial"/>
                <w:sz w:val="18"/>
                <w:szCs w:val="18"/>
              </w:rPr>
            </w:pPr>
            <w:r>
              <w:rPr>
                <w:rFonts w:ascii="Arial" w:hAnsi="Arial"/>
                <w:sz w:val="18"/>
              </w:rPr>
              <w:t>Trespassers</w:t>
            </w:r>
          </w:p>
        </w:tc>
      </w:tr>
      <w:tr w:rsidR="00ED7E36" w:rsidRPr="00ED7E36" w:rsidTr="00ED7E36">
        <w:tc>
          <w:tcPr>
            <w:tcW w:w="5165" w:type="dxa"/>
          </w:tcPr>
          <w:p w:rsidR="00ED7E36" w:rsidRPr="00ED7E36" w:rsidRDefault="00ED7E36" w:rsidP="00ED7E36">
            <w:pPr>
              <w:pStyle w:val="DoNotTranslateExternal1"/>
            </w:pPr>
            <w:r>
              <w:t>Trabalhadores</w:t>
            </w:r>
          </w:p>
        </w:tc>
        <w:tc>
          <w:tcPr>
            <w:tcW w:w="4464" w:type="dxa"/>
          </w:tcPr>
          <w:p w:rsidR="00ED7E36" w:rsidRPr="00351904" w:rsidRDefault="00ED7E36" w:rsidP="00920E23">
            <w:pPr>
              <w:spacing w:before="15" w:line="200" w:lineRule="exact"/>
              <w:rPr>
                <w:rFonts w:ascii="Arial" w:hAnsi="Arial" w:cs="Arial"/>
                <w:sz w:val="18"/>
                <w:szCs w:val="18"/>
              </w:rPr>
            </w:pPr>
            <w:r>
              <w:rPr>
                <w:rFonts w:ascii="Arial" w:hAnsi="Arial"/>
                <w:sz w:val="18"/>
              </w:rPr>
              <w:t>Workers</w:t>
            </w:r>
          </w:p>
        </w:tc>
      </w:tr>
      <w:tr w:rsidR="00ED7E36" w:rsidRPr="00ED7E36" w:rsidTr="00ED7E36">
        <w:tc>
          <w:tcPr>
            <w:tcW w:w="5165" w:type="dxa"/>
          </w:tcPr>
          <w:p w:rsidR="00ED7E36" w:rsidRPr="00ED7E36" w:rsidRDefault="00ED7E36" w:rsidP="00ED7E36">
            <w:pPr>
              <w:pStyle w:val="DoNotTranslateExternal1"/>
            </w:pPr>
            <w:r>
              <w:t>Outros</w:t>
            </w:r>
          </w:p>
        </w:tc>
        <w:tc>
          <w:tcPr>
            <w:tcW w:w="4464" w:type="dxa"/>
          </w:tcPr>
          <w:p w:rsidR="00ED7E36" w:rsidRPr="00351904" w:rsidRDefault="00ED7E36" w:rsidP="00920E23">
            <w:pPr>
              <w:spacing w:before="15" w:line="200" w:lineRule="exact"/>
              <w:rPr>
                <w:rFonts w:ascii="Arial" w:hAnsi="Arial" w:cs="Arial"/>
                <w:sz w:val="18"/>
                <w:szCs w:val="18"/>
              </w:rPr>
            </w:pPr>
            <w:r>
              <w:rPr>
                <w:rFonts w:ascii="Arial" w:hAnsi="Arial"/>
                <w:sz w:val="18"/>
              </w:rPr>
              <w:t>Others</w:t>
            </w:r>
          </w:p>
        </w:tc>
      </w:tr>
      <w:tr w:rsidR="00ED7E36" w:rsidRPr="00ED7E36" w:rsidTr="00ED7E36">
        <w:tc>
          <w:tcPr>
            <w:tcW w:w="5165" w:type="dxa"/>
          </w:tcPr>
          <w:p w:rsidR="00ED7E36" w:rsidRPr="00ED7E36" w:rsidRDefault="00ED7E36" w:rsidP="00ED7E36">
            <w:pPr>
              <w:pStyle w:val="DoNotTranslateExternal1"/>
            </w:pPr>
            <w:r>
              <w:t>Utilizadores de PN</w:t>
            </w:r>
          </w:p>
        </w:tc>
        <w:tc>
          <w:tcPr>
            <w:tcW w:w="4464" w:type="dxa"/>
          </w:tcPr>
          <w:p w:rsidR="00ED7E36" w:rsidRPr="00351904" w:rsidRDefault="00ED7E36" w:rsidP="00920E23">
            <w:pPr>
              <w:spacing w:before="15" w:line="200" w:lineRule="exact"/>
              <w:rPr>
                <w:rFonts w:ascii="Arial" w:hAnsi="Arial" w:cs="Arial"/>
                <w:sz w:val="18"/>
                <w:szCs w:val="18"/>
              </w:rPr>
            </w:pPr>
            <w:r>
              <w:rPr>
                <w:rFonts w:ascii="Arial" w:hAnsi="Arial"/>
                <w:sz w:val="18"/>
              </w:rPr>
              <w:t>LC Users</w:t>
            </w:r>
          </w:p>
        </w:tc>
      </w:tr>
      <w:tr w:rsidR="00ED7E36" w:rsidRPr="00ED7E36" w:rsidTr="00ED7E36">
        <w:tc>
          <w:tcPr>
            <w:tcW w:w="5165" w:type="dxa"/>
          </w:tcPr>
          <w:p w:rsidR="00ED7E36" w:rsidRPr="00ED7E36" w:rsidRDefault="00ED7E36" w:rsidP="00ED7E36">
            <w:pPr>
              <w:pStyle w:val="DoNotTranslateExternal1"/>
            </w:pPr>
            <w:r>
              <w:t>Passageiros</w:t>
            </w:r>
          </w:p>
        </w:tc>
        <w:tc>
          <w:tcPr>
            <w:tcW w:w="4464" w:type="dxa"/>
          </w:tcPr>
          <w:p w:rsidR="00ED7E36" w:rsidRPr="00351904" w:rsidRDefault="00ED7E36" w:rsidP="00920E23">
            <w:pPr>
              <w:spacing w:before="15" w:line="200" w:lineRule="exact"/>
              <w:rPr>
                <w:rFonts w:ascii="Arial" w:eastAsia="Calibri" w:hAnsi="Arial" w:cs="Arial"/>
                <w:sz w:val="18"/>
                <w:szCs w:val="18"/>
              </w:rPr>
            </w:pPr>
            <w:r>
              <w:rPr>
                <w:rFonts w:ascii="Arial" w:hAnsi="Arial"/>
                <w:sz w:val="18"/>
              </w:rPr>
              <w:t>Passengers</w:t>
            </w:r>
          </w:p>
        </w:tc>
      </w:tr>
      <w:tr w:rsidR="00ED7E36" w:rsidRPr="00B63285" w:rsidTr="00ED7E36">
        <w:tc>
          <w:tcPr>
            <w:tcW w:w="5165" w:type="dxa"/>
          </w:tcPr>
          <w:p w:rsidR="00ED7E36" w:rsidRPr="00705059" w:rsidRDefault="00ED7E36" w:rsidP="00ED7E36">
            <w:pPr>
              <w:pStyle w:val="DoNotTranslateExternal1"/>
              <w:rPr>
                <w:lang/>
              </w:rPr>
            </w:pPr>
            <w:r w:rsidRPr="00705059">
              <w:rPr>
                <w:lang/>
              </w:rPr>
              <w:t>Polinomial (Total em todos os acidentes)</w:t>
            </w:r>
          </w:p>
        </w:tc>
        <w:tc>
          <w:tcPr>
            <w:tcW w:w="4464" w:type="dxa"/>
          </w:tcPr>
          <w:p w:rsidR="00ED7E36" w:rsidRPr="00351904" w:rsidRDefault="00ED7E36" w:rsidP="00920E23">
            <w:pPr>
              <w:spacing w:before="15" w:line="200" w:lineRule="exact"/>
              <w:rPr>
                <w:rFonts w:ascii="Arial" w:hAnsi="Arial" w:cs="Arial"/>
                <w:sz w:val="18"/>
                <w:szCs w:val="18"/>
              </w:rPr>
            </w:pPr>
            <w:r>
              <w:rPr>
                <w:rFonts w:ascii="Arial" w:hAnsi="Arial"/>
                <w:sz w:val="18"/>
              </w:rPr>
              <w:t>Graph (Total for all accidents)</w:t>
            </w:r>
          </w:p>
        </w:tc>
      </w:tr>
    </w:tbl>
    <w:p w:rsidR="00ED7E36" w:rsidRDefault="00ED7E36" w:rsidP="00ED7E36">
      <w:pPr>
        <w:pStyle w:val="paragraphe1"/>
      </w:pPr>
    </w:p>
    <w:p w:rsidR="006F3ED5" w:rsidRPr="006A2FC1" w:rsidRDefault="00B65BEC" w:rsidP="00ED7E36">
      <w:pPr>
        <w:pStyle w:val="paragraphe1"/>
      </w:pPr>
      <w:r>
        <w:t>There is a clear downward trend in risk for the most significant categories relative to accident rate, specifically trespassers on railway property and LC users. Also note that the categories of Passengers, Employees and Others contribute a relatively small amount to overall risk.</w:t>
      </w:r>
    </w:p>
    <w:p w:rsidR="006F3ED5" w:rsidRPr="006A2FC1" w:rsidRDefault="006F3ED5">
      <w:pPr>
        <w:spacing w:before="19" w:line="200" w:lineRule="exact"/>
      </w:pPr>
    </w:p>
    <w:p w:rsidR="006F3ED5" w:rsidRPr="006A2FC1" w:rsidRDefault="00B65BEC" w:rsidP="008F4808">
      <w:pPr>
        <w:pStyle w:val="TITRE4"/>
      </w:pPr>
      <w:r>
        <w:t>Suicides</w:t>
      </w:r>
    </w:p>
    <w:p w:rsidR="006F3ED5" w:rsidRPr="006A2FC1" w:rsidRDefault="006F3ED5">
      <w:pPr>
        <w:spacing w:line="200" w:lineRule="exact"/>
      </w:pPr>
    </w:p>
    <w:p w:rsidR="006F3ED5" w:rsidRPr="006A2FC1" w:rsidRDefault="00B65BEC" w:rsidP="00ED7E36">
      <w:pPr>
        <w:pStyle w:val="paragraphe1"/>
      </w:pPr>
      <w:r>
        <w:lastRenderedPageBreak/>
        <w:t>It must be noted that suicides are not classified as accidents, as they are voluntary and deliberate acts carried out with the intention of harming those who commit them. However, despite not being considered accidents, suicides are a personal and social tragedy and are also, on various levels, a major cause of disruption to rail transport.</w:t>
      </w:r>
    </w:p>
    <w:p w:rsidR="006F3ED5" w:rsidRPr="006A2FC1" w:rsidRDefault="006F3ED5" w:rsidP="00ED7E36">
      <w:pPr>
        <w:pStyle w:val="paragraphe1"/>
        <w:rPr>
          <w:sz w:val="15"/>
          <w:szCs w:val="15"/>
        </w:rPr>
      </w:pPr>
    </w:p>
    <w:p w:rsidR="006F3ED5" w:rsidRPr="006A2FC1" w:rsidRDefault="00B65BEC" w:rsidP="00ED7E36">
      <w:pPr>
        <w:pStyle w:val="paragraphe1"/>
      </w:pPr>
      <w:r>
        <w:t>The number of suicides was lower in 2014 than in 2013, falling by 6.4%; this resulted in a 17.0% for 2014 compared to the average for the previous five years.</w:t>
      </w:r>
    </w:p>
    <w:p w:rsidR="006F3ED5" w:rsidRPr="006A2FC1" w:rsidRDefault="006F3ED5">
      <w:pPr>
        <w:spacing w:line="200" w:lineRule="exact"/>
      </w:pPr>
    </w:p>
    <w:tbl>
      <w:tblPr>
        <w:tblStyle w:val="TableGrid"/>
        <w:tblW w:w="0" w:type="auto"/>
        <w:tblInd w:w="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4745"/>
      </w:tblGrid>
      <w:tr w:rsidR="00ED7E36" w:rsidRPr="00B63285" w:rsidTr="00ED7E36">
        <w:tc>
          <w:tcPr>
            <w:tcW w:w="4294" w:type="dxa"/>
          </w:tcPr>
          <w:p w:rsidR="00ED7E36" w:rsidRPr="00ED7E36" w:rsidRDefault="00ED7E36" w:rsidP="006E2B85">
            <w:pPr>
              <w:pStyle w:val="figure"/>
            </w:pPr>
            <w:r>
              <w:t xml:space="preserve">Chart 3 – Number of suicides, 2005-2014 </w:t>
            </w:r>
          </w:p>
        </w:tc>
        <w:tc>
          <w:tcPr>
            <w:tcW w:w="4745" w:type="dxa"/>
          </w:tcPr>
          <w:p w:rsidR="00ED7E36" w:rsidRPr="00ED7E36" w:rsidRDefault="00ED7E36" w:rsidP="006E2B85">
            <w:pPr>
              <w:pStyle w:val="figure"/>
            </w:pPr>
            <w:r>
              <w:t>Chart 4 – Number of fatalities on the railway (accidents and suicides), 2005-2014</w:t>
            </w:r>
          </w:p>
        </w:tc>
      </w:tr>
    </w:tbl>
    <w:p w:rsidR="006F3ED5" w:rsidRPr="006A2FC1" w:rsidRDefault="00ED7E36" w:rsidP="00ED7E36">
      <w:r>
        <w:rPr>
          <w:noProof/>
          <w:lang w:val="fr-LU" w:eastAsia="fr-LU" w:bidi="ar-SA"/>
        </w:rPr>
        <w:drawing>
          <wp:inline distT="0" distB="0" distL="0" distR="0" wp14:anchorId="7150E839" wp14:editId="47E9D24F">
            <wp:extent cx="5977255" cy="1490000"/>
            <wp:effectExtent l="0" t="0" r="444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7255" cy="1490000"/>
                    </a:xfrm>
                    <a:prstGeom prst="rect">
                      <a:avLst/>
                    </a:prstGeom>
                    <a:noFill/>
                    <a:ln>
                      <a:noFill/>
                    </a:ln>
                  </pic:spPr>
                </pic:pic>
              </a:graphicData>
            </a:graphic>
          </wp:inline>
        </w:drawing>
      </w:r>
    </w:p>
    <w:p w:rsidR="006F3ED5" w:rsidRPr="006A2FC1" w:rsidRDefault="006F3ED5">
      <w:pPr>
        <w:spacing w:line="200" w:lineRule="exact"/>
      </w:pPr>
    </w:p>
    <w:p w:rsidR="006F3ED5" w:rsidRPr="006A2FC1" w:rsidRDefault="00B65BEC" w:rsidP="00ED7E36">
      <w:pPr>
        <w:pStyle w:val="paragraphe1"/>
      </w:pPr>
      <w:r>
        <w:t>The data reveals that suicides peaked in 2009 and then decreased significantly in subsequent years (Chart 3). Although a renewed upward trend was recorded in 2012, this did not continue into 2013 and 2014. Analysis of the charts shows that both the total number of fatalities and the number of suicides involving the railway have been trending downward (Chart 4), although the year-to-year trends are somewhat uneven.</w:t>
      </w:r>
    </w:p>
    <w:p w:rsidR="006F3ED5" w:rsidRPr="006A2FC1" w:rsidRDefault="00B65BEC" w:rsidP="00ED7E36">
      <w:pPr>
        <w:pStyle w:val="paragraphe1"/>
      </w:pPr>
      <w:r>
        <w:t>An interesting statistic for assessing the impact of suicides on the rail system is to see to what extent they contribute to total fatalities on railway property. Chart 5 shows that, on average, the number of suicides exceeds fatalities from accidents (59% suicides vs. 41% accidents).</w:t>
      </w:r>
    </w:p>
    <w:p w:rsidR="006F3ED5" w:rsidRPr="006A2FC1" w:rsidRDefault="00B65BEC" w:rsidP="00ED7E36">
      <w:pPr>
        <w:pStyle w:val="paragraphe1"/>
      </w:pPr>
      <w:r>
        <w:t>Another interesting observation is that the total number of fatalities on railway property has risen and fallen over the years, with the lowest number of fatalities on railway property occurring in 2011. After this low point the figure rises, but at a slower rate than that initially recorded at the start of the data set.</w:t>
      </w:r>
    </w:p>
    <w:p w:rsidR="00ED7E36" w:rsidRDefault="00ED7E36">
      <w:pPr>
        <w:spacing w:before="39" w:line="200" w:lineRule="exact"/>
        <w:ind w:left="1464"/>
        <w:rPr>
          <w:rFonts w:ascii="Arial" w:eastAsia="Arial" w:hAnsi="Arial" w:cs="Arial"/>
          <w:b/>
          <w:sz w:val="18"/>
          <w:szCs w:val="18"/>
        </w:rPr>
      </w:pPr>
    </w:p>
    <w:p w:rsidR="006F3ED5" w:rsidRPr="006A2FC1" w:rsidRDefault="00B65BEC" w:rsidP="00ED7E36">
      <w:pPr>
        <w:pStyle w:val="figure"/>
      </w:pPr>
      <w:r>
        <w:t>Chart 5 – Changes in the number of fatalities on the railway (accidents and suicides), 2005-2014</w:t>
      </w:r>
    </w:p>
    <w:p w:rsidR="006F3ED5" w:rsidRDefault="00ED7E36" w:rsidP="006E2B85">
      <w:pPr>
        <w:spacing w:before="2"/>
        <w:jc w:val="center"/>
        <w:rPr>
          <w:sz w:val="10"/>
          <w:szCs w:val="10"/>
        </w:rPr>
      </w:pPr>
      <w:r>
        <w:rPr>
          <w:noProof/>
          <w:sz w:val="10"/>
          <w:szCs w:val="10"/>
          <w:lang w:val="fr-LU" w:eastAsia="fr-LU" w:bidi="ar-SA"/>
        </w:rPr>
        <w:drawing>
          <wp:inline distT="0" distB="0" distL="0" distR="0" wp14:anchorId="7036076C" wp14:editId="63C7BB8F">
            <wp:extent cx="4028440" cy="1561465"/>
            <wp:effectExtent l="0" t="0" r="0" b="63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8440" cy="1561465"/>
                    </a:xfrm>
                    <a:prstGeom prst="rect">
                      <a:avLst/>
                    </a:prstGeom>
                    <a:noFill/>
                    <a:ln>
                      <a:noFill/>
                    </a:ln>
                  </pic:spPr>
                </pic:pic>
              </a:graphicData>
            </a:graphic>
          </wp:inline>
        </w:drawing>
      </w:r>
    </w:p>
    <w:p w:rsidR="00ED7E36" w:rsidRDefault="00ED7E36" w:rsidP="00ED7E36">
      <w:pPr>
        <w:spacing w:before="2"/>
        <w:rPr>
          <w:sz w:val="10"/>
          <w:szCs w:val="10"/>
        </w:rPr>
      </w:pPr>
    </w:p>
    <w:tbl>
      <w:tblPr>
        <w:tblStyle w:val="TableGrid"/>
        <w:tblW w:w="9629" w:type="dxa"/>
        <w:tblLook w:val="04A0" w:firstRow="1" w:lastRow="0" w:firstColumn="1" w:lastColumn="0" w:noHBand="0" w:noVBand="1"/>
      </w:tblPr>
      <w:tblGrid>
        <w:gridCol w:w="5027"/>
        <w:gridCol w:w="4602"/>
      </w:tblGrid>
      <w:tr w:rsidR="00ED7E36" w:rsidRPr="00ED7E36" w:rsidTr="00ED7E36">
        <w:tc>
          <w:tcPr>
            <w:tcW w:w="5027" w:type="dxa"/>
          </w:tcPr>
          <w:p w:rsidR="00ED7E36" w:rsidRPr="00ED7E36" w:rsidRDefault="00ED7E36" w:rsidP="00ED7E36">
            <w:pPr>
              <w:pStyle w:val="DoNotTranslateExternal1"/>
            </w:pPr>
            <w:r>
              <w:t>Suicídios</w:t>
            </w:r>
          </w:p>
        </w:tc>
        <w:tc>
          <w:tcPr>
            <w:tcW w:w="4602" w:type="dxa"/>
          </w:tcPr>
          <w:p w:rsidR="00ED7E36" w:rsidRPr="00ED7E36" w:rsidRDefault="00ED7E36" w:rsidP="00920E23">
            <w:pPr>
              <w:spacing w:before="41"/>
              <w:rPr>
                <w:rFonts w:ascii="Arial" w:eastAsia="Arial" w:hAnsi="Arial" w:cs="Arial"/>
                <w:sz w:val="18"/>
                <w:szCs w:val="18"/>
              </w:rPr>
            </w:pPr>
            <w:r>
              <w:rPr>
                <w:rFonts w:ascii="Arial" w:hAnsi="Arial"/>
                <w:sz w:val="18"/>
              </w:rPr>
              <w:t>Suicides</w:t>
            </w:r>
          </w:p>
        </w:tc>
      </w:tr>
      <w:tr w:rsidR="00ED7E36" w:rsidRPr="00ED7E36" w:rsidTr="00ED7E36">
        <w:tc>
          <w:tcPr>
            <w:tcW w:w="5027" w:type="dxa"/>
          </w:tcPr>
          <w:p w:rsidR="00ED7E36" w:rsidRPr="00ED7E36" w:rsidRDefault="00ED7E36" w:rsidP="00ED7E36">
            <w:pPr>
              <w:pStyle w:val="DoNotTranslateExternal1"/>
            </w:pPr>
            <w:r>
              <w:t>Média de suicídios= 59%</w:t>
            </w:r>
          </w:p>
        </w:tc>
        <w:tc>
          <w:tcPr>
            <w:tcW w:w="4602" w:type="dxa"/>
          </w:tcPr>
          <w:p w:rsidR="00ED7E36" w:rsidRPr="00ED7E36" w:rsidRDefault="00ED7E36" w:rsidP="00920E23">
            <w:pPr>
              <w:rPr>
                <w:rFonts w:ascii="Arial" w:eastAsia="Arial" w:hAnsi="Arial" w:cs="Arial"/>
                <w:sz w:val="18"/>
                <w:szCs w:val="18"/>
              </w:rPr>
            </w:pPr>
            <w:r>
              <w:rPr>
                <w:rFonts w:ascii="Arial" w:hAnsi="Arial"/>
                <w:sz w:val="18"/>
              </w:rPr>
              <w:t>Average number of suicides = 59%</w:t>
            </w:r>
          </w:p>
        </w:tc>
      </w:tr>
      <w:tr w:rsidR="00ED7E36" w:rsidRPr="00B63285" w:rsidTr="00ED7E36">
        <w:tc>
          <w:tcPr>
            <w:tcW w:w="5027" w:type="dxa"/>
          </w:tcPr>
          <w:p w:rsidR="00ED7E36" w:rsidRPr="00705059" w:rsidRDefault="00ED7E36" w:rsidP="00ED7E36">
            <w:pPr>
              <w:pStyle w:val="DoNotTranslateExternal1"/>
              <w:rPr>
                <w:lang/>
              </w:rPr>
            </w:pPr>
            <w:r w:rsidRPr="00705059">
              <w:rPr>
                <w:lang/>
              </w:rPr>
              <w:lastRenderedPageBreak/>
              <w:t>N.º de mortos em acidentes</w:t>
            </w:r>
          </w:p>
        </w:tc>
        <w:tc>
          <w:tcPr>
            <w:tcW w:w="4602" w:type="dxa"/>
          </w:tcPr>
          <w:p w:rsidR="00ED7E36" w:rsidRPr="00ED7E36" w:rsidRDefault="00ED7E36" w:rsidP="00920E23">
            <w:pPr>
              <w:rPr>
                <w:rFonts w:ascii="Arial" w:eastAsia="Arial" w:hAnsi="Arial" w:cs="Arial"/>
                <w:sz w:val="18"/>
                <w:szCs w:val="18"/>
              </w:rPr>
            </w:pPr>
            <w:r>
              <w:rPr>
                <w:rFonts w:ascii="Arial" w:hAnsi="Arial"/>
                <w:sz w:val="18"/>
              </w:rPr>
              <w:t>Number of fatalities due to accidents</w:t>
            </w:r>
          </w:p>
        </w:tc>
      </w:tr>
    </w:tbl>
    <w:p w:rsidR="00ED7E36" w:rsidRPr="006A2FC1" w:rsidRDefault="00ED7E36" w:rsidP="00ED7E36">
      <w:pPr>
        <w:spacing w:before="2"/>
        <w:rPr>
          <w:sz w:val="10"/>
          <w:szCs w:val="10"/>
        </w:rPr>
      </w:pPr>
    </w:p>
    <w:p w:rsidR="006F3ED5" w:rsidRPr="006A2FC1" w:rsidRDefault="00B65BEC" w:rsidP="008F4808">
      <w:pPr>
        <w:pStyle w:val="TITRE3"/>
      </w:pPr>
      <w:r>
        <w:t>Number of accidents</w:t>
      </w:r>
    </w:p>
    <w:p w:rsidR="006F3ED5" w:rsidRPr="006A2FC1" w:rsidRDefault="00B65BEC" w:rsidP="00ED7E36">
      <w:pPr>
        <w:pStyle w:val="paragraphe1"/>
      </w:pPr>
      <w:r>
        <w:t>The number of accidents in 2014 increased in relation to 2013 (4.2%) and was 28.% higher than the average for the previous five years.</w:t>
      </w:r>
    </w:p>
    <w:p w:rsidR="006F3ED5" w:rsidRPr="006A2FC1" w:rsidRDefault="00B65BEC" w:rsidP="00ED7E36">
      <w:pPr>
        <w:pStyle w:val="paragraphe1"/>
      </w:pPr>
      <w:r>
        <w:t>In a consistent trend over the last ten years, which is similar to observations from other European rail systems, most accidents involve two categories: accidents to persons caused by rolling stock in motion, and accidents at level crossings.</w:t>
      </w:r>
    </w:p>
    <w:p w:rsidR="006F3ED5" w:rsidRPr="006A2FC1" w:rsidRDefault="006F3ED5">
      <w:pPr>
        <w:spacing w:before="3" w:line="240" w:lineRule="exact"/>
        <w:rPr>
          <w:sz w:val="24"/>
          <w:szCs w:val="24"/>
        </w:rPr>
      </w:pPr>
    </w:p>
    <w:p w:rsidR="006F3ED5" w:rsidRPr="006A2FC1" w:rsidRDefault="00B65BEC" w:rsidP="00ED7E36">
      <w:pPr>
        <w:pStyle w:val="figure"/>
      </w:pPr>
      <w:r>
        <w:t>Table 6 – Accidents by category, 2005-2014</w:t>
      </w:r>
    </w:p>
    <w:tbl>
      <w:tblPr>
        <w:tblStyle w:val="TableGrid"/>
        <w:tblW w:w="9923" w:type="dxa"/>
        <w:tblLook w:val="04A0" w:firstRow="1" w:lastRow="0" w:firstColumn="1" w:lastColumn="0" w:noHBand="0" w:noVBand="1"/>
      </w:tblPr>
      <w:tblGrid>
        <w:gridCol w:w="2212"/>
        <w:gridCol w:w="639"/>
        <w:gridCol w:w="638"/>
        <w:gridCol w:w="637"/>
        <w:gridCol w:w="638"/>
        <w:gridCol w:w="638"/>
        <w:gridCol w:w="638"/>
        <w:gridCol w:w="638"/>
        <w:gridCol w:w="705"/>
        <w:gridCol w:w="570"/>
        <w:gridCol w:w="638"/>
        <w:gridCol w:w="666"/>
        <w:gridCol w:w="666"/>
      </w:tblGrid>
      <w:tr w:rsidR="00ED7E36" w:rsidRPr="00E96A19" w:rsidTr="00ED7E36">
        <w:trPr>
          <w:cantSplit/>
          <w:trHeight w:val="1134"/>
        </w:trPr>
        <w:tc>
          <w:tcPr>
            <w:tcW w:w="1919" w:type="dxa"/>
            <w:textDirection w:val="btLr"/>
            <w:vAlign w:val="center"/>
          </w:tcPr>
          <w:p w:rsidR="00ED7E36" w:rsidRPr="00E96A19" w:rsidRDefault="00ED7E36" w:rsidP="00920E23">
            <w:pPr>
              <w:ind w:left="113" w:right="113"/>
              <w:jc w:val="center"/>
              <w:rPr>
                <w:rFonts w:ascii="Arial" w:eastAsia="Arial" w:hAnsi="Arial" w:cs="Arial"/>
                <w:b/>
                <w:sz w:val="18"/>
                <w:szCs w:val="18"/>
              </w:rPr>
            </w:pPr>
          </w:p>
        </w:tc>
        <w:tc>
          <w:tcPr>
            <w:tcW w:w="554" w:type="dxa"/>
            <w:textDirection w:val="btLr"/>
            <w:vAlign w:val="center"/>
          </w:tcPr>
          <w:p w:rsidR="00ED7E36" w:rsidRPr="00E96A19" w:rsidRDefault="00ED7E36" w:rsidP="00A27499">
            <w:pPr>
              <w:pStyle w:val="DoNotTranslateExternal3"/>
            </w:pPr>
            <w:r>
              <w:t>2005</w:t>
            </w:r>
          </w:p>
        </w:tc>
        <w:tc>
          <w:tcPr>
            <w:tcW w:w="553" w:type="dxa"/>
            <w:textDirection w:val="btLr"/>
            <w:vAlign w:val="center"/>
          </w:tcPr>
          <w:p w:rsidR="00ED7E36" w:rsidRPr="00E96A19" w:rsidRDefault="00ED7E36" w:rsidP="00A27499">
            <w:pPr>
              <w:pStyle w:val="DoNotTranslateExternal3"/>
            </w:pPr>
            <w:r>
              <w:t>2006</w:t>
            </w:r>
          </w:p>
        </w:tc>
        <w:tc>
          <w:tcPr>
            <w:tcW w:w="553" w:type="dxa"/>
            <w:textDirection w:val="btLr"/>
            <w:vAlign w:val="center"/>
          </w:tcPr>
          <w:p w:rsidR="00ED7E36" w:rsidRPr="00E96A19" w:rsidRDefault="00ED7E36" w:rsidP="00A27499">
            <w:pPr>
              <w:pStyle w:val="DoNotTranslateExternal3"/>
            </w:pPr>
            <w:r>
              <w:t>2007</w:t>
            </w:r>
          </w:p>
        </w:tc>
        <w:tc>
          <w:tcPr>
            <w:tcW w:w="554" w:type="dxa"/>
            <w:textDirection w:val="btLr"/>
            <w:vAlign w:val="center"/>
          </w:tcPr>
          <w:p w:rsidR="00ED7E36" w:rsidRPr="00E96A19" w:rsidRDefault="00ED7E36" w:rsidP="00A27499">
            <w:pPr>
              <w:pStyle w:val="DoNotTranslateExternal3"/>
            </w:pPr>
            <w:r>
              <w:t>2008</w:t>
            </w:r>
          </w:p>
        </w:tc>
        <w:tc>
          <w:tcPr>
            <w:tcW w:w="554" w:type="dxa"/>
            <w:textDirection w:val="btLr"/>
            <w:vAlign w:val="center"/>
          </w:tcPr>
          <w:p w:rsidR="00ED7E36" w:rsidRPr="00E96A19" w:rsidRDefault="00ED7E36" w:rsidP="00A27499">
            <w:pPr>
              <w:pStyle w:val="DoNotTranslateExternal3"/>
            </w:pPr>
            <w:r>
              <w:t>2009</w:t>
            </w:r>
          </w:p>
        </w:tc>
        <w:tc>
          <w:tcPr>
            <w:tcW w:w="554" w:type="dxa"/>
            <w:textDirection w:val="btLr"/>
            <w:vAlign w:val="center"/>
          </w:tcPr>
          <w:p w:rsidR="00ED7E36" w:rsidRPr="00E96A19" w:rsidRDefault="00ED7E36" w:rsidP="00A27499">
            <w:pPr>
              <w:pStyle w:val="DoNotTranslateExternal3"/>
            </w:pPr>
            <w:r>
              <w:t>2010</w:t>
            </w:r>
          </w:p>
        </w:tc>
        <w:tc>
          <w:tcPr>
            <w:tcW w:w="554" w:type="dxa"/>
            <w:textDirection w:val="btLr"/>
            <w:vAlign w:val="center"/>
          </w:tcPr>
          <w:p w:rsidR="00ED7E36" w:rsidRPr="00E96A19" w:rsidRDefault="00ED7E36" w:rsidP="00A27499">
            <w:pPr>
              <w:pStyle w:val="DoNotTranslateExternal3"/>
            </w:pPr>
            <w:r>
              <w:t>2011</w:t>
            </w:r>
          </w:p>
        </w:tc>
        <w:tc>
          <w:tcPr>
            <w:tcW w:w="612" w:type="dxa"/>
            <w:textDirection w:val="btLr"/>
            <w:vAlign w:val="center"/>
          </w:tcPr>
          <w:p w:rsidR="00ED7E36" w:rsidRPr="00E96A19" w:rsidRDefault="00ED7E36" w:rsidP="00A27499">
            <w:pPr>
              <w:pStyle w:val="DoNotTranslateExternal3"/>
            </w:pPr>
            <w:r>
              <w:t>2012</w:t>
            </w:r>
          </w:p>
        </w:tc>
        <w:tc>
          <w:tcPr>
            <w:tcW w:w="495" w:type="dxa"/>
            <w:textDirection w:val="btLr"/>
            <w:vAlign w:val="center"/>
          </w:tcPr>
          <w:p w:rsidR="00ED7E36" w:rsidRPr="00E96A19" w:rsidRDefault="00ED7E36" w:rsidP="00A27499">
            <w:pPr>
              <w:pStyle w:val="DoNotTranslateExternal3"/>
            </w:pPr>
            <w:r>
              <w:t>2013</w:t>
            </w:r>
          </w:p>
        </w:tc>
        <w:tc>
          <w:tcPr>
            <w:tcW w:w="554" w:type="dxa"/>
            <w:textDirection w:val="btLr"/>
            <w:vAlign w:val="center"/>
          </w:tcPr>
          <w:p w:rsidR="00ED7E36" w:rsidRPr="00E96A19" w:rsidRDefault="00ED7E36" w:rsidP="00A27499">
            <w:pPr>
              <w:pStyle w:val="DoNotTranslateExternal3"/>
            </w:pPr>
            <w:r>
              <w:t>2014</w:t>
            </w:r>
          </w:p>
        </w:tc>
        <w:tc>
          <w:tcPr>
            <w:tcW w:w="578" w:type="dxa"/>
            <w:textDirection w:val="btLr"/>
            <w:vAlign w:val="center"/>
          </w:tcPr>
          <w:p w:rsidR="00ED7E36" w:rsidRPr="00E96A19" w:rsidRDefault="00ED7E36" w:rsidP="00920E23">
            <w:pPr>
              <w:ind w:left="113" w:right="113"/>
              <w:jc w:val="center"/>
              <w:rPr>
                <w:rFonts w:ascii="Arial" w:eastAsia="Arial" w:hAnsi="Arial" w:cs="Arial"/>
                <w:b/>
                <w:sz w:val="18"/>
                <w:szCs w:val="18"/>
              </w:rPr>
            </w:pPr>
            <w:r>
              <w:rPr>
                <w:rFonts w:ascii="Arial" w:hAnsi="Arial"/>
                <w:b/>
                <w:sz w:val="18"/>
              </w:rPr>
              <w:t>Average for the period</w:t>
            </w:r>
          </w:p>
        </w:tc>
        <w:tc>
          <w:tcPr>
            <w:tcW w:w="578" w:type="dxa"/>
            <w:textDirection w:val="btLr"/>
            <w:vAlign w:val="center"/>
          </w:tcPr>
          <w:p w:rsidR="00ED7E36" w:rsidRPr="00E96A19" w:rsidRDefault="00ED7E36" w:rsidP="00920E23">
            <w:pPr>
              <w:ind w:left="113" w:right="113"/>
              <w:jc w:val="center"/>
              <w:rPr>
                <w:rFonts w:ascii="Arial" w:hAnsi="Arial" w:cs="Arial"/>
                <w:sz w:val="18"/>
                <w:szCs w:val="18"/>
              </w:rPr>
            </w:pPr>
            <w:r>
              <w:rPr>
                <w:rFonts w:ascii="Arial" w:hAnsi="Arial"/>
                <w:b/>
                <w:sz w:val="18"/>
              </w:rPr>
              <w:t>Average over the last 5 years</w:t>
            </w:r>
          </w:p>
        </w:tc>
      </w:tr>
      <w:tr w:rsidR="00ED7E36" w:rsidRPr="00E96A19" w:rsidTr="00ED7E36">
        <w:tc>
          <w:tcPr>
            <w:tcW w:w="1919" w:type="dxa"/>
            <w:vAlign w:val="center"/>
          </w:tcPr>
          <w:p w:rsidR="00ED7E36" w:rsidRPr="00E96A19" w:rsidRDefault="00ED7E36" w:rsidP="00920E23">
            <w:pPr>
              <w:rPr>
                <w:rFonts w:ascii="Arial" w:eastAsia="Arial" w:hAnsi="Arial" w:cs="Arial"/>
                <w:b/>
                <w:sz w:val="18"/>
                <w:szCs w:val="18"/>
              </w:rPr>
            </w:pPr>
            <w:r>
              <w:rPr>
                <w:rFonts w:ascii="Arial" w:hAnsi="Arial"/>
                <w:b/>
                <w:sz w:val="18"/>
              </w:rPr>
              <w:t>Collisions with obstacles within the clearance gauge</w:t>
            </w:r>
          </w:p>
        </w:tc>
        <w:tc>
          <w:tcPr>
            <w:tcW w:w="554" w:type="dxa"/>
            <w:vAlign w:val="center"/>
          </w:tcPr>
          <w:p w:rsidR="00ED7E36" w:rsidRPr="00E96A19" w:rsidRDefault="00892AE8" w:rsidP="00920E23">
            <w:pPr>
              <w:pStyle w:val="DoNotTranslateExternal2"/>
            </w:pPr>
            <w:r>
              <w:t>1</w:t>
            </w:r>
          </w:p>
        </w:tc>
        <w:tc>
          <w:tcPr>
            <w:tcW w:w="553" w:type="dxa"/>
            <w:vAlign w:val="center"/>
          </w:tcPr>
          <w:p w:rsidR="00ED7E36" w:rsidRPr="00E96A19" w:rsidRDefault="00892AE8" w:rsidP="00920E23">
            <w:pPr>
              <w:pStyle w:val="DoNotTranslateExternal2"/>
            </w:pPr>
            <w:r>
              <w:t>3</w:t>
            </w:r>
          </w:p>
        </w:tc>
        <w:tc>
          <w:tcPr>
            <w:tcW w:w="553" w:type="dxa"/>
            <w:vAlign w:val="center"/>
          </w:tcPr>
          <w:p w:rsidR="00ED7E36" w:rsidRPr="00E96A19" w:rsidRDefault="00892AE8" w:rsidP="00920E23">
            <w:pPr>
              <w:pStyle w:val="DoNotTranslateExternal2"/>
            </w:pPr>
            <w:r>
              <w:t>3</w:t>
            </w:r>
          </w:p>
        </w:tc>
        <w:tc>
          <w:tcPr>
            <w:tcW w:w="554" w:type="dxa"/>
            <w:vAlign w:val="center"/>
          </w:tcPr>
          <w:p w:rsidR="00ED7E36" w:rsidRPr="00E96A19" w:rsidRDefault="00892AE8" w:rsidP="00920E23">
            <w:pPr>
              <w:pStyle w:val="DoNotTranslateExternal2"/>
            </w:pPr>
            <w:r>
              <w:t>0</w:t>
            </w:r>
          </w:p>
        </w:tc>
        <w:tc>
          <w:tcPr>
            <w:tcW w:w="554" w:type="dxa"/>
            <w:vAlign w:val="center"/>
          </w:tcPr>
          <w:p w:rsidR="00ED7E36" w:rsidRPr="00E96A19" w:rsidRDefault="00892AE8" w:rsidP="00920E23">
            <w:pPr>
              <w:pStyle w:val="DoNotTranslateExternal2"/>
            </w:pPr>
            <w:r>
              <w:t>0</w:t>
            </w:r>
          </w:p>
        </w:tc>
        <w:tc>
          <w:tcPr>
            <w:tcW w:w="554" w:type="dxa"/>
            <w:vAlign w:val="center"/>
          </w:tcPr>
          <w:p w:rsidR="00ED7E36" w:rsidRPr="00E96A19" w:rsidRDefault="00892AE8" w:rsidP="00920E23">
            <w:pPr>
              <w:pStyle w:val="DoNotTranslateExternal2"/>
            </w:pPr>
            <w:r>
              <w:t>2</w:t>
            </w:r>
          </w:p>
        </w:tc>
        <w:tc>
          <w:tcPr>
            <w:tcW w:w="554" w:type="dxa"/>
            <w:vAlign w:val="center"/>
          </w:tcPr>
          <w:p w:rsidR="00ED7E36" w:rsidRPr="00E96A19" w:rsidRDefault="00892AE8" w:rsidP="00920E23">
            <w:pPr>
              <w:pStyle w:val="DoNotTranslateExternal2"/>
            </w:pPr>
            <w:r>
              <w:t>1</w:t>
            </w:r>
          </w:p>
        </w:tc>
        <w:tc>
          <w:tcPr>
            <w:tcW w:w="612" w:type="dxa"/>
            <w:vAlign w:val="center"/>
          </w:tcPr>
          <w:p w:rsidR="00ED7E36" w:rsidRPr="00E96A19" w:rsidRDefault="00892AE8" w:rsidP="00920E23">
            <w:pPr>
              <w:pStyle w:val="DoNotTranslateExternal2"/>
            </w:pPr>
            <w:r>
              <w:t>1</w:t>
            </w:r>
          </w:p>
        </w:tc>
        <w:tc>
          <w:tcPr>
            <w:tcW w:w="495" w:type="dxa"/>
            <w:vAlign w:val="center"/>
          </w:tcPr>
          <w:p w:rsidR="00ED7E36" w:rsidRPr="00E96A19" w:rsidRDefault="00892AE8" w:rsidP="00920E23">
            <w:pPr>
              <w:pStyle w:val="DoNotTranslateExternal2"/>
            </w:pPr>
            <w:r>
              <w:t>1</w:t>
            </w:r>
          </w:p>
        </w:tc>
        <w:tc>
          <w:tcPr>
            <w:tcW w:w="554" w:type="dxa"/>
            <w:vAlign w:val="center"/>
          </w:tcPr>
          <w:p w:rsidR="00ED7E36" w:rsidRPr="00E96A19" w:rsidRDefault="00892AE8" w:rsidP="00920E23">
            <w:pPr>
              <w:pStyle w:val="DoNotTranslateExternal2"/>
            </w:pPr>
            <w:r>
              <w:t>7</w:t>
            </w:r>
          </w:p>
        </w:tc>
        <w:tc>
          <w:tcPr>
            <w:tcW w:w="578" w:type="dxa"/>
            <w:vAlign w:val="center"/>
          </w:tcPr>
          <w:p w:rsidR="00ED7E36" w:rsidRPr="00E96A19" w:rsidRDefault="00892AE8" w:rsidP="00920E23">
            <w:pPr>
              <w:pStyle w:val="DoNotTranslateExternal2"/>
            </w:pPr>
            <w:r>
              <w:t>2</w:t>
            </w:r>
          </w:p>
        </w:tc>
        <w:tc>
          <w:tcPr>
            <w:tcW w:w="578" w:type="dxa"/>
            <w:vAlign w:val="center"/>
          </w:tcPr>
          <w:p w:rsidR="00ED7E36" w:rsidRPr="00E96A19" w:rsidRDefault="00892AE8" w:rsidP="00920E23">
            <w:pPr>
              <w:pStyle w:val="DoNotTranslateExternal2"/>
            </w:pPr>
            <w:r>
              <w:t>1</w:t>
            </w:r>
          </w:p>
        </w:tc>
      </w:tr>
      <w:tr w:rsidR="00ED7E36" w:rsidRPr="00E96A19" w:rsidTr="00ED7E36">
        <w:tc>
          <w:tcPr>
            <w:tcW w:w="1919" w:type="dxa"/>
            <w:vAlign w:val="center"/>
          </w:tcPr>
          <w:p w:rsidR="00ED7E36" w:rsidRPr="00E96A19" w:rsidRDefault="00ED7E36" w:rsidP="00920E23">
            <w:pPr>
              <w:rPr>
                <w:rFonts w:ascii="Arial" w:eastAsia="Arial" w:hAnsi="Arial" w:cs="Arial"/>
                <w:b/>
                <w:sz w:val="18"/>
                <w:szCs w:val="18"/>
              </w:rPr>
            </w:pPr>
            <w:r>
              <w:rPr>
                <w:rFonts w:ascii="Arial" w:hAnsi="Arial"/>
                <w:b/>
                <w:sz w:val="18"/>
              </w:rPr>
              <w:t>Derailments</w:t>
            </w:r>
          </w:p>
        </w:tc>
        <w:tc>
          <w:tcPr>
            <w:tcW w:w="554" w:type="dxa"/>
            <w:vAlign w:val="center"/>
          </w:tcPr>
          <w:p w:rsidR="00ED7E36" w:rsidRPr="00E96A19" w:rsidRDefault="00892AE8" w:rsidP="00920E23">
            <w:pPr>
              <w:pStyle w:val="DoNotTranslateExternal2"/>
            </w:pPr>
            <w:r>
              <w:t>1</w:t>
            </w:r>
          </w:p>
        </w:tc>
        <w:tc>
          <w:tcPr>
            <w:tcW w:w="553" w:type="dxa"/>
            <w:vAlign w:val="center"/>
          </w:tcPr>
          <w:p w:rsidR="00ED7E36" w:rsidRPr="00E96A19" w:rsidRDefault="00892AE8" w:rsidP="00920E23">
            <w:pPr>
              <w:pStyle w:val="DoNotTranslateExternal2"/>
            </w:pPr>
            <w:r>
              <w:t>9</w:t>
            </w:r>
          </w:p>
        </w:tc>
        <w:tc>
          <w:tcPr>
            <w:tcW w:w="553" w:type="dxa"/>
            <w:vAlign w:val="center"/>
          </w:tcPr>
          <w:p w:rsidR="00ED7E36" w:rsidRPr="00E96A19" w:rsidRDefault="00892AE8" w:rsidP="00920E23">
            <w:pPr>
              <w:pStyle w:val="DoNotTranslateExternal2"/>
            </w:pPr>
            <w:r>
              <w:t>3</w:t>
            </w:r>
          </w:p>
        </w:tc>
        <w:tc>
          <w:tcPr>
            <w:tcW w:w="554" w:type="dxa"/>
            <w:vAlign w:val="center"/>
          </w:tcPr>
          <w:p w:rsidR="00ED7E36" w:rsidRPr="00E96A19" w:rsidRDefault="00892AE8" w:rsidP="00920E23">
            <w:pPr>
              <w:pStyle w:val="DoNotTranslateExternal2"/>
            </w:pPr>
            <w:r>
              <w:t>3</w:t>
            </w:r>
          </w:p>
        </w:tc>
        <w:tc>
          <w:tcPr>
            <w:tcW w:w="554" w:type="dxa"/>
            <w:vAlign w:val="center"/>
          </w:tcPr>
          <w:p w:rsidR="00ED7E36" w:rsidRPr="00E96A19" w:rsidRDefault="00892AE8" w:rsidP="00920E23">
            <w:pPr>
              <w:pStyle w:val="DoNotTranslateExternal2"/>
            </w:pPr>
            <w:r>
              <w:t>1</w:t>
            </w:r>
          </w:p>
        </w:tc>
        <w:tc>
          <w:tcPr>
            <w:tcW w:w="554" w:type="dxa"/>
            <w:vAlign w:val="center"/>
          </w:tcPr>
          <w:p w:rsidR="00ED7E36" w:rsidRPr="00E96A19" w:rsidRDefault="00892AE8" w:rsidP="00920E23">
            <w:pPr>
              <w:pStyle w:val="DoNotTranslateExternal2"/>
            </w:pPr>
            <w:r>
              <w:t>3</w:t>
            </w:r>
          </w:p>
        </w:tc>
        <w:tc>
          <w:tcPr>
            <w:tcW w:w="554" w:type="dxa"/>
            <w:vAlign w:val="center"/>
          </w:tcPr>
          <w:p w:rsidR="00ED7E36" w:rsidRPr="00E96A19" w:rsidRDefault="00892AE8" w:rsidP="00920E23">
            <w:pPr>
              <w:pStyle w:val="DoNotTranslateExternal2"/>
            </w:pPr>
            <w:r>
              <w:t>2</w:t>
            </w:r>
          </w:p>
        </w:tc>
        <w:tc>
          <w:tcPr>
            <w:tcW w:w="612" w:type="dxa"/>
            <w:vAlign w:val="center"/>
          </w:tcPr>
          <w:p w:rsidR="00ED7E36" w:rsidRPr="00E96A19" w:rsidRDefault="00892AE8" w:rsidP="00920E23">
            <w:pPr>
              <w:pStyle w:val="DoNotTranslateExternal2"/>
            </w:pPr>
            <w:r>
              <w:t>0</w:t>
            </w:r>
          </w:p>
        </w:tc>
        <w:tc>
          <w:tcPr>
            <w:tcW w:w="495" w:type="dxa"/>
            <w:vAlign w:val="center"/>
          </w:tcPr>
          <w:p w:rsidR="00ED7E36" w:rsidRPr="00E96A19" w:rsidRDefault="00892AE8" w:rsidP="00920E23">
            <w:pPr>
              <w:pStyle w:val="DoNotTranslateExternal2"/>
            </w:pPr>
            <w:r>
              <w:t>4</w:t>
            </w:r>
          </w:p>
        </w:tc>
        <w:tc>
          <w:tcPr>
            <w:tcW w:w="554" w:type="dxa"/>
            <w:vAlign w:val="center"/>
          </w:tcPr>
          <w:p w:rsidR="00ED7E36" w:rsidRPr="00E96A19" w:rsidRDefault="00892AE8" w:rsidP="00920E23">
            <w:pPr>
              <w:pStyle w:val="DoNotTranslateExternal2"/>
            </w:pPr>
            <w:r>
              <w:t>3</w:t>
            </w:r>
          </w:p>
        </w:tc>
        <w:tc>
          <w:tcPr>
            <w:tcW w:w="578" w:type="dxa"/>
            <w:vAlign w:val="center"/>
          </w:tcPr>
          <w:p w:rsidR="00ED7E36" w:rsidRPr="00E96A19" w:rsidRDefault="00892AE8" w:rsidP="00920E23">
            <w:pPr>
              <w:pStyle w:val="DoNotTranslateExternal2"/>
            </w:pPr>
            <w:r>
              <w:t>3</w:t>
            </w:r>
          </w:p>
        </w:tc>
        <w:tc>
          <w:tcPr>
            <w:tcW w:w="578" w:type="dxa"/>
            <w:vAlign w:val="center"/>
          </w:tcPr>
          <w:p w:rsidR="00ED7E36" w:rsidRPr="00E96A19" w:rsidRDefault="00892AE8" w:rsidP="00920E23">
            <w:pPr>
              <w:pStyle w:val="DoNotTranslateExternal2"/>
            </w:pPr>
            <w:r>
              <w:t>2</w:t>
            </w:r>
          </w:p>
        </w:tc>
      </w:tr>
      <w:tr w:rsidR="00ED7E36" w:rsidRPr="00E96A19" w:rsidTr="00ED7E36">
        <w:tc>
          <w:tcPr>
            <w:tcW w:w="1919" w:type="dxa"/>
            <w:vAlign w:val="center"/>
          </w:tcPr>
          <w:p w:rsidR="00ED7E36" w:rsidRPr="00E96A19" w:rsidRDefault="00ED7E36" w:rsidP="00920E23">
            <w:pPr>
              <w:rPr>
                <w:rFonts w:ascii="Arial" w:eastAsia="Arial" w:hAnsi="Arial" w:cs="Arial"/>
                <w:b/>
                <w:sz w:val="18"/>
                <w:szCs w:val="18"/>
              </w:rPr>
            </w:pPr>
            <w:r>
              <w:rPr>
                <w:rFonts w:ascii="Arial" w:hAnsi="Arial"/>
                <w:b/>
                <w:sz w:val="18"/>
              </w:rPr>
              <w:t>Accidents at level crossings, including those involving pedestrians</w:t>
            </w:r>
          </w:p>
        </w:tc>
        <w:tc>
          <w:tcPr>
            <w:tcW w:w="554" w:type="dxa"/>
            <w:vAlign w:val="center"/>
          </w:tcPr>
          <w:p w:rsidR="00ED7E36" w:rsidRPr="00E96A19" w:rsidRDefault="00892AE8" w:rsidP="00920E23">
            <w:pPr>
              <w:pStyle w:val="DoNotTranslateExternal2"/>
            </w:pPr>
            <w:r>
              <w:t>22</w:t>
            </w:r>
          </w:p>
        </w:tc>
        <w:tc>
          <w:tcPr>
            <w:tcW w:w="553" w:type="dxa"/>
            <w:vAlign w:val="center"/>
          </w:tcPr>
          <w:p w:rsidR="00ED7E36" w:rsidRPr="00E96A19" w:rsidRDefault="00892AE8" w:rsidP="00920E23">
            <w:pPr>
              <w:pStyle w:val="DoNotTranslateExternal2"/>
            </w:pPr>
            <w:r>
              <w:t>22</w:t>
            </w:r>
          </w:p>
        </w:tc>
        <w:tc>
          <w:tcPr>
            <w:tcW w:w="553" w:type="dxa"/>
            <w:vAlign w:val="center"/>
          </w:tcPr>
          <w:p w:rsidR="00ED7E36" w:rsidRPr="00E96A19" w:rsidRDefault="00892AE8" w:rsidP="00920E23">
            <w:pPr>
              <w:pStyle w:val="DoNotTranslateExternal2"/>
            </w:pPr>
            <w:r>
              <w:t>27</w:t>
            </w:r>
          </w:p>
        </w:tc>
        <w:tc>
          <w:tcPr>
            <w:tcW w:w="554" w:type="dxa"/>
            <w:vAlign w:val="center"/>
          </w:tcPr>
          <w:p w:rsidR="00ED7E36" w:rsidRPr="00E96A19" w:rsidRDefault="00892AE8" w:rsidP="00920E23">
            <w:pPr>
              <w:pStyle w:val="DoNotTranslateExternal2"/>
            </w:pPr>
            <w:r>
              <w:t>20</w:t>
            </w:r>
          </w:p>
        </w:tc>
        <w:tc>
          <w:tcPr>
            <w:tcW w:w="554" w:type="dxa"/>
            <w:vAlign w:val="center"/>
          </w:tcPr>
          <w:p w:rsidR="00ED7E36" w:rsidRPr="00E96A19" w:rsidRDefault="00892AE8" w:rsidP="00920E23">
            <w:pPr>
              <w:pStyle w:val="DoNotTranslateExternal2"/>
            </w:pPr>
            <w:r>
              <w:t>15</w:t>
            </w:r>
          </w:p>
        </w:tc>
        <w:tc>
          <w:tcPr>
            <w:tcW w:w="554" w:type="dxa"/>
            <w:vAlign w:val="center"/>
          </w:tcPr>
          <w:p w:rsidR="00ED7E36" w:rsidRPr="00E96A19" w:rsidRDefault="00892AE8" w:rsidP="00920E23">
            <w:pPr>
              <w:pStyle w:val="DoNotTranslateExternal2"/>
            </w:pPr>
            <w:r>
              <w:t>14</w:t>
            </w:r>
          </w:p>
        </w:tc>
        <w:tc>
          <w:tcPr>
            <w:tcW w:w="554" w:type="dxa"/>
            <w:vAlign w:val="center"/>
          </w:tcPr>
          <w:p w:rsidR="00ED7E36" w:rsidRPr="00E96A19" w:rsidRDefault="00892AE8" w:rsidP="00920E23">
            <w:pPr>
              <w:pStyle w:val="DoNotTranslateExternal2"/>
            </w:pPr>
            <w:r>
              <w:t>7</w:t>
            </w:r>
          </w:p>
        </w:tc>
        <w:tc>
          <w:tcPr>
            <w:tcW w:w="612" w:type="dxa"/>
            <w:vAlign w:val="center"/>
          </w:tcPr>
          <w:p w:rsidR="00ED7E36" w:rsidRPr="00E96A19" w:rsidRDefault="00892AE8" w:rsidP="00920E23">
            <w:pPr>
              <w:pStyle w:val="DoNotTranslateExternal2"/>
            </w:pPr>
            <w:r>
              <w:t>11</w:t>
            </w:r>
          </w:p>
        </w:tc>
        <w:tc>
          <w:tcPr>
            <w:tcW w:w="495" w:type="dxa"/>
            <w:vAlign w:val="center"/>
          </w:tcPr>
          <w:p w:rsidR="00ED7E36" w:rsidRPr="00E96A19" w:rsidRDefault="00892AE8" w:rsidP="00920E23">
            <w:pPr>
              <w:pStyle w:val="DoNotTranslateExternal2"/>
            </w:pPr>
            <w:r>
              <w:t>12</w:t>
            </w:r>
          </w:p>
        </w:tc>
        <w:tc>
          <w:tcPr>
            <w:tcW w:w="554" w:type="dxa"/>
            <w:vAlign w:val="center"/>
          </w:tcPr>
          <w:p w:rsidR="00ED7E36" w:rsidRPr="00E96A19" w:rsidRDefault="00892AE8" w:rsidP="00920E23">
            <w:pPr>
              <w:pStyle w:val="DoNotTranslateExternal2"/>
            </w:pPr>
            <w:r>
              <w:t>9</w:t>
            </w:r>
          </w:p>
        </w:tc>
        <w:tc>
          <w:tcPr>
            <w:tcW w:w="578" w:type="dxa"/>
            <w:vAlign w:val="center"/>
          </w:tcPr>
          <w:p w:rsidR="00ED7E36" w:rsidRPr="00E96A19" w:rsidRDefault="00892AE8" w:rsidP="00920E23">
            <w:pPr>
              <w:pStyle w:val="DoNotTranslateExternal2"/>
            </w:pPr>
            <w:r>
              <w:t>16</w:t>
            </w:r>
          </w:p>
        </w:tc>
        <w:tc>
          <w:tcPr>
            <w:tcW w:w="578" w:type="dxa"/>
            <w:vAlign w:val="center"/>
          </w:tcPr>
          <w:p w:rsidR="00ED7E36" w:rsidRPr="00E96A19" w:rsidRDefault="00892AE8" w:rsidP="00920E23">
            <w:pPr>
              <w:pStyle w:val="DoNotTranslateExternal2"/>
            </w:pPr>
            <w:r>
              <w:t>12</w:t>
            </w:r>
          </w:p>
        </w:tc>
      </w:tr>
      <w:tr w:rsidR="00ED7E36" w:rsidRPr="00E96A19" w:rsidTr="00ED7E36">
        <w:tc>
          <w:tcPr>
            <w:tcW w:w="1919" w:type="dxa"/>
            <w:vAlign w:val="center"/>
          </w:tcPr>
          <w:p w:rsidR="00ED7E36" w:rsidRPr="00E96A19" w:rsidRDefault="00ED7E36" w:rsidP="00920E23">
            <w:pPr>
              <w:rPr>
                <w:rFonts w:ascii="Arial" w:eastAsia="Arial" w:hAnsi="Arial" w:cs="Arial"/>
                <w:b/>
                <w:sz w:val="18"/>
                <w:szCs w:val="18"/>
              </w:rPr>
            </w:pPr>
            <w:r>
              <w:rPr>
                <w:rFonts w:ascii="Arial" w:hAnsi="Arial"/>
                <w:b/>
                <w:sz w:val="18"/>
              </w:rPr>
              <w:t>Accidents to persons caused by rolling stock in motion, excluding suicides</w:t>
            </w:r>
          </w:p>
        </w:tc>
        <w:tc>
          <w:tcPr>
            <w:tcW w:w="554" w:type="dxa"/>
            <w:vAlign w:val="center"/>
          </w:tcPr>
          <w:p w:rsidR="00ED7E36" w:rsidRPr="00E96A19" w:rsidRDefault="00892AE8" w:rsidP="00920E23">
            <w:pPr>
              <w:pStyle w:val="DoNotTranslateExternal2"/>
            </w:pPr>
            <w:r>
              <w:t>63</w:t>
            </w:r>
          </w:p>
        </w:tc>
        <w:tc>
          <w:tcPr>
            <w:tcW w:w="553" w:type="dxa"/>
            <w:vAlign w:val="center"/>
          </w:tcPr>
          <w:p w:rsidR="00ED7E36" w:rsidRPr="00E96A19" w:rsidRDefault="00892AE8" w:rsidP="00920E23">
            <w:pPr>
              <w:pStyle w:val="DoNotTranslateExternal2"/>
            </w:pPr>
            <w:r>
              <w:t>55</w:t>
            </w:r>
          </w:p>
        </w:tc>
        <w:tc>
          <w:tcPr>
            <w:tcW w:w="553" w:type="dxa"/>
            <w:vAlign w:val="center"/>
          </w:tcPr>
          <w:p w:rsidR="00ED7E36" w:rsidRPr="00E96A19" w:rsidRDefault="00892AE8" w:rsidP="00920E23">
            <w:pPr>
              <w:pStyle w:val="DoNotTranslateExternal2"/>
            </w:pPr>
            <w:r>
              <w:t>56</w:t>
            </w:r>
          </w:p>
        </w:tc>
        <w:tc>
          <w:tcPr>
            <w:tcW w:w="554" w:type="dxa"/>
            <w:vAlign w:val="center"/>
          </w:tcPr>
          <w:p w:rsidR="00ED7E36" w:rsidRPr="00E96A19" w:rsidRDefault="00892AE8" w:rsidP="00920E23">
            <w:pPr>
              <w:pStyle w:val="DoNotTranslateExternal2"/>
            </w:pPr>
            <w:r>
              <w:t>49</w:t>
            </w:r>
          </w:p>
        </w:tc>
        <w:tc>
          <w:tcPr>
            <w:tcW w:w="554" w:type="dxa"/>
            <w:vAlign w:val="center"/>
          </w:tcPr>
          <w:p w:rsidR="00ED7E36" w:rsidRPr="00E96A19" w:rsidRDefault="00892AE8" w:rsidP="00920E23">
            <w:pPr>
              <w:pStyle w:val="DoNotTranslateExternal2"/>
            </w:pPr>
            <w:r>
              <w:t>27</w:t>
            </w:r>
          </w:p>
        </w:tc>
        <w:tc>
          <w:tcPr>
            <w:tcW w:w="554" w:type="dxa"/>
            <w:vAlign w:val="center"/>
          </w:tcPr>
          <w:p w:rsidR="00ED7E36" w:rsidRPr="00E96A19" w:rsidRDefault="00892AE8" w:rsidP="00920E23">
            <w:pPr>
              <w:pStyle w:val="DoNotTranslateExternal2"/>
            </w:pPr>
            <w:r>
              <w:t>22</w:t>
            </w:r>
          </w:p>
        </w:tc>
        <w:tc>
          <w:tcPr>
            <w:tcW w:w="554" w:type="dxa"/>
            <w:vAlign w:val="center"/>
          </w:tcPr>
          <w:p w:rsidR="00ED7E36" w:rsidRPr="00E96A19" w:rsidRDefault="00892AE8" w:rsidP="00920E23">
            <w:pPr>
              <w:pStyle w:val="DoNotTranslateExternal2"/>
            </w:pPr>
            <w:r>
              <w:t>17</w:t>
            </w:r>
          </w:p>
        </w:tc>
        <w:tc>
          <w:tcPr>
            <w:tcW w:w="612" w:type="dxa"/>
            <w:vAlign w:val="center"/>
          </w:tcPr>
          <w:p w:rsidR="00ED7E36" w:rsidRPr="00E96A19" w:rsidRDefault="00892AE8" w:rsidP="00920E23">
            <w:pPr>
              <w:pStyle w:val="DoNotTranslateExternal2"/>
            </w:pPr>
            <w:r>
              <w:t>23</w:t>
            </w:r>
          </w:p>
        </w:tc>
        <w:tc>
          <w:tcPr>
            <w:tcW w:w="495" w:type="dxa"/>
            <w:vAlign w:val="center"/>
          </w:tcPr>
          <w:p w:rsidR="00ED7E36" w:rsidRPr="00E96A19" w:rsidRDefault="00892AE8" w:rsidP="00920E23">
            <w:pPr>
              <w:pStyle w:val="DoNotTranslateExternal2"/>
            </w:pPr>
            <w:r>
              <w:t>31</w:t>
            </w:r>
          </w:p>
        </w:tc>
        <w:tc>
          <w:tcPr>
            <w:tcW w:w="554" w:type="dxa"/>
            <w:vAlign w:val="center"/>
          </w:tcPr>
          <w:p w:rsidR="00ED7E36" w:rsidRPr="00E96A19" w:rsidRDefault="00892AE8" w:rsidP="00920E23">
            <w:pPr>
              <w:pStyle w:val="DoNotTranslateExternal2"/>
            </w:pPr>
            <w:r>
              <w:t>31</w:t>
            </w:r>
          </w:p>
        </w:tc>
        <w:tc>
          <w:tcPr>
            <w:tcW w:w="578" w:type="dxa"/>
            <w:vAlign w:val="center"/>
          </w:tcPr>
          <w:p w:rsidR="00ED7E36" w:rsidRPr="00E96A19" w:rsidRDefault="00892AE8" w:rsidP="00920E23">
            <w:pPr>
              <w:pStyle w:val="DoNotTranslateExternal2"/>
            </w:pPr>
            <w:r>
              <w:t>37</w:t>
            </w:r>
          </w:p>
        </w:tc>
        <w:tc>
          <w:tcPr>
            <w:tcW w:w="578" w:type="dxa"/>
            <w:vAlign w:val="center"/>
          </w:tcPr>
          <w:p w:rsidR="00ED7E36" w:rsidRPr="00E96A19" w:rsidRDefault="00892AE8" w:rsidP="00920E23">
            <w:pPr>
              <w:pStyle w:val="DoNotTranslateExternal2"/>
            </w:pPr>
            <w:r>
              <w:t>24</w:t>
            </w:r>
          </w:p>
        </w:tc>
      </w:tr>
      <w:tr w:rsidR="00ED7E36" w:rsidRPr="00E96A19" w:rsidTr="00ED7E36">
        <w:tc>
          <w:tcPr>
            <w:tcW w:w="1919" w:type="dxa"/>
            <w:vAlign w:val="center"/>
          </w:tcPr>
          <w:p w:rsidR="00ED7E36" w:rsidRPr="00E96A19" w:rsidRDefault="00892AE8" w:rsidP="00920E23">
            <w:pPr>
              <w:rPr>
                <w:rFonts w:ascii="Arial" w:eastAsia="Arial" w:hAnsi="Arial" w:cs="Arial"/>
                <w:b/>
                <w:sz w:val="18"/>
                <w:szCs w:val="18"/>
              </w:rPr>
            </w:pPr>
            <w:r>
              <w:rPr>
                <w:rFonts w:ascii="Arial" w:hAnsi="Arial"/>
                <w:b/>
                <w:sz w:val="18"/>
              </w:rPr>
              <w:t>Fires on rolling stock</w:t>
            </w:r>
          </w:p>
        </w:tc>
        <w:tc>
          <w:tcPr>
            <w:tcW w:w="554" w:type="dxa"/>
            <w:vAlign w:val="center"/>
          </w:tcPr>
          <w:p w:rsidR="00ED7E36" w:rsidRPr="00E96A19" w:rsidRDefault="00892AE8" w:rsidP="00920E23">
            <w:pPr>
              <w:pStyle w:val="DoNotTranslateExternal2"/>
            </w:pPr>
            <w:r>
              <w:t>0</w:t>
            </w:r>
          </w:p>
        </w:tc>
        <w:tc>
          <w:tcPr>
            <w:tcW w:w="553" w:type="dxa"/>
            <w:vAlign w:val="center"/>
          </w:tcPr>
          <w:p w:rsidR="00ED7E36" w:rsidRPr="00E96A19" w:rsidRDefault="00892AE8" w:rsidP="00920E23">
            <w:pPr>
              <w:pStyle w:val="DoNotTranslateExternal2"/>
            </w:pPr>
            <w:r>
              <w:t>0</w:t>
            </w:r>
          </w:p>
        </w:tc>
        <w:tc>
          <w:tcPr>
            <w:tcW w:w="553" w:type="dxa"/>
            <w:vAlign w:val="center"/>
          </w:tcPr>
          <w:p w:rsidR="00ED7E36" w:rsidRPr="00E96A19" w:rsidRDefault="00892AE8" w:rsidP="00920E23">
            <w:pPr>
              <w:pStyle w:val="DoNotTranslateExternal2"/>
            </w:pPr>
            <w:r>
              <w:t>0</w:t>
            </w:r>
          </w:p>
        </w:tc>
        <w:tc>
          <w:tcPr>
            <w:tcW w:w="554" w:type="dxa"/>
            <w:vAlign w:val="center"/>
          </w:tcPr>
          <w:p w:rsidR="00ED7E36" w:rsidRPr="00E96A19" w:rsidRDefault="00892AE8" w:rsidP="00920E23">
            <w:pPr>
              <w:pStyle w:val="DoNotTranslateExternal2"/>
            </w:pPr>
            <w:r>
              <w:t>0</w:t>
            </w:r>
          </w:p>
        </w:tc>
        <w:tc>
          <w:tcPr>
            <w:tcW w:w="554" w:type="dxa"/>
            <w:vAlign w:val="center"/>
          </w:tcPr>
          <w:p w:rsidR="00ED7E36" w:rsidRPr="00E96A19" w:rsidRDefault="00892AE8" w:rsidP="00920E23">
            <w:pPr>
              <w:pStyle w:val="DoNotTranslateExternal2"/>
            </w:pPr>
            <w:r>
              <w:t>0</w:t>
            </w:r>
          </w:p>
        </w:tc>
        <w:tc>
          <w:tcPr>
            <w:tcW w:w="554" w:type="dxa"/>
            <w:vAlign w:val="center"/>
          </w:tcPr>
          <w:p w:rsidR="00ED7E36" w:rsidRPr="00E96A19" w:rsidRDefault="00892AE8" w:rsidP="00920E23">
            <w:pPr>
              <w:pStyle w:val="DoNotTranslateExternal2"/>
            </w:pPr>
            <w:r>
              <w:t>0</w:t>
            </w:r>
          </w:p>
        </w:tc>
        <w:tc>
          <w:tcPr>
            <w:tcW w:w="554" w:type="dxa"/>
            <w:vAlign w:val="center"/>
          </w:tcPr>
          <w:p w:rsidR="00ED7E36" w:rsidRPr="00E96A19" w:rsidRDefault="00892AE8" w:rsidP="00920E23">
            <w:pPr>
              <w:pStyle w:val="DoNotTranslateExternal2"/>
            </w:pPr>
            <w:r>
              <w:t>0</w:t>
            </w:r>
          </w:p>
        </w:tc>
        <w:tc>
          <w:tcPr>
            <w:tcW w:w="612" w:type="dxa"/>
            <w:vAlign w:val="center"/>
          </w:tcPr>
          <w:p w:rsidR="00ED7E36" w:rsidRPr="00E96A19" w:rsidRDefault="00892AE8" w:rsidP="00920E23">
            <w:pPr>
              <w:pStyle w:val="DoNotTranslateExternal2"/>
            </w:pPr>
            <w:r>
              <w:t>0</w:t>
            </w:r>
          </w:p>
        </w:tc>
        <w:tc>
          <w:tcPr>
            <w:tcW w:w="495" w:type="dxa"/>
            <w:vAlign w:val="center"/>
          </w:tcPr>
          <w:p w:rsidR="00ED7E36" w:rsidRPr="00E96A19" w:rsidRDefault="00892AE8" w:rsidP="00920E23">
            <w:pPr>
              <w:pStyle w:val="DoNotTranslateExternal2"/>
            </w:pPr>
            <w:r>
              <w:t>0</w:t>
            </w:r>
          </w:p>
        </w:tc>
        <w:tc>
          <w:tcPr>
            <w:tcW w:w="554" w:type="dxa"/>
            <w:vAlign w:val="center"/>
          </w:tcPr>
          <w:p w:rsidR="00ED7E36" w:rsidRPr="00E96A19" w:rsidRDefault="00892AE8" w:rsidP="00920E23">
            <w:pPr>
              <w:pStyle w:val="DoNotTranslateExternal2"/>
            </w:pPr>
            <w:r>
              <w:t>0</w:t>
            </w:r>
          </w:p>
        </w:tc>
        <w:tc>
          <w:tcPr>
            <w:tcW w:w="578" w:type="dxa"/>
            <w:vAlign w:val="center"/>
          </w:tcPr>
          <w:p w:rsidR="00ED7E36" w:rsidRPr="00E96A19" w:rsidRDefault="00892AE8" w:rsidP="00920E23">
            <w:pPr>
              <w:pStyle w:val="DoNotTranslateExternal2"/>
            </w:pPr>
            <w:r>
              <w:t>0</w:t>
            </w:r>
          </w:p>
        </w:tc>
        <w:tc>
          <w:tcPr>
            <w:tcW w:w="578" w:type="dxa"/>
            <w:vAlign w:val="center"/>
          </w:tcPr>
          <w:p w:rsidR="00ED7E36" w:rsidRPr="00E96A19" w:rsidRDefault="00892AE8" w:rsidP="00920E23">
            <w:pPr>
              <w:pStyle w:val="DoNotTranslateExternal2"/>
            </w:pPr>
            <w:r>
              <w:t>0</w:t>
            </w:r>
          </w:p>
        </w:tc>
      </w:tr>
      <w:tr w:rsidR="00ED7E36" w:rsidRPr="00E96A19" w:rsidTr="00ED7E36">
        <w:tc>
          <w:tcPr>
            <w:tcW w:w="1919" w:type="dxa"/>
            <w:vAlign w:val="center"/>
          </w:tcPr>
          <w:p w:rsidR="00ED7E36" w:rsidRPr="00E96A19" w:rsidRDefault="00892AE8" w:rsidP="00920E23">
            <w:pPr>
              <w:rPr>
                <w:rFonts w:ascii="Arial" w:eastAsia="Arial" w:hAnsi="Arial" w:cs="Arial"/>
                <w:b/>
                <w:sz w:val="18"/>
                <w:szCs w:val="18"/>
              </w:rPr>
            </w:pPr>
            <w:r>
              <w:rPr>
                <w:rFonts w:ascii="Arial" w:hAnsi="Arial"/>
                <w:b/>
                <w:sz w:val="18"/>
              </w:rPr>
              <w:t>Other accidents</w:t>
            </w:r>
          </w:p>
        </w:tc>
        <w:tc>
          <w:tcPr>
            <w:tcW w:w="554" w:type="dxa"/>
            <w:vAlign w:val="center"/>
          </w:tcPr>
          <w:p w:rsidR="00ED7E36" w:rsidRPr="00E96A19" w:rsidRDefault="00892AE8" w:rsidP="00920E23">
            <w:pPr>
              <w:pStyle w:val="DoNotTranslateExternal2"/>
            </w:pPr>
            <w:r>
              <w:t>0</w:t>
            </w:r>
          </w:p>
        </w:tc>
        <w:tc>
          <w:tcPr>
            <w:tcW w:w="553" w:type="dxa"/>
            <w:vAlign w:val="center"/>
          </w:tcPr>
          <w:p w:rsidR="00ED7E36" w:rsidRPr="00E96A19" w:rsidRDefault="00892AE8" w:rsidP="00920E23">
            <w:pPr>
              <w:pStyle w:val="DoNotTranslateExternal2"/>
            </w:pPr>
            <w:r>
              <w:t>0</w:t>
            </w:r>
          </w:p>
        </w:tc>
        <w:tc>
          <w:tcPr>
            <w:tcW w:w="553" w:type="dxa"/>
            <w:vAlign w:val="center"/>
          </w:tcPr>
          <w:p w:rsidR="00ED7E36" w:rsidRPr="00E96A19" w:rsidRDefault="00892AE8" w:rsidP="00920E23">
            <w:pPr>
              <w:pStyle w:val="DoNotTranslateExternal2"/>
            </w:pPr>
            <w:r>
              <w:t>04</w:t>
            </w:r>
          </w:p>
        </w:tc>
        <w:tc>
          <w:tcPr>
            <w:tcW w:w="554" w:type="dxa"/>
            <w:vAlign w:val="center"/>
          </w:tcPr>
          <w:p w:rsidR="00ED7E36" w:rsidRPr="00E96A19" w:rsidRDefault="00892AE8" w:rsidP="00920E23">
            <w:pPr>
              <w:pStyle w:val="DoNotTranslateExternal2"/>
            </w:pPr>
            <w:r>
              <w:t>1</w:t>
            </w:r>
          </w:p>
        </w:tc>
        <w:tc>
          <w:tcPr>
            <w:tcW w:w="554" w:type="dxa"/>
            <w:vAlign w:val="center"/>
          </w:tcPr>
          <w:p w:rsidR="00ED7E36" w:rsidRPr="00E96A19" w:rsidRDefault="00892AE8" w:rsidP="00920E23">
            <w:pPr>
              <w:pStyle w:val="DoNotTranslateExternal2"/>
            </w:pPr>
            <w:r>
              <w:t>0</w:t>
            </w:r>
          </w:p>
        </w:tc>
        <w:tc>
          <w:tcPr>
            <w:tcW w:w="554" w:type="dxa"/>
            <w:vAlign w:val="center"/>
          </w:tcPr>
          <w:p w:rsidR="00ED7E36" w:rsidRPr="00E96A19" w:rsidRDefault="00892AE8" w:rsidP="00920E23">
            <w:pPr>
              <w:pStyle w:val="DoNotTranslateExternal2"/>
            </w:pPr>
            <w:r>
              <w:t>1</w:t>
            </w:r>
          </w:p>
        </w:tc>
        <w:tc>
          <w:tcPr>
            <w:tcW w:w="554" w:type="dxa"/>
            <w:vAlign w:val="center"/>
          </w:tcPr>
          <w:p w:rsidR="00ED7E36" w:rsidRPr="00E96A19" w:rsidRDefault="00892AE8" w:rsidP="00920E23">
            <w:pPr>
              <w:pStyle w:val="DoNotTranslateExternal2"/>
            </w:pPr>
            <w:r>
              <w:t>0</w:t>
            </w:r>
          </w:p>
        </w:tc>
        <w:tc>
          <w:tcPr>
            <w:tcW w:w="612" w:type="dxa"/>
            <w:vAlign w:val="center"/>
          </w:tcPr>
          <w:p w:rsidR="00ED7E36" w:rsidRPr="00E96A19" w:rsidRDefault="00892AE8" w:rsidP="00920E23">
            <w:pPr>
              <w:pStyle w:val="DoNotTranslateExternal2"/>
            </w:pPr>
            <w:r>
              <w:t>1</w:t>
            </w:r>
          </w:p>
        </w:tc>
        <w:tc>
          <w:tcPr>
            <w:tcW w:w="495" w:type="dxa"/>
            <w:vAlign w:val="center"/>
          </w:tcPr>
          <w:p w:rsidR="00ED7E36" w:rsidRPr="00E96A19" w:rsidRDefault="00892AE8" w:rsidP="00920E23">
            <w:pPr>
              <w:pStyle w:val="DoNotTranslateExternal2"/>
            </w:pPr>
            <w:r>
              <w:t>0</w:t>
            </w:r>
          </w:p>
        </w:tc>
        <w:tc>
          <w:tcPr>
            <w:tcW w:w="554" w:type="dxa"/>
            <w:vAlign w:val="center"/>
          </w:tcPr>
          <w:p w:rsidR="00ED7E36" w:rsidRPr="00E96A19" w:rsidRDefault="00892AE8" w:rsidP="00920E23">
            <w:pPr>
              <w:pStyle w:val="DoNotTranslateExternal2"/>
            </w:pPr>
            <w:r>
              <w:t>0</w:t>
            </w:r>
          </w:p>
        </w:tc>
        <w:tc>
          <w:tcPr>
            <w:tcW w:w="578" w:type="dxa"/>
            <w:vAlign w:val="center"/>
          </w:tcPr>
          <w:p w:rsidR="00ED7E36" w:rsidRPr="00E96A19" w:rsidRDefault="00892AE8" w:rsidP="00920E23">
            <w:pPr>
              <w:pStyle w:val="DoNotTranslateExternal2"/>
            </w:pPr>
            <w:r>
              <w:t>1</w:t>
            </w:r>
          </w:p>
        </w:tc>
        <w:tc>
          <w:tcPr>
            <w:tcW w:w="578" w:type="dxa"/>
            <w:vAlign w:val="center"/>
          </w:tcPr>
          <w:p w:rsidR="00ED7E36" w:rsidRPr="00E96A19" w:rsidRDefault="00892AE8" w:rsidP="00920E23">
            <w:pPr>
              <w:pStyle w:val="DoNotTranslateExternal2"/>
            </w:pPr>
            <w:r>
              <w:t>0</w:t>
            </w:r>
          </w:p>
        </w:tc>
      </w:tr>
      <w:tr w:rsidR="00ED7E36" w:rsidRPr="00E96A19" w:rsidTr="00ED7E36">
        <w:tc>
          <w:tcPr>
            <w:tcW w:w="1919" w:type="dxa"/>
            <w:vAlign w:val="center"/>
          </w:tcPr>
          <w:p w:rsidR="00ED7E36" w:rsidRPr="00E96A19" w:rsidRDefault="00ED7E36" w:rsidP="00892AE8">
            <w:pPr>
              <w:rPr>
                <w:rFonts w:ascii="Arial" w:eastAsia="Arial" w:hAnsi="Arial" w:cs="Arial"/>
                <w:b/>
                <w:sz w:val="18"/>
                <w:szCs w:val="18"/>
              </w:rPr>
            </w:pPr>
            <w:r>
              <w:rPr>
                <w:rFonts w:ascii="Arial" w:hAnsi="Arial"/>
                <w:b/>
                <w:sz w:val="18"/>
              </w:rPr>
              <w:t>Total number of accidents</w:t>
            </w:r>
          </w:p>
        </w:tc>
        <w:tc>
          <w:tcPr>
            <w:tcW w:w="554" w:type="dxa"/>
            <w:vAlign w:val="center"/>
          </w:tcPr>
          <w:p w:rsidR="00ED7E36" w:rsidRPr="00E96A19" w:rsidRDefault="00892AE8" w:rsidP="00920E23">
            <w:pPr>
              <w:pStyle w:val="DoNotTranslateExternal2"/>
              <w:rPr>
                <w:b/>
              </w:rPr>
            </w:pPr>
            <w:r>
              <w:rPr>
                <w:b/>
              </w:rPr>
              <w:t>87</w:t>
            </w:r>
          </w:p>
        </w:tc>
        <w:tc>
          <w:tcPr>
            <w:tcW w:w="553" w:type="dxa"/>
            <w:vAlign w:val="center"/>
          </w:tcPr>
          <w:p w:rsidR="00ED7E36" w:rsidRPr="00E96A19" w:rsidRDefault="00892AE8" w:rsidP="00920E23">
            <w:pPr>
              <w:pStyle w:val="DoNotTranslateExternal2"/>
              <w:rPr>
                <w:b/>
              </w:rPr>
            </w:pPr>
            <w:r>
              <w:rPr>
                <w:b/>
              </w:rPr>
              <w:t>89</w:t>
            </w:r>
          </w:p>
        </w:tc>
        <w:tc>
          <w:tcPr>
            <w:tcW w:w="553" w:type="dxa"/>
            <w:vAlign w:val="center"/>
          </w:tcPr>
          <w:p w:rsidR="00ED7E36" w:rsidRPr="00E96A19" w:rsidRDefault="00892AE8" w:rsidP="00920E23">
            <w:pPr>
              <w:pStyle w:val="DoNotTranslateExternal2"/>
              <w:rPr>
                <w:b/>
              </w:rPr>
            </w:pPr>
            <w:r>
              <w:rPr>
                <w:b/>
              </w:rPr>
              <w:t>93</w:t>
            </w:r>
          </w:p>
        </w:tc>
        <w:tc>
          <w:tcPr>
            <w:tcW w:w="554" w:type="dxa"/>
            <w:vAlign w:val="center"/>
          </w:tcPr>
          <w:p w:rsidR="00ED7E36" w:rsidRPr="00E96A19" w:rsidRDefault="00892AE8" w:rsidP="00920E23">
            <w:pPr>
              <w:pStyle w:val="DoNotTranslateExternal2"/>
              <w:rPr>
                <w:b/>
              </w:rPr>
            </w:pPr>
            <w:r>
              <w:rPr>
                <w:b/>
              </w:rPr>
              <w:t>73</w:t>
            </w:r>
          </w:p>
        </w:tc>
        <w:tc>
          <w:tcPr>
            <w:tcW w:w="554" w:type="dxa"/>
            <w:vAlign w:val="center"/>
          </w:tcPr>
          <w:p w:rsidR="00ED7E36" w:rsidRPr="00E96A19" w:rsidRDefault="00892AE8" w:rsidP="00920E23">
            <w:pPr>
              <w:pStyle w:val="DoNotTranslateExternal2"/>
              <w:rPr>
                <w:b/>
              </w:rPr>
            </w:pPr>
            <w:r>
              <w:rPr>
                <w:b/>
              </w:rPr>
              <w:t>43</w:t>
            </w:r>
          </w:p>
        </w:tc>
        <w:tc>
          <w:tcPr>
            <w:tcW w:w="554" w:type="dxa"/>
            <w:vAlign w:val="center"/>
          </w:tcPr>
          <w:p w:rsidR="00ED7E36" w:rsidRPr="00E96A19" w:rsidRDefault="00892AE8" w:rsidP="00920E23">
            <w:pPr>
              <w:pStyle w:val="DoNotTranslateExternal2"/>
              <w:rPr>
                <w:b/>
              </w:rPr>
            </w:pPr>
            <w:r>
              <w:rPr>
                <w:b/>
              </w:rPr>
              <w:t>42</w:t>
            </w:r>
          </w:p>
        </w:tc>
        <w:tc>
          <w:tcPr>
            <w:tcW w:w="554" w:type="dxa"/>
            <w:vAlign w:val="center"/>
          </w:tcPr>
          <w:p w:rsidR="00ED7E36" w:rsidRPr="00E96A19" w:rsidRDefault="00892AE8" w:rsidP="00920E23">
            <w:pPr>
              <w:pStyle w:val="DoNotTranslateExternal2"/>
              <w:rPr>
                <w:b/>
              </w:rPr>
            </w:pPr>
            <w:r>
              <w:rPr>
                <w:b/>
              </w:rPr>
              <w:t>27</w:t>
            </w:r>
          </w:p>
        </w:tc>
        <w:tc>
          <w:tcPr>
            <w:tcW w:w="612" w:type="dxa"/>
            <w:vAlign w:val="center"/>
          </w:tcPr>
          <w:p w:rsidR="00ED7E36" w:rsidRPr="00E96A19" w:rsidRDefault="00892AE8" w:rsidP="00920E23">
            <w:pPr>
              <w:pStyle w:val="DoNotTranslateExternal2"/>
              <w:rPr>
                <w:b/>
              </w:rPr>
            </w:pPr>
            <w:r>
              <w:rPr>
                <w:b/>
              </w:rPr>
              <w:t>36</w:t>
            </w:r>
          </w:p>
        </w:tc>
        <w:tc>
          <w:tcPr>
            <w:tcW w:w="495" w:type="dxa"/>
            <w:vAlign w:val="center"/>
          </w:tcPr>
          <w:p w:rsidR="00ED7E36" w:rsidRPr="00E96A19" w:rsidRDefault="00892AE8" w:rsidP="00920E23">
            <w:pPr>
              <w:pStyle w:val="DoNotTranslateExternal2"/>
              <w:rPr>
                <w:b/>
              </w:rPr>
            </w:pPr>
            <w:r>
              <w:rPr>
                <w:b/>
              </w:rPr>
              <w:t>48</w:t>
            </w:r>
          </w:p>
        </w:tc>
        <w:tc>
          <w:tcPr>
            <w:tcW w:w="554" w:type="dxa"/>
            <w:vAlign w:val="center"/>
          </w:tcPr>
          <w:p w:rsidR="00ED7E36" w:rsidRPr="00E96A19" w:rsidRDefault="00892AE8" w:rsidP="00920E23">
            <w:pPr>
              <w:pStyle w:val="DoNotTranslateExternal2"/>
              <w:rPr>
                <w:b/>
              </w:rPr>
            </w:pPr>
            <w:r>
              <w:rPr>
                <w:b/>
              </w:rPr>
              <w:t>50</w:t>
            </w:r>
          </w:p>
        </w:tc>
        <w:tc>
          <w:tcPr>
            <w:tcW w:w="578" w:type="dxa"/>
            <w:vAlign w:val="center"/>
          </w:tcPr>
          <w:p w:rsidR="00ED7E36" w:rsidRPr="00E96A19" w:rsidRDefault="00892AE8" w:rsidP="00920E23">
            <w:pPr>
              <w:pStyle w:val="DoNotTranslateExternal2"/>
              <w:rPr>
                <w:b/>
              </w:rPr>
            </w:pPr>
            <w:r>
              <w:rPr>
                <w:b/>
              </w:rPr>
              <w:t>59</w:t>
            </w:r>
          </w:p>
        </w:tc>
        <w:tc>
          <w:tcPr>
            <w:tcW w:w="578" w:type="dxa"/>
            <w:vAlign w:val="center"/>
          </w:tcPr>
          <w:p w:rsidR="00ED7E36" w:rsidRPr="00E96A19" w:rsidRDefault="00892AE8" w:rsidP="00920E23">
            <w:pPr>
              <w:pStyle w:val="DoNotTranslateExternal2"/>
              <w:rPr>
                <w:b/>
              </w:rPr>
            </w:pPr>
            <w:r>
              <w:rPr>
                <w:b/>
              </w:rPr>
              <w:t>39</w:t>
            </w:r>
          </w:p>
        </w:tc>
      </w:tr>
    </w:tbl>
    <w:p w:rsidR="006F3ED5" w:rsidRPr="006A2FC1" w:rsidRDefault="00B65BEC" w:rsidP="00920E23">
      <w:pPr>
        <w:pStyle w:val="paragraphe1"/>
        <w:rPr>
          <w:sz w:val="22"/>
          <w:szCs w:val="22"/>
        </w:rPr>
      </w:pPr>
      <w:r>
        <w:t>Analysis of chart 6 shows that accidents caused by activities intrinsic to railway operations, such as collisions, derailments and fires on rolling stock, represent only a small proportion of the total (8.5%), confirming their low magnitude and relatively constant frequency over time. For the tenth year running, no accidents were reported due to fires on rolling stock.</w:t>
      </w:r>
    </w:p>
    <w:p w:rsidR="006F3ED5" w:rsidRPr="006A2FC1" w:rsidRDefault="00B65BEC" w:rsidP="00892AE8">
      <w:pPr>
        <w:pStyle w:val="figure"/>
      </w:pPr>
      <w:r>
        <w:t>Chart 6 – Distribution of accidents by category: Average, 2005-2014</w:t>
      </w:r>
    </w:p>
    <w:p w:rsidR="006F3ED5" w:rsidRPr="006A2FC1" w:rsidRDefault="006F3ED5" w:rsidP="00892AE8">
      <w:pPr>
        <w:keepNext/>
        <w:spacing w:before="10" w:line="140" w:lineRule="exact"/>
        <w:rPr>
          <w:sz w:val="15"/>
          <w:szCs w:val="15"/>
        </w:rPr>
      </w:pPr>
    </w:p>
    <w:p w:rsidR="00892AE8" w:rsidRDefault="00892AE8" w:rsidP="00892AE8">
      <w:pPr>
        <w:spacing w:before="7"/>
        <w:rPr>
          <w:rFonts w:ascii="Calibri" w:eastAsia="Calibri" w:hAnsi="Calibri" w:cs="Calibri"/>
        </w:rPr>
      </w:pPr>
      <w:r>
        <w:rPr>
          <w:rFonts w:ascii="Calibri" w:eastAsia="Calibri" w:hAnsi="Calibri" w:cs="Calibri"/>
          <w:noProof/>
          <w:lang w:val="fr-LU" w:eastAsia="fr-LU" w:bidi="ar-SA"/>
        </w:rPr>
        <w:drawing>
          <wp:inline distT="0" distB="0" distL="0" distR="0" wp14:anchorId="2127115E" wp14:editId="72D1F51F">
            <wp:extent cx="5400040" cy="1845945"/>
            <wp:effectExtent l="0" t="0" r="0" b="190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1845945"/>
                    </a:xfrm>
                    <a:prstGeom prst="rect">
                      <a:avLst/>
                    </a:prstGeom>
                    <a:noFill/>
                    <a:ln>
                      <a:noFill/>
                    </a:ln>
                  </pic:spPr>
                </pic:pic>
              </a:graphicData>
            </a:graphic>
          </wp:inline>
        </w:drawing>
      </w:r>
    </w:p>
    <w:p w:rsidR="00892AE8" w:rsidRDefault="00892AE8" w:rsidP="00892AE8">
      <w:pPr>
        <w:rPr>
          <w:rFonts w:ascii="Calibri" w:eastAsia="Calibri" w:hAnsi="Calibri" w:cs="Calibri"/>
        </w:rPr>
      </w:pPr>
    </w:p>
    <w:tbl>
      <w:tblPr>
        <w:tblStyle w:val="TableGrid"/>
        <w:tblW w:w="9629" w:type="dxa"/>
        <w:tblLook w:val="04A0" w:firstRow="1" w:lastRow="0" w:firstColumn="1" w:lastColumn="0" w:noHBand="0" w:noVBand="1"/>
      </w:tblPr>
      <w:tblGrid>
        <w:gridCol w:w="5199"/>
        <w:gridCol w:w="4430"/>
      </w:tblGrid>
      <w:tr w:rsidR="00892AE8" w:rsidRPr="00B63285" w:rsidTr="00892AE8">
        <w:tc>
          <w:tcPr>
            <w:tcW w:w="5199" w:type="dxa"/>
          </w:tcPr>
          <w:p w:rsidR="00892AE8" w:rsidRPr="00705059" w:rsidRDefault="00892AE8" w:rsidP="00892AE8">
            <w:pPr>
              <w:pStyle w:val="DoNotTranslateExternal1"/>
              <w:rPr>
                <w:sz w:val="10"/>
                <w:szCs w:val="10"/>
                <w:lang/>
              </w:rPr>
            </w:pPr>
            <w:r w:rsidRPr="00705059">
              <w:rPr>
                <w:lang/>
              </w:rPr>
              <w:t xml:space="preserve">Nº de colisões de comboios, incluindo colisões com </w:t>
            </w:r>
            <w:r w:rsidRPr="00705059">
              <w:rPr>
                <w:lang/>
              </w:rPr>
              <w:lastRenderedPageBreak/>
              <w:t>obstáculos dentro do gabarito</w:t>
            </w:r>
          </w:p>
        </w:tc>
        <w:tc>
          <w:tcPr>
            <w:tcW w:w="4430" w:type="dxa"/>
          </w:tcPr>
          <w:p w:rsidR="00892AE8" w:rsidRPr="00892AE8" w:rsidRDefault="00892AE8" w:rsidP="00920E23">
            <w:pPr>
              <w:rPr>
                <w:rFonts w:ascii="Arial" w:hAnsi="Arial" w:cs="Arial"/>
                <w:sz w:val="18"/>
                <w:szCs w:val="18"/>
              </w:rPr>
            </w:pPr>
            <w:r>
              <w:rPr>
                <w:rFonts w:ascii="Arial" w:hAnsi="Arial"/>
                <w:sz w:val="18"/>
              </w:rPr>
              <w:lastRenderedPageBreak/>
              <w:t xml:space="preserve">Train collisions, including collisions with obstacles </w:t>
            </w:r>
            <w:r>
              <w:rPr>
                <w:rFonts w:ascii="Arial" w:hAnsi="Arial"/>
                <w:sz w:val="18"/>
              </w:rPr>
              <w:lastRenderedPageBreak/>
              <w:t>within the clearance gauge</w:t>
            </w:r>
          </w:p>
        </w:tc>
      </w:tr>
      <w:tr w:rsidR="00892AE8" w:rsidRPr="00B63285" w:rsidTr="00892AE8">
        <w:tc>
          <w:tcPr>
            <w:tcW w:w="5199" w:type="dxa"/>
          </w:tcPr>
          <w:p w:rsidR="00892AE8" w:rsidRPr="00705059" w:rsidRDefault="00892AE8" w:rsidP="00892AE8">
            <w:pPr>
              <w:pStyle w:val="DoNotTranslateExternal1"/>
              <w:rPr>
                <w:lang/>
              </w:rPr>
            </w:pPr>
            <w:r w:rsidRPr="00705059">
              <w:rPr>
                <w:lang/>
              </w:rPr>
              <w:lastRenderedPageBreak/>
              <w:t>Nº de descarrilamentos de comboios</w:t>
            </w:r>
          </w:p>
        </w:tc>
        <w:tc>
          <w:tcPr>
            <w:tcW w:w="4430" w:type="dxa"/>
          </w:tcPr>
          <w:p w:rsidR="00892AE8" w:rsidRPr="00892AE8" w:rsidRDefault="00892AE8" w:rsidP="00920E23">
            <w:pPr>
              <w:rPr>
                <w:rFonts w:ascii="Arial" w:eastAsia="Calibri" w:hAnsi="Arial" w:cs="Arial"/>
                <w:sz w:val="18"/>
                <w:szCs w:val="18"/>
              </w:rPr>
            </w:pPr>
            <w:r>
              <w:rPr>
                <w:rFonts w:ascii="Arial" w:hAnsi="Arial"/>
                <w:sz w:val="18"/>
              </w:rPr>
              <w:t>Derailments</w:t>
            </w:r>
          </w:p>
        </w:tc>
      </w:tr>
      <w:tr w:rsidR="00892AE8" w:rsidRPr="00B63285" w:rsidTr="00892AE8">
        <w:tc>
          <w:tcPr>
            <w:tcW w:w="5199" w:type="dxa"/>
          </w:tcPr>
          <w:p w:rsidR="00892AE8" w:rsidRPr="00705059" w:rsidRDefault="00892AE8" w:rsidP="00892AE8">
            <w:pPr>
              <w:pStyle w:val="DoNotTranslateExternal1"/>
              <w:rPr>
                <w:lang/>
              </w:rPr>
            </w:pPr>
            <w:r w:rsidRPr="00705059">
              <w:rPr>
                <w:lang/>
              </w:rPr>
              <w:t>Nº de acidentes em PN, incluindo acidentes envolvendo peões</w:t>
            </w:r>
          </w:p>
        </w:tc>
        <w:tc>
          <w:tcPr>
            <w:tcW w:w="4430" w:type="dxa"/>
          </w:tcPr>
          <w:p w:rsidR="00892AE8" w:rsidRPr="00892AE8" w:rsidRDefault="00892AE8" w:rsidP="00920E23">
            <w:pPr>
              <w:rPr>
                <w:rFonts w:ascii="Arial" w:eastAsia="Calibri" w:hAnsi="Arial" w:cs="Arial"/>
                <w:sz w:val="18"/>
                <w:szCs w:val="18"/>
              </w:rPr>
            </w:pPr>
            <w:r>
              <w:rPr>
                <w:rFonts w:ascii="Arial" w:hAnsi="Arial"/>
                <w:sz w:val="18"/>
              </w:rPr>
              <w:t>Accidents at LCs, including those involving pedestrians</w:t>
            </w:r>
          </w:p>
        </w:tc>
      </w:tr>
      <w:tr w:rsidR="00892AE8" w:rsidRPr="00B63285" w:rsidTr="00892AE8">
        <w:tc>
          <w:tcPr>
            <w:tcW w:w="5199" w:type="dxa"/>
          </w:tcPr>
          <w:p w:rsidR="00892AE8" w:rsidRPr="00705059" w:rsidRDefault="00892AE8" w:rsidP="00892AE8">
            <w:pPr>
              <w:pStyle w:val="DoNotTranslateExternal1"/>
              <w:rPr>
                <w:lang/>
              </w:rPr>
            </w:pPr>
            <w:r w:rsidRPr="00705059">
              <w:rPr>
                <w:lang/>
              </w:rPr>
              <w:t xml:space="preserve">Nº de acidentes com pessoas causados por material circulante em movimento, com a excepção de suicídios </w:t>
            </w:r>
          </w:p>
        </w:tc>
        <w:tc>
          <w:tcPr>
            <w:tcW w:w="4430" w:type="dxa"/>
          </w:tcPr>
          <w:p w:rsidR="00892AE8" w:rsidRPr="00892AE8" w:rsidRDefault="00892AE8" w:rsidP="00920E23">
            <w:pPr>
              <w:rPr>
                <w:rFonts w:ascii="Arial" w:eastAsia="Calibri" w:hAnsi="Arial" w:cs="Arial"/>
                <w:sz w:val="18"/>
                <w:szCs w:val="18"/>
              </w:rPr>
            </w:pPr>
            <w:r>
              <w:rPr>
                <w:rFonts w:ascii="Arial" w:hAnsi="Arial"/>
                <w:sz w:val="18"/>
              </w:rPr>
              <w:t xml:space="preserve">Accidents to persons caused by rolling stock in motion, excluding suicides </w:t>
            </w:r>
          </w:p>
        </w:tc>
      </w:tr>
      <w:tr w:rsidR="00892AE8" w:rsidRPr="00B63285" w:rsidTr="00892AE8">
        <w:tc>
          <w:tcPr>
            <w:tcW w:w="5199" w:type="dxa"/>
          </w:tcPr>
          <w:p w:rsidR="00892AE8" w:rsidRPr="00705059" w:rsidRDefault="00892AE8" w:rsidP="00892AE8">
            <w:pPr>
              <w:pStyle w:val="DoNotTranslateExternal1"/>
              <w:rPr>
                <w:sz w:val="24"/>
                <w:szCs w:val="24"/>
                <w:lang/>
              </w:rPr>
            </w:pPr>
            <w:r w:rsidRPr="00705059">
              <w:rPr>
                <w:lang/>
              </w:rPr>
              <w:t>Nº de incêndios em material circulante</w:t>
            </w:r>
          </w:p>
        </w:tc>
        <w:tc>
          <w:tcPr>
            <w:tcW w:w="4430" w:type="dxa"/>
          </w:tcPr>
          <w:p w:rsidR="00892AE8" w:rsidRPr="00892AE8" w:rsidRDefault="00892AE8" w:rsidP="00920E23">
            <w:pPr>
              <w:rPr>
                <w:rFonts w:ascii="Arial" w:hAnsi="Arial" w:cs="Arial"/>
                <w:sz w:val="18"/>
                <w:szCs w:val="18"/>
              </w:rPr>
            </w:pPr>
            <w:r>
              <w:rPr>
                <w:rFonts w:ascii="Arial" w:hAnsi="Arial"/>
                <w:sz w:val="18"/>
              </w:rPr>
              <w:t>Fires on rolling stock</w:t>
            </w:r>
          </w:p>
        </w:tc>
      </w:tr>
      <w:tr w:rsidR="00892AE8" w:rsidRPr="00892AE8" w:rsidTr="00892AE8">
        <w:tc>
          <w:tcPr>
            <w:tcW w:w="5199" w:type="dxa"/>
          </w:tcPr>
          <w:p w:rsidR="00892AE8" w:rsidRPr="00892AE8" w:rsidRDefault="00892AE8" w:rsidP="00892AE8">
            <w:pPr>
              <w:pStyle w:val="DoNotTranslateExternal1"/>
            </w:pPr>
            <w:r>
              <w:t>Nº de outros acidentes</w:t>
            </w:r>
          </w:p>
        </w:tc>
        <w:tc>
          <w:tcPr>
            <w:tcW w:w="4430" w:type="dxa"/>
          </w:tcPr>
          <w:p w:rsidR="00892AE8" w:rsidRPr="00892AE8" w:rsidRDefault="00892AE8" w:rsidP="00920E23">
            <w:pPr>
              <w:rPr>
                <w:rFonts w:ascii="Arial" w:eastAsia="Calibri" w:hAnsi="Arial" w:cs="Arial"/>
                <w:sz w:val="18"/>
                <w:szCs w:val="18"/>
              </w:rPr>
            </w:pPr>
            <w:r>
              <w:rPr>
                <w:rFonts w:ascii="Arial" w:hAnsi="Arial"/>
                <w:sz w:val="18"/>
              </w:rPr>
              <w:t>Other accidents</w:t>
            </w:r>
          </w:p>
        </w:tc>
      </w:tr>
    </w:tbl>
    <w:p w:rsidR="006F3ED5" w:rsidRDefault="00B65BEC" w:rsidP="00892AE8">
      <w:pPr>
        <w:pStyle w:val="paragraphe1"/>
      </w:pPr>
      <w:r>
        <w:t>The breakdown of accidents and their relative weightings remained practically unchanged when compared to the previous year, with accidents to persons caused by rolling stock in motion accounting for 62.7% of occurrences, and 27.1% taking place at level crossings.</w:t>
      </w:r>
    </w:p>
    <w:p w:rsidR="00207CAC" w:rsidRPr="006A2FC1" w:rsidRDefault="00B65BEC" w:rsidP="00920E23">
      <w:pPr>
        <w:pStyle w:val="paragraphe1"/>
        <w:spacing w:line="300" w:lineRule="exact"/>
      </w:pPr>
      <w:r>
        <w:t>Chart 7 shows the continued downward trend in total accidents, due mainly to reductions in the number of the most frequent types of accidents: those involving rolling stock in motion, and accidents at LCs.</w:t>
      </w:r>
    </w:p>
    <w:p w:rsidR="00920E23" w:rsidRPr="006A2FC1" w:rsidRDefault="00920E23" w:rsidP="00920E23">
      <w:pPr>
        <w:pStyle w:val="paragraphe1"/>
        <w:spacing w:line="300" w:lineRule="exact"/>
      </w:pPr>
      <w:r>
        <w:t>This figure reached its lowest point in 2011 but trended upward again over the past three years, with an apparent decrease in the rate of occurrences in 2014.</w:t>
      </w:r>
    </w:p>
    <w:p w:rsidR="00920E23" w:rsidRPr="006A2FC1" w:rsidRDefault="00920E23" w:rsidP="00920E23">
      <w:pPr>
        <w:pStyle w:val="paragraphe1"/>
        <w:spacing w:line="300" w:lineRule="exact"/>
      </w:pPr>
      <w:r>
        <w:t>As the data set is still small (10 years), it is not possible to predict whether this renewed upward trend is consistent or is a natural variation due to external factors, given that the most frequent accidents referred to above are extrinsic to the railway.</w:t>
      </w:r>
    </w:p>
    <w:p w:rsidR="00CD2578" w:rsidRDefault="00CD2578" w:rsidP="00920E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4587"/>
      </w:tblGrid>
      <w:tr w:rsidR="00CD2578" w:rsidRPr="00CD2578" w:rsidTr="00CD2578">
        <w:tc>
          <w:tcPr>
            <w:tcW w:w="5042" w:type="dxa"/>
          </w:tcPr>
          <w:p w:rsidR="00CD2578" w:rsidRPr="00CD2578" w:rsidRDefault="00CD2578" w:rsidP="00BB2A51">
            <w:pPr>
              <w:pStyle w:val="figure"/>
            </w:pPr>
            <w:r>
              <w:t>Chart 7 – Total number of accidents</w:t>
            </w:r>
          </w:p>
        </w:tc>
        <w:tc>
          <w:tcPr>
            <w:tcW w:w="4587" w:type="dxa"/>
          </w:tcPr>
          <w:p w:rsidR="00CD2578" w:rsidRPr="003A5BE0" w:rsidRDefault="00CD2578" w:rsidP="00BB2A51">
            <w:pPr>
              <w:pStyle w:val="figure"/>
            </w:pPr>
            <w:r>
              <w:t>Chart 8 – Accidents at LCs</w:t>
            </w:r>
          </w:p>
        </w:tc>
      </w:tr>
      <w:tr w:rsidR="00CD2578" w:rsidRPr="00CD2578" w:rsidTr="00CD2578">
        <w:tc>
          <w:tcPr>
            <w:tcW w:w="5042" w:type="dxa"/>
          </w:tcPr>
          <w:p w:rsidR="00CD2578" w:rsidRPr="00CD2578" w:rsidRDefault="00CD2578" w:rsidP="00BB2A51">
            <w:pPr>
              <w:pStyle w:val="figure"/>
            </w:pPr>
            <w:r>
              <w:rPr>
                <w:noProof/>
                <w:lang w:val="fr-LU" w:eastAsia="fr-LU" w:bidi="ar-SA"/>
              </w:rPr>
              <w:drawing>
                <wp:inline distT="0" distB="0" distL="0" distR="0" wp14:anchorId="2C9BB9D3" wp14:editId="6D34937D">
                  <wp:extent cx="2769235" cy="1009015"/>
                  <wp:effectExtent l="0" t="0" r="0" b="63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9235" cy="1009015"/>
                          </a:xfrm>
                          <a:prstGeom prst="rect">
                            <a:avLst/>
                          </a:prstGeom>
                          <a:noFill/>
                          <a:ln>
                            <a:noFill/>
                          </a:ln>
                        </pic:spPr>
                      </pic:pic>
                    </a:graphicData>
                  </a:graphic>
                </wp:inline>
              </w:drawing>
            </w:r>
          </w:p>
        </w:tc>
        <w:tc>
          <w:tcPr>
            <w:tcW w:w="4587" w:type="dxa"/>
          </w:tcPr>
          <w:p w:rsidR="00CD2578" w:rsidRPr="003A5BE0" w:rsidRDefault="00CD2578" w:rsidP="00BB2A51">
            <w:pPr>
              <w:jc w:val="center"/>
            </w:pPr>
            <w:r>
              <w:rPr>
                <w:noProof/>
                <w:lang w:val="fr-LU" w:eastAsia="fr-LU" w:bidi="ar-SA"/>
              </w:rPr>
              <w:drawing>
                <wp:inline distT="0" distB="0" distL="0" distR="0" wp14:anchorId="150B1953" wp14:editId="65D742D1">
                  <wp:extent cx="2769235" cy="1268095"/>
                  <wp:effectExtent l="0" t="0" r="0" b="825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9235" cy="1268095"/>
                          </a:xfrm>
                          <a:prstGeom prst="rect">
                            <a:avLst/>
                          </a:prstGeom>
                          <a:noFill/>
                          <a:ln>
                            <a:noFill/>
                          </a:ln>
                        </pic:spPr>
                      </pic:pic>
                    </a:graphicData>
                  </a:graphic>
                </wp:inline>
              </w:drawing>
            </w:r>
          </w:p>
        </w:tc>
      </w:tr>
    </w:tbl>
    <w:p w:rsidR="00920E23" w:rsidRPr="006A2FC1" w:rsidRDefault="00B65BEC" w:rsidP="00920E23">
      <w:pPr>
        <w:pStyle w:val="paragraphe1"/>
      </w:pPr>
      <w:r>
        <w:t>The drop in the number of accidents at level crossings (Chart 8) clearly reflects the positive impact of the accident prevention and crossing improvement programme implemented by the infrastructure manager, as well as the public awareness campaigns that have been carried out in the media. It is worth noting that the number of this type of accident has gone down to a value close to its historic minimum.</w:t>
      </w:r>
    </w:p>
    <w:p w:rsidR="006F3ED5" w:rsidRPr="006A2FC1" w:rsidRDefault="00B65BEC" w:rsidP="00920E23">
      <w:pPr>
        <w:pStyle w:val="paragraphe1"/>
      </w:pPr>
      <w:r>
        <w:t>The number of other significant accidents (Chart 9) that do not fall within the main categories was zero for the second consecutive year.</w:t>
      </w:r>
    </w:p>
    <w:p w:rsidR="00920E23" w:rsidRDefault="00B65BEC" w:rsidP="00920E23">
      <w:pPr>
        <w:pStyle w:val="paragraphe1"/>
      </w:pPr>
      <w:r>
        <w:t>A high number of collisions occurred in 2014 (Chart 10), in contrast with previous years. This category includes incidents which, due to changes in definitions, were not included in the other categories, as they were in previous years</w:t>
      </w:r>
      <w:r>
        <w:rPr>
          <w:rStyle w:val="FootnoteReference"/>
        </w:rPr>
        <w:footnoteReference w:id="6"/>
      </w:r>
      <w:r>
        <w:t>. Because of this, this category is the only one where incidents rose compared to the previous year.</w:t>
      </w:r>
    </w:p>
    <w:p w:rsidR="00920E23" w:rsidRPr="006A2FC1" w:rsidRDefault="00920E23" w:rsidP="00920E23">
      <w:pPr>
        <w:pStyle w:val="paragraphe1"/>
      </w:pPr>
      <w:r>
        <w:t>Derailments (Chart 11) decreased in relation to 2013, with the number of incidents for 2014 remaining in line with the trend for the period.</w:t>
      </w:r>
    </w:p>
    <w:p w:rsidR="00920E23" w:rsidRDefault="00920E23" w:rsidP="00920E23">
      <w:pPr>
        <w:pStyle w:val="paragraphe1"/>
      </w:pPr>
      <w:r>
        <w:t>The number of incidents involving accidents to persons caused by rolling stock in motion was the same as in 2013, and is in line with the trend over the last ten years (Chart 12).</w:t>
      </w:r>
    </w:p>
    <w:p w:rsidR="00CD2578" w:rsidRDefault="00CD2578" w:rsidP="00920E23">
      <w:pPr>
        <w:pStyle w:val="paragraphe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77"/>
      </w:tblGrid>
      <w:tr w:rsidR="00CD2578" w:rsidTr="00CD2578">
        <w:tc>
          <w:tcPr>
            <w:tcW w:w="4836" w:type="dxa"/>
          </w:tcPr>
          <w:p w:rsidR="00CD2578" w:rsidRDefault="00CD2578" w:rsidP="00CD2578">
            <w:pPr>
              <w:pStyle w:val="figure"/>
            </w:pPr>
            <w:r>
              <w:t>Chart 9 – Other accidents</w:t>
            </w:r>
          </w:p>
          <w:p w:rsidR="00CD2578" w:rsidRPr="006A2FC1" w:rsidRDefault="00CD2578" w:rsidP="00CD2578">
            <w:pPr>
              <w:jc w:val="center"/>
              <w:rPr>
                <w:rFonts w:eastAsia="Arial"/>
              </w:rPr>
            </w:pPr>
            <w:r>
              <w:rPr>
                <w:rFonts w:eastAsia="Arial"/>
                <w:noProof/>
                <w:lang w:val="fr-LU" w:eastAsia="fr-LU" w:bidi="ar-SA"/>
              </w:rPr>
              <w:drawing>
                <wp:inline distT="0" distB="0" distL="0" distR="0" wp14:anchorId="4BB5239B" wp14:editId="7F23BE55">
                  <wp:extent cx="2924175" cy="1294130"/>
                  <wp:effectExtent l="0" t="0" r="9525" b="127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1294130"/>
                          </a:xfrm>
                          <a:prstGeom prst="rect">
                            <a:avLst/>
                          </a:prstGeom>
                          <a:noFill/>
                          <a:ln>
                            <a:noFill/>
                          </a:ln>
                        </pic:spPr>
                      </pic:pic>
                    </a:graphicData>
                  </a:graphic>
                </wp:inline>
              </w:drawing>
            </w:r>
          </w:p>
          <w:p w:rsidR="00CD2578" w:rsidRDefault="00CD2578" w:rsidP="00920E23">
            <w:pPr>
              <w:pStyle w:val="paragraphe1"/>
            </w:pPr>
          </w:p>
        </w:tc>
        <w:tc>
          <w:tcPr>
            <w:tcW w:w="4777" w:type="dxa"/>
          </w:tcPr>
          <w:p w:rsidR="00CD2578" w:rsidRPr="006A2FC1" w:rsidRDefault="00CD2578" w:rsidP="00CD2578">
            <w:pPr>
              <w:pStyle w:val="figure"/>
            </w:pPr>
            <w:r>
              <w:t>Chart 11 – Derailments</w:t>
            </w:r>
          </w:p>
          <w:p w:rsidR="00CD2578" w:rsidRDefault="00CD2578" w:rsidP="00CD2578">
            <w:pPr>
              <w:jc w:val="center"/>
            </w:pPr>
            <w:r>
              <w:rPr>
                <w:noProof/>
                <w:lang w:val="fr-LU" w:eastAsia="fr-LU" w:bidi="ar-SA"/>
              </w:rPr>
              <w:drawing>
                <wp:inline distT="0" distB="0" distL="0" distR="0" wp14:anchorId="1949B898" wp14:editId="3C3B607B">
                  <wp:extent cx="2769235" cy="1449070"/>
                  <wp:effectExtent l="0" t="0" r="0" b="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9235" cy="1449070"/>
                          </a:xfrm>
                          <a:prstGeom prst="rect">
                            <a:avLst/>
                          </a:prstGeom>
                          <a:noFill/>
                          <a:ln>
                            <a:noFill/>
                          </a:ln>
                        </pic:spPr>
                      </pic:pic>
                    </a:graphicData>
                  </a:graphic>
                </wp:inline>
              </w:drawing>
            </w:r>
          </w:p>
          <w:p w:rsidR="00CD2578" w:rsidRDefault="00CD2578" w:rsidP="00920E23">
            <w:pPr>
              <w:pStyle w:val="paragraphe1"/>
            </w:pPr>
          </w:p>
        </w:tc>
      </w:tr>
      <w:tr w:rsidR="00CD2578" w:rsidTr="00CD2578">
        <w:tc>
          <w:tcPr>
            <w:tcW w:w="4836" w:type="dxa"/>
          </w:tcPr>
          <w:p w:rsidR="00CD2578" w:rsidRPr="006A2FC1" w:rsidRDefault="00CD2578" w:rsidP="00CD2578">
            <w:pPr>
              <w:pStyle w:val="figure"/>
              <w:rPr>
                <w:rFonts w:ascii="Calibri" w:eastAsia="Calibri" w:hAnsi="Calibri" w:cs="Calibri"/>
              </w:rPr>
            </w:pPr>
            <w:r>
              <w:t xml:space="preserve">Chart 10 – Collisions </w:t>
            </w:r>
          </w:p>
          <w:p w:rsidR="00CD2578" w:rsidRPr="006A2FC1" w:rsidRDefault="00CD2578" w:rsidP="00CD2578">
            <w:pPr>
              <w:jc w:val="center"/>
            </w:pPr>
            <w:r>
              <w:rPr>
                <w:noProof/>
                <w:lang w:val="fr-LU" w:eastAsia="fr-LU" w:bidi="ar-SA"/>
              </w:rPr>
              <w:drawing>
                <wp:inline distT="0" distB="0" distL="0" distR="0" wp14:anchorId="4CF1308A" wp14:editId="5BE00083">
                  <wp:extent cx="2846705" cy="1224915"/>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6705" cy="1224915"/>
                          </a:xfrm>
                          <a:prstGeom prst="rect">
                            <a:avLst/>
                          </a:prstGeom>
                          <a:noFill/>
                          <a:ln>
                            <a:noFill/>
                          </a:ln>
                        </pic:spPr>
                      </pic:pic>
                    </a:graphicData>
                  </a:graphic>
                </wp:inline>
              </w:drawing>
            </w:r>
          </w:p>
          <w:p w:rsidR="00CD2578" w:rsidRDefault="00CD2578" w:rsidP="00920E23">
            <w:pPr>
              <w:pStyle w:val="paragraphe1"/>
            </w:pPr>
          </w:p>
        </w:tc>
        <w:tc>
          <w:tcPr>
            <w:tcW w:w="4777" w:type="dxa"/>
          </w:tcPr>
          <w:p w:rsidR="00CD2578" w:rsidRPr="006A2FC1" w:rsidRDefault="00CD2578" w:rsidP="00CD2578">
            <w:pPr>
              <w:pStyle w:val="figure"/>
            </w:pPr>
            <w:r>
              <w:t>Chart 12 – Accidents to persons caused by rolling stock, 2005-2014</w:t>
            </w:r>
          </w:p>
          <w:p w:rsidR="00CD2578" w:rsidRDefault="00CD2578" w:rsidP="00CD2578">
            <w:pPr>
              <w:jc w:val="center"/>
            </w:pPr>
            <w:r>
              <w:rPr>
                <w:noProof/>
                <w:lang w:val="fr-LU" w:eastAsia="fr-LU" w:bidi="ar-SA"/>
              </w:rPr>
              <w:drawing>
                <wp:inline distT="0" distB="0" distL="0" distR="0" wp14:anchorId="3B808E63" wp14:editId="4DE33BEA">
                  <wp:extent cx="2812415" cy="1268095"/>
                  <wp:effectExtent l="0" t="0" r="6985" b="8255"/>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2415" cy="1268095"/>
                          </a:xfrm>
                          <a:prstGeom prst="rect">
                            <a:avLst/>
                          </a:prstGeom>
                          <a:noFill/>
                          <a:ln>
                            <a:noFill/>
                          </a:ln>
                        </pic:spPr>
                      </pic:pic>
                    </a:graphicData>
                  </a:graphic>
                </wp:inline>
              </w:drawing>
            </w:r>
          </w:p>
          <w:p w:rsidR="00CD2578" w:rsidRDefault="00CD2578" w:rsidP="00920E23">
            <w:pPr>
              <w:pStyle w:val="paragraphe1"/>
            </w:pPr>
          </w:p>
        </w:tc>
      </w:tr>
    </w:tbl>
    <w:p w:rsidR="006F3ED5" w:rsidRPr="006A2FC1" w:rsidRDefault="00B65BEC" w:rsidP="008F4808">
      <w:pPr>
        <w:pStyle w:val="TITRE3"/>
      </w:pPr>
      <w:r>
        <w:t>Accident precursors</w:t>
      </w:r>
    </w:p>
    <w:p w:rsidR="006F3ED5" w:rsidRPr="006A2FC1" w:rsidRDefault="00B65BEC" w:rsidP="00BD7878">
      <w:pPr>
        <w:pStyle w:val="paragraphe1"/>
      </w:pPr>
      <w:r>
        <w:t>After dropping continually since 2006, 2010 saw a reversal in the trend for total accident precursors (Table 7), which was worsened by the negative trend recorded in 2012. Figures again worsened in 2013 and 2014, when the total number of precursors rose by 29.1% relative to 2012. This figure now stands at 93.1% above the average for the previous 5 years.</w:t>
      </w:r>
    </w:p>
    <w:p w:rsidR="006F3ED5" w:rsidRPr="006A2FC1" w:rsidRDefault="006F3ED5">
      <w:pPr>
        <w:spacing w:before="4" w:line="240" w:lineRule="exact"/>
        <w:rPr>
          <w:sz w:val="24"/>
          <w:szCs w:val="24"/>
        </w:rPr>
      </w:pPr>
    </w:p>
    <w:p w:rsidR="006F3ED5" w:rsidRPr="006A2FC1" w:rsidRDefault="00B65BEC" w:rsidP="00BD7878">
      <w:pPr>
        <w:pStyle w:val="figure"/>
      </w:pPr>
      <w:r>
        <w:t>Table 7 – Accident precursors, 2006-2014</w:t>
      </w:r>
    </w:p>
    <w:tbl>
      <w:tblPr>
        <w:tblStyle w:val="TableGrid"/>
        <w:tblW w:w="9639" w:type="dxa"/>
        <w:tblLook w:val="04A0" w:firstRow="1" w:lastRow="0" w:firstColumn="1" w:lastColumn="0" w:noHBand="0" w:noVBand="1"/>
      </w:tblPr>
      <w:tblGrid>
        <w:gridCol w:w="2405"/>
        <w:gridCol w:w="694"/>
        <w:gridCol w:w="693"/>
        <w:gridCol w:w="694"/>
        <w:gridCol w:w="693"/>
        <w:gridCol w:w="693"/>
        <w:gridCol w:w="693"/>
        <w:gridCol w:w="840"/>
        <w:gridCol w:w="755"/>
        <w:gridCol w:w="755"/>
        <w:gridCol w:w="724"/>
      </w:tblGrid>
      <w:tr w:rsidR="00C16059" w:rsidRPr="005D6AE4" w:rsidTr="00BB2A51">
        <w:trPr>
          <w:cantSplit/>
          <w:trHeight w:val="1134"/>
        </w:trPr>
        <w:tc>
          <w:tcPr>
            <w:tcW w:w="2212" w:type="dxa"/>
            <w:textDirection w:val="btLr"/>
            <w:vAlign w:val="center"/>
          </w:tcPr>
          <w:p w:rsidR="00C16059" w:rsidRPr="005D6AE4" w:rsidRDefault="00C16059" w:rsidP="00BB2A51">
            <w:pPr>
              <w:spacing w:before="60" w:after="60"/>
              <w:jc w:val="center"/>
              <w:rPr>
                <w:rFonts w:ascii="Arial" w:eastAsia="Arial" w:hAnsi="Arial" w:cs="Arial"/>
                <w:b/>
                <w:sz w:val="16"/>
                <w:szCs w:val="16"/>
              </w:rPr>
            </w:pPr>
          </w:p>
        </w:tc>
        <w:tc>
          <w:tcPr>
            <w:tcW w:w="638" w:type="dxa"/>
            <w:textDirection w:val="btLr"/>
            <w:vAlign w:val="center"/>
          </w:tcPr>
          <w:p w:rsidR="00C16059" w:rsidRPr="005D6AE4" w:rsidRDefault="00C16059" w:rsidP="00A27499">
            <w:pPr>
              <w:pStyle w:val="DoNotTranslateExternal3"/>
            </w:pPr>
            <w:r>
              <w:t>2006</w:t>
            </w:r>
          </w:p>
        </w:tc>
        <w:tc>
          <w:tcPr>
            <w:tcW w:w="637" w:type="dxa"/>
            <w:textDirection w:val="btLr"/>
            <w:vAlign w:val="center"/>
          </w:tcPr>
          <w:p w:rsidR="00C16059" w:rsidRPr="005D6AE4" w:rsidRDefault="00C16059" w:rsidP="00A27499">
            <w:pPr>
              <w:pStyle w:val="DoNotTranslateExternal3"/>
            </w:pPr>
            <w:r>
              <w:t>2007</w:t>
            </w:r>
          </w:p>
        </w:tc>
        <w:tc>
          <w:tcPr>
            <w:tcW w:w="638" w:type="dxa"/>
            <w:textDirection w:val="btLr"/>
            <w:vAlign w:val="center"/>
          </w:tcPr>
          <w:p w:rsidR="00C16059" w:rsidRPr="005D6AE4" w:rsidRDefault="00C16059" w:rsidP="00A27499">
            <w:pPr>
              <w:pStyle w:val="DoNotTranslateExternal3"/>
            </w:pPr>
            <w:r>
              <w:t>2008</w:t>
            </w:r>
          </w:p>
        </w:tc>
        <w:tc>
          <w:tcPr>
            <w:tcW w:w="638" w:type="dxa"/>
            <w:textDirection w:val="btLr"/>
            <w:vAlign w:val="center"/>
          </w:tcPr>
          <w:p w:rsidR="00C16059" w:rsidRPr="005D6AE4" w:rsidRDefault="00C16059" w:rsidP="00A27499">
            <w:pPr>
              <w:pStyle w:val="DoNotTranslateExternal3"/>
            </w:pPr>
            <w:r>
              <w:t>2009</w:t>
            </w:r>
          </w:p>
        </w:tc>
        <w:tc>
          <w:tcPr>
            <w:tcW w:w="638" w:type="dxa"/>
            <w:textDirection w:val="btLr"/>
            <w:vAlign w:val="center"/>
          </w:tcPr>
          <w:p w:rsidR="00C16059" w:rsidRPr="005D6AE4" w:rsidRDefault="00C16059" w:rsidP="00A27499">
            <w:pPr>
              <w:pStyle w:val="DoNotTranslateExternal3"/>
            </w:pPr>
            <w:r>
              <w:t>2010</w:t>
            </w:r>
          </w:p>
        </w:tc>
        <w:tc>
          <w:tcPr>
            <w:tcW w:w="638" w:type="dxa"/>
            <w:textDirection w:val="btLr"/>
            <w:vAlign w:val="center"/>
          </w:tcPr>
          <w:p w:rsidR="00C16059" w:rsidRPr="005D6AE4" w:rsidRDefault="00C16059" w:rsidP="00A27499">
            <w:pPr>
              <w:pStyle w:val="DoNotTranslateExternal3"/>
            </w:pPr>
            <w:r>
              <w:t>2011</w:t>
            </w:r>
          </w:p>
        </w:tc>
        <w:tc>
          <w:tcPr>
            <w:tcW w:w="705" w:type="dxa"/>
            <w:textDirection w:val="btLr"/>
            <w:vAlign w:val="center"/>
          </w:tcPr>
          <w:p w:rsidR="00C16059" w:rsidRPr="005D6AE4" w:rsidRDefault="00C16059" w:rsidP="00A27499">
            <w:pPr>
              <w:pStyle w:val="DoNotTranslateExternal3"/>
            </w:pPr>
            <w:r>
              <w:t>2012</w:t>
            </w:r>
          </w:p>
        </w:tc>
        <w:tc>
          <w:tcPr>
            <w:tcW w:w="570" w:type="dxa"/>
            <w:textDirection w:val="btLr"/>
            <w:vAlign w:val="center"/>
          </w:tcPr>
          <w:p w:rsidR="00C16059" w:rsidRPr="005D6AE4" w:rsidRDefault="00C16059" w:rsidP="00A27499">
            <w:pPr>
              <w:pStyle w:val="DoNotTranslateExternal3"/>
            </w:pPr>
            <w:r>
              <w:t>2013</w:t>
            </w:r>
          </w:p>
        </w:tc>
        <w:tc>
          <w:tcPr>
            <w:tcW w:w="638" w:type="dxa"/>
            <w:textDirection w:val="btLr"/>
            <w:vAlign w:val="center"/>
          </w:tcPr>
          <w:p w:rsidR="00C16059" w:rsidRPr="005D6AE4" w:rsidRDefault="00C16059" w:rsidP="00A27499">
            <w:pPr>
              <w:pStyle w:val="DoNotTranslateExternal3"/>
            </w:pPr>
            <w:r>
              <w:t>2014</w:t>
            </w:r>
          </w:p>
        </w:tc>
        <w:tc>
          <w:tcPr>
            <w:tcW w:w="666" w:type="dxa"/>
            <w:textDirection w:val="btLr"/>
            <w:vAlign w:val="center"/>
          </w:tcPr>
          <w:p w:rsidR="00C16059" w:rsidRPr="005D6AE4" w:rsidRDefault="00C16059" w:rsidP="00BB2A51">
            <w:pPr>
              <w:spacing w:before="60" w:after="60"/>
              <w:jc w:val="center"/>
              <w:rPr>
                <w:rFonts w:ascii="Arial" w:hAnsi="Arial" w:cs="Arial"/>
                <w:sz w:val="16"/>
                <w:szCs w:val="16"/>
              </w:rPr>
            </w:pPr>
            <w:r>
              <w:rPr>
                <w:rFonts w:ascii="Arial" w:hAnsi="Arial"/>
                <w:b/>
                <w:sz w:val="16"/>
              </w:rPr>
              <w:t>Average over the last 5 years</w:t>
            </w:r>
          </w:p>
        </w:tc>
      </w:tr>
      <w:tr w:rsidR="00C16059" w:rsidRPr="005D6AE4" w:rsidTr="00BB2A51">
        <w:tc>
          <w:tcPr>
            <w:tcW w:w="2212" w:type="dxa"/>
            <w:vAlign w:val="center"/>
          </w:tcPr>
          <w:p w:rsidR="00C16059" w:rsidRPr="005D6AE4" w:rsidRDefault="00C16059" w:rsidP="00BB2A51">
            <w:pPr>
              <w:spacing w:before="60" w:after="60"/>
              <w:rPr>
                <w:rFonts w:ascii="Arial" w:eastAsia="Arial" w:hAnsi="Arial" w:cs="Arial"/>
                <w:b/>
                <w:sz w:val="16"/>
                <w:szCs w:val="16"/>
              </w:rPr>
            </w:pPr>
            <w:r>
              <w:rPr>
                <w:rFonts w:ascii="Arial" w:hAnsi="Arial"/>
                <w:sz w:val="16"/>
              </w:rPr>
              <w:t>Broken rails</w:t>
            </w:r>
          </w:p>
        </w:tc>
        <w:tc>
          <w:tcPr>
            <w:tcW w:w="638" w:type="dxa"/>
            <w:vAlign w:val="center"/>
          </w:tcPr>
          <w:p w:rsidR="00C16059" w:rsidRPr="005D6AE4" w:rsidRDefault="00C16059" w:rsidP="00BB2A51">
            <w:pPr>
              <w:pStyle w:val="DoNotTranslateExternal1"/>
            </w:pPr>
            <w:r>
              <w:t>45</w:t>
            </w:r>
          </w:p>
        </w:tc>
        <w:tc>
          <w:tcPr>
            <w:tcW w:w="637" w:type="dxa"/>
            <w:vAlign w:val="center"/>
          </w:tcPr>
          <w:p w:rsidR="00C16059" w:rsidRPr="005D6AE4" w:rsidRDefault="00C16059" w:rsidP="00BB2A51">
            <w:pPr>
              <w:pStyle w:val="DoNotTranslateExternal1"/>
            </w:pPr>
            <w:r>
              <w:t>39</w:t>
            </w:r>
          </w:p>
        </w:tc>
        <w:tc>
          <w:tcPr>
            <w:tcW w:w="638" w:type="dxa"/>
            <w:vAlign w:val="center"/>
          </w:tcPr>
          <w:p w:rsidR="00C16059" w:rsidRPr="005D6AE4" w:rsidRDefault="00C16059" w:rsidP="00BB2A51">
            <w:pPr>
              <w:pStyle w:val="DoNotTranslateExternal1"/>
            </w:pPr>
            <w:r>
              <w:t>33</w:t>
            </w:r>
          </w:p>
        </w:tc>
        <w:tc>
          <w:tcPr>
            <w:tcW w:w="638" w:type="dxa"/>
            <w:vAlign w:val="center"/>
          </w:tcPr>
          <w:p w:rsidR="00C16059" w:rsidRPr="005D6AE4" w:rsidRDefault="00C16059" w:rsidP="00BB2A51">
            <w:pPr>
              <w:pStyle w:val="DoNotTranslateExternal1"/>
            </w:pPr>
            <w:r>
              <w:t>35</w:t>
            </w:r>
          </w:p>
        </w:tc>
        <w:tc>
          <w:tcPr>
            <w:tcW w:w="638" w:type="dxa"/>
            <w:vAlign w:val="center"/>
          </w:tcPr>
          <w:p w:rsidR="00C16059" w:rsidRPr="005D6AE4" w:rsidRDefault="00C16059" w:rsidP="00BB2A51">
            <w:pPr>
              <w:pStyle w:val="DoNotTranslateExternal1"/>
            </w:pPr>
            <w:r>
              <w:t>50</w:t>
            </w:r>
          </w:p>
        </w:tc>
        <w:tc>
          <w:tcPr>
            <w:tcW w:w="638" w:type="dxa"/>
            <w:vAlign w:val="center"/>
          </w:tcPr>
          <w:p w:rsidR="00C16059" w:rsidRPr="005D6AE4" w:rsidRDefault="00C16059" w:rsidP="00BB2A51">
            <w:pPr>
              <w:pStyle w:val="DoNotTranslateExternal1"/>
            </w:pPr>
            <w:r>
              <w:t>21</w:t>
            </w:r>
          </w:p>
        </w:tc>
        <w:tc>
          <w:tcPr>
            <w:tcW w:w="705" w:type="dxa"/>
            <w:vAlign w:val="center"/>
          </w:tcPr>
          <w:p w:rsidR="00C16059" w:rsidRPr="005D6AE4" w:rsidRDefault="00C16059" w:rsidP="00BB2A51">
            <w:pPr>
              <w:pStyle w:val="DoNotTranslateExternal1"/>
            </w:pPr>
            <w:r>
              <w:t>45</w:t>
            </w:r>
          </w:p>
        </w:tc>
        <w:tc>
          <w:tcPr>
            <w:tcW w:w="570" w:type="dxa"/>
            <w:vAlign w:val="center"/>
          </w:tcPr>
          <w:p w:rsidR="00C16059" w:rsidRPr="005D6AE4" w:rsidRDefault="00C16059" w:rsidP="00BB2A51">
            <w:pPr>
              <w:pStyle w:val="DoNotTranslateExternal1"/>
            </w:pPr>
            <w:r>
              <w:t>29</w:t>
            </w:r>
          </w:p>
        </w:tc>
        <w:tc>
          <w:tcPr>
            <w:tcW w:w="638" w:type="dxa"/>
            <w:vAlign w:val="center"/>
          </w:tcPr>
          <w:p w:rsidR="00C16059" w:rsidRPr="005D6AE4" w:rsidRDefault="00C16059" w:rsidP="00BB2A51">
            <w:pPr>
              <w:pStyle w:val="DoNotTranslateExternal1"/>
            </w:pPr>
            <w:r>
              <w:t>52</w:t>
            </w:r>
          </w:p>
        </w:tc>
        <w:tc>
          <w:tcPr>
            <w:tcW w:w="666" w:type="dxa"/>
            <w:vAlign w:val="center"/>
          </w:tcPr>
          <w:p w:rsidR="00C16059" w:rsidRPr="005D6AE4" w:rsidRDefault="00C16059" w:rsidP="00BB2A51">
            <w:pPr>
              <w:pStyle w:val="DoNotTranslateExternal2"/>
              <w:spacing w:before="60" w:after="60"/>
              <w:rPr>
                <w:sz w:val="16"/>
                <w:szCs w:val="16"/>
              </w:rPr>
            </w:pPr>
            <w:r>
              <w:rPr>
                <w:sz w:val="16"/>
              </w:rPr>
              <w:t>36,0</w:t>
            </w:r>
          </w:p>
        </w:tc>
      </w:tr>
      <w:tr w:rsidR="00C16059" w:rsidRPr="005D6AE4" w:rsidTr="00BB2A51">
        <w:tc>
          <w:tcPr>
            <w:tcW w:w="2212" w:type="dxa"/>
            <w:vAlign w:val="center"/>
          </w:tcPr>
          <w:p w:rsidR="00C16059" w:rsidRPr="005D6AE4" w:rsidRDefault="00C16059" w:rsidP="00BB2A51">
            <w:pPr>
              <w:spacing w:before="60" w:after="60"/>
              <w:rPr>
                <w:rFonts w:ascii="Arial" w:eastAsia="Arial" w:hAnsi="Arial" w:cs="Arial"/>
                <w:b/>
                <w:sz w:val="16"/>
                <w:szCs w:val="16"/>
              </w:rPr>
            </w:pPr>
            <w:r>
              <w:rPr>
                <w:rFonts w:ascii="Arial" w:hAnsi="Arial"/>
                <w:sz w:val="16"/>
              </w:rPr>
              <w:t>Track buckles</w:t>
            </w:r>
          </w:p>
        </w:tc>
        <w:tc>
          <w:tcPr>
            <w:tcW w:w="638" w:type="dxa"/>
            <w:vAlign w:val="center"/>
          </w:tcPr>
          <w:p w:rsidR="00C16059" w:rsidRPr="005D6AE4" w:rsidRDefault="00C16059" w:rsidP="00BB2A51">
            <w:pPr>
              <w:pStyle w:val="DoNotTranslateExternal1"/>
            </w:pPr>
            <w:r>
              <w:t>95</w:t>
            </w:r>
          </w:p>
        </w:tc>
        <w:tc>
          <w:tcPr>
            <w:tcW w:w="637" w:type="dxa"/>
            <w:vAlign w:val="center"/>
          </w:tcPr>
          <w:p w:rsidR="00C16059" w:rsidRPr="005D6AE4" w:rsidRDefault="00C16059" w:rsidP="00BB2A51">
            <w:pPr>
              <w:pStyle w:val="DoNotTranslateExternal1"/>
            </w:pPr>
            <w:r>
              <w:t>40</w:t>
            </w:r>
          </w:p>
        </w:tc>
        <w:tc>
          <w:tcPr>
            <w:tcW w:w="638" w:type="dxa"/>
            <w:vAlign w:val="center"/>
          </w:tcPr>
          <w:p w:rsidR="00C16059" w:rsidRPr="005D6AE4" w:rsidRDefault="00C16059" w:rsidP="00BB2A51">
            <w:pPr>
              <w:pStyle w:val="DoNotTranslateExternal1"/>
            </w:pPr>
            <w:r>
              <w:t>37</w:t>
            </w:r>
          </w:p>
        </w:tc>
        <w:tc>
          <w:tcPr>
            <w:tcW w:w="638" w:type="dxa"/>
            <w:vAlign w:val="center"/>
          </w:tcPr>
          <w:p w:rsidR="00C16059" w:rsidRPr="005D6AE4" w:rsidRDefault="00C16059" w:rsidP="00BB2A51">
            <w:pPr>
              <w:pStyle w:val="DoNotTranslateExternal1"/>
            </w:pPr>
            <w:r>
              <w:t>44</w:t>
            </w:r>
          </w:p>
        </w:tc>
        <w:tc>
          <w:tcPr>
            <w:tcW w:w="638" w:type="dxa"/>
            <w:vAlign w:val="center"/>
          </w:tcPr>
          <w:p w:rsidR="00C16059" w:rsidRPr="005D6AE4" w:rsidRDefault="00C16059" w:rsidP="00BB2A51">
            <w:pPr>
              <w:pStyle w:val="DoNotTranslateExternal1"/>
            </w:pPr>
            <w:r>
              <w:t>56</w:t>
            </w:r>
          </w:p>
        </w:tc>
        <w:tc>
          <w:tcPr>
            <w:tcW w:w="638" w:type="dxa"/>
            <w:vAlign w:val="center"/>
          </w:tcPr>
          <w:p w:rsidR="00C16059" w:rsidRPr="005D6AE4" w:rsidRDefault="00C16059" w:rsidP="00BB2A51">
            <w:pPr>
              <w:pStyle w:val="DoNotTranslateExternal1"/>
            </w:pPr>
            <w:r>
              <w:t>24</w:t>
            </w:r>
          </w:p>
        </w:tc>
        <w:tc>
          <w:tcPr>
            <w:tcW w:w="705" w:type="dxa"/>
            <w:vAlign w:val="center"/>
          </w:tcPr>
          <w:p w:rsidR="00C16059" w:rsidRPr="005D6AE4" w:rsidRDefault="00C16059" w:rsidP="00BB2A51">
            <w:pPr>
              <w:pStyle w:val="DoNotTranslateExternal1"/>
            </w:pPr>
            <w:r>
              <w:t>76</w:t>
            </w:r>
          </w:p>
        </w:tc>
        <w:tc>
          <w:tcPr>
            <w:tcW w:w="570" w:type="dxa"/>
            <w:vAlign w:val="center"/>
          </w:tcPr>
          <w:p w:rsidR="00C16059" w:rsidRPr="005D6AE4" w:rsidRDefault="00C16059" w:rsidP="00BB2A51">
            <w:pPr>
              <w:pStyle w:val="DoNotTranslateExternal1"/>
            </w:pPr>
            <w:r>
              <w:t>121</w:t>
            </w:r>
          </w:p>
        </w:tc>
        <w:tc>
          <w:tcPr>
            <w:tcW w:w="638" w:type="dxa"/>
            <w:vAlign w:val="center"/>
          </w:tcPr>
          <w:p w:rsidR="00C16059" w:rsidRPr="005D6AE4" w:rsidRDefault="00C16059" w:rsidP="00BB2A51">
            <w:pPr>
              <w:pStyle w:val="DoNotTranslateExternal1"/>
            </w:pPr>
            <w:r>
              <w:t>146</w:t>
            </w:r>
          </w:p>
        </w:tc>
        <w:tc>
          <w:tcPr>
            <w:tcW w:w="666" w:type="dxa"/>
            <w:vAlign w:val="center"/>
          </w:tcPr>
          <w:p w:rsidR="00C16059" w:rsidRPr="005D6AE4" w:rsidRDefault="00C16059" w:rsidP="00BB2A51">
            <w:pPr>
              <w:pStyle w:val="DoNotTranslateExternal2"/>
              <w:spacing w:before="60" w:after="60"/>
              <w:rPr>
                <w:sz w:val="16"/>
                <w:szCs w:val="16"/>
              </w:rPr>
            </w:pPr>
            <w:r>
              <w:rPr>
                <w:sz w:val="16"/>
              </w:rPr>
              <w:t>64,2</w:t>
            </w:r>
          </w:p>
        </w:tc>
      </w:tr>
      <w:tr w:rsidR="00C16059" w:rsidRPr="005D6AE4" w:rsidTr="00BB2A51">
        <w:trPr>
          <w:trHeight w:val="542"/>
        </w:trPr>
        <w:tc>
          <w:tcPr>
            <w:tcW w:w="2212" w:type="dxa"/>
            <w:vAlign w:val="center"/>
          </w:tcPr>
          <w:p w:rsidR="00C16059" w:rsidRPr="005D6AE4" w:rsidRDefault="00C16059" w:rsidP="00BB2A51">
            <w:pPr>
              <w:spacing w:before="60" w:after="60"/>
              <w:rPr>
                <w:rFonts w:ascii="Arial" w:eastAsia="Arial" w:hAnsi="Arial" w:cs="Arial"/>
                <w:b/>
                <w:sz w:val="16"/>
                <w:szCs w:val="16"/>
              </w:rPr>
            </w:pPr>
            <w:r>
              <w:rPr>
                <w:rFonts w:ascii="Arial" w:hAnsi="Arial"/>
                <w:sz w:val="16"/>
              </w:rPr>
              <w:t>Failure of lineside signals</w:t>
            </w:r>
          </w:p>
        </w:tc>
        <w:tc>
          <w:tcPr>
            <w:tcW w:w="638" w:type="dxa"/>
            <w:vAlign w:val="center"/>
          </w:tcPr>
          <w:p w:rsidR="00C16059" w:rsidRPr="005D6AE4" w:rsidRDefault="00C16059" w:rsidP="00BB2A51">
            <w:pPr>
              <w:pStyle w:val="DoNotTranslateExternal1"/>
            </w:pPr>
            <w:r>
              <w:t>0</w:t>
            </w:r>
          </w:p>
        </w:tc>
        <w:tc>
          <w:tcPr>
            <w:tcW w:w="637" w:type="dxa"/>
            <w:vAlign w:val="center"/>
          </w:tcPr>
          <w:p w:rsidR="00C16059" w:rsidRPr="005D6AE4" w:rsidRDefault="00C16059" w:rsidP="00BB2A51">
            <w:pPr>
              <w:pStyle w:val="DoNotTranslateExternal1"/>
            </w:pPr>
            <w:r>
              <w:t>0</w:t>
            </w:r>
          </w:p>
        </w:tc>
        <w:tc>
          <w:tcPr>
            <w:tcW w:w="638" w:type="dxa"/>
            <w:vAlign w:val="center"/>
          </w:tcPr>
          <w:p w:rsidR="00C16059" w:rsidRPr="005D6AE4" w:rsidRDefault="00C16059" w:rsidP="00BB2A51">
            <w:pPr>
              <w:pStyle w:val="DoNotTranslateExternal1"/>
            </w:pPr>
            <w:r>
              <w:t>0</w:t>
            </w:r>
          </w:p>
        </w:tc>
        <w:tc>
          <w:tcPr>
            <w:tcW w:w="638" w:type="dxa"/>
            <w:vAlign w:val="center"/>
          </w:tcPr>
          <w:p w:rsidR="00C16059" w:rsidRPr="005D6AE4" w:rsidRDefault="00C16059" w:rsidP="00BB2A51">
            <w:pPr>
              <w:pStyle w:val="DoNotTranslateExternal1"/>
            </w:pPr>
            <w:r>
              <w:t>0</w:t>
            </w:r>
          </w:p>
        </w:tc>
        <w:tc>
          <w:tcPr>
            <w:tcW w:w="638" w:type="dxa"/>
            <w:vAlign w:val="center"/>
          </w:tcPr>
          <w:p w:rsidR="00C16059" w:rsidRPr="005D6AE4" w:rsidRDefault="00C16059" w:rsidP="00BB2A51">
            <w:pPr>
              <w:pStyle w:val="DoNotTranslateExternal1"/>
            </w:pPr>
            <w:r>
              <w:t>0</w:t>
            </w:r>
          </w:p>
        </w:tc>
        <w:tc>
          <w:tcPr>
            <w:tcW w:w="638" w:type="dxa"/>
            <w:vAlign w:val="center"/>
          </w:tcPr>
          <w:p w:rsidR="00C16059" w:rsidRPr="005D6AE4" w:rsidRDefault="00C16059" w:rsidP="00BB2A51">
            <w:pPr>
              <w:pStyle w:val="DoNotTranslateExternal1"/>
            </w:pPr>
            <w:r>
              <w:t>0</w:t>
            </w:r>
          </w:p>
        </w:tc>
        <w:tc>
          <w:tcPr>
            <w:tcW w:w="705" w:type="dxa"/>
            <w:vAlign w:val="center"/>
          </w:tcPr>
          <w:p w:rsidR="00C16059" w:rsidRPr="005D6AE4" w:rsidRDefault="00C16059" w:rsidP="00BB2A51">
            <w:pPr>
              <w:pStyle w:val="DoNotTranslateExternal1"/>
            </w:pPr>
            <w:r>
              <w:t>0</w:t>
            </w:r>
          </w:p>
        </w:tc>
        <w:tc>
          <w:tcPr>
            <w:tcW w:w="570" w:type="dxa"/>
            <w:vAlign w:val="center"/>
          </w:tcPr>
          <w:p w:rsidR="00C16059" w:rsidRPr="005D6AE4" w:rsidRDefault="00C16059" w:rsidP="00BB2A51">
            <w:pPr>
              <w:pStyle w:val="DoNotTranslateExternal1"/>
            </w:pPr>
            <w:r>
              <w:t>0</w:t>
            </w:r>
          </w:p>
        </w:tc>
        <w:tc>
          <w:tcPr>
            <w:tcW w:w="638" w:type="dxa"/>
            <w:vAlign w:val="center"/>
          </w:tcPr>
          <w:p w:rsidR="00C16059" w:rsidRPr="005D6AE4" w:rsidRDefault="00C16059" w:rsidP="00BB2A51">
            <w:pPr>
              <w:pStyle w:val="DoNotTranslateExternal1"/>
            </w:pPr>
            <w:r>
              <w:t>0</w:t>
            </w:r>
          </w:p>
        </w:tc>
        <w:tc>
          <w:tcPr>
            <w:tcW w:w="666" w:type="dxa"/>
            <w:vAlign w:val="center"/>
          </w:tcPr>
          <w:p w:rsidR="00C16059" w:rsidRPr="005D6AE4" w:rsidRDefault="00C16059" w:rsidP="00BB2A51">
            <w:pPr>
              <w:pStyle w:val="DoNotTranslateExternal2"/>
              <w:spacing w:before="60" w:after="60"/>
              <w:rPr>
                <w:sz w:val="16"/>
                <w:szCs w:val="16"/>
              </w:rPr>
            </w:pPr>
            <w:r>
              <w:rPr>
                <w:sz w:val="16"/>
              </w:rPr>
              <w:t>0,2</w:t>
            </w:r>
          </w:p>
        </w:tc>
      </w:tr>
      <w:tr w:rsidR="00C16059" w:rsidRPr="005D6AE4" w:rsidTr="00BB2A51">
        <w:tc>
          <w:tcPr>
            <w:tcW w:w="2212" w:type="dxa"/>
            <w:vAlign w:val="center"/>
          </w:tcPr>
          <w:p w:rsidR="00C16059" w:rsidRPr="005D6AE4" w:rsidRDefault="00C16059" w:rsidP="00BB2A51">
            <w:pPr>
              <w:spacing w:before="60" w:after="60"/>
              <w:rPr>
                <w:rFonts w:ascii="Arial" w:eastAsia="Arial" w:hAnsi="Arial" w:cs="Arial"/>
                <w:b/>
                <w:sz w:val="16"/>
                <w:szCs w:val="16"/>
              </w:rPr>
            </w:pPr>
            <w:r>
              <w:rPr>
                <w:rFonts w:ascii="Arial" w:hAnsi="Arial"/>
                <w:sz w:val="16"/>
              </w:rPr>
              <w:t>Signals passed at danger (SPAD)</w:t>
            </w:r>
          </w:p>
        </w:tc>
        <w:tc>
          <w:tcPr>
            <w:tcW w:w="638" w:type="dxa"/>
            <w:vAlign w:val="center"/>
          </w:tcPr>
          <w:p w:rsidR="00C16059" w:rsidRPr="005D6AE4" w:rsidRDefault="00C16059" w:rsidP="00BB2A51">
            <w:pPr>
              <w:pStyle w:val="DoNotTranslateExternal1"/>
            </w:pPr>
            <w:r>
              <w:t>24</w:t>
            </w:r>
          </w:p>
        </w:tc>
        <w:tc>
          <w:tcPr>
            <w:tcW w:w="637" w:type="dxa"/>
            <w:vAlign w:val="center"/>
          </w:tcPr>
          <w:p w:rsidR="00C16059" w:rsidRPr="005D6AE4" w:rsidRDefault="00C16059" w:rsidP="00BB2A51">
            <w:pPr>
              <w:pStyle w:val="DoNotTranslateExternal1"/>
            </w:pPr>
            <w:r>
              <w:t>20</w:t>
            </w:r>
          </w:p>
        </w:tc>
        <w:tc>
          <w:tcPr>
            <w:tcW w:w="638" w:type="dxa"/>
            <w:vAlign w:val="center"/>
          </w:tcPr>
          <w:p w:rsidR="00C16059" w:rsidRPr="005D6AE4" w:rsidRDefault="00C16059" w:rsidP="00BB2A51">
            <w:pPr>
              <w:pStyle w:val="DoNotTranslateExternal1"/>
            </w:pPr>
            <w:r>
              <w:t>24</w:t>
            </w:r>
          </w:p>
        </w:tc>
        <w:tc>
          <w:tcPr>
            <w:tcW w:w="638" w:type="dxa"/>
            <w:vAlign w:val="center"/>
          </w:tcPr>
          <w:p w:rsidR="00C16059" w:rsidRPr="005D6AE4" w:rsidRDefault="00C16059" w:rsidP="00BB2A51">
            <w:pPr>
              <w:pStyle w:val="DoNotTranslateExternal1"/>
            </w:pPr>
            <w:r>
              <w:t>12</w:t>
            </w:r>
          </w:p>
        </w:tc>
        <w:tc>
          <w:tcPr>
            <w:tcW w:w="638" w:type="dxa"/>
            <w:vAlign w:val="center"/>
          </w:tcPr>
          <w:p w:rsidR="00C16059" w:rsidRPr="005D6AE4" w:rsidRDefault="00C16059" w:rsidP="00BB2A51">
            <w:pPr>
              <w:pStyle w:val="DoNotTranslateExternal1"/>
            </w:pPr>
            <w:r>
              <w:t>6</w:t>
            </w:r>
          </w:p>
        </w:tc>
        <w:tc>
          <w:tcPr>
            <w:tcW w:w="638" w:type="dxa"/>
            <w:vAlign w:val="center"/>
          </w:tcPr>
          <w:p w:rsidR="00C16059" w:rsidRPr="005D6AE4" w:rsidRDefault="00C16059" w:rsidP="00BB2A51">
            <w:pPr>
              <w:pStyle w:val="DoNotTranslateExternal1"/>
            </w:pPr>
            <w:r>
              <w:t>22</w:t>
            </w:r>
          </w:p>
        </w:tc>
        <w:tc>
          <w:tcPr>
            <w:tcW w:w="705" w:type="dxa"/>
            <w:vAlign w:val="center"/>
          </w:tcPr>
          <w:p w:rsidR="00C16059" w:rsidRPr="005D6AE4" w:rsidRDefault="00C16059" w:rsidP="00BB2A51">
            <w:pPr>
              <w:pStyle w:val="DoNotTranslateExternal1"/>
            </w:pPr>
            <w:r>
              <w:t>25</w:t>
            </w:r>
          </w:p>
        </w:tc>
        <w:tc>
          <w:tcPr>
            <w:tcW w:w="570" w:type="dxa"/>
            <w:vAlign w:val="center"/>
          </w:tcPr>
          <w:p w:rsidR="00C16059" w:rsidRPr="005D6AE4" w:rsidRDefault="00C16059" w:rsidP="00BB2A51">
            <w:pPr>
              <w:pStyle w:val="DoNotTranslateExternal1"/>
            </w:pPr>
            <w:r>
              <w:t>26</w:t>
            </w:r>
          </w:p>
        </w:tc>
        <w:tc>
          <w:tcPr>
            <w:tcW w:w="638" w:type="dxa"/>
            <w:vAlign w:val="center"/>
          </w:tcPr>
          <w:p w:rsidR="00C16059" w:rsidRPr="005D6AE4" w:rsidRDefault="00C16059" w:rsidP="00BB2A51">
            <w:pPr>
              <w:pStyle w:val="DoNotTranslateExternal1"/>
            </w:pPr>
            <w:r>
              <w:t>30</w:t>
            </w:r>
          </w:p>
        </w:tc>
        <w:tc>
          <w:tcPr>
            <w:tcW w:w="666" w:type="dxa"/>
            <w:vAlign w:val="center"/>
          </w:tcPr>
          <w:p w:rsidR="00C16059" w:rsidRPr="005D6AE4" w:rsidRDefault="00C16059" w:rsidP="00BB2A51">
            <w:pPr>
              <w:pStyle w:val="DoNotTranslateExternal2"/>
              <w:spacing w:before="60" w:after="60"/>
              <w:rPr>
                <w:sz w:val="16"/>
                <w:szCs w:val="16"/>
              </w:rPr>
            </w:pPr>
            <w:r>
              <w:rPr>
                <w:sz w:val="16"/>
              </w:rPr>
              <w:t>18,2</w:t>
            </w:r>
          </w:p>
        </w:tc>
      </w:tr>
      <w:tr w:rsidR="00C16059" w:rsidRPr="005D6AE4" w:rsidTr="00BB2A51">
        <w:tc>
          <w:tcPr>
            <w:tcW w:w="2212" w:type="dxa"/>
            <w:vAlign w:val="center"/>
          </w:tcPr>
          <w:p w:rsidR="00C16059" w:rsidRPr="005D6AE4" w:rsidRDefault="00C16059" w:rsidP="00BB2A51">
            <w:pPr>
              <w:spacing w:before="60" w:after="60"/>
              <w:rPr>
                <w:rFonts w:ascii="Arial" w:eastAsia="Arial" w:hAnsi="Arial" w:cs="Arial"/>
                <w:b/>
                <w:sz w:val="16"/>
                <w:szCs w:val="16"/>
              </w:rPr>
            </w:pPr>
            <w:r>
              <w:rPr>
                <w:rFonts w:ascii="Arial" w:hAnsi="Arial"/>
                <w:sz w:val="16"/>
              </w:rPr>
              <w:t>Broken wheels on rolling stock in operation</w:t>
            </w:r>
          </w:p>
        </w:tc>
        <w:tc>
          <w:tcPr>
            <w:tcW w:w="638" w:type="dxa"/>
            <w:vAlign w:val="center"/>
          </w:tcPr>
          <w:p w:rsidR="00C16059" w:rsidRPr="005D6AE4" w:rsidRDefault="00C16059" w:rsidP="00BB2A51">
            <w:pPr>
              <w:pStyle w:val="DoNotTranslateExternal1"/>
            </w:pPr>
            <w:r>
              <w:t>1</w:t>
            </w:r>
          </w:p>
        </w:tc>
        <w:tc>
          <w:tcPr>
            <w:tcW w:w="637" w:type="dxa"/>
            <w:vAlign w:val="center"/>
          </w:tcPr>
          <w:p w:rsidR="00C16059" w:rsidRPr="005D6AE4" w:rsidRDefault="00C16059" w:rsidP="00BB2A51">
            <w:pPr>
              <w:pStyle w:val="DoNotTranslateExternal1"/>
            </w:pPr>
            <w:r>
              <w:t>0</w:t>
            </w:r>
          </w:p>
        </w:tc>
        <w:tc>
          <w:tcPr>
            <w:tcW w:w="638" w:type="dxa"/>
            <w:vAlign w:val="center"/>
          </w:tcPr>
          <w:p w:rsidR="00C16059" w:rsidRPr="005D6AE4" w:rsidRDefault="00C16059" w:rsidP="00BB2A51">
            <w:pPr>
              <w:pStyle w:val="DoNotTranslateExternal1"/>
            </w:pPr>
            <w:r>
              <w:t>0</w:t>
            </w:r>
          </w:p>
        </w:tc>
        <w:tc>
          <w:tcPr>
            <w:tcW w:w="638" w:type="dxa"/>
            <w:vAlign w:val="center"/>
          </w:tcPr>
          <w:p w:rsidR="00C16059" w:rsidRPr="005D6AE4" w:rsidRDefault="00C16059" w:rsidP="00BB2A51">
            <w:pPr>
              <w:pStyle w:val="DoNotTranslateExternal1"/>
            </w:pPr>
            <w:r>
              <w:t>0</w:t>
            </w:r>
          </w:p>
        </w:tc>
        <w:tc>
          <w:tcPr>
            <w:tcW w:w="638" w:type="dxa"/>
            <w:vAlign w:val="center"/>
          </w:tcPr>
          <w:p w:rsidR="00C16059" w:rsidRPr="005D6AE4" w:rsidRDefault="00C16059" w:rsidP="00BB2A51">
            <w:pPr>
              <w:pStyle w:val="DoNotTranslateExternal1"/>
            </w:pPr>
            <w:r>
              <w:t>0</w:t>
            </w:r>
          </w:p>
        </w:tc>
        <w:tc>
          <w:tcPr>
            <w:tcW w:w="638" w:type="dxa"/>
            <w:vAlign w:val="center"/>
          </w:tcPr>
          <w:p w:rsidR="00C16059" w:rsidRPr="005D6AE4" w:rsidRDefault="00C16059" w:rsidP="00BB2A51">
            <w:pPr>
              <w:pStyle w:val="DoNotTranslateExternal1"/>
            </w:pPr>
            <w:r>
              <w:t>0</w:t>
            </w:r>
          </w:p>
        </w:tc>
        <w:tc>
          <w:tcPr>
            <w:tcW w:w="705" w:type="dxa"/>
            <w:vAlign w:val="center"/>
          </w:tcPr>
          <w:p w:rsidR="00C16059" w:rsidRPr="005D6AE4" w:rsidRDefault="00C16059" w:rsidP="00BB2A51">
            <w:pPr>
              <w:pStyle w:val="DoNotTranslateExternal1"/>
            </w:pPr>
            <w:r>
              <w:t>0</w:t>
            </w:r>
          </w:p>
        </w:tc>
        <w:tc>
          <w:tcPr>
            <w:tcW w:w="570" w:type="dxa"/>
            <w:vAlign w:val="center"/>
          </w:tcPr>
          <w:p w:rsidR="00C16059" w:rsidRPr="005D6AE4" w:rsidRDefault="00C16059" w:rsidP="00BB2A51">
            <w:pPr>
              <w:pStyle w:val="DoNotTranslateExternal1"/>
            </w:pPr>
            <w:r>
              <w:t>1</w:t>
            </w:r>
          </w:p>
        </w:tc>
        <w:tc>
          <w:tcPr>
            <w:tcW w:w="638" w:type="dxa"/>
            <w:vAlign w:val="center"/>
          </w:tcPr>
          <w:p w:rsidR="00C16059" w:rsidRPr="005D6AE4" w:rsidRDefault="00C16059" w:rsidP="00BB2A51">
            <w:pPr>
              <w:pStyle w:val="DoNotTranslateExternal1"/>
            </w:pPr>
            <w:r>
              <w:t>1</w:t>
            </w:r>
          </w:p>
        </w:tc>
        <w:tc>
          <w:tcPr>
            <w:tcW w:w="666" w:type="dxa"/>
            <w:vAlign w:val="center"/>
          </w:tcPr>
          <w:p w:rsidR="00C16059" w:rsidRPr="005D6AE4" w:rsidRDefault="00C16059" w:rsidP="00BB2A51">
            <w:pPr>
              <w:pStyle w:val="DoNotTranslateExternal2"/>
              <w:spacing w:before="60" w:after="60"/>
              <w:rPr>
                <w:sz w:val="16"/>
                <w:szCs w:val="16"/>
              </w:rPr>
            </w:pPr>
            <w:r>
              <w:rPr>
                <w:sz w:val="16"/>
              </w:rPr>
              <w:t>0,2</w:t>
            </w:r>
          </w:p>
        </w:tc>
      </w:tr>
      <w:tr w:rsidR="00C16059" w:rsidRPr="005D6AE4" w:rsidTr="00BB2A51">
        <w:tc>
          <w:tcPr>
            <w:tcW w:w="2212" w:type="dxa"/>
            <w:vAlign w:val="center"/>
          </w:tcPr>
          <w:p w:rsidR="00C16059" w:rsidRPr="005D6AE4" w:rsidRDefault="00C16059" w:rsidP="00BB2A51">
            <w:pPr>
              <w:spacing w:before="60" w:after="60"/>
              <w:rPr>
                <w:rFonts w:ascii="Arial" w:eastAsia="Arial" w:hAnsi="Arial" w:cs="Arial"/>
                <w:b/>
                <w:sz w:val="16"/>
                <w:szCs w:val="16"/>
              </w:rPr>
            </w:pPr>
            <w:r>
              <w:rPr>
                <w:rFonts w:ascii="Arial" w:hAnsi="Arial"/>
                <w:sz w:val="16"/>
              </w:rPr>
              <w:t>Broken axles</w:t>
            </w:r>
          </w:p>
        </w:tc>
        <w:tc>
          <w:tcPr>
            <w:tcW w:w="638" w:type="dxa"/>
            <w:vAlign w:val="center"/>
          </w:tcPr>
          <w:p w:rsidR="00C16059" w:rsidRPr="005D6AE4" w:rsidRDefault="00C16059" w:rsidP="00BB2A51">
            <w:pPr>
              <w:pStyle w:val="DoNotTranslateExternal1"/>
            </w:pPr>
            <w:r>
              <w:t>3</w:t>
            </w:r>
          </w:p>
        </w:tc>
        <w:tc>
          <w:tcPr>
            <w:tcW w:w="637" w:type="dxa"/>
            <w:vAlign w:val="center"/>
          </w:tcPr>
          <w:p w:rsidR="00C16059" w:rsidRPr="005D6AE4" w:rsidRDefault="00C16059" w:rsidP="00BB2A51">
            <w:pPr>
              <w:pStyle w:val="DoNotTranslateExternal1"/>
            </w:pPr>
            <w:r>
              <w:t>1</w:t>
            </w:r>
          </w:p>
        </w:tc>
        <w:tc>
          <w:tcPr>
            <w:tcW w:w="638" w:type="dxa"/>
            <w:vAlign w:val="center"/>
          </w:tcPr>
          <w:p w:rsidR="00C16059" w:rsidRPr="005D6AE4" w:rsidRDefault="00C16059" w:rsidP="00BB2A51">
            <w:pPr>
              <w:pStyle w:val="DoNotTranslateExternal1"/>
            </w:pPr>
            <w:r>
              <w:t>0</w:t>
            </w:r>
          </w:p>
        </w:tc>
        <w:tc>
          <w:tcPr>
            <w:tcW w:w="638" w:type="dxa"/>
            <w:vAlign w:val="center"/>
          </w:tcPr>
          <w:p w:rsidR="00C16059" w:rsidRPr="005D6AE4" w:rsidRDefault="00C16059" w:rsidP="00BB2A51">
            <w:pPr>
              <w:pStyle w:val="DoNotTranslateExternal1"/>
            </w:pPr>
            <w:r>
              <w:t>0</w:t>
            </w:r>
          </w:p>
        </w:tc>
        <w:tc>
          <w:tcPr>
            <w:tcW w:w="638" w:type="dxa"/>
            <w:vAlign w:val="center"/>
          </w:tcPr>
          <w:p w:rsidR="00C16059" w:rsidRPr="005D6AE4" w:rsidRDefault="00C16059" w:rsidP="00BB2A51">
            <w:pPr>
              <w:pStyle w:val="DoNotTranslateExternal1"/>
            </w:pPr>
            <w:r>
              <w:t>1</w:t>
            </w:r>
          </w:p>
        </w:tc>
        <w:tc>
          <w:tcPr>
            <w:tcW w:w="638" w:type="dxa"/>
            <w:vAlign w:val="center"/>
          </w:tcPr>
          <w:p w:rsidR="00C16059" w:rsidRPr="005D6AE4" w:rsidRDefault="00C16059" w:rsidP="00BB2A51">
            <w:pPr>
              <w:pStyle w:val="DoNotTranslateExternal1"/>
            </w:pPr>
            <w:r>
              <w:t>1</w:t>
            </w:r>
          </w:p>
        </w:tc>
        <w:tc>
          <w:tcPr>
            <w:tcW w:w="705" w:type="dxa"/>
            <w:vAlign w:val="center"/>
          </w:tcPr>
          <w:p w:rsidR="00C16059" w:rsidRPr="005D6AE4" w:rsidRDefault="00C16059" w:rsidP="00BB2A51">
            <w:pPr>
              <w:pStyle w:val="DoNotTranslateExternal1"/>
            </w:pPr>
            <w:r>
              <w:t>0</w:t>
            </w:r>
          </w:p>
        </w:tc>
        <w:tc>
          <w:tcPr>
            <w:tcW w:w="570" w:type="dxa"/>
            <w:vAlign w:val="center"/>
          </w:tcPr>
          <w:p w:rsidR="00C16059" w:rsidRPr="005D6AE4" w:rsidRDefault="00C16059" w:rsidP="00BB2A51">
            <w:pPr>
              <w:pStyle w:val="DoNotTranslateExternal1"/>
            </w:pPr>
            <w:r>
              <w:t>2</w:t>
            </w:r>
          </w:p>
        </w:tc>
        <w:tc>
          <w:tcPr>
            <w:tcW w:w="638" w:type="dxa"/>
            <w:vAlign w:val="center"/>
          </w:tcPr>
          <w:p w:rsidR="00C16059" w:rsidRPr="005D6AE4" w:rsidRDefault="00C16059" w:rsidP="00BB2A51">
            <w:pPr>
              <w:pStyle w:val="DoNotTranslateExternal1"/>
            </w:pPr>
            <w:r>
              <w:t>2</w:t>
            </w:r>
          </w:p>
        </w:tc>
        <w:tc>
          <w:tcPr>
            <w:tcW w:w="666" w:type="dxa"/>
            <w:vAlign w:val="center"/>
          </w:tcPr>
          <w:p w:rsidR="00C16059" w:rsidRPr="005D6AE4" w:rsidRDefault="00C16059" w:rsidP="00BB2A51">
            <w:pPr>
              <w:pStyle w:val="DoNotTranslateExternal2"/>
              <w:spacing w:before="60" w:after="60"/>
              <w:rPr>
                <w:sz w:val="16"/>
                <w:szCs w:val="16"/>
              </w:rPr>
            </w:pPr>
            <w:r>
              <w:rPr>
                <w:sz w:val="16"/>
              </w:rPr>
              <w:t>0,8</w:t>
            </w:r>
          </w:p>
        </w:tc>
      </w:tr>
      <w:tr w:rsidR="00C16059" w:rsidRPr="005D6AE4" w:rsidTr="00BB2A51">
        <w:tc>
          <w:tcPr>
            <w:tcW w:w="2212" w:type="dxa"/>
            <w:vAlign w:val="center"/>
          </w:tcPr>
          <w:p w:rsidR="00C16059" w:rsidRPr="005D6AE4" w:rsidRDefault="00C16059" w:rsidP="00BB2A51">
            <w:pPr>
              <w:spacing w:before="60" w:after="60"/>
              <w:rPr>
                <w:rFonts w:ascii="Arial" w:eastAsia="Arial" w:hAnsi="Arial" w:cs="Arial"/>
                <w:b/>
                <w:sz w:val="16"/>
                <w:szCs w:val="16"/>
              </w:rPr>
            </w:pPr>
            <w:r>
              <w:rPr>
                <w:rFonts w:ascii="Arial" w:hAnsi="Arial"/>
                <w:b/>
                <w:sz w:val="16"/>
              </w:rPr>
              <w:t>Total incidents or near misses</w:t>
            </w:r>
          </w:p>
        </w:tc>
        <w:tc>
          <w:tcPr>
            <w:tcW w:w="638" w:type="dxa"/>
            <w:vAlign w:val="center"/>
          </w:tcPr>
          <w:p w:rsidR="00C16059" w:rsidRPr="005D6AE4" w:rsidRDefault="00C16059" w:rsidP="00BB2A51">
            <w:pPr>
              <w:pStyle w:val="DoNotTranslateExternal1"/>
              <w:rPr>
                <w:b/>
              </w:rPr>
            </w:pPr>
            <w:r>
              <w:rPr>
                <w:b/>
              </w:rPr>
              <w:t>168</w:t>
            </w:r>
          </w:p>
        </w:tc>
        <w:tc>
          <w:tcPr>
            <w:tcW w:w="637" w:type="dxa"/>
            <w:vAlign w:val="center"/>
          </w:tcPr>
          <w:p w:rsidR="00C16059" w:rsidRPr="005D6AE4" w:rsidRDefault="00C16059" w:rsidP="00BB2A51">
            <w:pPr>
              <w:pStyle w:val="DoNotTranslateExternal1"/>
              <w:rPr>
                <w:b/>
              </w:rPr>
            </w:pPr>
            <w:r>
              <w:rPr>
                <w:b/>
              </w:rPr>
              <w:t>100</w:t>
            </w:r>
          </w:p>
        </w:tc>
        <w:tc>
          <w:tcPr>
            <w:tcW w:w="638" w:type="dxa"/>
            <w:vAlign w:val="center"/>
          </w:tcPr>
          <w:p w:rsidR="00C16059" w:rsidRPr="005D6AE4" w:rsidRDefault="00C16059" w:rsidP="00BB2A51">
            <w:pPr>
              <w:pStyle w:val="DoNotTranslateExternal1"/>
              <w:rPr>
                <w:b/>
              </w:rPr>
            </w:pPr>
            <w:r>
              <w:rPr>
                <w:b/>
              </w:rPr>
              <w:t>94</w:t>
            </w:r>
          </w:p>
        </w:tc>
        <w:tc>
          <w:tcPr>
            <w:tcW w:w="638" w:type="dxa"/>
            <w:vAlign w:val="center"/>
          </w:tcPr>
          <w:p w:rsidR="00C16059" w:rsidRPr="005D6AE4" w:rsidRDefault="00C16059" w:rsidP="00BB2A51">
            <w:pPr>
              <w:pStyle w:val="DoNotTranslateExternal1"/>
              <w:rPr>
                <w:b/>
              </w:rPr>
            </w:pPr>
            <w:r>
              <w:rPr>
                <w:b/>
              </w:rPr>
              <w:t>91</w:t>
            </w:r>
          </w:p>
        </w:tc>
        <w:tc>
          <w:tcPr>
            <w:tcW w:w="638" w:type="dxa"/>
            <w:vAlign w:val="center"/>
          </w:tcPr>
          <w:p w:rsidR="00C16059" w:rsidRPr="005D6AE4" w:rsidRDefault="00C16059" w:rsidP="00BB2A51">
            <w:pPr>
              <w:pStyle w:val="DoNotTranslateExternal1"/>
              <w:rPr>
                <w:b/>
              </w:rPr>
            </w:pPr>
            <w:r>
              <w:rPr>
                <w:b/>
              </w:rPr>
              <w:t>114</w:t>
            </w:r>
          </w:p>
        </w:tc>
        <w:tc>
          <w:tcPr>
            <w:tcW w:w="638" w:type="dxa"/>
            <w:vAlign w:val="center"/>
          </w:tcPr>
          <w:p w:rsidR="00C16059" w:rsidRPr="005D6AE4" w:rsidRDefault="00C16059" w:rsidP="00BB2A51">
            <w:pPr>
              <w:pStyle w:val="DoNotTranslateExternal1"/>
              <w:rPr>
                <w:b/>
              </w:rPr>
            </w:pPr>
            <w:r>
              <w:rPr>
                <w:b/>
              </w:rPr>
              <w:t>68</w:t>
            </w:r>
          </w:p>
        </w:tc>
        <w:tc>
          <w:tcPr>
            <w:tcW w:w="705" w:type="dxa"/>
            <w:vAlign w:val="center"/>
          </w:tcPr>
          <w:p w:rsidR="00C16059" w:rsidRPr="005D6AE4" w:rsidRDefault="00C16059" w:rsidP="00BB2A51">
            <w:pPr>
              <w:pStyle w:val="DoNotTranslateExternal1"/>
              <w:rPr>
                <w:b/>
              </w:rPr>
            </w:pPr>
            <w:r>
              <w:rPr>
                <w:b/>
              </w:rPr>
              <w:t>146</w:t>
            </w:r>
          </w:p>
        </w:tc>
        <w:tc>
          <w:tcPr>
            <w:tcW w:w="570" w:type="dxa"/>
            <w:vAlign w:val="center"/>
          </w:tcPr>
          <w:p w:rsidR="00C16059" w:rsidRPr="005D6AE4" w:rsidRDefault="00C16059" w:rsidP="00BB2A51">
            <w:pPr>
              <w:pStyle w:val="DoNotTranslateExternal1"/>
              <w:rPr>
                <w:b/>
              </w:rPr>
            </w:pPr>
            <w:r>
              <w:rPr>
                <w:b/>
              </w:rPr>
              <w:t>179</w:t>
            </w:r>
          </w:p>
        </w:tc>
        <w:tc>
          <w:tcPr>
            <w:tcW w:w="638" w:type="dxa"/>
            <w:vAlign w:val="center"/>
          </w:tcPr>
          <w:p w:rsidR="00C16059" w:rsidRPr="005D6AE4" w:rsidRDefault="00C16059" w:rsidP="00BB2A51">
            <w:pPr>
              <w:pStyle w:val="DoNotTranslateExternal1"/>
              <w:rPr>
                <w:b/>
              </w:rPr>
            </w:pPr>
            <w:r>
              <w:rPr>
                <w:b/>
              </w:rPr>
              <w:t>231</w:t>
            </w:r>
          </w:p>
        </w:tc>
        <w:tc>
          <w:tcPr>
            <w:tcW w:w="666" w:type="dxa"/>
            <w:vAlign w:val="center"/>
          </w:tcPr>
          <w:p w:rsidR="00C16059" w:rsidRPr="005D6AE4" w:rsidRDefault="00C16059" w:rsidP="00BB2A51">
            <w:pPr>
              <w:pStyle w:val="DoNotTranslateExternal2"/>
              <w:spacing w:before="60" w:after="60"/>
              <w:rPr>
                <w:b/>
                <w:sz w:val="16"/>
                <w:szCs w:val="16"/>
              </w:rPr>
            </w:pPr>
            <w:r>
              <w:rPr>
                <w:b/>
                <w:sz w:val="16"/>
              </w:rPr>
              <w:t>119,6</w:t>
            </w:r>
          </w:p>
        </w:tc>
      </w:tr>
      <w:tr w:rsidR="00C16059" w:rsidRPr="006D176B" w:rsidTr="00BB2A51">
        <w:tc>
          <w:tcPr>
            <w:tcW w:w="2212" w:type="dxa"/>
            <w:vAlign w:val="center"/>
          </w:tcPr>
          <w:p w:rsidR="00C16059" w:rsidRPr="006D176B" w:rsidRDefault="00C16059" w:rsidP="00BB2A51">
            <w:pPr>
              <w:rPr>
                <w:rFonts w:ascii="Arial" w:eastAsia="Arial" w:hAnsi="Arial" w:cs="Arial"/>
                <w:b/>
                <w:sz w:val="14"/>
                <w:szCs w:val="14"/>
              </w:rPr>
            </w:pPr>
            <w:r>
              <w:rPr>
                <w:rFonts w:ascii="Arial" w:hAnsi="Arial"/>
                <w:sz w:val="14"/>
              </w:rPr>
              <w:lastRenderedPageBreak/>
              <w:t>Change relative to the previous year</w:t>
            </w:r>
          </w:p>
        </w:tc>
        <w:tc>
          <w:tcPr>
            <w:tcW w:w="638" w:type="dxa"/>
            <w:vAlign w:val="center"/>
          </w:tcPr>
          <w:p w:rsidR="00C16059" w:rsidRPr="006D176B" w:rsidRDefault="00C16059" w:rsidP="00BB2A51">
            <w:pPr>
              <w:pStyle w:val="DoNotTranslateExternal2"/>
              <w:rPr>
                <w:sz w:val="14"/>
                <w:szCs w:val="14"/>
              </w:rPr>
            </w:pPr>
            <w:r>
              <w:rPr>
                <w:sz w:val="14"/>
              </w:rPr>
              <w:t>0,0%</w:t>
            </w:r>
          </w:p>
        </w:tc>
        <w:tc>
          <w:tcPr>
            <w:tcW w:w="637" w:type="dxa"/>
            <w:vAlign w:val="center"/>
          </w:tcPr>
          <w:p w:rsidR="00C16059" w:rsidRPr="006D176B" w:rsidRDefault="00C16059" w:rsidP="00BB2A51">
            <w:pPr>
              <w:pStyle w:val="DoNotTranslateExternal2"/>
              <w:rPr>
                <w:sz w:val="14"/>
                <w:szCs w:val="14"/>
              </w:rPr>
            </w:pPr>
            <w:r>
              <w:rPr>
                <w:sz w:val="14"/>
              </w:rPr>
              <w:t>-40,5%</w:t>
            </w:r>
          </w:p>
        </w:tc>
        <w:tc>
          <w:tcPr>
            <w:tcW w:w="638" w:type="dxa"/>
            <w:vAlign w:val="center"/>
          </w:tcPr>
          <w:p w:rsidR="00C16059" w:rsidRPr="006D176B" w:rsidRDefault="00C16059" w:rsidP="00BB2A51">
            <w:pPr>
              <w:pStyle w:val="DoNotTranslateExternal2"/>
              <w:rPr>
                <w:sz w:val="14"/>
                <w:szCs w:val="14"/>
              </w:rPr>
            </w:pPr>
            <w:r>
              <w:rPr>
                <w:sz w:val="14"/>
              </w:rPr>
              <w:t>-6,0%</w:t>
            </w:r>
          </w:p>
        </w:tc>
        <w:tc>
          <w:tcPr>
            <w:tcW w:w="638" w:type="dxa"/>
            <w:vAlign w:val="center"/>
          </w:tcPr>
          <w:p w:rsidR="00C16059" w:rsidRPr="006D176B" w:rsidRDefault="00C16059" w:rsidP="00BB2A51">
            <w:pPr>
              <w:pStyle w:val="DoNotTranslateExternal2"/>
              <w:rPr>
                <w:sz w:val="14"/>
                <w:szCs w:val="14"/>
              </w:rPr>
            </w:pPr>
            <w:r>
              <w:rPr>
                <w:sz w:val="14"/>
              </w:rPr>
              <w:t>-3,2%</w:t>
            </w:r>
          </w:p>
        </w:tc>
        <w:tc>
          <w:tcPr>
            <w:tcW w:w="638" w:type="dxa"/>
            <w:vAlign w:val="center"/>
          </w:tcPr>
          <w:p w:rsidR="00C16059" w:rsidRPr="006D176B" w:rsidRDefault="00C16059" w:rsidP="00BB2A51">
            <w:pPr>
              <w:pStyle w:val="DoNotTranslateExternal2"/>
              <w:rPr>
                <w:sz w:val="14"/>
                <w:szCs w:val="14"/>
              </w:rPr>
            </w:pPr>
            <w:r>
              <w:rPr>
                <w:sz w:val="14"/>
              </w:rPr>
              <w:t>25,3%</w:t>
            </w:r>
          </w:p>
        </w:tc>
        <w:tc>
          <w:tcPr>
            <w:tcW w:w="638" w:type="dxa"/>
            <w:vAlign w:val="center"/>
          </w:tcPr>
          <w:p w:rsidR="00C16059" w:rsidRPr="006D176B" w:rsidRDefault="00C16059" w:rsidP="00BB2A51">
            <w:pPr>
              <w:pStyle w:val="DoNotTranslateExternal2"/>
              <w:rPr>
                <w:sz w:val="14"/>
                <w:szCs w:val="14"/>
              </w:rPr>
            </w:pPr>
            <w:r>
              <w:rPr>
                <w:sz w:val="14"/>
              </w:rPr>
              <w:t>-40,4%</w:t>
            </w:r>
          </w:p>
        </w:tc>
        <w:tc>
          <w:tcPr>
            <w:tcW w:w="705" w:type="dxa"/>
            <w:vAlign w:val="center"/>
          </w:tcPr>
          <w:p w:rsidR="00C16059" w:rsidRPr="006D176B" w:rsidRDefault="00C16059" w:rsidP="00BB2A51">
            <w:pPr>
              <w:pStyle w:val="DoNotTranslateExternal2"/>
              <w:rPr>
                <w:sz w:val="14"/>
                <w:szCs w:val="14"/>
              </w:rPr>
            </w:pPr>
            <w:r>
              <w:rPr>
                <w:sz w:val="14"/>
              </w:rPr>
              <w:t>+114,7%</w:t>
            </w:r>
          </w:p>
        </w:tc>
        <w:tc>
          <w:tcPr>
            <w:tcW w:w="570" w:type="dxa"/>
            <w:vAlign w:val="center"/>
          </w:tcPr>
          <w:p w:rsidR="00C16059" w:rsidRPr="006D176B" w:rsidRDefault="00C16059" w:rsidP="00BB2A51">
            <w:pPr>
              <w:pStyle w:val="DoNotTranslateExternal2"/>
              <w:rPr>
                <w:sz w:val="14"/>
                <w:szCs w:val="14"/>
              </w:rPr>
            </w:pPr>
            <w:r>
              <w:rPr>
                <w:sz w:val="14"/>
              </w:rPr>
              <w:t>+22,6%</w:t>
            </w:r>
          </w:p>
        </w:tc>
        <w:tc>
          <w:tcPr>
            <w:tcW w:w="638" w:type="dxa"/>
            <w:vAlign w:val="center"/>
          </w:tcPr>
          <w:p w:rsidR="00C16059" w:rsidRPr="006D176B" w:rsidRDefault="00C16059" w:rsidP="00BB2A51">
            <w:pPr>
              <w:pStyle w:val="DoNotTranslateExternal2"/>
              <w:rPr>
                <w:sz w:val="14"/>
                <w:szCs w:val="14"/>
              </w:rPr>
            </w:pPr>
            <w:r>
              <w:rPr>
                <w:sz w:val="14"/>
              </w:rPr>
              <w:t>+29,1%</w:t>
            </w:r>
          </w:p>
        </w:tc>
        <w:tc>
          <w:tcPr>
            <w:tcW w:w="666" w:type="dxa"/>
            <w:vAlign w:val="center"/>
          </w:tcPr>
          <w:p w:rsidR="00C16059" w:rsidRPr="006D176B" w:rsidRDefault="00C16059" w:rsidP="00BB2A51">
            <w:pPr>
              <w:pStyle w:val="DoNotTranslateExternal2"/>
              <w:rPr>
                <w:b/>
                <w:sz w:val="14"/>
                <w:szCs w:val="14"/>
              </w:rPr>
            </w:pPr>
          </w:p>
        </w:tc>
      </w:tr>
    </w:tbl>
    <w:p w:rsidR="006F3ED5" w:rsidRPr="006D176B" w:rsidRDefault="006F3ED5" w:rsidP="005D6AE4">
      <w:pPr>
        <w:rPr>
          <w:sz w:val="14"/>
          <w:szCs w:val="14"/>
        </w:rPr>
      </w:pPr>
    </w:p>
    <w:p w:rsidR="006F3ED5" w:rsidRPr="006A2FC1" w:rsidRDefault="00B65BEC" w:rsidP="00C16059">
      <w:pPr>
        <w:pStyle w:val="paragraphe1"/>
      </w:pPr>
      <w:r>
        <w:t>The average distribution of accident precursors for the 2006</w:t>
      </w:r>
      <w:r>
        <w:rPr>
          <w:rStyle w:val="FootnoteReference"/>
        </w:rPr>
        <w:footnoteReference w:id="7"/>
      </w:r>
      <w:r>
        <w:t>-2014 period (Chart 13) reflects three main categories: track buckles, broken rails and SPAD. The year 2014 saw a highest number of incidents involving these precursor categories since 2006, a situation which needs to be seriously considered by all agents in the railway sector.</w:t>
      </w:r>
    </w:p>
    <w:p w:rsidR="006F3ED5" w:rsidRPr="006A2FC1" w:rsidRDefault="006F3ED5">
      <w:pPr>
        <w:spacing w:before="1" w:line="240" w:lineRule="exact"/>
        <w:rPr>
          <w:sz w:val="24"/>
          <w:szCs w:val="24"/>
        </w:rPr>
      </w:pPr>
    </w:p>
    <w:p w:rsidR="00C16059" w:rsidRPr="006A2FC1" w:rsidRDefault="00B65BEC" w:rsidP="00C16059">
      <w:pPr>
        <w:pStyle w:val="paragraphe1"/>
      </w:pPr>
      <w:r>
        <w:t>With respect to track buckles, 2014 saw a rise of 20.7% in the number of occurrences in comparison to 2013 (127.4% above the average for the previous five years). The significant increase recorded over the last two years needs to be looked at in depth and requires urgent corrective action, as it indicates a deterioration in conditions on the National Railway Network, possibly due to a lack of maintenance.</w:t>
      </w:r>
    </w:p>
    <w:p w:rsidR="00C16059" w:rsidRPr="006A2FC1" w:rsidRDefault="00C16059" w:rsidP="00C16059">
      <w:pPr>
        <w:spacing w:line="200" w:lineRule="exact"/>
      </w:pPr>
    </w:p>
    <w:p w:rsidR="006F3ED5" w:rsidRPr="006A2FC1" w:rsidRDefault="00B65BEC" w:rsidP="00C16059">
      <w:pPr>
        <w:pStyle w:val="figure"/>
      </w:pPr>
      <w:r>
        <w:t>Chart 13 – Weighting of each type of accident precursor, 2006 to 2014</w:t>
      </w:r>
    </w:p>
    <w:p w:rsidR="00C16059" w:rsidRDefault="00C16059" w:rsidP="00C16059">
      <w:pPr>
        <w:spacing w:before="88"/>
        <w:jc w:val="center"/>
        <w:rPr>
          <w:rFonts w:ascii="Calibri" w:eastAsia="Calibri" w:hAnsi="Calibri" w:cs="Calibri"/>
        </w:rPr>
      </w:pPr>
      <w:r>
        <w:rPr>
          <w:rFonts w:ascii="Calibri" w:eastAsia="Calibri" w:hAnsi="Calibri" w:cs="Calibri"/>
          <w:noProof/>
          <w:lang w:val="fr-LU" w:eastAsia="fr-LU" w:bidi="ar-SA"/>
        </w:rPr>
        <w:drawing>
          <wp:inline distT="0" distB="0" distL="0" distR="0" wp14:anchorId="5EBEFC5A" wp14:editId="5FE3F6B0">
            <wp:extent cx="5512435" cy="2907030"/>
            <wp:effectExtent l="0" t="0" r="0" b="762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2435" cy="2907030"/>
                    </a:xfrm>
                    <a:prstGeom prst="rect">
                      <a:avLst/>
                    </a:prstGeom>
                    <a:noFill/>
                    <a:ln>
                      <a:noFill/>
                    </a:ln>
                  </pic:spPr>
                </pic:pic>
              </a:graphicData>
            </a:graphic>
          </wp:inline>
        </w:drawing>
      </w:r>
    </w:p>
    <w:p w:rsidR="00C16059" w:rsidRDefault="00C16059" w:rsidP="00C16059">
      <w:pPr>
        <w:rPr>
          <w:rFonts w:ascii="Calibri" w:eastAsia="Calibri" w:hAnsi="Calibri" w:cs="Calibri"/>
        </w:rPr>
      </w:pPr>
    </w:p>
    <w:tbl>
      <w:tblPr>
        <w:tblStyle w:val="TableGrid"/>
        <w:tblW w:w="9629" w:type="dxa"/>
        <w:tblLook w:val="04A0" w:firstRow="1" w:lastRow="0" w:firstColumn="1" w:lastColumn="0" w:noHBand="0" w:noVBand="1"/>
      </w:tblPr>
      <w:tblGrid>
        <w:gridCol w:w="5116"/>
        <w:gridCol w:w="4513"/>
      </w:tblGrid>
      <w:tr w:rsidR="00C16059" w:rsidRPr="00C16059" w:rsidTr="00C16059">
        <w:tc>
          <w:tcPr>
            <w:tcW w:w="5116" w:type="dxa"/>
          </w:tcPr>
          <w:p w:rsidR="00C16059" w:rsidRPr="00C16059" w:rsidRDefault="00C16059" w:rsidP="00C16059">
            <w:pPr>
              <w:pStyle w:val="DoNotTranslateExternal1"/>
            </w:pPr>
            <w:r>
              <w:t>Ruturas de eixos</w:t>
            </w:r>
          </w:p>
        </w:tc>
        <w:tc>
          <w:tcPr>
            <w:tcW w:w="4513" w:type="dxa"/>
          </w:tcPr>
          <w:p w:rsidR="00C16059" w:rsidRPr="00C16059" w:rsidRDefault="00C16059" w:rsidP="00BB2A51">
            <w:pPr>
              <w:rPr>
                <w:rFonts w:ascii="Arial" w:eastAsia="Calibri" w:hAnsi="Arial" w:cs="Arial"/>
                <w:sz w:val="18"/>
                <w:szCs w:val="18"/>
              </w:rPr>
            </w:pPr>
            <w:r>
              <w:rPr>
                <w:rFonts w:ascii="Arial" w:hAnsi="Arial"/>
                <w:sz w:val="18"/>
              </w:rPr>
              <w:t>Broken axles</w:t>
            </w:r>
          </w:p>
        </w:tc>
      </w:tr>
      <w:tr w:rsidR="00C16059" w:rsidRPr="00B63285" w:rsidTr="00C16059">
        <w:tc>
          <w:tcPr>
            <w:tcW w:w="5116" w:type="dxa"/>
          </w:tcPr>
          <w:p w:rsidR="00C16059" w:rsidRPr="00705059" w:rsidRDefault="00C16059" w:rsidP="00C16059">
            <w:pPr>
              <w:pStyle w:val="DoNotTranslateExternal1"/>
              <w:rPr>
                <w:lang/>
              </w:rPr>
            </w:pPr>
            <w:r w:rsidRPr="00705059">
              <w:rPr>
                <w:lang/>
              </w:rPr>
              <w:t>Rodas partidas em material circulante ao serviço</w:t>
            </w:r>
          </w:p>
        </w:tc>
        <w:tc>
          <w:tcPr>
            <w:tcW w:w="4513" w:type="dxa"/>
          </w:tcPr>
          <w:p w:rsidR="00C16059" w:rsidRPr="00C16059" w:rsidRDefault="00C16059" w:rsidP="00BB2A51">
            <w:pPr>
              <w:rPr>
                <w:rFonts w:ascii="Arial" w:eastAsia="Calibri" w:hAnsi="Arial" w:cs="Arial"/>
                <w:sz w:val="18"/>
                <w:szCs w:val="18"/>
              </w:rPr>
            </w:pPr>
            <w:r>
              <w:rPr>
                <w:rFonts w:ascii="Arial" w:hAnsi="Arial"/>
                <w:sz w:val="18"/>
              </w:rPr>
              <w:t>Broken wheels on rolling stock in operation</w:t>
            </w:r>
          </w:p>
        </w:tc>
      </w:tr>
      <w:tr w:rsidR="00C16059" w:rsidRPr="00C16059" w:rsidTr="00C16059">
        <w:tc>
          <w:tcPr>
            <w:tcW w:w="5116" w:type="dxa"/>
          </w:tcPr>
          <w:p w:rsidR="00C16059" w:rsidRPr="00C16059" w:rsidRDefault="00C16059" w:rsidP="00C16059">
            <w:pPr>
              <w:pStyle w:val="DoNotTranslateExternal1"/>
            </w:pPr>
            <w:r>
              <w:t>Falhas na sinalização lateral</w:t>
            </w:r>
          </w:p>
        </w:tc>
        <w:tc>
          <w:tcPr>
            <w:tcW w:w="4513" w:type="dxa"/>
          </w:tcPr>
          <w:p w:rsidR="00C16059" w:rsidRPr="00C16059" w:rsidRDefault="00C16059" w:rsidP="00BB2A51">
            <w:pPr>
              <w:rPr>
                <w:rFonts w:ascii="Arial" w:eastAsia="Calibri" w:hAnsi="Arial" w:cs="Arial"/>
                <w:sz w:val="18"/>
                <w:szCs w:val="18"/>
              </w:rPr>
            </w:pPr>
            <w:r>
              <w:rPr>
                <w:rFonts w:ascii="Arial" w:hAnsi="Arial"/>
                <w:sz w:val="18"/>
              </w:rPr>
              <w:t>Failure of lineside signals</w:t>
            </w:r>
          </w:p>
        </w:tc>
      </w:tr>
      <w:tr w:rsidR="00C16059" w:rsidRPr="00B63285" w:rsidTr="00C16059">
        <w:tc>
          <w:tcPr>
            <w:tcW w:w="5116" w:type="dxa"/>
          </w:tcPr>
          <w:p w:rsidR="00C16059" w:rsidRPr="00705059" w:rsidRDefault="00C16059" w:rsidP="00C16059">
            <w:pPr>
              <w:pStyle w:val="DoNotTranslateExternal1"/>
              <w:rPr>
                <w:lang/>
              </w:rPr>
            </w:pPr>
            <w:r w:rsidRPr="00705059">
              <w:rPr>
                <w:lang/>
              </w:rPr>
              <w:t>Sinais ultrapassados apresentando o seu aspeto mais restritivo (SPAD)</w:t>
            </w:r>
          </w:p>
        </w:tc>
        <w:tc>
          <w:tcPr>
            <w:tcW w:w="4513" w:type="dxa"/>
          </w:tcPr>
          <w:p w:rsidR="00C16059" w:rsidRPr="00C16059" w:rsidRDefault="00C16059" w:rsidP="00BB2A51">
            <w:pPr>
              <w:rPr>
                <w:rFonts w:ascii="Arial" w:eastAsia="Calibri" w:hAnsi="Arial" w:cs="Arial"/>
                <w:sz w:val="18"/>
                <w:szCs w:val="18"/>
              </w:rPr>
            </w:pPr>
            <w:r>
              <w:rPr>
                <w:rFonts w:ascii="Arial" w:hAnsi="Arial"/>
                <w:sz w:val="18"/>
              </w:rPr>
              <w:t>Signals passed at danger (SPAD)</w:t>
            </w:r>
          </w:p>
        </w:tc>
      </w:tr>
      <w:tr w:rsidR="00C16059" w:rsidRPr="00C16059" w:rsidTr="00C16059">
        <w:tc>
          <w:tcPr>
            <w:tcW w:w="5116" w:type="dxa"/>
          </w:tcPr>
          <w:p w:rsidR="00C16059" w:rsidRPr="00C16059" w:rsidRDefault="00C16059" w:rsidP="00C16059">
            <w:pPr>
              <w:pStyle w:val="DoNotTranslateExternal1"/>
            </w:pPr>
            <w:r>
              <w:t>Carris partidos</w:t>
            </w:r>
          </w:p>
        </w:tc>
        <w:tc>
          <w:tcPr>
            <w:tcW w:w="4513" w:type="dxa"/>
          </w:tcPr>
          <w:p w:rsidR="00C16059" w:rsidRPr="00C16059" w:rsidRDefault="00C16059" w:rsidP="00BB2A51">
            <w:pPr>
              <w:rPr>
                <w:rFonts w:ascii="Arial" w:eastAsia="Calibri" w:hAnsi="Arial" w:cs="Arial"/>
                <w:sz w:val="18"/>
                <w:szCs w:val="18"/>
              </w:rPr>
            </w:pPr>
            <w:r>
              <w:rPr>
                <w:rFonts w:ascii="Arial" w:hAnsi="Arial"/>
                <w:sz w:val="18"/>
              </w:rPr>
              <w:t>Broken rails</w:t>
            </w:r>
          </w:p>
        </w:tc>
      </w:tr>
      <w:tr w:rsidR="00C16059" w:rsidRPr="00C16059" w:rsidTr="00C16059">
        <w:tc>
          <w:tcPr>
            <w:tcW w:w="5116" w:type="dxa"/>
          </w:tcPr>
          <w:p w:rsidR="00C16059" w:rsidRPr="00C16059" w:rsidRDefault="00C16059" w:rsidP="00C16059">
            <w:pPr>
              <w:pStyle w:val="DoNotTranslateExternal1"/>
            </w:pPr>
            <w:r>
              <w:t>Deformações na via</w:t>
            </w:r>
          </w:p>
        </w:tc>
        <w:tc>
          <w:tcPr>
            <w:tcW w:w="4513" w:type="dxa"/>
          </w:tcPr>
          <w:p w:rsidR="00C16059" w:rsidRPr="00C16059" w:rsidRDefault="00C16059" w:rsidP="00BB2A51">
            <w:pPr>
              <w:rPr>
                <w:rFonts w:ascii="Arial" w:eastAsia="Calibri" w:hAnsi="Arial" w:cs="Arial"/>
                <w:sz w:val="18"/>
                <w:szCs w:val="18"/>
              </w:rPr>
            </w:pPr>
            <w:r>
              <w:rPr>
                <w:rFonts w:ascii="Arial" w:hAnsi="Arial"/>
                <w:sz w:val="18"/>
              </w:rPr>
              <w:t>Track buckles</w:t>
            </w:r>
          </w:p>
        </w:tc>
      </w:tr>
    </w:tbl>
    <w:p w:rsidR="006F3ED5" w:rsidRPr="006A2FC1" w:rsidRDefault="006F3ED5">
      <w:pPr>
        <w:spacing w:line="200" w:lineRule="exact"/>
      </w:pPr>
    </w:p>
    <w:p w:rsidR="006F3ED5" w:rsidRPr="006A2FC1" w:rsidRDefault="00B65BEC" w:rsidP="00C16059">
      <w:pPr>
        <w:pStyle w:val="paragraphe1"/>
      </w:pPr>
      <w:r>
        <w:t>The situation with respect to broken rails has worsened compared to 2013 and to the average over the last five years, at 79.3% and 44.4% respectively. These two indicators are directly related to the activity of the infrastructure manager, who is responsible for ensuring good operating conditions on the National Railway Network.</w:t>
      </w:r>
    </w:p>
    <w:p w:rsidR="006F3ED5" w:rsidRPr="006A2FC1" w:rsidRDefault="00B65BEC" w:rsidP="00C16059">
      <w:pPr>
        <w:pStyle w:val="paragraphe1"/>
      </w:pPr>
      <w:r>
        <w:t xml:space="preserve">It should also be pointed out that in the case of SPADs, the negative trend that began in 2011 continued in 2014, with an increase of 15.4% relative to 2013 (64.8% above the average for the last five years). Again, </w:t>
      </w:r>
      <w:r>
        <w:lastRenderedPageBreak/>
        <w:t>2014 saw the highest number of incidents of this type out of the entire data series. In contrast to the situations referred to previously, this indicator is essentially associated with the activity carried out by the rail transport companies.</w:t>
      </w:r>
    </w:p>
    <w:p w:rsidR="006F3ED5" w:rsidRPr="006A2FC1" w:rsidRDefault="006F3ED5">
      <w:pPr>
        <w:spacing w:before="4" w:line="240" w:lineRule="exact"/>
        <w:rPr>
          <w:sz w:val="24"/>
          <w:szCs w:val="24"/>
        </w:rPr>
      </w:pPr>
    </w:p>
    <w:p w:rsidR="006F3ED5" w:rsidRPr="006A2FC1" w:rsidRDefault="00B65BEC" w:rsidP="008F4808">
      <w:pPr>
        <w:pStyle w:val="TITRE3"/>
      </w:pPr>
      <w:r>
        <w:t>Cost of significant accidents</w:t>
      </w:r>
    </w:p>
    <w:p w:rsidR="006F3ED5" w:rsidRPr="006A2FC1" w:rsidRDefault="00B65BEC" w:rsidP="00C16059">
      <w:pPr>
        <w:pStyle w:val="paragraphe1"/>
      </w:pPr>
      <w:r>
        <w:t>In accordance with ERA methodology, the cost of accidents is evaluated from the point of view of the costs that society as a whole would have saved if the accidents causing deaths, injuries and delays in passenger and freight train traffic had been prevented (see details in Annex C).</w:t>
      </w:r>
    </w:p>
    <w:p w:rsidR="006F3ED5" w:rsidRPr="006A2FC1" w:rsidRDefault="00B65BEC" w:rsidP="00C16059">
      <w:pPr>
        <w:pStyle w:val="figure"/>
      </w:pPr>
      <w:r>
        <w:t>Table 8 – Costs of significant accidents, 2006-2014</w:t>
      </w:r>
    </w:p>
    <w:tbl>
      <w:tblPr>
        <w:tblStyle w:val="TableGrid"/>
        <w:tblW w:w="9639" w:type="dxa"/>
        <w:tblLook w:val="04A0" w:firstRow="1" w:lastRow="0" w:firstColumn="1" w:lastColumn="0" w:noHBand="0" w:noVBand="1"/>
      </w:tblPr>
      <w:tblGrid>
        <w:gridCol w:w="2455"/>
        <w:gridCol w:w="713"/>
        <w:gridCol w:w="710"/>
        <w:gridCol w:w="713"/>
        <w:gridCol w:w="713"/>
        <w:gridCol w:w="712"/>
        <w:gridCol w:w="713"/>
        <w:gridCol w:w="787"/>
        <w:gridCol w:w="667"/>
        <w:gridCol w:w="713"/>
        <w:gridCol w:w="743"/>
      </w:tblGrid>
      <w:tr w:rsidR="00C16059" w:rsidRPr="005D6AE4" w:rsidTr="007569EA">
        <w:trPr>
          <w:cantSplit/>
          <w:trHeight w:val="1134"/>
        </w:trPr>
        <w:tc>
          <w:tcPr>
            <w:tcW w:w="2455" w:type="dxa"/>
            <w:vAlign w:val="bottom"/>
          </w:tcPr>
          <w:p w:rsidR="00C16059" w:rsidRPr="007569EA" w:rsidRDefault="00C16059" w:rsidP="007569EA">
            <w:pPr>
              <w:jc w:val="right"/>
              <w:rPr>
                <w:rFonts w:ascii="Arial" w:eastAsia="Arial" w:hAnsi="Arial" w:cs="Arial"/>
                <w:sz w:val="16"/>
                <w:szCs w:val="16"/>
              </w:rPr>
            </w:pPr>
            <w:r>
              <w:rPr>
                <w:rFonts w:ascii="Arial" w:hAnsi="Arial"/>
                <w:b/>
                <w:i/>
                <w:sz w:val="16"/>
              </w:rPr>
              <w:t>(millions of Euros)</w:t>
            </w:r>
          </w:p>
        </w:tc>
        <w:tc>
          <w:tcPr>
            <w:tcW w:w="713" w:type="dxa"/>
            <w:textDirection w:val="btLr"/>
            <w:vAlign w:val="center"/>
          </w:tcPr>
          <w:p w:rsidR="00C16059" w:rsidRPr="005D6AE4" w:rsidRDefault="00C16059" w:rsidP="00A27499">
            <w:pPr>
              <w:pStyle w:val="DoNotTranslateExternal3"/>
            </w:pPr>
            <w:r>
              <w:t>2006</w:t>
            </w:r>
          </w:p>
        </w:tc>
        <w:tc>
          <w:tcPr>
            <w:tcW w:w="710" w:type="dxa"/>
            <w:textDirection w:val="btLr"/>
            <w:vAlign w:val="center"/>
          </w:tcPr>
          <w:p w:rsidR="00C16059" w:rsidRPr="005D6AE4" w:rsidRDefault="00C16059" w:rsidP="00A27499">
            <w:pPr>
              <w:pStyle w:val="DoNotTranslateExternal3"/>
            </w:pPr>
            <w:r>
              <w:t>2007</w:t>
            </w:r>
          </w:p>
        </w:tc>
        <w:tc>
          <w:tcPr>
            <w:tcW w:w="713" w:type="dxa"/>
            <w:textDirection w:val="btLr"/>
            <w:vAlign w:val="center"/>
          </w:tcPr>
          <w:p w:rsidR="00C16059" w:rsidRPr="005D6AE4" w:rsidRDefault="00C16059" w:rsidP="00A27499">
            <w:pPr>
              <w:pStyle w:val="DoNotTranslateExternal3"/>
            </w:pPr>
            <w:r>
              <w:t>2008</w:t>
            </w:r>
          </w:p>
        </w:tc>
        <w:tc>
          <w:tcPr>
            <w:tcW w:w="713" w:type="dxa"/>
            <w:textDirection w:val="btLr"/>
            <w:vAlign w:val="center"/>
          </w:tcPr>
          <w:p w:rsidR="00C16059" w:rsidRPr="005D6AE4" w:rsidRDefault="00C16059" w:rsidP="00A27499">
            <w:pPr>
              <w:pStyle w:val="DoNotTranslateExternal3"/>
            </w:pPr>
            <w:r>
              <w:t>2009</w:t>
            </w:r>
          </w:p>
        </w:tc>
        <w:tc>
          <w:tcPr>
            <w:tcW w:w="712" w:type="dxa"/>
            <w:textDirection w:val="btLr"/>
            <w:vAlign w:val="center"/>
          </w:tcPr>
          <w:p w:rsidR="00C16059" w:rsidRPr="005D6AE4" w:rsidRDefault="00C16059" w:rsidP="00A27499">
            <w:pPr>
              <w:pStyle w:val="DoNotTranslateExternal3"/>
            </w:pPr>
            <w:r>
              <w:t>2010</w:t>
            </w:r>
          </w:p>
        </w:tc>
        <w:tc>
          <w:tcPr>
            <w:tcW w:w="713" w:type="dxa"/>
            <w:textDirection w:val="btLr"/>
            <w:vAlign w:val="center"/>
          </w:tcPr>
          <w:p w:rsidR="00C16059" w:rsidRPr="005D6AE4" w:rsidRDefault="00C16059" w:rsidP="00A27499">
            <w:pPr>
              <w:pStyle w:val="DoNotTranslateExternal3"/>
            </w:pPr>
            <w:r>
              <w:t>2011</w:t>
            </w:r>
          </w:p>
        </w:tc>
        <w:tc>
          <w:tcPr>
            <w:tcW w:w="787" w:type="dxa"/>
            <w:textDirection w:val="btLr"/>
            <w:vAlign w:val="center"/>
          </w:tcPr>
          <w:p w:rsidR="00C16059" w:rsidRPr="005D6AE4" w:rsidRDefault="00C16059" w:rsidP="00A27499">
            <w:pPr>
              <w:pStyle w:val="DoNotTranslateExternal3"/>
            </w:pPr>
            <w:r>
              <w:t>2012</w:t>
            </w:r>
          </w:p>
        </w:tc>
        <w:tc>
          <w:tcPr>
            <w:tcW w:w="667" w:type="dxa"/>
            <w:textDirection w:val="btLr"/>
            <w:vAlign w:val="center"/>
          </w:tcPr>
          <w:p w:rsidR="00C16059" w:rsidRPr="005D6AE4" w:rsidRDefault="00C16059" w:rsidP="00A27499">
            <w:pPr>
              <w:pStyle w:val="DoNotTranslateExternal3"/>
            </w:pPr>
            <w:r>
              <w:t>2013</w:t>
            </w:r>
          </w:p>
        </w:tc>
        <w:tc>
          <w:tcPr>
            <w:tcW w:w="713" w:type="dxa"/>
            <w:textDirection w:val="btLr"/>
            <w:vAlign w:val="center"/>
          </w:tcPr>
          <w:p w:rsidR="00C16059" w:rsidRPr="005D6AE4" w:rsidRDefault="00C16059" w:rsidP="00A27499">
            <w:pPr>
              <w:pStyle w:val="DoNotTranslateExternal3"/>
            </w:pPr>
            <w:r>
              <w:t>2014</w:t>
            </w:r>
          </w:p>
        </w:tc>
        <w:tc>
          <w:tcPr>
            <w:tcW w:w="743" w:type="dxa"/>
            <w:textDirection w:val="btLr"/>
            <w:vAlign w:val="center"/>
          </w:tcPr>
          <w:p w:rsidR="007569EA" w:rsidRDefault="00C16059" w:rsidP="007569EA">
            <w:pPr>
              <w:jc w:val="center"/>
              <w:rPr>
                <w:rFonts w:ascii="Arial" w:eastAsia="Arial" w:hAnsi="Arial" w:cs="Arial"/>
                <w:b/>
                <w:sz w:val="16"/>
                <w:szCs w:val="16"/>
              </w:rPr>
            </w:pPr>
            <w:r>
              <w:rPr>
                <w:rFonts w:ascii="Arial" w:hAnsi="Arial"/>
                <w:b/>
                <w:sz w:val="16"/>
              </w:rPr>
              <w:t xml:space="preserve">Average </w:t>
            </w:r>
          </w:p>
          <w:p w:rsidR="00C16059" w:rsidRPr="005D6AE4" w:rsidRDefault="00C16059" w:rsidP="007569EA">
            <w:pPr>
              <w:jc w:val="center"/>
              <w:rPr>
                <w:rFonts w:ascii="Arial" w:hAnsi="Arial" w:cs="Arial"/>
                <w:sz w:val="16"/>
                <w:szCs w:val="16"/>
              </w:rPr>
            </w:pPr>
            <w:r>
              <w:rPr>
                <w:rFonts w:ascii="Arial" w:hAnsi="Arial"/>
                <w:b/>
                <w:sz w:val="16"/>
              </w:rPr>
              <w:t>2008-2014</w:t>
            </w:r>
          </w:p>
        </w:tc>
      </w:tr>
      <w:tr w:rsidR="00C16059" w:rsidRPr="005D6AE4" w:rsidTr="007569EA">
        <w:tc>
          <w:tcPr>
            <w:tcW w:w="2455" w:type="dxa"/>
            <w:vAlign w:val="center"/>
          </w:tcPr>
          <w:p w:rsidR="00C16059" w:rsidRPr="005D6AE4" w:rsidRDefault="00C16059" w:rsidP="007569EA">
            <w:pPr>
              <w:rPr>
                <w:rFonts w:ascii="Arial" w:eastAsia="Arial" w:hAnsi="Arial" w:cs="Arial"/>
                <w:b/>
                <w:sz w:val="16"/>
                <w:szCs w:val="16"/>
              </w:rPr>
            </w:pPr>
            <w:r>
              <w:rPr>
                <w:rFonts w:ascii="Arial" w:hAnsi="Arial"/>
                <w:sz w:val="18"/>
              </w:rPr>
              <w:t>Fatalities</w:t>
            </w:r>
          </w:p>
        </w:tc>
        <w:tc>
          <w:tcPr>
            <w:tcW w:w="713" w:type="dxa"/>
            <w:vAlign w:val="center"/>
          </w:tcPr>
          <w:p w:rsidR="00C16059" w:rsidRPr="007569EA" w:rsidRDefault="007569EA" w:rsidP="007569EA">
            <w:pPr>
              <w:rPr>
                <w:rFonts w:ascii="Arial" w:hAnsi="Arial" w:cs="Arial"/>
                <w:sz w:val="18"/>
                <w:szCs w:val="18"/>
              </w:rPr>
            </w:pPr>
            <w:r>
              <w:rPr>
                <w:rFonts w:ascii="Arial" w:hAnsi="Arial"/>
                <w:sz w:val="18"/>
              </w:rPr>
              <w:t>47.24</w:t>
            </w:r>
          </w:p>
        </w:tc>
        <w:tc>
          <w:tcPr>
            <w:tcW w:w="710" w:type="dxa"/>
            <w:vAlign w:val="center"/>
          </w:tcPr>
          <w:p w:rsidR="00C16059" w:rsidRPr="007569EA" w:rsidRDefault="007569EA" w:rsidP="007569EA">
            <w:pPr>
              <w:rPr>
                <w:rFonts w:ascii="Arial" w:hAnsi="Arial" w:cs="Arial"/>
                <w:sz w:val="18"/>
                <w:szCs w:val="18"/>
              </w:rPr>
            </w:pPr>
            <w:r>
              <w:rPr>
                <w:rFonts w:ascii="Arial" w:hAnsi="Arial"/>
                <w:sz w:val="18"/>
              </w:rPr>
              <w:t>54.96</w:t>
            </w:r>
          </w:p>
        </w:tc>
        <w:tc>
          <w:tcPr>
            <w:tcW w:w="713" w:type="dxa"/>
            <w:vAlign w:val="center"/>
          </w:tcPr>
          <w:p w:rsidR="00C16059" w:rsidRPr="007569EA" w:rsidRDefault="007569EA" w:rsidP="007569EA">
            <w:pPr>
              <w:rPr>
                <w:rFonts w:ascii="Arial" w:hAnsi="Arial" w:cs="Arial"/>
                <w:sz w:val="18"/>
                <w:szCs w:val="18"/>
              </w:rPr>
            </w:pPr>
            <w:r>
              <w:rPr>
                <w:rFonts w:ascii="Arial" w:hAnsi="Arial"/>
                <w:sz w:val="18"/>
              </w:rPr>
              <w:t>40.54</w:t>
            </w:r>
          </w:p>
        </w:tc>
        <w:tc>
          <w:tcPr>
            <w:tcW w:w="713" w:type="dxa"/>
            <w:vAlign w:val="center"/>
          </w:tcPr>
          <w:p w:rsidR="00C16059" w:rsidRPr="007569EA" w:rsidRDefault="007569EA" w:rsidP="007569EA">
            <w:pPr>
              <w:rPr>
                <w:rFonts w:ascii="Arial" w:hAnsi="Arial" w:cs="Arial"/>
                <w:sz w:val="18"/>
                <w:szCs w:val="18"/>
              </w:rPr>
            </w:pPr>
            <w:r>
              <w:rPr>
                <w:rFonts w:ascii="Arial" w:hAnsi="Arial"/>
                <w:sz w:val="18"/>
              </w:rPr>
              <w:t>30.32</w:t>
            </w:r>
          </w:p>
        </w:tc>
        <w:tc>
          <w:tcPr>
            <w:tcW w:w="712" w:type="dxa"/>
            <w:vAlign w:val="center"/>
          </w:tcPr>
          <w:p w:rsidR="00C16059" w:rsidRPr="007569EA" w:rsidRDefault="007569EA" w:rsidP="007569EA">
            <w:pPr>
              <w:rPr>
                <w:rFonts w:ascii="Arial" w:hAnsi="Arial" w:cs="Arial"/>
                <w:sz w:val="18"/>
                <w:szCs w:val="18"/>
              </w:rPr>
            </w:pPr>
            <w:r>
              <w:rPr>
                <w:rFonts w:ascii="Arial" w:hAnsi="Arial"/>
                <w:sz w:val="18"/>
              </w:rPr>
              <w:t>21.2</w:t>
            </w:r>
          </w:p>
        </w:tc>
        <w:tc>
          <w:tcPr>
            <w:tcW w:w="713" w:type="dxa"/>
            <w:vAlign w:val="center"/>
          </w:tcPr>
          <w:p w:rsidR="00C16059" w:rsidRPr="007569EA" w:rsidRDefault="007569EA" w:rsidP="007569EA">
            <w:pPr>
              <w:rPr>
                <w:rFonts w:ascii="Arial" w:hAnsi="Arial" w:cs="Arial"/>
                <w:sz w:val="18"/>
                <w:szCs w:val="18"/>
              </w:rPr>
            </w:pPr>
            <w:r>
              <w:rPr>
                <w:rFonts w:ascii="Arial" w:hAnsi="Arial"/>
                <w:sz w:val="18"/>
              </w:rPr>
              <w:t>13.41</w:t>
            </w:r>
          </w:p>
        </w:tc>
        <w:tc>
          <w:tcPr>
            <w:tcW w:w="787" w:type="dxa"/>
            <w:vAlign w:val="center"/>
          </w:tcPr>
          <w:p w:rsidR="00C16059" w:rsidRPr="007569EA" w:rsidRDefault="007569EA" w:rsidP="007569EA">
            <w:pPr>
              <w:rPr>
                <w:rFonts w:ascii="Arial" w:hAnsi="Arial" w:cs="Arial"/>
                <w:sz w:val="18"/>
                <w:szCs w:val="18"/>
              </w:rPr>
            </w:pPr>
            <w:r>
              <w:rPr>
                <w:rFonts w:ascii="Arial" w:hAnsi="Arial"/>
                <w:sz w:val="18"/>
              </w:rPr>
              <w:t>22.27</w:t>
            </w:r>
          </w:p>
        </w:tc>
        <w:tc>
          <w:tcPr>
            <w:tcW w:w="667" w:type="dxa"/>
            <w:vAlign w:val="center"/>
          </w:tcPr>
          <w:p w:rsidR="00C16059" w:rsidRPr="007569EA" w:rsidRDefault="007569EA" w:rsidP="007569EA">
            <w:pPr>
              <w:rPr>
                <w:rFonts w:ascii="Arial" w:hAnsi="Arial" w:cs="Arial"/>
                <w:sz w:val="18"/>
                <w:szCs w:val="18"/>
              </w:rPr>
            </w:pPr>
            <w:r>
              <w:rPr>
                <w:rFonts w:ascii="Arial" w:hAnsi="Arial"/>
                <w:sz w:val="18"/>
              </w:rPr>
              <w:t>24.26</w:t>
            </w:r>
          </w:p>
        </w:tc>
        <w:tc>
          <w:tcPr>
            <w:tcW w:w="713" w:type="dxa"/>
            <w:vAlign w:val="center"/>
          </w:tcPr>
          <w:p w:rsidR="00C16059" w:rsidRPr="007569EA" w:rsidRDefault="007569EA" w:rsidP="007569EA">
            <w:pPr>
              <w:rPr>
                <w:rFonts w:ascii="Arial" w:hAnsi="Arial" w:cs="Arial"/>
                <w:sz w:val="18"/>
                <w:szCs w:val="18"/>
              </w:rPr>
            </w:pPr>
            <w:r>
              <w:rPr>
                <w:rFonts w:ascii="Arial" w:hAnsi="Arial"/>
                <w:sz w:val="18"/>
              </w:rPr>
              <w:t>17.73</w:t>
            </w:r>
          </w:p>
        </w:tc>
        <w:tc>
          <w:tcPr>
            <w:tcW w:w="743" w:type="dxa"/>
            <w:vAlign w:val="center"/>
          </w:tcPr>
          <w:p w:rsidR="00C16059" w:rsidRPr="007569EA" w:rsidRDefault="007569EA" w:rsidP="007569EA">
            <w:pPr>
              <w:rPr>
                <w:rFonts w:ascii="Arial" w:hAnsi="Arial" w:cs="Arial"/>
                <w:sz w:val="18"/>
                <w:szCs w:val="18"/>
              </w:rPr>
            </w:pPr>
            <w:r>
              <w:rPr>
                <w:rFonts w:ascii="Arial" w:hAnsi="Arial"/>
                <w:sz w:val="18"/>
              </w:rPr>
              <w:t>24.04</w:t>
            </w:r>
          </w:p>
        </w:tc>
      </w:tr>
      <w:tr w:rsidR="007569EA" w:rsidRPr="005D6AE4" w:rsidTr="007569EA">
        <w:tc>
          <w:tcPr>
            <w:tcW w:w="2455" w:type="dxa"/>
            <w:vAlign w:val="center"/>
          </w:tcPr>
          <w:p w:rsidR="007569EA" w:rsidRPr="007569EA" w:rsidRDefault="007569EA" w:rsidP="007569EA">
            <w:pPr>
              <w:rPr>
                <w:rFonts w:ascii="Arial" w:eastAsia="Arial" w:hAnsi="Arial" w:cs="Arial"/>
                <w:sz w:val="16"/>
                <w:szCs w:val="16"/>
              </w:rPr>
            </w:pPr>
            <w:r>
              <w:rPr>
                <w:rFonts w:ascii="Arial" w:hAnsi="Arial"/>
                <w:sz w:val="16"/>
              </w:rPr>
              <w:t>Serious injuries</w:t>
            </w:r>
          </w:p>
        </w:tc>
        <w:tc>
          <w:tcPr>
            <w:tcW w:w="713" w:type="dxa"/>
            <w:vAlign w:val="center"/>
          </w:tcPr>
          <w:p w:rsidR="007569EA" w:rsidRPr="007569EA" w:rsidRDefault="007569EA" w:rsidP="00BB2A51">
            <w:pPr>
              <w:rPr>
                <w:rFonts w:ascii="Arial" w:eastAsia="Arial" w:hAnsi="Arial" w:cs="Arial"/>
                <w:b/>
                <w:sz w:val="18"/>
                <w:szCs w:val="18"/>
              </w:rPr>
            </w:pPr>
            <w:r>
              <w:rPr>
                <w:rFonts w:ascii="Arial" w:hAnsi="Arial"/>
                <w:sz w:val="18"/>
              </w:rPr>
              <w:t>3.93</w:t>
            </w:r>
          </w:p>
        </w:tc>
        <w:tc>
          <w:tcPr>
            <w:tcW w:w="710" w:type="dxa"/>
            <w:vAlign w:val="center"/>
          </w:tcPr>
          <w:p w:rsidR="007569EA" w:rsidRPr="007569EA" w:rsidRDefault="007569EA" w:rsidP="00BB2A51">
            <w:pPr>
              <w:rPr>
                <w:rFonts w:ascii="Arial" w:hAnsi="Arial" w:cs="Arial"/>
                <w:sz w:val="18"/>
                <w:szCs w:val="18"/>
              </w:rPr>
            </w:pPr>
            <w:r>
              <w:rPr>
                <w:rFonts w:ascii="Arial" w:hAnsi="Arial"/>
                <w:sz w:val="18"/>
              </w:rPr>
              <w:t>4.31</w:t>
            </w:r>
          </w:p>
        </w:tc>
        <w:tc>
          <w:tcPr>
            <w:tcW w:w="713" w:type="dxa"/>
            <w:vAlign w:val="center"/>
          </w:tcPr>
          <w:p w:rsidR="007569EA" w:rsidRPr="007569EA" w:rsidRDefault="007569EA" w:rsidP="00BB2A51">
            <w:pPr>
              <w:rPr>
                <w:rFonts w:ascii="Arial" w:hAnsi="Arial" w:cs="Arial"/>
                <w:sz w:val="18"/>
                <w:szCs w:val="18"/>
              </w:rPr>
            </w:pPr>
            <w:r>
              <w:rPr>
                <w:rFonts w:ascii="Arial" w:hAnsi="Arial"/>
                <w:sz w:val="18"/>
              </w:rPr>
              <w:t>5.03</w:t>
            </w:r>
          </w:p>
        </w:tc>
        <w:tc>
          <w:tcPr>
            <w:tcW w:w="713" w:type="dxa"/>
            <w:vAlign w:val="center"/>
          </w:tcPr>
          <w:p w:rsidR="007569EA" w:rsidRPr="007569EA" w:rsidRDefault="007569EA" w:rsidP="00BB2A51">
            <w:pPr>
              <w:rPr>
                <w:rFonts w:ascii="Arial" w:hAnsi="Arial" w:cs="Arial"/>
                <w:sz w:val="18"/>
                <w:szCs w:val="18"/>
              </w:rPr>
            </w:pPr>
            <w:r>
              <w:rPr>
                <w:rFonts w:ascii="Arial" w:hAnsi="Arial"/>
                <w:sz w:val="18"/>
              </w:rPr>
              <w:t>2.28</w:t>
            </w:r>
          </w:p>
        </w:tc>
        <w:tc>
          <w:tcPr>
            <w:tcW w:w="712" w:type="dxa"/>
            <w:vAlign w:val="center"/>
          </w:tcPr>
          <w:p w:rsidR="007569EA" w:rsidRPr="007569EA" w:rsidRDefault="007569EA" w:rsidP="00BB2A51">
            <w:pPr>
              <w:rPr>
                <w:rFonts w:ascii="Arial" w:hAnsi="Arial" w:cs="Arial"/>
                <w:sz w:val="18"/>
                <w:szCs w:val="18"/>
              </w:rPr>
            </w:pPr>
            <w:r>
              <w:rPr>
                <w:rFonts w:ascii="Arial" w:hAnsi="Arial"/>
                <w:sz w:val="18"/>
              </w:rPr>
              <w:t>2.06</w:t>
            </w:r>
          </w:p>
        </w:tc>
        <w:tc>
          <w:tcPr>
            <w:tcW w:w="713" w:type="dxa"/>
            <w:vAlign w:val="center"/>
          </w:tcPr>
          <w:p w:rsidR="007569EA" w:rsidRPr="007569EA" w:rsidRDefault="007569EA" w:rsidP="00BB2A51">
            <w:pPr>
              <w:rPr>
                <w:rFonts w:ascii="Arial" w:hAnsi="Arial" w:cs="Arial"/>
                <w:sz w:val="18"/>
                <w:szCs w:val="18"/>
              </w:rPr>
            </w:pPr>
            <w:r>
              <w:rPr>
                <w:rFonts w:ascii="Arial" w:hAnsi="Arial"/>
                <w:sz w:val="18"/>
              </w:rPr>
              <w:t>1.28</w:t>
            </w:r>
          </w:p>
        </w:tc>
        <w:tc>
          <w:tcPr>
            <w:tcW w:w="787" w:type="dxa"/>
            <w:vAlign w:val="center"/>
          </w:tcPr>
          <w:p w:rsidR="007569EA" w:rsidRPr="007569EA" w:rsidRDefault="007569EA" w:rsidP="00BB2A51">
            <w:pPr>
              <w:rPr>
                <w:rFonts w:ascii="Arial" w:hAnsi="Arial" w:cs="Arial"/>
                <w:sz w:val="18"/>
                <w:szCs w:val="18"/>
              </w:rPr>
            </w:pPr>
            <w:r>
              <w:rPr>
                <w:rFonts w:ascii="Arial" w:hAnsi="Arial"/>
                <w:sz w:val="18"/>
              </w:rPr>
              <w:t>1.99</w:t>
            </w:r>
          </w:p>
        </w:tc>
        <w:tc>
          <w:tcPr>
            <w:tcW w:w="667" w:type="dxa"/>
            <w:vAlign w:val="center"/>
          </w:tcPr>
          <w:p w:rsidR="007569EA" w:rsidRPr="007569EA" w:rsidRDefault="007569EA" w:rsidP="00BB2A51">
            <w:pPr>
              <w:rPr>
                <w:rFonts w:ascii="Arial" w:hAnsi="Arial" w:cs="Arial"/>
                <w:sz w:val="18"/>
                <w:szCs w:val="18"/>
              </w:rPr>
            </w:pPr>
            <w:r>
              <w:rPr>
                <w:rFonts w:ascii="Arial" w:hAnsi="Arial"/>
                <w:sz w:val="18"/>
              </w:rPr>
              <w:t>1.75</w:t>
            </w:r>
          </w:p>
        </w:tc>
        <w:tc>
          <w:tcPr>
            <w:tcW w:w="713" w:type="dxa"/>
            <w:vAlign w:val="center"/>
          </w:tcPr>
          <w:p w:rsidR="007569EA" w:rsidRPr="007569EA" w:rsidRDefault="007569EA" w:rsidP="00BB2A51">
            <w:pPr>
              <w:rPr>
                <w:rFonts w:ascii="Arial" w:hAnsi="Arial" w:cs="Arial"/>
                <w:sz w:val="18"/>
                <w:szCs w:val="18"/>
              </w:rPr>
            </w:pPr>
            <w:r>
              <w:rPr>
                <w:rFonts w:ascii="Arial" w:hAnsi="Arial"/>
                <w:sz w:val="18"/>
              </w:rPr>
              <w:t>2.62</w:t>
            </w:r>
          </w:p>
        </w:tc>
        <w:tc>
          <w:tcPr>
            <w:tcW w:w="743" w:type="dxa"/>
            <w:vAlign w:val="center"/>
          </w:tcPr>
          <w:p w:rsidR="007569EA" w:rsidRPr="007569EA" w:rsidRDefault="007569EA" w:rsidP="00BB2A51">
            <w:pPr>
              <w:rPr>
                <w:rFonts w:ascii="Arial" w:hAnsi="Arial" w:cs="Arial"/>
                <w:sz w:val="18"/>
                <w:szCs w:val="18"/>
              </w:rPr>
            </w:pPr>
            <w:r>
              <w:rPr>
                <w:rFonts w:ascii="Arial" w:hAnsi="Arial"/>
                <w:sz w:val="18"/>
              </w:rPr>
              <w:t>2.40</w:t>
            </w:r>
          </w:p>
        </w:tc>
      </w:tr>
      <w:tr w:rsidR="007569EA" w:rsidRPr="00C16059" w:rsidTr="007569EA">
        <w:trPr>
          <w:trHeight w:val="542"/>
        </w:trPr>
        <w:tc>
          <w:tcPr>
            <w:tcW w:w="2455" w:type="dxa"/>
            <w:vAlign w:val="center"/>
          </w:tcPr>
          <w:p w:rsidR="007569EA" w:rsidRPr="005D6AE4" w:rsidRDefault="007569EA" w:rsidP="007569EA">
            <w:pPr>
              <w:rPr>
                <w:rFonts w:ascii="Arial" w:eastAsia="Arial" w:hAnsi="Arial" w:cs="Arial"/>
                <w:b/>
                <w:sz w:val="16"/>
                <w:szCs w:val="16"/>
              </w:rPr>
            </w:pPr>
            <w:r>
              <w:rPr>
                <w:rFonts w:ascii="Arial" w:hAnsi="Arial"/>
                <w:sz w:val="18"/>
              </w:rPr>
              <w:t>Cost of replacement or repair of damaged rolling stock or infrastructure</w:t>
            </w:r>
          </w:p>
        </w:tc>
        <w:tc>
          <w:tcPr>
            <w:tcW w:w="713" w:type="dxa"/>
            <w:vAlign w:val="center"/>
          </w:tcPr>
          <w:p w:rsidR="007569EA" w:rsidRPr="007569EA" w:rsidRDefault="007569EA" w:rsidP="007569EA">
            <w:pPr>
              <w:rPr>
                <w:rFonts w:ascii="Arial" w:hAnsi="Arial" w:cs="Arial"/>
                <w:sz w:val="18"/>
                <w:szCs w:val="18"/>
              </w:rPr>
            </w:pPr>
            <w:r>
              <w:rPr>
                <w:rFonts w:ascii="Arial" w:hAnsi="Arial"/>
                <w:sz w:val="18"/>
              </w:rPr>
              <w:t>n.a.</w:t>
            </w:r>
          </w:p>
        </w:tc>
        <w:tc>
          <w:tcPr>
            <w:tcW w:w="710" w:type="dxa"/>
            <w:vAlign w:val="center"/>
          </w:tcPr>
          <w:p w:rsidR="007569EA" w:rsidRPr="007569EA" w:rsidRDefault="007569EA" w:rsidP="007569EA">
            <w:pPr>
              <w:rPr>
                <w:rFonts w:ascii="Arial" w:hAnsi="Arial" w:cs="Arial"/>
                <w:sz w:val="18"/>
                <w:szCs w:val="18"/>
              </w:rPr>
            </w:pPr>
            <w:r>
              <w:rPr>
                <w:rFonts w:ascii="Arial" w:hAnsi="Arial"/>
                <w:sz w:val="18"/>
              </w:rPr>
              <w:t>n.a.</w:t>
            </w:r>
          </w:p>
        </w:tc>
        <w:tc>
          <w:tcPr>
            <w:tcW w:w="713" w:type="dxa"/>
            <w:vAlign w:val="center"/>
          </w:tcPr>
          <w:p w:rsidR="007569EA" w:rsidRPr="007569EA" w:rsidRDefault="007569EA" w:rsidP="007569EA">
            <w:pPr>
              <w:rPr>
                <w:rFonts w:ascii="Arial" w:hAnsi="Arial" w:cs="Arial"/>
                <w:sz w:val="18"/>
                <w:szCs w:val="18"/>
              </w:rPr>
            </w:pPr>
            <w:r>
              <w:rPr>
                <w:rFonts w:ascii="Arial" w:hAnsi="Arial"/>
                <w:sz w:val="18"/>
              </w:rPr>
              <w:t>0.75</w:t>
            </w:r>
          </w:p>
        </w:tc>
        <w:tc>
          <w:tcPr>
            <w:tcW w:w="713" w:type="dxa"/>
            <w:vAlign w:val="center"/>
          </w:tcPr>
          <w:p w:rsidR="007569EA" w:rsidRPr="007569EA" w:rsidRDefault="007569EA" w:rsidP="007569EA">
            <w:pPr>
              <w:rPr>
                <w:rFonts w:ascii="Arial" w:hAnsi="Arial" w:cs="Arial"/>
                <w:sz w:val="18"/>
                <w:szCs w:val="18"/>
              </w:rPr>
            </w:pPr>
            <w:r>
              <w:rPr>
                <w:rFonts w:ascii="Arial" w:hAnsi="Arial"/>
                <w:sz w:val="18"/>
              </w:rPr>
              <w:t>0.6</w:t>
            </w:r>
          </w:p>
        </w:tc>
        <w:tc>
          <w:tcPr>
            <w:tcW w:w="712" w:type="dxa"/>
            <w:vAlign w:val="center"/>
          </w:tcPr>
          <w:p w:rsidR="007569EA" w:rsidRPr="007569EA" w:rsidRDefault="007569EA" w:rsidP="007569EA">
            <w:pPr>
              <w:rPr>
                <w:rFonts w:ascii="Arial" w:hAnsi="Arial" w:cs="Arial"/>
                <w:sz w:val="18"/>
                <w:szCs w:val="18"/>
              </w:rPr>
            </w:pPr>
            <w:r>
              <w:rPr>
                <w:rFonts w:ascii="Arial" w:hAnsi="Arial"/>
                <w:sz w:val="18"/>
              </w:rPr>
              <w:t>2.243</w:t>
            </w:r>
          </w:p>
        </w:tc>
        <w:tc>
          <w:tcPr>
            <w:tcW w:w="713" w:type="dxa"/>
            <w:vAlign w:val="center"/>
          </w:tcPr>
          <w:p w:rsidR="007569EA" w:rsidRPr="007569EA" w:rsidRDefault="007569EA" w:rsidP="007569EA">
            <w:pPr>
              <w:rPr>
                <w:rFonts w:ascii="Arial" w:hAnsi="Arial" w:cs="Arial"/>
                <w:sz w:val="18"/>
                <w:szCs w:val="18"/>
              </w:rPr>
            </w:pPr>
            <w:r>
              <w:rPr>
                <w:rFonts w:ascii="Arial" w:hAnsi="Arial"/>
                <w:sz w:val="18"/>
              </w:rPr>
              <w:t>0.69</w:t>
            </w:r>
          </w:p>
        </w:tc>
        <w:tc>
          <w:tcPr>
            <w:tcW w:w="787" w:type="dxa"/>
            <w:vAlign w:val="center"/>
          </w:tcPr>
          <w:p w:rsidR="007569EA" w:rsidRPr="007569EA" w:rsidRDefault="007569EA" w:rsidP="007569EA">
            <w:pPr>
              <w:rPr>
                <w:rFonts w:ascii="Arial" w:hAnsi="Arial" w:cs="Arial"/>
                <w:sz w:val="18"/>
                <w:szCs w:val="18"/>
              </w:rPr>
            </w:pPr>
            <w:r>
              <w:rPr>
                <w:rFonts w:ascii="Arial" w:hAnsi="Arial"/>
                <w:sz w:val="18"/>
              </w:rPr>
              <w:t>0.24</w:t>
            </w:r>
          </w:p>
        </w:tc>
        <w:tc>
          <w:tcPr>
            <w:tcW w:w="667" w:type="dxa"/>
            <w:vAlign w:val="center"/>
          </w:tcPr>
          <w:p w:rsidR="007569EA" w:rsidRPr="007569EA" w:rsidRDefault="007569EA" w:rsidP="007569EA">
            <w:pPr>
              <w:rPr>
                <w:rFonts w:ascii="Arial" w:hAnsi="Arial" w:cs="Arial"/>
                <w:sz w:val="18"/>
                <w:szCs w:val="18"/>
              </w:rPr>
            </w:pPr>
            <w:r>
              <w:rPr>
                <w:rFonts w:ascii="Arial" w:hAnsi="Arial"/>
                <w:sz w:val="18"/>
              </w:rPr>
              <w:t>6.29</w:t>
            </w:r>
          </w:p>
        </w:tc>
        <w:tc>
          <w:tcPr>
            <w:tcW w:w="713" w:type="dxa"/>
            <w:vAlign w:val="center"/>
          </w:tcPr>
          <w:p w:rsidR="007569EA" w:rsidRPr="007569EA" w:rsidRDefault="007569EA" w:rsidP="007569EA">
            <w:pPr>
              <w:rPr>
                <w:rFonts w:ascii="Arial" w:hAnsi="Arial" w:cs="Arial"/>
                <w:sz w:val="18"/>
                <w:szCs w:val="18"/>
              </w:rPr>
            </w:pPr>
            <w:r>
              <w:rPr>
                <w:rFonts w:ascii="Arial" w:hAnsi="Arial"/>
                <w:sz w:val="18"/>
              </w:rPr>
              <w:t>0.84</w:t>
            </w:r>
          </w:p>
        </w:tc>
        <w:tc>
          <w:tcPr>
            <w:tcW w:w="743" w:type="dxa"/>
            <w:vAlign w:val="center"/>
          </w:tcPr>
          <w:p w:rsidR="007569EA" w:rsidRPr="007569EA" w:rsidRDefault="007569EA" w:rsidP="007569EA">
            <w:pPr>
              <w:rPr>
                <w:rFonts w:ascii="Arial" w:hAnsi="Arial" w:cs="Arial"/>
                <w:sz w:val="18"/>
                <w:szCs w:val="18"/>
              </w:rPr>
            </w:pPr>
            <w:r>
              <w:rPr>
                <w:rFonts w:ascii="Arial" w:hAnsi="Arial"/>
                <w:sz w:val="18"/>
              </w:rPr>
              <w:t>1.66</w:t>
            </w:r>
          </w:p>
        </w:tc>
      </w:tr>
      <w:tr w:rsidR="007569EA" w:rsidRPr="00C16059" w:rsidTr="007569EA">
        <w:tc>
          <w:tcPr>
            <w:tcW w:w="2455" w:type="dxa"/>
            <w:vAlign w:val="center"/>
          </w:tcPr>
          <w:p w:rsidR="007569EA" w:rsidRPr="005D6AE4" w:rsidRDefault="007569EA" w:rsidP="007569EA">
            <w:pPr>
              <w:rPr>
                <w:rFonts w:ascii="Arial" w:eastAsia="Arial" w:hAnsi="Arial" w:cs="Arial"/>
                <w:b/>
                <w:sz w:val="16"/>
                <w:szCs w:val="16"/>
              </w:rPr>
            </w:pPr>
            <w:r>
              <w:rPr>
                <w:rFonts w:ascii="Arial" w:hAnsi="Arial"/>
                <w:sz w:val="18"/>
              </w:rPr>
              <w:t>Cost of delays</w:t>
            </w:r>
          </w:p>
        </w:tc>
        <w:tc>
          <w:tcPr>
            <w:tcW w:w="713" w:type="dxa"/>
            <w:vAlign w:val="center"/>
          </w:tcPr>
          <w:p w:rsidR="007569EA" w:rsidRPr="007569EA" w:rsidRDefault="007569EA" w:rsidP="007569EA">
            <w:pPr>
              <w:rPr>
                <w:rFonts w:ascii="Arial" w:hAnsi="Arial" w:cs="Arial"/>
                <w:sz w:val="18"/>
                <w:szCs w:val="18"/>
              </w:rPr>
            </w:pPr>
            <w:r>
              <w:rPr>
                <w:rFonts w:ascii="Arial" w:hAnsi="Arial"/>
                <w:sz w:val="18"/>
              </w:rPr>
              <w:t>0.94</w:t>
            </w:r>
          </w:p>
        </w:tc>
        <w:tc>
          <w:tcPr>
            <w:tcW w:w="710" w:type="dxa"/>
            <w:vAlign w:val="center"/>
          </w:tcPr>
          <w:p w:rsidR="007569EA" w:rsidRPr="007569EA" w:rsidRDefault="007569EA" w:rsidP="007569EA">
            <w:pPr>
              <w:rPr>
                <w:rFonts w:ascii="Arial" w:hAnsi="Arial" w:cs="Arial"/>
                <w:sz w:val="18"/>
                <w:szCs w:val="18"/>
              </w:rPr>
            </w:pPr>
            <w:r>
              <w:rPr>
                <w:rFonts w:ascii="Arial" w:hAnsi="Arial"/>
                <w:sz w:val="18"/>
              </w:rPr>
              <w:t>0.98</w:t>
            </w:r>
          </w:p>
        </w:tc>
        <w:tc>
          <w:tcPr>
            <w:tcW w:w="713" w:type="dxa"/>
            <w:vAlign w:val="center"/>
          </w:tcPr>
          <w:p w:rsidR="007569EA" w:rsidRPr="007569EA" w:rsidRDefault="007569EA" w:rsidP="007569EA">
            <w:pPr>
              <w:rPr>
                <w:rFonts w:ascii="Arial" w:hAnsi="Arial" w:cs="Arial"/>
                <w:sz w:val="18"/>
                <w:szCs w:val="18"/>
              </w:rPr>
            </w:pPr>
            <w:r>
              <w:rPr>
                <w:rFonts w:ascii="Arial" w:hAnsi="Arial"/>
                <w:sz w:val="18"/>
              </w:rPr>
              <w:t>1.37</w:t>
            </w:r>
          </w:p>
        </w:tc>
        <w:tc>
          <w:tcPr>
            <w:tcW w:w="713" w:type="dxa"/>
            <w:vAlign w:val="center"/>
          </w:tcPr>
          <w:p w:rsidR="007569EA" w:rsidRPr="007569EA" w:rsidRDefault="007569EA" w:rsidP="007569EA">
            <w:pPr>
              <w:rPr>
                <w:rFonts w:ascii="Arial" w:hAnsi="Arial" w:cs="Arial"/>
                <w:sz w:val="18"/>
                <w:szCs w:val="18"/>
              </w:rPr>
            </w:pPr>
            <w:r>
              <w:rPr>
                <w:rFonts w:ascii="Arial" w:hAnsi="Arial"/>
                <w:sz w:val="18"/>
              </w:rPr>
              <w:t>0.39</w:t>
            </w:r>
          </w:p>
        </w:tc>
        <w:tc>
          <w:tcPr>
            <w:tcW w:w="712" w:type="dxa"/>
            <w:vAlign w:val="center"/>
          </w:tcPr>
          <w:p w:rsidR="007569EA" w:rsidRPr="007569EA" w:rsidRDefault="007569EA" w:rsidP="007569EA">
            <w:pPr>
              <w:rPr>
                <w:rFonts w:ascii="Arial" w:hAnsi="Arial" w:cs="Arial"/>
                <w:sz w:val="18"/>
                <w:szCs w:val="18"/>
              </w:rPr>
            </w:pPr>
            <w:r>
              <w:rPr>
                <w:rFonts w:ascii="Arial" w:hAnsi="Arial"/>
                <w:sz w:val="18"/>
              </w:rPr>
              <w:t>0.79</w:t>
            </w:r>
          </w:p>
        </w:tc>
        <w:tc>
          <w:tcPr>
            <w:tcW w:w="713" w:type="dxa"/>
            <w:vAlign w:val="center"/>
          </w:tcPr>
          <w:p w:rsidR="007569EA" w:rsidRPr="007569EA" w:rsidRDefault="007569EA" w:rsidP="007569EA">
            <w:pPr>
              <w:rPr>
                <w:rFonts w:ascii="Arial" w:hAnsi="Arial" w:cs="Arial"/>
                <w:sz w:val="18"/>
                <w:szCs w:val="18"/>
              </w:rPr>
            </w:pPr>
            <w:r>
              <w:rPr>
                <w:rFonts w:ascii="Arial" w:hAnsi="Arial"/>
                <w:sz w:val="18"/>
              </w:rPr>
              <w:t>0.38</w:t>
            </w:r>
          </w:p>
        </w:tc>
        <w:tc>
          <w:tcPr>
            <w:tcW w:w="787" w:type="dxa"/>
            <w:vAlign w:val="center"/>
          </w:tcPr>
          <w:p w:rsidR="007569EA" w:rsidRPr="007569EA" w:rsidRDefault="007569EA" w:rsidP="007569EA">
            <w:pPr>
              <w:rPr>
                <w:rFonts w:ascii="Arial" w:hAnsi="Arial" w:cs="Arial"/>
                <w:sz w:val="18"/>
                <w:szCs w:val="18"/>
              </w:rPr>
            </w:pPr>
            <w:r>
              <w:rPr>
                <w:rFonts w:ascii="Arial" w:hAnsi="Arial"/>
                <w:sz w:val="18"/>
              </w:rPr>
              <w:t>0.46</w:t>
            </w:r>
          </w:p>
        </w:tc>
        <w:tc>
          <w:tcPr>
            <w:tcW w:w="667" w:type="dxa"/>
            <w:vAlign w:val="center"/>
          </w:tcPr>
          <w:p w:rsidR="007569EA" w:rsidRPr="007569EA" w:rsidRDefault="007569EA" w:rsidP="007569EA">
            <w:pPr>
              <w:rPr>
                <w:rFonts w:ascii="Arial" w:hAnsi="Arial" w:cs="Arial"/>
                <w:sz w:val="18"/>
                <w:szCs w:val="18"/>
              </w:rPr>
            </w:pPr>
            <w:r>
              <w:rPr>
                <w:rFonts w:ascii="Arial" w:hAnsi="Arial"/>
                <w:sz w:val="18"/>
              </w:rPr>
              <w:t>1.20</w:t>
            </w:r>
          </w:p>
        </w:tc>
        <w:tc>
          <w:tcPr>
            <w:tcW w:w="713" w:type="dxa"/>
            <w:vAlign w:val="center"/>
          </w:tcPr>
          <w:p w:rsidR="007569EA" w:rsidRPr="007569EA" w:rsidRDefault="007569EA" w:rsidP="007569EA">
            <w:pPr>
              <w:rPr>
                <w:rFonts w:ascii="Arial" w:hAnsi="Arial" w:cs="Arial"/>
                <w:sz w:val="18"/>
                <w:szCs w:val="18"/>
              </w:rPr>
            </w:pPr>
            <w:r>
              <w:rPr>
                <w:rFonts w:ascii="Arial" w:hAnsi="Arial"/>
                <w:sz w:val="18"/>
              </w:rPr>
              <w:t>1.02</w:t>
            </w:r>
          </w:p>
        </w:tc>
        <w:tc>
          <w:tcPr>
            <w:tcW w:w="743" w:type="dxa"/>
            <w:vAlign w:val="center"/>
          </w:tcPr>
          <w:p w:rsidR="007569EA" w:rsidRPr="007569EA" w:rsidRDefault="007569EA" w:rsidP="007569EA">
            <w:pPr>
              <w:rPr>
                <w:rFonts w:ascii="Arial" w:hAnsi="Arial" w:cs="Arial"/>
                <w:sz w:val="18"/>
                <w:szCs w:val="18"/>
              </w:rPr>
            </w:pPr>
            <w:r>
              <w:rPr>
                <w:rFonts w:ascii="Arial" w:hAnsi="Arial"/>
                <w:sz w:val="18"/>
              </w:rPr>
              <w:t>0.80</w:t>
            </w:r>
          </w:p>
        </w:tc>
      </w:tr>
      <w:tr w:rsidR="007569EA" w:rsidRPr="007569EA" w:rsidTr="007569EA">
        <w:tc>
          <w:tcPr>
            <w:tcW w:w="2455" w:type="dxa"/>
            <w:vAlign w:val="center"/>
          </w:tcPr>
          <w:p w:rsidR="007569EA" w:rsidRPr="007569EA" w:rsidRDefault="007569EA" w:rsidP="007569EA">
            <w:pPr>
              <w:rPr>
                <w:rFonts w:ascii="Arial" w:eastAsia="Arial" w:hAnsi="Arial" w:cs="Arial"/>
                <w:b/>
                <w:sz w:val="16"/>
                <w:szCs w:val="16"/>
              </w:rPr>
            </w:pPr>
            <w:r>
              <w:rPr>
                <w:rFonts w:ascii="Arial" w:hAnsi="Arial"/>
                <w:b/>
                <w:sz w:val="18"/>
              </w:rPr>
              <w:t>Total cost</w:t>
            </w:r>
          </w:p>
        </w:tc>
        <w:tc>
          <w:tcPr>
            <w:tcW w:w="713" w:type="dxa"/>
            <w:vAlign w:val="center"/>
          </w:tcPr>
          <w:p w:rsidR="007569EA" w:rsidRPr="007569EA" w:rsidRDefault="007569EA" w:rsidP="007569EA">
            <w:pPr>
              <w:rPr>
                <w:rFonts w:ascii="Arial" w:hAnsi="Arial" w:cs="Arial"/>
                <w:b/>
                <w:sz w:val="18"/>
                <w:szCs w:val="18"/>
              </w:rPr>
            </w:pPr>
            <w:r>
              <w:rPr>
                <w:rFonts w:ascii="Arial" w:hAnsi="Arial"/>
                <w:b/>
                <w:sz w:val="18"/>
              </w:rPr>
              <w:t>52.11</w:t>
            </w:r>
          </w:p>
        </w:tc>
        <w:tc>
          <w:tcPr>
            <w:tcW w:w="710" w:type="dxa"/>
            <w:vAlign w:val="center"/>
          </w:tcPr>
          <w:p w:rsidR="007569EA" w:rsidRPr="007569EA" w:rsidRDefault="007569EA" w:rsidP="007569EA">
            <w:pPr>
              <w:rPr>
                <w:rFonts w:ascii="Arial" w:hAnsi="Arial" w:cs="Arial"/>
                <w:b/>
                <w:sz w:val="18"/>
                <w:szCs w:val="18"/>
              </w:rPr>
            </w:pPr>
            <w:r>
              <w:rPr>
                <w:rFonts w:ascii="Arial" w:hAnsi="Arial"/>
                <w:b/>
                <w:sz w:val="18"/>
              </w:rPr>
              <w:t>60.25</w:t>
            </w:r>
          </w:p>
        </w:tc>
        <w:tc>
          <w:tcPr>
            <w:tcW w:w="713" w:type="dxa"/>
            <w:vAlign w:val="center"/>
          </w:tcPr>
          <w:p w:rsidR="007569EA" w:rsidRPr="007569EA" w:rsidRDefault="007569EA" w:rsidP="007569EA">
            <w:pPr>
              <w:rPr>
                <w:rFonts w:ascii="Arial" w:hAnsi="Arial" w:cs="Arial"/>
                <w:b/>
                <w:sz w:val="18"/>
                <w:szCs w:val="18"/>
              </w:rPr>
            </w:pPr>
            <w:r>
              <w:rPr>
                <w:rFonts w:ascii="Arial" w:hAnsi="Arial"/>
                <w:b/>
                <w:sz w:val="18"/>
              </w:rPr>
              <w:t>47.69</w:t>
            </w:r>
          </w:p>
        </w:tc>
        <w:tc>
          <w:tcPr>
            <w:tcW w:w="713" w:type="dxa"/>
            <w:vAlign w:val="center"/>
          </w:tcPr>
          <w:p w:rsidR="007569EA" w:rsidRPr="007569EA" w:rsidRDefault="007569EA" w:rsidP="007569EA">
            <w:pPr>
              <w:rPr>
                <w:rFonts w:ascii="Arial" w:hAnsi="Arial" w:cs="Arial"/>
                <w:b/>
                <w:sz w:val="18"/>
                <w:szCs w:val="18"/>
              </w:rPr>
            </w:pPr>
            <w:r>
              <w:rPr>
                <w:rFonts w:ascii="Arial" w:hAnsi="Arial"/>
                <w:b/>
                <w:sz w:val="18"/>
              </w:rPr>
              <w:t>33.59</w:t>
            </w:r>
          </w:p>
        </w:tc>
        <w:tc>
          <w:tcPr>
            <w:tcW w:w="712" w:type="dxa"/>
            <w:vAlign w:val="center"/>
          </w:tcPr>
          <w:p w:rsidR="007569EA" w:rsidRPr="007569EA" w:rsidRDefault="007569EA" w:rsidP="007569EA">
            <w:pPr>
              <w:rPr>
                <w:rFonts w:ascii="Arial" w:hAnsi="Arial" w:cs="Arial"/>
                <w:b/>
                <w:sz w:val="18"/>
                <w:szCs w:val="18"/>
              </w:rPr>
            </w:pPr>
            <w:r>
              <w:rPr>
                <w:rFonts w:ascii="Arial" w:hAnsi="Arial"/>
                <w:b/>
                <w:sz w:val="18"/>
              </w:rPr>
              <w:t>26.29</w:t>
            </w:r>
          </w:p>
        </w:tc>
        <w:tc>
          <w:tcPr>
            <w:tcW w:w="713" w:type="dxa"/>
            <w:vAlign w:val="center"/>
          </w:tcPr>
          <w:p w:rsidR="007569EA" w:rsidRPr="007569EA" w:rsidRDefault="007569EA" w:rsidP="007569EA">
            <w:pPr>
              <w:rPr>
                <w:rFonts w:ascii="Arial" w:hAnsi="Arial" w:cs="Arial"/>
                <w:b/>
                <w:sz w:val="18"/>
                <w:szCs w:val="18"/>
              </w:rPr>
            </w:pPr>
            <w:r>
              <w:rPr>
                <w:rFonts w:ascii="Arial" w:hAnsi="Arial"/>
                <w:b/>
                <w:sz w:val="18"/>
              </w:rPr>
              <w:t>15.75</w:t>
            </w:r>
          </w:p>
        </w:tc>
        <w:tc>
          <w:tcPr>
            <w:tcW w:w="787" w:type="dxa"/>
            <w:vAlign w:val="center"/>
          </w:tcPr>
          <w:p w:rsidR="007569EA" w:rsidRPr="007569EA" w:rsidRDefault="007569EA" w:rsidP="007569EA">
            <w:pPr>
              <w:rPr>
                <w:rFonts w:ascii="Arial" w:hAnsi="Arial" w:cs="Arial"/>
                <w:b/>
                <w:sz w:val="18"/>
                <w:szCs w:val="18"/>
              </w:rPr>
            </w:pPr>
            <w:r>
              <w:rPr>
                <w:rFonts w:ascii="Arial" w:hAnsi="Arial"/>
                <w:b/>
                <w:sz w:val="18"/>
              </w:rPr>
              <w:t>24.96</w:t>
            </w:r>
          </w:p>
        </w:tc>
        <w:tc>
          <w:tcPr>
            <w:tcW w:w="667" w:type="dxa"/>
            <w:vAlign w:val="center"/>
          </w:tcPr>
          <w:p w:rsidR="007569EA" w:rsidRPr="007569EA" w:rsidRDefault="007569EA" w:rsidP="007569EA">
            <w:pPr>
              <w:rPr>
                <w:rFonts w:ascii="Arial" w:hAnsi="Arial" w:cs="Arial"/>
                <w:b/>
                <w:sz w:val="18"/>
                <w:szCs w:val="18"/>
              </w:rPr>
            </w:pPr>
            <w:r>
              <w:rPr>
                <w:rFonts w:ascii="Arial" w:hAnsi="Arial"/>
                <w:b/>
                <w:sz w:val="18"/>
              </w:rPr>
              <w:t>33.49</w:t>
            </w:r>
          </w:p>
        </w:tc>
        <w:tc>
          <w:tcPr>
            <w:tcW w:w="713" w:type="dxa"/>
            <w:vAlign w:val="center"/>
          </w:tcPr>
          <w:p w:rsidR="007569EA" w:rsidRPr="007569EA" w:rsidRDefault="007569EA" w:rsidP="007569EA">
            <w:pPr>
              <w:rPr>
                <w:rFonts w:ascii="Arial" w:hAnsi="Arial" w:cs="Arial"/>
                <w:b/>
                <w:sz w:val="18"/>
                <w:szCs w:val="18"/>
              </w:rPr>
            </w:pPr>
            <w:r>
              <w:rPr>
                <w:rFonts w:ascii="Arial" w:hAnsi="Arial"/>
                <w:b/>
                <w:sz w:val="18"/>
              </w:rPr>
              <w:t>22.21</w:t>
            </w:r>
          </w:p>
        </w:tc>
        <w:tc>
          <w:tcPr>
            <w:tcW w:w="743" w:type="dxa"/>
            <w:vAlign w:val="center"/>
          </w:tcPr>
          <w:p w:rsidR="007569EA" w:rsidRPr="007569EA" w:rsidRDefault="007569EA" w:rsidP="007569EA">
            <w:pPr>
              <w:rPr>
                <w:rFonts w:ascii="Arial" w:hAnsi="Arial" w:cs="Arial"/>
                <w:b/>
                <w:sz w:val="18"/>
                <w:szCs w:val="18"/>
              </w:rPr>
            </w:pPr>
            <w:r>
              <w:rPr>
                <w:rFonts w:ascii="Arial" w:hAnsi="Arial"/>
                <w:b/>
                <w:sz w:val="18"/>
              </w:rPr>
              <w:t>28.91</w:t>
            </w:r>
          </w:p>
        </w:tc>
      </w:tr>
    </w:tbl>
    <w:p w:rsidR="006F3ED5" w:rsidRPr="006A2FC1" w:rsidRDefault="006F3ED5">
      <w:pPr>
        <w:spacing w:before="14" w:line="240" w:lineRule="exact"/>
        <w:rPr>
          <w:sz w:val="24"/>
          <w:szCs w:val="24"/>
        </w:rPr>
      </w:pPr>
    </w:p>
    <w:p w:rsidR="006F3ED5" w:rsidRPr="006A2FC1" w:rsidRDefault="00B65BEC" w:rsidP="007569EA">
      <w:pPr>
        <w:pStyle w:val="paragraphe1"/>
      </w:pPr>
      <w:r>
        <w:t>Amounts were calculated from the figures defined for Portugal in the corresponding ERA tables for the cost of fatalities and serious injuries, corrected on a linear basis by growth in per capita GDP between 2002 and 2014 (EUR 13 600 and EUR 15 800, respectively).</w:t>
      </w:r>
    </w:p>
    <w:p w:rsidR="007569EA" w:rsidRPr="006A2FC1" w:rsidRDefault="007569EA" w:rsidP="007569EA">
      <w:pPr>
        <w:pStyle w:val="paragraphe1"/>
      </w:pPr>
      <w:r>
        <w:t>Although the number of significant accidents in 2014 increased by 4.2% compared to 2013, the costs to society due to accidents dropped by 34% (Table 8), mainly due to a reduction in fatalities (26.9% fewer than in 2013). However, costs associated with serious injuries increased by almost 50% compared to 2013. Despite this, costs associated with fatalities made up 80% of total costs in 2014 (Chart 14).</w:t>
      </w:r>
    </w:p>
    <w:p w:rsidR="006F3ED5" w:rsidRPr="006A2FC1" w:rsidRDefault="006F3ED5">
      <w:pPr>
        <w:spacing w:line="160" w:lineRule="exact"/>
        <w:rPr>
          <w:sz w:val="16"/>
          <w:szCs w:val="16"/>
        </w:rPr>
      </w:pPr>
    </w:p>
    <w:p w:rsidR="006F3ED5" w:rsidRPr="006A2FC1" w:rsidRDefault="00B65BEC" w:rsidP="007569EA">
      <w:pPr>
        <w:pStyle w:val="figure"/>
      </w:pPr>
      <w:r>
        <w:lastRenderedPageBreak/>
        <w:t>Chart 14 – Weight of cost categories out of total costs, 2014</w:t>
      </w:r>
    </w:p>
    <w:p w:rsidR="006F3ED5" w:rsidRPr="006A2FC1" w:rsidRDefault="007569EA" w:rsidP="008F4808">
      <w:pPr>
        <w:jc w:val="center"/>
      </w:pPr>
      <w:r>
        <w:rPr>
          <w:noProof/>
          <w:lang w:val="fr-LU" w:eastAsia="fr-LU" w:bidi="ar-SA"/>
        </w:rPr>
        <w:drawing>
          <wp:inline distT="0" distB="0" distL="0" distR="0" wp14:anchorId="7CB94E08" wp14:editId="6BF37D7E">
            <wp:extent cx="3536950" cy="2915920"/>
            <wp:effectExtent l="0" t="0" r="635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6950" cy="2915920"/>
                    </a:xfrm>
                    <a:prstGeom prst="rect">
                      <a:avLst/>
                    </a:prstGeom>
                    <a:noFill/>
                    <a:ln>
                      <a:noFill/>
                    </a:ln>
                  </pic:spPr>
                </pic:pic>
              </a:graphicData>
            </a:graphic>
          </wp:inline>
        </w:drawing>
      </w:r>
    </w:p>
    <w:tbl>
      <w:tblPr>
        <w:tblStyle w:val="TableGrid"/>
        <w:tblW w:w="9629" w:type="dxa"/>
        <w:tblLook w:val="04A0" w:firstRow="1" w:lastRow="0" w:firstColumn="1" w:lastColumn="0" w:noHBand="0" w:noVBand="1"/>
      </w:tblPr>
      <w:tblGrid>
        <w:gridCol w:w="5209"/>
        <w:gridCol w:w="4420"/>
      </w:tblGrid>
      <w:tr w:rsidR="007569EA" w:rsidRPr="007569EA" w:rsidTr="007569EA">
        <w:tc>
          <w:tcPr>
            <w:tcW w:w="5209" w:type="dxa"/>
          </w:tcPr>
          <w:p w:rsidR="007569EA" w:rsidRPr="007569EA" w:rsidRDefault="007569EA" w:rsidP="007569EA">
            <w:pPr>
              <w:pStyle w:val="DoNotTranslateExternal1"/>
            </w:pPr>
            <w:r>
              <w:t>Custo dos mortos</w:t>
            </w:r>
          </w:p>
        </w:tc>
        <w:tc>
          <w:tcPr>
            <w:tcW w:w="4420" w:type="dxa"/>
          </w:tcPr>
          <w:p w:rsidR="007569EA" w:rsidRPr="007569EA" w:rsidRDefault="007569EA" w:rsidP="00BB2A51">
            <w:pPr>
              <w:rPr>
                <w:rFonts w:ascii="Arial" w:hAnsi="Arial" w:cs="Arial"/>
                <w:sz w:val="18"/>
                <w:szCs w:val="18"/>
              </w:rPr>
            </w:pPr>
            <w:r>
              <w:rPr>
                <w:rFonts w:ascii="Arial" w:hAnsi="Arial"/>
                <w:sz w:val="18"/>
              </w:rPr>
              <w:t>Cost of fatalities</w:t>
            </w:r>
          </w:p>
        </w:tc>
      </w:tr>
      <w:tr w:rsidR="007569EA" w:rsidRPr="007569EA" w:rsidTr="007569EA">
        <w:tc>
          <w:tcPr>
            <w:tcW w:w="5209" w:type="dxa"/>
          </w:tcPr>
          <w:p w:rsidR="007569EA" w:rsidRPr="007569EA" w:rsidRDefault="007569EA" w:rsidP="007569EA">
            <w:pPr>
              <w:pStyle w:val="DoNotTranslateExternal1"/>
            </w:pPr>
            <w:r>
              <w:t>Custo dos feridos</w:t>
            </w:r>
          </w:p>
        </w:tc>
        <w:tc>
          <w:tcPr>
            <w:tcW w:w="4420" w:type="dxa"/>
          </w:tcPr>
          <w:p w:rsidR="007569EA" w:rsidRPr="007569EA" w:rsidRDefault="007569EA" w:rsidP="00BB2A51">
            <w:pPr>
              <w:rPr>
                <w:rFonts w:ascii="Arial" w:eastAsia="Calibri" w:hAnsi="Arial" w:cs="Arial"/>
                <w:sz w:val="18"/>
                <w:szCs w:val="18"/>
              </w:rPr>
            </w:pPr>
            <w:r>
              <w:rPr>
                <w:rFonts w:ascii="Arial" w:hAnsi="Arial"/>
                <w:sz w:val="18"/>
              </w:rPr>
              <w:t>Cost of Injuries</w:t>
            </w:r>
          </w:p>
        </w:tc>
      </w:tr>
      <w:tr w:rsidR="007569EA" w:rsidRPr="00B63285" w:rsidTr="007569EA">
        <w:tc>
          <w:tcPr>
            <w:tcW w:w="5209" w:type="dxa"/>
          </w:tcPr>
          <w:p w:rsidR="007569EA" w:rsidRPr="00705059" w:rsidRDefault="007569EA" w:rsidP="007569EA">
            <w:pPr>
              <w:pStyle w:val="DoNotTranslateExternal1"/>
              <w:rPr>
                <w:lang/>
              </w:rPr>
            </w:pPr>
            <w:r w:rsidRPr="00705059">
              <w:rPr>
                <w:lang/>
              </w:rPr>
              <w:t>Custo da substituição ou reparação de material circulante ou infra-estrutura danificados</w:t>
            </w:r>
          </w:p>
        </w:tc>
        <w:tc>
          <w:tcPr>
            <w:tcW w:w="4420" w:type="dxa"/>
          </w:tcPr>
          <w:p w:rsidR="007569EA" w:rsidRPr="007569EA" w:rsidRDefault="007569EA" w:rsidP="00BB2A51">
            <w:pPr>
              <w:rPr>
                <w:rFonts w:ascii="Arial" w:eastAsia="Calibri" w:hAnsi="Arial" w:cs="Arial"/>
                <w:sz w:val="18"/>
                <w:szCs w:val="18"/>
              </w:rPr>
            </w:pPr>
            <w:r>
              <w:rPr>
                <w:rFonts w:ascii="Arial" w:hAnsi="Arial"/>
                <w:sz w:val="18"/>
              </w:rPr>
              <w:t>Cost of replacement or repair of damaged rolling stock or infrastructure</w:t>
            </w:r>
          </w:p>
        </w:tc>
      </w:tr>
      <w:tr w:rsidR="007569EA" w:rsidRPr="00B63285" w:rsidTr="007569EA">
        <w:tc>
          <w:tcPr>
            <w:tcW w:w="5209" w:type="dxa"/>
          </w:tcPr>
          <w:p w:rsidR="007569EA" w:rsidRPr="00705059" w:rsidRDefault="007569EA" w:rsidP="007569EA">
            <w:pPr>
              <w:pStyle w:val="DoNotTranslateExternal1"/>
              <w:rPr>
                <w:lang/>
              </w:rPr>
            </w:pPr>
            <w:r w:rsidRPr="00705059">
              <w:rPr>
                <w:lang/>
              </w:rPr>
              <w:t>Custo dos atrasos, perturbações e rencaminhamento do tráfego, incluindo despesas suplementares com pessoal e lucros cessantes</w:t>
            </w:r>
          </w:p>
        </w:tc>
        <w:tc>
          <w:tcPr>
            <w:tcW w:w="4420" w:type="dxa"/>
          </w:tcPr>
          <w:p w:rsidR="007569EA" w:rsidRPr="007569EA" w:rsidRDefault="007569EA" w:rsidP="00BB2A51">
            <w:pPr>
              <w:rPr>
                <w:rFonts w:ascii="Arial" w:hAnsi="Arial" w:cs="Arial"/>
                <w:sz w:val="18"/>
                <w:szCs w:val="18"/>
              </w:rPr>
            </w:pPr>
            <w:r>
              <w:rPr>
                <w:rFonts w:ascii="Arial" w:hAnsi="Arial"/>
                <w:sz w:val="18"/>
              </w:rPr>
              <w:t>Cost of delays, disruptions and re-routing of traffic, including expenditure on additional personnel and loss of profits</w:t>
            </w:r>
          </w:p>
        </w:tc>
      </w:tr>
    </w:tbl>
    <w:p w:rsidR="006F3ED5" w:rsidRPr="006A2FC1" w:rsidRDefault="006F3ED5">
      <w:pPr>
        <w:spacing w:before="5" w:line="240" w:lineRule="exact"/>
        <w:rPr>
          <w:sz w:val="24"/>
          <w:szCs w:val="24"/>
        </w:rPr>
      </w:pPr>
    </w:p>
    <w:p w:rsidR="006F3ED5" w:rsidRPr="006A2FC1" w:rsidRDefault="00B65BEC" w:rsidP="008F4808">
      <w:pPr>
        <w:pStyle w:val="TITRE3"/>
      </w:pPr>
      <w:r>
        <w:t>Technical safety of the infrastructure</w:t>
      </w:r>
    </w:p>
    <w:p w:rsidR="006F3ED5" w:rsidRPr="006A2FC1" w:rsidRDefault="006F3ED5">
      <w:pPr>
        <w:spacing w:line="200" w:lineRule="exact"/>
      </w:pPr>
    </w:p>
    <w:p w:rsidR="006F3ED5" w:rsidRPr="006A2FC1" w:rsidRDefault="00B65BEC" w:rsidP="00CD2578">
      <w:pPr>
        <w:pStyle w:val="paragraphe1"/>
      </w:pPr>
      <w:r>
        <w:t>The indicators for technical safety of the infrastructure (Table 9) show that a small improvement in technical safety conditions was again seen in 2014 relative to previous years, particularly noticeable in the reduction of the number of LCs and in the increased coverage of CONVEL/ATP (Automatic Train Protection).</w:t>
      </w:r>
    </w:p>
    <w:p w:rsidR="006F3ED5" w:rsidRPr="006A2FC1" w:rsidRDefault="00B65BEC" w:rsidP="00CD2578">
      <w:pPr>
        <w:pStyle w:val="figure"/>
      </w:pPr>
      <w:r>
        <w:t>Table 9 – Technical characteristics of the tracks, 2006-2014</w:t>
      </w:r>
    </w:p>
    <w:tbl>
      <w:tblPr>
        <w:tblStyle w:val="TableGrid"/>
        <w:tblW w:w="9639" w:type="dxa"/>
        <w:tblLook w:val="04A0" w:firstRow="1" w:lastRow="0" w:firstColumn="1" w:lastColumn="0" w:noHBand="0" w:noVBand="1"/>
      </w:tblPr>
      <w:tblGrid>
        <w:gridCol w:w="2655"/>
        <w:gridCol w:w="772"/>
        <w:gridCol w:w="769"/>
        <w:gridCol w:w="773"/>
        <w:gridCol w:w="773"/>
        <w:gridCol w:w="771"/>
        <w:gridCol w:w="773"/>
        <w:gridCol w:w="853"/>
        <w:gridCol w:w="727"/>
        <w:gridCol w:w="773"/>
      </w:tblGrid>
      <w:tr w:rsidR="00CD2578" w:rsidRPr="005D6AE4" w:rsidTr="00665757">
        <w:trPr>
          <w:cantSplit/>
          <w:trHeight w:val="1134"/>
        </w:trPr>
        <w:tc>
          <w:tcPr>
            <w:tcW w:w="2655" w:type="dxa"/>
            <w:vAlign w:val="bottom"/>
          </w:tcPr>
          <w:p w:rsidR="00CD2578" w:rsidRPr="00604E94" w:rsidRDefault="00CD2578" w:rsidP="00BB2A51">
            <w:pPr>
              <w:jc w:val="right"/>
              <w:rPr>
                <w:rFonts w:ascii="Arial" w:eastAsia="Arial" w:hAnsi="Arial" w:cs="Arial"/>
                <w:sz w:val="16"/>
                <w:szCs w:val="16"/>
              </w:rPr>
            </w:pPr>
          </w:p>
        </w:tc>
        <w:tc>
          <w:tcPr>
            <w:tcW w:w="772" w:type="dxa"/>
            <w:textDirection w:val="btLr"/>
            <w:vAlign w:val="center"/>
          </w:tcPr>
          <w:p w:rsidR="00CD2578" w:rsidRPr="005D6AE4" w:rsidRDefault="00CD2578" w:rsidP="00A27499">
            <w:pPr>
              <w:pStyle w:val="DoNotTranslateExternal3"/>
            </w:pPr>
            <w:r>
              <w:t>2006</w:t>
            </w:r>
          </w:p>
        </w:tc>
        <w:tc>
          <w:tcPr>
            <w:tcW w:w="769" w:type="dxa"/>
            <w:textDirection w:val="btLr"/>
            <w:vAlign w:val="center"/>
          </w:tcPr>
          <w:p w:rsidR="00CD2578" w:rsidRPr="005D6AE4" w:rsidRDefault="00CD2578" w:rsidP="00A27499">
            <w:pPr>
              <w:pStyle w:val="DoNotTranslateExternal3"/>
            </w:pPr>
            <w:r>
              <w:t>2007</w:t>
            </w:r>
          </w:p>
        </w:tc>
        <w:tc>
          <w:tcPr>
            <w:tcW w:w="773" w:type="dxa"/>
            <w:textDirection w:val="btLr"/>
            <w:vAlign w:val="center"/>
          </w:tcPr>
          <w:p w:rsidR="00CD2578" w:rsidRPr="005D6AE4" w:rsidRDefault="00CD2578" w:rsidP="00A27499">
            <w:pPr>
              <w:pStyle w:val="DoNotTranslateExternal3"/>
            </w:pPr>
            <w:r>
              <w:t>2008</w:t>
            </w:r>
          </w:p>
        </w:tc>
        <w:tc>
          <w:tcPr>
            <w:tcW w:w="773" w:type="dxa"/>
            <w:textDirection w:val="btLr"/>
            <w:vAlign w:val="center"/>
          </w:tcPr>
          <w:p w:rsidR="00CD2578" w:rsidRPr="005D6AE4" w:rsidRDefault="00CD2578" w:rsidP="00A27499">
            <w:pPr>
              <w:pStyle w:val="DoNotTranslateExternal3"/>
            </w:pPr>
            <w:r>
              <w:t>2009</w:t>
            </w:r>
          </w:p>
        </w:tc>
        <w:tc>
          <w:tcPr>
            <w:tcW w:w="771" w:type="dxa"/>
            <w:textDirection w:val="btLr"/>
            <w:vAlign w:val="center"/>
          </w:tcPr>
          <w:p w:rsidR="00CD2578" w:rsidRPr="005D6AE4" w:rsidRDefault="00CD2578" w:rsidP="00A27499">
            <w:pPr>
              <w:pStyle w:val="DoNotTranslateExternal3"/>
            </w:pPr>
            <w:r>
              <w:t>2010</w:t>
            </w:r>
          </w:p>
        </w:tc>
        <w:tc>
          <w:tcPr>
            <w:tcW w:w="773" w:type="dxa"/>
            <w:textDirection w:val="btLr"/>
            <w:vAlign w:val="center"/>
          </w:tcPr>
          <w:p w:rsidR="00CD2578" w:rsidRPr="005D6AE4" w:rsidRDefault="00CD2578" w:rsidP="00A27499">
            <w:pPr>
              <w:pStyle w:val="DoNotTranslateExternal3"/>
            </w:pPr>
            <w:r>
              <w:t>2011</w:t>
            </w:r>
          </w:p>
        </w:tc>
        <w:tc>
          <w:tcPr>
            <w:tcW w:w="853" w:type="dxa"/>
            <w:textDirection w:val="btLr"/>
            <w:vAlign w:val="center"/>
          </w:tcPr>
          <w:p w:rsidR="00CD2578" w:rsidRPr="005D6AE4" w:rsidRDefault="00CD2578" w:rsidP="00A27499">
            <w:pPr>
              <w:pStyle w:val="DoNotTranslateExternal3"/>
            </w:pPr>
            <w:r>
              <w:t>2012</w:t>
            </w:r>
          </w:p>
        </w:tc>
        <w:tc>
          <w:tcPr>
            <w:tcW w:w="727" w:type="dxa"/>
            <w:textDirection w:val="btLr"/>
            <w:vAlign w:val="center"/>
          </w:tcPr>
          <w:p w:rsidR="00CD2578" w:rsidRPr="005D6AE4" w:rsidRDefault="00CD2578" w:rsidP="00A27499">
            <w:pPr>
              <w:pStyle w:val="DoNotTranslateExternal3"/>
            </w:pPr>
            <w:r>
              <w:t>2013</w:t>
            </w:r>
          </w:p>
        </w:tc>
        <w:tc>
          <w:tcPr>
            <w:tcW w:w="773" w:type="dxa"/>
            <w:textDirection w:val="btLr"/>
            <w:vAlign w:val="center"/>
          </w:tcPr>
          <w:p w:rsidR="00CD2578" w:rsidRPr="005D6AE4" w:rsidRDefault="00CD2578" w:rsidP="00A27499">
            <w:pPr>
              <w:pStyle w:val="DoNotTranslateExternal3"/>
            </w:pPr>
            <w:r>
              <w:t>2014</w:t>
            </w:r>
          </w:p>
        </w:tc>
      </w:tr>
      <w:tr w:rsidR="00CD2578" w:rsidRPr="00CD2578" w:rsidTr="00665757">
        <w:tc>
          <w:tcPr>
            <w:tcW w:w="2655" w:type="dxa"/>
          </w:tcPr>
          <w:p w:rsidR="00CD2578" w:rsidRPr="007735E4" w:rsidRDefault="00CD2578" w:rsidP="00665757">
            <w:pPr>
              <w:rPr>
                <w:rFonts w:ascii="Arial" w:eastAsia="Arial" w:hAnsi="Arial" w:cs="Arial"/>
                <w:sz w:val="18"/>
                <w:szCs w:val="18"/>
              </w:rPr>
            </w:pPr>
            <w:r>
              <w:rPr>
                <w:rFonts w:ascii="Arial" w:hAnsi="Arial"/>
                <w:sz w:val="18"/>
              </w:rPr>
              <w:t>% of lines that have Automatic Train Protection (ATP) in operation</w:t>
            </w:r>
          </w:p>
        </w:tc>
        <w:tc>
          <w:tcPr>
            <w:tcW w:w="772" w:type="dxa"/>
            <w:vAlign w:val="center"/>
          </w:tcPr>
          <w:p w:rsidR="00CD2578" w:rsidRPr="00665757" w:rsidRDefault="00CD2578" w:rsidP="00665757">
            <w:pPr>
              <w:rPr>
                <w:rFonts w:ascii="Arial" w:hAnsi="Arial" w:cs="Arial"/>
                <w:sz w:val="18"/>
                <w:szCs w:val="18"/>
              </w:rPr>
            </w:pPr>
            <w:r>
              <w:rPr>
                <w:rFonts w:ascii="Arial" w:hAnsi="Arial"/>
                <w:sz w:val="18"/>
              </w:rPr>
              <w:t>50.3%</w:t>
            </w:r>
          </w:p>
        </w:tc>
        <w:tc>
          <w:tcPr>
            <w:tcW w:w="769" w:type="dxa"/>
            <w:vAlign w:val="center"/>
          </w:tcPr>
          <w:p w:rsidR="00CD2578" w:rsidRPr="00665757" w:rsidRDefault="00CD2578" w:rsidP="00665757">
            <w:pPr>
              <w:rPr>
                <w:rFonts w:ascii="Arial" w:hAnsi="Arial" w:cs="Arial"/>
                <w:sz w:val="18"/>
                <w:szCs w:val="18"/>
              </w:rPr>
            </w:pPr>
            <w:r>
              <w:rPr>
                <w:rFonts w:ascii="Arial" w:hAnsi="Arial"/>
                <w:sz w:val="18"/>
              </w:rPr>
              <w:t>50.8%</w:t>
            </w:r>
          </w:p>
        </w:tc>
        <w:tc>
          <w:tcPr>
            <w:tcW w:w="773" w:type="dxa"/>
            <w:vAlign w:val="center"/>
          </w:tcPr>
          <w:p w:rsidR="00CD2578" w:rsidRPr="00665757" w:rsidRDefault="00CD2578" w:rsidP="00665757">
            <w:pPr>
              <w:rPr>
                <w:rFonts w:ascii="Arial" w:hAnsi="Arial" w:cs="Arial"/>
                <w:sz w:val="18"/>
                <w:szCs w:val="18"/>
              </w:rPr>
            </w:pPr>
            <w:r>
              <w:rPr>
                <w:rFonts w:ascii="Arial" w:hAnsi="Arial"/>
                <w:sz w:val="18"/>
              </w:rPr>
              <w:t>51.3%</w:t>
            </w:r>
          </w:p>
        </w:tc>
        <w:tc>
          <w:tcPr>
            <w:tcW w:w="773" w:type="dxa"/>
            <w:vAlign w:val="center"/>
          </w:tcPr>
          <w:p w:rsidR="00CD2578" w:rsidRPr="00665757" w:rsidRDefault="00CD2578" w:rsidP="00665757">
            <w:pPr>
              <w:rPr>
                <w:rFonts w:ascii="Arial" w:hAnsi="Arial" w:cs="Arial"/>
                <w:sz w:val="18"/>
                <w:szCs w:val="18"/>
              </w:rPr>
            </w:pPr>
            <w:r>
              <w:rPr>
                <w:rFonts w:ascii="Arial" w:hAnsi="Arial"/>
                <w:sz w:val="18"/>
              </w:rPr>
              <w:t>51.3%</w:t>
            </w:r>
          </w:p>
        </w:tc>
        <w:tc>
          <w:tcPr>
            <w:tcW w:w="771" w:type="dxa"/>
            <w:vAlign w:val="center"/>
          </w:tcPr>
          <w:p w:rsidR="00CD2578" w:rsidRPr="00665757" w:rsidRDefault="00CD2578" w:rsidP="00665757">
            <w:pPr>
              <w:rPr>
                <w:rFonts w:ascii="Arial" w:hAnsi="Arial" w:cs="Arial"/>
                <w:sz w:val="18"/>
                <w:szCs w:val="18"/>
              </w:rPr>
            </w:pPr>
            <w:r>
              <w:rPr>
                <w:rFonts w:ascii="Arial" w:hAnsi="Arial"/>
                <w:sz w:val="18"/>
              </w:rPr>
              <w:t>52.6%</w:t>
            </w:r>
          </w:p>
        </w:tc>
        <w:tc>
          <w:tcPr>
            <w:tcW w:w="773" w:type="dxa"/>
            <w:vAlign w:val="center"/>
          </w:tcPr>
          <w:p w:rsidR="00CD2578" w:rsidRPr="00665757" w:rsidRDefault="00CD2578" w:rsidP="00665757">
            <w:pPr>
              <w:rPr>
                <w:rFonts w:ascii="Arial" w:hAnsi="Arial" w:cs="Arial"/>
                <w:sz w:val="18"/>
                <w:szCs w:val="18"/>
              </w:rPr>
            </w:pPr>
            <w:r>
              <w:rPr>
                <w:rFonts w:ascii="Arial" w:hAnsi="Arial"/>
                <w:sz w:val="18"/>
              </w:rPr>
              <w:t>58.6%</w:t>
            </w:r>
          </w:p>
        </w:tc>
        <w:tc>
          <w:tcPr>
            <w:tcW w:w="853" w:type="dxa"/>
            <w:vAlign w:val="center"/>
          </w:tcPr>
          <w:p w:rsidR="00CD2578" w:rsidRPr="00665757" w:rsidRDefault="00CD2578" w:rsidP="00665757">
            <w:pPr>
              <w:rPr>
                <w:rFonts w:ascii="Arial" w:hAnsi="Arial" w:cs="Arial"/>
                <w:sz w:val="18"/>
                <w:szCs w:val="18"/>
              </w:rPr>
            </w:pPr>
            <w:r>
              <w:rPr>
                <w:rFonts w:ascii="Arial" w:hAnsi="Arial"/>
                <w:sz w:val="18"/>
              </w:rPr>
              <w:t>64.5%</w:t>
            </w:r>
          </w:p>
        </w:tc>
        <w:tc>
          <w:tcPr>
            <w:tcW w:w="727" w:type="dxa"/>
            <w:vAlign w:val="center"/>
          </w:tcPr>
          <w:p w:rsidR="00CD2578" w:rsidRPr="00665757" w:rsidRDefault="00CD2578" w:rsidP="00665757">
            <w:pPr>
              <w:rPr>
                <w:rFonts w:ascii="Arial" w:hAnsi="Arial" w:cs="Arial"/>
                <w:sz w:val="18"/>
                <w:szCs w:val="18"/>
              </w:rPr>
            </w:pPr>
            <w:r>
              <w:rPr>
                <w:rFonts w:ascii="Arial" w:hAnsi="Arial"/>
                <w:sz w:val="18"/>
              </w:rPr>
              <w:t>64.8%</w:t>
            </w:r>
          </w:p>
        </w:tc>
        <w:tc>
          <w:tcPr>
            <w:tcW w:w="773" w:type="dxa"/>
            <w:vAlign w:val="center"/>
          </w:tcPr>
          <w:p w:rsidR="00CD2578" w:rsidRPr="00665757" w:rsidRDefault="00CD2578" w:rsidP="00665757">
            <w:pPr>
              <w:rPr>
                <w:rFonts w:ascii="Arial" w:hAnsi="Arial" w:cs="Arial"/>
                <w:sz w:val="18"/>
                <w:szCs w:val="18"/>
              </w:rPr>
            </w:pPr>
            <w:r>
              <w:rPr>
                <w:rFonts w:ascii="Arial" w:hAnsi="Arial"/>
                <w:sz w:val="18"/>
              </w:rPr>
              <w:t>66.6%</w:t>
            </w:r>
          </w:p>
        </w:tc>
      </w:tr>
      <w:tr w:rsidR="00665757" w:rsidRPr="00CD2578" w:rsidTr="00665757">
        <w:tc>
          <w:tcPr>
            <w:tcW w:w="2655" w:type="dxa"/>
          </w:tcPr>
          <w:p w:rsidR="00665757" w:rsidRPr="007735E4" w:rsidRDefault="00665757" w:rsidP="00665757">
            <w:pPr>
              <w:rPr>
                <w:rFonts w:ascii="Arial" w:eastAsia="Arial" w:hAnsi="Arial" w:cs="Arial"/>
                <w:sz w:val="18"/>
                <w:szCs w:val="18"/>
              </w:rPr>
            </w:pPr>
            <w:r>
              <w:rPr>
                <w:rFonts w:ascii="Arial" w:hAnsi="Arial"/>
                <w:sz w:val="18"/>
              </w:rPr>
              <w:t>% of train-kilometres covered using operational ATP systems</w:t>
            </w:r>
          </w:p>
        </w:tc>
        <w:tc>
          <w:tcPr>
            <w:tcW w:w="772" w:type="dxa"/>
            <w:vAlign w:val="center"/>
          </w:tcPr>
          <w:p w:rsidR="00665757" w:rsidRPr="00665757" w:rsidRDefault="00665757" w:rsidP="00665757">
            <w:pPr>
              <w:rPr>
                <w:rFonts w:ascii="Arial" w:eastAsia="Arial" w:hAnsi="Arial" w:cs="Arial"/>
                <w:sz w:val="18"/>
                <w:szCs w:val="18"/>
              </w:rPr>
            </w:pPr>
            <w:r>
              <w:rPr>
                <w:rFonts w:ascii="Arial" w:hAnsi="Arial"/>
                <w:sz w:val="18"/>
              </w:rPr>
              <w:t>90.0%</w:t>
            </w:r>
          </w:p>
        </w:tc>
        <w:tc>
          <w:tcPr>
            <w:tcW w:w="769" w:type="dxa"/>
            <w:vAlign w:val="center"/>
          </w:tcPr>
          <w:p w:rsidR="00665757" w:rsidRPr="00665757" w:rsidRDefault="00665757" w:rsidP="00665757">
            <w:pPr>
              <w:rPr>
                <w:rFonts w:ascii="Arial" w:hAnsi="Arial" w:cs="Arial"/>
                <w:sz w:val="18"/>
                <w:szCs w:val="18"/>
              </w:rPr>
            </w:pPr>
            <w:r>
              <w:rPr>
                <w:rFonts w:ascii="Arial" w:hAnsi="Arial"/>
                <w:sz w:val="18"/>
              </w:rPr>
              <w:t>90.0%</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90.0%</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90.0%</w:t>
            </w:r>
          </w:p>
        </w:tc>
        <w:tc>
          <w:tcPr>
            <w:tcW w:w="771" w:type="dxa"/>
            <w:vAlign w:val="center"/>
          </w:tcPr>
          <w:p w:rsidR="00665757" w:rsidRPr="00665757" w:rsidRDefault="00665757" w:rsidP="00BB2A51">
            <w:pPr>
              <w:rPr>
                <w:rFonts w:ascii="Arial" w:eastAsia="Arial" w:hAnsi="Arial" w:cs="Arial"/>
                <w:sz w:val="18"/>
                <w:szCs w:val="18"/>
              </w:rPr>
            </w:pPr>
            <w:r>
              <w:rPr>
                <w:rFonts w:ascii="Arial" w:hAnsi="Arial"/>
                <w:sz w:val="18"/>
              </w:rPr>
              <w:t>90.0%</w:t>
            </w:r>
          </w:p>
        </w:tc>
        <w:tc>
          <w:tcPr>
            <w:tcW w:w="773" w:type="dxa"/>
            <w:vAlign w:val="center"/>
          </w:tcPr>
          <w:p w:rsidR="00665757" w:rsidRPr="00665757" w:rsidRDefault="00665757" w:rsidP="00BB2A51">
            <w:pPr>
              <w:rPr>
                <w:rFonts w:ascii="Arial" w:eastAsia="Arial" w:hAnsi="Arial" w:cs="Arial"/>
                <w:sz w:val="18"/>
                <w:szCs w:val="18"/>
              </w:rPr>
            </w:pPr>
            <w:r>
              <w:rPr>
                <w:rFonts w:ascii="Arial" w:hAnsi="Arial"/>
                <w:sz w:val="18"/>
              </w:rPr>
              <w:t>90.0%</w:t>
            </w:r>
          </w:p>
        </w:tc>
        <w:tc>
          <w:tcPr>
            <w:tcW w:w="853" w:type="dxa"/>
            <w:vAlign w:val="center"/>
          </w:tcPr>
          <w:p w:rsidR="00665757" w:rsidRPr="00665757" w:rsidRDefault="00665757" w:rsidP="00665757">
            <w:pPr>
              <w:rPr>
                <w:rFonts w:ascii="Arial" w:hAnsi="Arial" w:cs="Arial"/>
                <w:sz w:val="18"/>
                <w:szCs w:val="18"/>
              </w:rPr>
            </w:pPr>
            <w:r>
              <w:rPr>
                <w:rFonts w:ascii="Arial" w:hAnsi="Arial"/>
                <w:sz w:val="18"/>
              </w:rPr>
              <w:t>88.9%</w:t>
            </w:r>
          </w:p>
        </w:tc>
        <w:tc>
          <w:tcPr>
            <w:tcW w:w="727" w:type="dxa"/>
            <w:vAlign w:val="center"/>
          </w:tcPr>
          <w:p w:rsidR="00665757" w:rsidRPr="00665757" w:rsidRDefault="00665757" w:rsidP="00665757">
            <w:pPr>
              <w:rPr>
                <w:rFonts w:ascii="Arial" w:hAnsi="Arial" w:cs="Arial"/>
                <w:sz w:val="18"/>
                <w:szCs w:val="18"/>
              </w:rPr>
            </w:pPr>
            <w:r>
              <w:rPr>
                <w:rFonts w:ascii="Arial" w:hAnsi="Arial"/>
                <w:sz w:val="18"/>
              </w:rPr>
              <w:t>87.6%</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88.0%</w:t>
            </w:r>
          </w:p>
        </w:tc>
      </w:tr>
      <w:tr w:rsidR="00665757" w:rsidRPr="00C16059" w:rsidTr="00665757">
        <w:trPr>
          <w:trHeight w:val="542"/>
        </w:trPr>
        <w:tc>
          <w:tcPr>
            <w:tcW w:w="2655" w:type="dxa"/>
          </w:tcPr>
          <w:p w:rsidR="00665757" w:rsidRPr="007735E4" w:rsidRDefault="00665757" w:rsidP="00665757">
            <w:pPr>
              <w:rPr>
                <w:rFonts w:ascii="Arial" w:eastAsia="Arial" w:hAnsi="Arial" w:cs="Arial"/>
                <w:sz w:val="18"/>
                <w:szCs w:val="18"/>
              </w:rPr>
            </w:pPr>
            <w:r>
              <w:rPr>
                <w:rFonts w:ascii="Arial" w:hAnsi="Arial"/>
                <w:sz w:val="18"/>
              </w:rPr>
              <w:t xml:space="preserve">Total number of LCs </w:t>
            </w:r>
          </w:p>
        </w:tc>
        <w:tc>
          <w:tcPr>
            <w:tcW w:w="772" w:type="dxa"/>
            <w:vAlign w:val="center"/>
          </w:tcPr>
          <w:p w:rsidR="00665757" w:rsidRPr="00665757" w:rsidRDefault="00665757" w:rsidP="00665757">
            <w:pPr>
              <w:rPr>
                <w:rFonts w:ascii="Arial" w:hAnsi="Arial" w:cs="Arial"/>
                <w:sz w:val="18"/>
                <w:szCs w:val="18"/>
              </w:rPr>
            </w:pPr>
            <w:r>
              <w:rPr>
                <w:rFonts w:ascii="Arial" w:hAnsi="Arial"/>
                <w:sz w:val="18"/>
              </w:rPr>
              <w:t>1,297</w:t>
            </w:r>
          </w:p>
        </w:tc>
        <w:tc>
          <w:tcPr>
            <w:tcW w:w="769" w:type="dxa"/>
            <w:vAlign w:val="center"/>
          </w:tcPr>
          <w:p w:rsidR="00665757" w:rsidRPr="00665757" w:rsidRDefault="00665757" w:rsidP="00665757">
            <w:pPr>
              <w:rPr>
                <w:rFonts w:ascii="Arial" w:hAnsi="Arial" w:cs="Arial"/>
                <w:sz w:val="18"/>
                <w:szCs w:val="18"/>
              </w:rPr>
            </w:pPr>
            <w:r>
              <w:rPr>
                <w:rFonts w:ascii="Arial" w:hAnsi="Arial"/>
                <w:sz w:val="18"/>
              </w:rPr>
              <w:t>1,266</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1,229</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1,191</w:t>
            </w:r>
          </w:p>
        </w:tc>
        <w:tc>
          <w:tcPr>
            <w:tcW w:w="771" w:type="dxa"/>
            <w:vAlign w:val="center"/>
          </w:tcPr>
          <w:p w:rsidR="00665757" w:rsidRPr="00665757" w:rsidRDefault="00665757" w:rsidP="00665757">
            <w:pPr>
              <w:rPr>
                <w:rFonts w:ascii="Arial" w:hAnsi="Arial" w:cs="Arial"/>
                <w:sz w:val="18"/>
                <w:szCs w:val="18"/>
              </w:rPr>
            </w:pPr>
            <w:r>
              <w:rPr>
                <w:rFonts w:ascii="Arial" w:hAnsi="Arial"/>
                <w:sz w:val="18"/>
              </w:rPr>
              <w:t>1,107</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1,049</w:t>
            </w:r>
          </w:p>
        </w:tc>
        <w:tc>
          <w:tcPr>
            <w:tcW w:w="853" w:type="dxa"/>
            <w:vAlign w:val="center"/>
          </w:tcPr>
          <w:p w:rsidR="00665757" w:rsidRPr="00665757" w:rsidRDefault="00665757" w:rsidP="00665757">
            <w:pPr>
              <w:rPr>
                <w:rFonts w:ascii="Arial" w:hAnsi="Arial" w:cs="Arial"/>
                <w:sz w:val="18"/>
                <w:szCs w:val="18"/>
              </w:rPr>
            </w:pPr>
            <w:r>
              <w:rPr>
                <w:rFonts w:ascii="Arial" w:hAnsi="Arial"/>
                <w:sz w:val="18"/>
              </w:rPr>
              <w:t>877</w:t>
            </w:r>
          </w:p>
        </w:tc>
        <w:tc>
          <w:tcPr>
            <w:tcW w:w="727" w:type="dxa"/>
            <w:vAlign w:val="center"/>
          </w:tcPr>
          <w:p w:rsidR="00665757" w:rsidRPr="00665757" w:rsidRDefault="00665757" w:rsidP="00665757">
            <w:pPr>
              <w:rPr>
                <w:rFonts w:ascii="Arial" w:hAnsi="Arial" w:cs="Arial"/>
                <w:sz w:val="18"/>
                <w:szCs w:val="18"/>
              </w:rPr>
            </w:pPr>
            <w:r>
              <w:rPr>
                <w:rFonts w:ascii="Arial" w:hAnsi="Arial"/>
                <w:sz w:val="18"/>
              </w:rPr>
              <w:t>870</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856</w:t>
            </w:r>
          </w:p>
        </w:tc>
      </w:tr>
      <w:tr w:rsidR="00665757" w:rsidRPr="00CD2578" w:rsidTr="00665757">
        <w:tc>
          <w:tcPr>
            <w:tcW w:w="2655" w:type="dxa"/>
          </w:tcPr>
          <w:p w:rsidR="00665757" w:rsidRPr="007735E4" w:rsidRDefault="00665757" w:rsidP="00665757">
            <w:pPr>
              <w:rPr>
                <w:rFonts w:ascii="Arial" w:eastAsia="Arial" w:hAnsi="Arial" w:cs="Arial"/>
                <w:sz w:val="18"/>
                <w:szCs w:val="18"/>
              </w:rPr>
            </w:pPr>
            <w:r>
              <w:rPr>
                <w:rFonts w:ascii="Arial" w:hAnsi="Arial"/>
                <w:sz w:val="18"/>
              </w:rPr>
              <w:t>Number of LCs per kilometre of track</w:t>
            </w:r>
          </w:p>
        </w:tc>
        <w:tc>
          <w:tcPr>
            <w:tcW w:w="772" w:type="dxa"/>
            <w:vAlign w:val="center"/>
          </w:tcPr>
          <w:p w:rsidR="00665757" w:rsidRPr="00665757" w:rsidRDefault="00665757" w:rsidP="00665757">
            <w:pPr>
              <w:rPr>
                <w:rFonts w:ascii="Arial" w:hAnsi="Arial" w:cs="Arial"/>
                <w:sz w:val="18"/>
                <w:szCs w:val="18"/>
              </w:rPr>
            </w:pPr>
            <w:r>
              <w:rPr>
                <w:rFonts w:ascii="Arial" w:hAnsi="Arial"/>
                <w:sz w:val="18"/>
              </w:rPr>
              <w:t>0.37</w:t>
            </w:r>
          </w:p>
        </w:tc>
        <w:tc>
          <w:tcPr>
            <w:tcW w:w="769" w:type="dxa"/>
            <w:vAlign w:val="center"/>
          </w:tcPr>
          <w:p w:rsidR="00665757" w:rsidRPr="00665757" w:rsidRDefault="00665757" w:rsidP="00665757">
            <w:pPr>
              <w:rPr>
                <w:rFonts w:ascii="Arial" w:hAnsi="Arial" w:cs="Arial"/>
                <w:sz w:val="18"/>
                <w:szCs w:val="18"/>
              </w:rPr>
            </w:pPr>
            <w:r>
              <w:rPr>
                <w:rFonts w:ascii="Arial" w:hAnsi="Arial"/>
                <w:sz w:val="18"/>
              </w:rPr>
              <w:t>0.36</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0.35</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0.34</w:t>
            </w:r>
          </w:p>
        </w:tc>
        <w:tc>
          <w:tcPr>
            <w:tcW w:w="771" w:type="dxa"/>
            <w:vAlign w:val="center"/>
          </w:tcPr>
          <w:p w:rsidR="00665757" w:rsidRPr="00665757" w:rsidRDefault="00665757" w:rsidP="00665757">
            <w:pPr>
              <w:rPr>
                <w:rFonts w:ascii="Arial" w:hAnsi="Arial" w:cs="Arial"/>
                <w:sz w:val="18"/>
                <w:szCs w:val="18"/>
              </w:rPr>
            </w:pPr>
            <w:r>
              <w:rPr>
                <w:rFonts w:ascii="Arial" w:hAnsi="Arial"/>
                <w:sz w:val="18"/>
              </w:rPr>
              <w:t>0.31</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0.3</w:t>
            </w:r>
          </w:p>
        </w:tc>
        <w:tc>
          <w:tcPr>
            <w:tcW w:w="853" w:type="dxa"/>
            <w:vAlign w:val="center"/>
          </w:tcPr>
          <w:p w:rsidR="00665757" w:rsidRPr="00665757" w:rsidRDefault="00665757" w:rsidP="00665757">
            <w:pPr>
              <w:rPr>
                <w:rFonts w:ascii="Arial" w:hAnsi="Arial" w:cs="Arial"/>
                <w:sz w:val="18"/>
                <w:szCs w:val="18"/>
              </w:rPr>
            </w:pPr>
            <w:r>
              <w:rPr>
                <w:rFonts w:ascii="Arial" w:hAnsi="Arial"/>
                <w:sz w:val="18"/>
              </w:rPr>
              <w:t>0.27</w:t>
            </w:r>
          </w:p>
        </w:tc>
        <w:tc>
          <w:tcPr>
            <w:tcW w:w="727" w:type="dxa"/>
            <w:vAlign w:val="center"/>
          </w:tcPr>
          <w:p w:rsidR="00665757" w:rsidRPr="00665757" w:rsidRDefault="00665757" w:rsidP="00665757">
            <w:pPr>
              <w:rPr>
                <w:rFonts w:ascii="Arial" w:hAnsi="Arial" w:cs="Arial"/>
                <w:sz w:val="18"/>
                <w:szCs w:val="18"/>
              </w:rPr>
            </w:pPr>
            <w:r>
              <w:rPr>
                <w:rFonts w:ascii="Arial" w:hAnsi="Arial"/>
                <w:sz w:val="18"/>
              </w:rPr>
              <w:t>0.27</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0.263</w:t>
            </w:r>
          </w:p>
        </w:tc>
      </w:tr>
      <w:tr w:rsidR="00665757" w:rsidRPr="00CD2578" w:rsidTr="00665757">
        <w:tc>
          <w:tcPr>
            <w:tcW w:w="2655" w:type="dxa"/>
          </w:tcPr>
          <w:p w:rsidR="00665757" w:rsidRPr="007735E4" w:rsidRDefault="00665757" w:rsidP="00665757">
            <w:pPr>
              <w:rPr>
                <w:rFonts w:ascii="Arial" w:eastAsia="Arial" w:hAnsi="Arial" w:cs="Arial"/>
                <w:sz w:val="18"/>
                <w:szCs w:val="18"/>
              </w:rPr>
            </w:pPr>
            <w:r>
              <w:rPr>
                <w:rFonts w:ascii="Arial" w:hAnsi="Arial"/>
                <w:sz w:val="18"/>
              </w:rPr>
              <w:t>Number of LCs per kilometre of line</w:t>
            </w:r>
          </w:p>
        </w:tc>
        <w:tc>
          <w:tcPr>
            <w:tcW w:w="772" w:type="dxa"/>
            <w:vAlign w:val="center"/>
          </w:tcPr>
          <w:p w:rsidR="00665757" w:rsidRPr="00665757" w:rsidRDefault="00665757" w:rsidP="00665757">
            <w:pPr>
              <w:rPr>
                <w:rFonts w:ascii="Arial" w:hAnsi="Arial" w:cs="Arial"/>
                <w:sz w:val="18"/>
                <w:szCs w:val="18"/>
              </w:rPr>
            </w:pPr>
            <w:r>
              <w:rPr>
                <w:rFonts w:ascii="Arial" w:hAnsi="Arial"/>
                <w:sz w:val="18"/>
              </w:rPr>
              <w:t>0.46</w:t>
            </w:r>
          </w:p>
        </w:tc>
        <w:tc>
          <w:tcPr>
            <w:tcW w:w="769" w:type="dxa"/>
            <w:vAlign w:val="center"/>
          </w:tcPr>
          <w:p w:rsidR="00665757" w:rsidRPr="00665757" w:rsidRDefault="00665757" w:rsidP="00665757">
            <w:pPr>
              <w:rPr>
                <w:rFonts w:ascii="Arial" w:hAnsi="Arial" w:cs="Arial"/>
                <w:sz w:val="18"/>
                <w:szCs w:val="18"/>
              </w:rPr>
            </w:pPr>
            <w:r>
              <w:rPr>
                <w:rFonts w:ascii="Arial" w:hAnsi="Arial"/>
                <w:sz w:val="18"/>
              </w:rPr>
              <w:t>0.45</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0.43</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0.42</w:t>
            </w:r>
          </w:p>
        </w:tc>
        <w:tc>
          <w:tcPr>
            <w:tcW w:w="771" w:type="dxa"/>
            <w:vAlign w:val="center"/>
          </w:tcPr>
          <w:p w:rsidR="00665757" w:rsidRPr="00665757" w:rsidRDefault="00665757" w:rsidP="00665757">
            <w:pPr>
              <w:rPr>
                <w:rFonts w:ascii="Arial" w:hAnsi="Arial" w:cs="Arial"/>
                <w:sz w:val="18"/>
                <w:szCs w:val="18"/>
              </w:rPr>
            </w:pPr>
            <w:r>
              <w:rPr>
                <w:rFonts w:ascii="Arial" w:hAnsi="Arial"/>
                <w:sz w:val="18"/>
              </w:rPr>
              <w:t>0.39</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0.375</w:t>
            </w:r>
          </w:p>
        </w:tc>
        <w:tc>
          <w:tcPr>
            <w:tcW w:w="853" w:type="dxa"/>
            <w:vAlign w:val="center"/>
          </w:tcPr>
          <w:p w:rsidR="00665757" w:rsidRPr="00665757" w:rsidRDefault="00665757" w:rsidP="00665757">
            <w:pPr>
              <w:rPr>
                <w:rFonts w:ascii="Arial" w:hAnsi="Arial" w:cs="Arial"/>
                <w:sz w:val="18"/>
                <w:szCs w:val="18"/>
              </w:rPr>
            </w:pPr>
            <w:r>
              <w:rPr>
                <w:rFonts w:ascii="Arial" w:hAnsi="Arial"/>
                <w:sz w:val="18"/>
              </w:rPr>
              <w:t>0.345</w:t>
            </w:r>
          </w:p>
        </w:tc>
        <w:tc>
          <w:tcPr>
            <w:tcW w:w="727" w:type="dxa"/>
            <w:vAlign w:val="center"/>
          </w:tcPr>
          <w:p w:rsidR="00665757" w:rsidRPr="00665757" w:rsidRDefault="00665757" w:rsidP="00665757">
            <w:pPr>
              <w:rPr>
                <w:rFonts w:ascii="Arial" w:hAnsi="Arial" w:cs="Arial"/>
                <w:sz w:val="18"/>
                <w:szCs w:val="18"/>
              </w:rPr>
            </w:pPr>
            <w:r>
              <w:rPr>
                <w:rFonts w:ascii="Arial" w:hAnsi="Arial"/>
                <w:sz w:val="18"/>
              </w:rPr>
              <w:t>0.342</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0.336</w:t>
            </w:r>
          </w:p>
        </w:tc>
      </w:tr>
      <w:tr w:rsidR="00665757" w:rsidRPr="00CD2578" w:rsidTr="00665757">
        <w:tc>
          <w:tcPr>
            <w:tcW w:w="2655" w:type="dxa"/>
          </w:tcPr>
          <w:p w:rsidR="00665757" w:rsidRPr="007735E4" w:rsidRDefault="00665757" w:rsidP="00665757">
            <w:pPr>
              <w:rPr>
                <w:rFonts w:ascii="Arial" w:eastAsia="Arial" w:hAnsi="Arial" w:cs="Arial"/>
                <w:sz w:val="18"/>
                <w:szCs w:val="18"/>
              </w:rPr>
            </w:pPr>
            <w:r>
              <w:rPr>
                <w:rFonts w:ascii="Arial" w:hAnsi="Arial"/>
                <w:sz w:val="18"/>
              </w:rPr>
              <w:t xml:space="preserve">% of LCs with automatic or </w:t>
            </w:r>
            <w:r>
              <w:rPr>
                <w:rFonts w:ascii="Arial" w:hAnsi="Arial"/>
                <w:sz w:val="18"/>
              </w:rPr>
              <w:lastRenderedPageBreak/>
              <w:t>manual protection</w:t>
            </w:r>
          </w:p>
        </w:tc>
        <w:tc>
          <w:tcPr>
            <w:tcW w:w="772" w:type="dxa"/>
            <w:vAlign w:val="center"/>
          </w:tcPr>
          <w:p w:rsidR="00665757" w:rsidRPr="00665757" w:rsidRDefault="00665757" w:rsidP="00665757">
            <w:pPr>
              <w:rPr>
                <w:rFonts w:ascii="Arial" w:hAnsi="Arial" w:cs="Arial"/>
                <w:sz w:val="18"/>
                <w:szCs w:val="18"/>
              </w:rPr>
            </w:pPr>
            <w:r>
              <w:rPr>
                <w:rFonts w:ascii="Arial" w:hAnsi="Arial"/>
                <w:sz w:val="18"/>
              </w:rPr>
              <w:lastRenderedPageBreak/>
              <w:t>39.3%</w:t>
            </w:r>
          </w:p>
        </w:tc>
        <w:tc>
          <w:tcPr>
            <w:tcW w:w="769" w:type="dxa"/>
            <w:vAlign w:val="center"/>
          </w:tcPr>
          <w:p w:rsidR="00665757" w:rsidRPr="00665757" w:rsidRDefault="00665757" w:rsidP="00665757">
            <w:pPr>
              <w:rPr>
                <w:rFonts w:ascii="Arial" w:hAnsi="Arial" w:cs="Arial"/>
                <w:sz w:val="18"/>
                <w:szCs w:val="18"/>
              </w:rPr>
            </w:pPr>
            <w:r>
              <w:rPr>
                <w:rFonts w:ascii="Arial" w:hAnsi="Arial"/>
                <w:sz w:val="18"/>
              </w:rPr>
              <w:t>38.2%</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37.3%</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39.7%</w:t>
            </w:r>
          </w:p>
        </w:tc>
        <w:tc>
          <w:tcPr>
            <w:tcW w:w="771" w:type="dxa"/>
            <w:vAlign w:val="center"/>
          </w:tcPr>
          <w:p w:rsidR="00665757" w:rsidRPr="00665757" w:rsidRDefault="00665757" w:rsidP="00665757">
            <w:pPr>
              <w:rPr>
                <w:rFonts w:ascii="Arial" w:hAnsi="Arial" w:cs="Arial"/>
                <w:sz w:val="18"/>
                <w:szCs w:val="18"/>
              </w:rPr>
            </w:pPr>
            <w:r>
              <w:rPr>
                <w:rFonts w:ascii="Arial" w:hAnsi="Arial"/>
                <w:sz w:val="18"/>
              </w:rPr>
              <w:t>41.9%</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43.5%</w:t>
            </w:r>
          </w:p>
        </w:tc>
        <w:tc>
          <w:tcPr>
            <w:tcW w:w="853" w:type="dxa"/>
            <w:vAlign w:val="center"/>
          </w:tcPr>
          <w:p w:rsidR="00665757" w:rsidRPr="00665757" w:rsidRDefault="00665757" w:rsidP="00665757">
            <w:pPr>
              <w:rPr>
                <w:rFonts w:ascii="Arial" w:hAnsi="Arial" w:cs="Arial"/>
                <w:sz w:val="18"/>
                <w:szCs w:val="18"/>
              </w:rPr>
            </w:pPr>
            <w:r>
              <w:rPr>
                <w:rFonts w:ascii="Arial" w:hAnsi="Arial"/>
                <w:sz w:val="18"/>
              </w:rPr>
              <w:t>49.6%</w:t>
            </w:r>
          </w:p>
        </w:tc>
        <w:tc>
          <w:tcPr>
            <w:tcW w:w="727" w:type="dxa"/>
            <w:vAlign w:val="center"/>
          </w:tcPr>
          <w:p w:rsidR="00665757" w:rsidRPr="00665757" w:rsidRDefault="00665757" w:rsidP="00665757">
            <w:pPr>
              <w:rPr>
                <w:rFonts w:ascii="Arial" w:hAnsi="Arial" w:cs="Arial"/>
                <w:sz w:val="18"/>
                <w:szCs w:val="18"/>
              </w:rPr>
            </w:pPr>
            <w:r>
              <w:rPr>
                <w:rFonts w:ascii="Arial" w:hAnsi="Arial"/>
                <w:sz w:val="18"/>
              </w:rPr>
              <w:t>50.1%</w:t>
            </w:r>
          </w:p>
        </w:tc>
        <w:tc>
          <w:tcPr>
            <w:tcW w:w="773" w:type="dxa"/>
            <w:vAlign w:val="center"/>
          </w:tcPr>
          <w:p w:rsidR="00665757" w:rsidRPr="00665757" w:rsidRDefault="00665757" w:rsidP="00665757">
            <w:pPr>
              <w:rPr>
                <w:rFonts w:ascii="Arial" w:hAnsi="Arial" w:cs="Arial"/>
                <w:sz w:val="18"/>
                <w:szCs w:val="18"/>
              </w:rPr>
            </w:pPr>
            <w:r>
              <w:rPr>
                <w:rFonts w:ascii="Arial" w:hAnsi="Arial"/>
                <w:sz w:val="18"/>
              </w:rPr>
              <w:t>53.5%</w:t>
            </w:r>
          </w:p>
        </w:tc>
      </w:tr>
    </w:tbl>
    <w:p w:rsidR="006F3ED5" w:rsidRPr="006A2FC1" w:rsidRDefault="00B65BEC" w:rsidP="00665757">
      <w:pPr>
        <w:pStyle w:val="paragraphe1"/>
      </w:pPr>
      <w:r>
        <w:lastRenderedPageBreak/>
        <w:t>The following chart (Chart 15) confirms that for the Level Crossings category, which has recorded the greatest improvement relative to closures and technical advances and where the state has allocated significant financial resources, the reduction in the number of level crossings has led to a drop in the rate of accidents amongst users of these crossings. The effect of this is seen clearly when comparing 2014 to the two preceding years.</w:t>
      </w:r>
    </w:p>
    <w:p w:rsidR="006F3ED5" w:rsidRPr="006A2FC1" w:rsidRDefault="006F3ED5">
      <w:pPr>
        <w:spacing w:before="18" w:line="220" w:lineRule="exact"/>
        <w:rPr>
          <w:sz w:val="22"/>
          <w:szCs w:val="22"/>
        </w:rPr>
      </w:pPr>
    </w:p>
    <w:p w:rsidR="006F3ED5" w:rsidRPr="006A2FC1" w:rsidRDefault="00B65BEC" w:rsidP="00604E94">
      <w:pPr>
        <w:pStyle w:val="figure"/>
      </w:pPr>
      <w:r>
        <w:t>Chart 15 – Changes in the number of LCs/FWSI index-LC users, 2006-2014</w:t>
      </w:r>
    </w:p>
    <w:p w:rsidR="006F3ED5" w:rsidRPr="006A2FC1" w:rsidRDefault="00604E94" w:rsidP="00604E94">
      <w:pPr>
        <w:spacing w:before="8"/>
        <w:rPr>
          <w:sz w:val="19"/>
          <w:szCs w:val="19"/>
        </w:rPr>
      </w:pPr>
      <w:r>
        <w:rPr>
          <w:noProof/>
          <w:sz w:val="19"/>
          <w:szCs w:val="19"/>
          <w:lang w:val="fr-LU" w:eastAsia="fr-LU" w:bidi="ar-SA"/>
        </w:rPr>
        <w:drawing>
          <wp:inline distT="0" distB="0" distL="0" distR="0" wp14:anchorId="77223CE3" wp14:editId="7786C2E1">
            <wp:extent cx="5132705" cy="17684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2705" cy="1768475"/>
                    </a:xfrm>
                    <a:prstGeom prst="rect">
                      <a:avLst/>
                    </a:prstGeom>
                    <a:noFill/>
                    <a:ln>
                      <a:noFill/>
                    </a:ln>
                  </pic:spPr>
                </pic:pic>
              </a:graphicData>
            </a:graphic>
          </wp:inline>
        </w:drawing>
      </w:r>
    </w:p>
    <w:tbl>
      <w:tblPr>
        <w:tblStyle w:val="TableGrid"/>
        <w:tblW w:w="9629" w:type="dxa"/>
        <w:tblLook w:val="04A0" w:firstRow="1" w:lastRow="0" w:firstColumn="1" w:lastColumn="0" w:noHBand="0" w:noVBand="1"/>
      </w:tblPr>
      <w:tblGrid>
        <w:gridCol w:w="4964"/>
        <w:gridCol w:w="4665"/>
      </w:tblGrid>
      <w:tr w:rsidR="00604E94" w:rsidRPr="00604E94" w:rsidTr="00604E94">
        <w:tc>
          <w:tcPr>
            <w:tcW w:w="4964" w:type="dxa"/>
          </w:tcPr>
          <w:p w:rsidR="00604E94" w:rsidRPr="00604E94" w:rsidRDefault="00604E94" w:rsidP="00604E94">
            <w:pPr>
              <w:pStyle w:val="DoNotTranslateExternal1"/>
            </w:pPr>
            <w:r>
              <w:t>N° PN</w:t>
            </w:r>
          </w:p>
        </w:tc>
        <w:tc>
          <w:tcPr>
            <w:tcW w:w="4665" w:type="dxa"/>
          </w:tcPr>
          <w:p w:rsidR="00604E94" w:rsidRPr="00604E94" w:rsidRDefault="00604E94" w:rsidP="00BB2A51">
            <w:pPr>
              <w:rPr>
                <w:rFonts w:ascii="Arial" w:hAnsi="Arial" w:cs="Arial"/>
                <w:sz w:val="18"/>
                <w:szCs w:val="18"/>
              </w:rPr>
            </w:pPr>
            <w:r>
              <w:rPr>
                <w:rFonts w:ascii="Arial" w:hAnsi="Arial"/>
                <w:sz w:val="18"/>
              </w:rPr>
              <w:t>Number of LCs</w:t>
            </w:r>
          </w:p>
        </w:tc>
      </w:tr>
      <w:tr w:rsidR="00604E94" w:rsidRPr="00604E94" w:rsidTr="00604E94">
        <w:tc>
          <w:tcPr>
            <w:tcW w:w="4964" w:type="dxa"/>
          </w:tcPr>
          <w:p w:rsidR="00604E94" w:rsidRPr="00604E94" w:rsidRDefault="00604E94" w:rsidP="00604E94">
            <w:pPr>
              <w:pStyle w:val="DoNotTranslateExternal1"/>
            </w:pPr>
            <w:r>
              <w:t>MFGP – Util PN</w:t>
            </w:r>
          </w:p>
        </w:tc>
        <w:tc>
          <w:tcPr>
            <w:tcW w:w="4665" w:type="dxa"/>
          </w:tcPr>
          <w:p w:rsidR="00604E94" w:rsidRPr="00604E94" w:rsidRDefault="00604E94" w:rsidP="00BB2A51">
            <w:pPr>
              <w:rPr>
                <w:rFonts w:ascii="Arial" w:hAnsi="Arial" w:cs="Arial"/>
                <w:sz w:val="18"/>
                <w:szCs w:val="18"/>
              </w:rPr>
            </w:pPr>
            <w:r>
              <w:rPr>
                <w:rFonts w:ascii="Arial" w:hAnsi="Arial"/>
                <w:sz w:val="18"/>
              </w:rPr>
              <w:t>FWSI – LC users</w:t>
            </w:r>
          </w:p>
        </w:tc>
      </w:tr>
    </w:tbl>
    <w:p w:rsidR="00604E94" w:rsidRPr="00604E94" w:rsidRDefault="00604E94" w:rsidP="00604E94">
      <w:pPr>
        <w:rPr>
          <w:rFonts w:ascii="Arial" w:hAnsi="Arial" w:cs="Arial"/>
        </w:rPr>
      </w:pPr>
    </w:p>
    <w:p w:rsidR="006F3ED5" w:rsidRPr="006A2FC1" w:rsidRDefault="00B65BEC" w:rsidP="003B44FB">
      <w:pPr>
        <w:pStyle w:val="TITRE2"/>
      </w:pPr>
      <w:bookmarkStart w:id="21" w:name="_Toc435689576"/>
      <w:bookmarkStart w:id="22" w:name="_Toc442177342"/>
      <w:r>
        <w:t>Results of safety recommendations</w:t>
      </w:r>
      <w:bookmarkEnd w:id="21"/>
      <w:bookmarkEnd w:id="22"/>
    </w:p>
    <w:p w:rsidR="006F3ED5" w:rsidRPr="006A2FC1" w:rsidRDefault="006F3ED5">
      <w:pPr>
        <w:spacing w:before="8" w:line="200" w:lineRule="exact"/>
      </w:pPr>
    </w:p>
    <w:p w:rsidR="006F3ED5" w:rsidRPr="006A2FC1" w:rsidRDefault="00B65BEC">
      <w:pPr>
        <w:spacing w:line="200" w:lineRule="exact"/>
      </w:pPr>
      <w:r>
        <w:rPr>
          <w:rFonts w:ascii="Arial" w:hAnsi="Arial"/>
        </w:rPr>
        <w:t>GISAF did not issue any safety recommendations in 2014. Nevertheless, there are investigations currently underway that were opened last year and which may result in recommendations being issued. These will be analysed by the IMT, I.P. in its capacity as the National Safety Authority, and the agency must also ensure that recommendations are duly applied.</w:t>
      </w:r>
    </w:p>
    <w:p w:rsidR="006F3ED5" w:rsidRPr="006A2FC1" w:rsidRDefault="006F3ED5">
      <w:pPr>
        <w:spacing w:line="200" w:lineRule="exact"/>
      </w:pPr>
    </w:p>
    <w:p w:rsidR="006F3ED5" w:rsidRPr="006A2FC1" w:rsidRDefault="006F3ED5">
      <w:pPr>
        <w:spacing w:line="200" w:lineRule="exact"/>
      </w:pPr>
    </w:p>
    <w:p w:rsidR="006F3ED5" w:rsidRPr="006A2FC1" w:rsidRDefault="006F3ED5">
      <w:pPr>
        <w:spacing w:before="6" w:line="220" w:lineRule="exact"/>
        <w:rPr>
          <w:sz w:val="22"/>
          <w:szCs w:val="22"/>
        </w:rPr>
      </w:pPr>
    </w:p>
    <w:p w:rsidR="006F3ED5" w:rsidRPr="006A2FC1" w:rsidRDefault="00B65BEC" w:rsidP="003B44FB">
      <w:pPr>
        <w:pStyle w:val="TITRE2"/>
      </w:pPr>
      <w:bookmarkStart w:id="23" w:name="_Toc435689577"/>
      <w:bookmarkStart w:id="24" w:name="_Toc442177343"/>
      <w:r>
        <w:t>Initiatives for maintaining or improving safety arising from accident investigation recommendations</w:t>
      </w:r>
      <w:bookmarkEnd w:id="23"/>
      <w:bookmarkEnd w:id="24"/>
    </w:p>
    <w:p w:rsidR="006F3ED5" w:rsidRPr="006A2FC1" w:rsidRDefault="00B65BEC">
      <w:pPr>
        <w:spacing w:line="200" w:lineRule="exact"/>
      </w:pPr>
      <w:r>
        <w:rPr>
          <w:rFonts w:ascii="Arial" w:hAnsi="Arial"/>
        </w:rPr>
        <w:t>There are no initiatives to report for 2014, since no recommendations of any type were issued by GISAF.</w:t>
      </w:r>
    </w:p>
    <w:p w:rsidR="006F3ED5" w:rsidRPr="006A2FC1" w:rsidRDefault="006F3ED5">
      <w:pPr>
        <w:spacing w:line="200" w:lineRule="exact"/>
      </w:pPr>
    </w:p>
    <w:p w:rsidR="006F3ED5" w:rsidRPr="006A2FC1" w:rsidRDefault="006F3ED5">
      <w:pPr>
        <w:spacing w:line="200" w:lineRule="exact"/>
      </w:pPr>
    </w:p>
    <w:p w:rsidR="006F3ED5" w:rsidRDefault="006F3ED5">
      <w:pPr>
        <w:spacing w:before="9" w:line="220" w:lineRule="exact"/>
        <w:rPr>
          <w:sz w:val="22"/>
          <w:szCs w:val="22"/>
        </w:rPr>
      </w:pPr>
    </w:p>
    <w:p w:rsidR="008F4808" w:rsidRDefault="008F4808">
      <w:pPr>
        <w:rPr>
          <w:sz w:val="22"/>
          <w:szCs w:val="22"/>
        </w:rPr>
      </w:pPr>
      <w:r>
        <w:br w:type="page"/>
      </w:r>
    </w:p>
    <w:p w:rsidR="008F4808" w:rsidRPr="006A2FC1" w:rsidRDefault="008F4808">
      <w:pPr>
        <w:spacing w:before="9" w:line="220" w:lineRule="exact"/>
        <w:rPr>
          <w:sz w:val="22"/>
          <w:szCs w:val="22"/>
        </w:rPr>
      </w:pPr>
    </w:p>
    <w:p w:rsidR="006F3ED5" w:rsidRPr="006A2FC1" w:rsidRDefault="00B65BEC" w:rsidP="008F4808">
      <w:pPr>
        <w:pStyle w:val="titre1"/>
      </w:pPr>
      <w:bookmarkStart w:id="25" w:name="_Toc435689578"/>
      <w:bookmarkStart w:id="26" w:name="_Toc442177344"/>
      <w:r>
        <w:t>SUPERVISION OF RAIL TRANSPORT COMPANIES AND THE INFRASTRUCTURE MANAGER</w:t>
      </w:r>
      <w:bookmarkEnd w:id="25"/>
      <w:bookmarkEnd w:id="26"/>
    </w:p>
    <w:p w:rsidR="006F3ED5" w:rsidRPr="006A2FC1" w:rsidRDefault="006F3ED5">
      <w:pPr>
        <w:spacing w:before="8" w:line="240" w:lineRule="exact"/>
        <w:rPr>
          <w:sz w:val="24"/>
          <w:szCs w:val="24"/>
        </w:rPr>
      </w:pPr>
    </w:p>
    <w:p w:rsidR="006F3ED5" w:rsidRPr="006A2FC1" w:rsidRDefault="00B65BEC" w:rsidP="003B44FB">
      <w:pPr>
        <w:pStyle w:val="TITRE2"/>
      </w:pPr>
      <w:bookmarkStart w:id="27" w:name="_Toc435689579"/>
      <w:bookmarkStart w:id="28" w:name="_Toc442177345"/>
      <w:r>
        <w:t>Supervision and plan</w:t>
      </w:r>
      <w:bookmarkEnd w:id="27"/>
      <w:bookmarkEnd w:id="28"/>
    </w:p>
    <w:p w:rsidR="006F3ED5" w:rsidRPr="006A2FC1" w:rsidRDefault="006F3ED5">
      <w:pPr>
        <w:spacing w:before="8" w:line="200" w:lineRule="exact"/>
      </w:pPr>
    </w:p>
    <w:p w:rsidR="006F3ED5" w:rsidRPr="006A2FC1" w:rsidRDefault="00B65BEC" w:rsidP="008F4808">
      <w:pPr>
        <w:pStyle w:val="paragraphe1"/>
      </w:pPr>
      <w:r>
        <w:t>A variety of procedures are used in supervising the activities of the infrastructure manager and railway companies:</w:t>
      </w:r>
    </w:p>
    <w:p w:rsidR="006F3ED5" w:rsidRPr="006A2FC1" w:rsidRDefault="00B65BEC" w:rsidP="008F4808">
      <w:pPr>
        <w:pStyle w:val="BULLET1"/>
      </w:pPr>
      <w:r>
        <w:t>Analysis of occurrences recorded in the daily traffic report drawn up by the infrastructure manager;</w:t>
      </w:r>
    </w:p>
    <w:p w:rsidR="006F3ED5" w:rsidRPr="006A2FC1" w:rsidRDefault="00B65BEC" w:rsidP="008F4808">
      <w:pPr>
        <w:pStyle w:val="BULLET1"/>
      </w:pPr>
      <w:r>
        <w:t>Planned monitoring activities;</w:t>
      </w:r>
    </w:p>
    <w:p w:rsidR="006F3ED5" w:rsidRPr="006A2FC1" w:rsidRDefault="00B65BEC" w:rsidP="008F4808">
      <w:pPr>
        <w:pStyle w:val="BULLET1"/>
      </w:pPr>
      <w:r>
        <w:t>Monitoring initiated after analysis of events relating to accidents or incidents, claims/complaints or recommendations made by a board of enquiry;</w:t>
      </w:r>
    </w:p>
    <w:p w:rsidR="006F3ED5" w:rsidRPr="006A2FC1" w:rsidRDefault="00B65BEC" w:rsidP="008F4808">
      <w:pPr>
        <w:pStyle w:val="BULLET1"/>
      </w:pPr>
      <w:r>
        <w:t>Audits on Safety Management Systems.</w:t>
      </w:r>
    </w:p>
    <w:p w:rsidR="006F3ED5" w:rsidRPr="006A2FC1" w:rsidRDefault="00B65BEC" w:rsidP="008F4808">
      <w:pPr>
        <w:pStyle w:val="paragraphe1"/>
      </w:pPr>
      <w:r>
        <w:t>Monitoring is always carried out by IMT, I.P. staff, who may ask personnel from the companies under inspection for assistance in carrying out the work necessary for such monitoring.</w:t>
      </w:r>
    </w:p>
    <w:p w:rsidR="006F3ED5" w:rsidRPr="006A2FC1" w:rsidRDefault="00B65BEC" w:rsidP="008F4808">
      <w:pPr>
        <w:pStyle w:val="paragraphe1"/>
      </w:pPr>
      <w:r>
        <w:t>Following the definition of the supervisory strategy under the terms of Commission Regulation (EC) number 1077/2012 of 16 November, work on the creation of internal regulations for the IMT, I.P. was begun in 2014 to enable its implementation.</w:t>
      </w:r>
    </w:p>
    <w:p w:rsidR="006F3ED5" w:rsidRPr="006A2FC1" w:rsidRDefault="006F3ED5">
      <w:pPr>
        <w:spacing w:before="15" w:line="220" w:lineRule="exact"/>
        <w:rPr>
          <w:sz w:val="22"/>
          <w:szCs w:val="22"/>
        </w:rPr>
      </w:pPr>
    </w:p>
    <w:p w:rsidR="006F3ED5" w:rsidRPr="006A2FC1" w:rsidRDefault="00B65BEC" w:rsidP="003B44FB">
      <w:pPr>
        <w:pStyle w:val="TITRE2"/>
      </w:pPr>
      <w:bookmarkStart w:id="29" w:name="_Toc435689580"/>
      <w:bookmarkStart w:id="30" w:name="_Toc442177346"/>
      <w:r>
        <w:t>Human resources</w:t>
      </w:r>
      <w:bookmarkEnd w:id="29"/>
      <w:bookmarkEnd w:id="30"/>
    </w:p>
    <w:p w:rsidR="006F3ED5" w:rsidRPr="006A2FC1" w:rsidRDefault="006F3ED5">
      <w:pPr>
        <w:spacing w:before="8" w:line="200" w:lineRule="exact"/>
      </w:pPr>
    </w:p>
    <w:p w:rsidR="006F3ED5" w:rsidRPr="006A2FC1" w:rsidRDefault="00B65BEC" w:rsidP="008F4808">
      <w:pPr>
        <w:pStyle w:val="paragraphe1"/>
      </w:pPr>
      <w:r>
        <w:t>Technical activity for the regulation of safety on guided transport systems such as railways, metros, light railways, miniature trains, trams and cableways, was carried out by a specific department within the IMT, I.P. – the Railway Infrastructure and Equipment Department (Departamento de Infraestruturas e Equipamentos Ferroviários, DIEF), part of the Directorate for Technical Regulation and Safety Services (Direção de Serviços de Regulação Técnica e de Segurança, DSRTS), which at the end of 2014 employed</w:t>
      </w:r>
      <w:r>
        <w:rPr>
          <w:rStyle w:val="FootnoteReference"/>
        </w:rPr>
        <w:footnoteReference w:id="8"/>
      </w:r>
      <w:r>
        <w:t>:</w:t>
      </w:r>
    </w:p>
    <w:p w:rsidR="006F3ED5" w:rsidRPr="006A2FC1" w:rsidRDefault="00B65BEC" w:rsidP="008F4808">
      <w:pPr>
        <w:pStyle w:val="BULLET1"/>
      </w:pPr>
      <w:r>
        <w:t>1 Department Head;</w:t>
      </w:r>
    </w:p>
    <w:p w:rsidR="006F3ED5" w:rsidRPr="006A2FC1" w:rsidRDefault="00B65BEC" w:rsidP="008F4808">
      <w:pPr>
        <w:pStyle w:val="BULLET1"/>
      </w:pPr>
      <w:r>
        <w:t>7 Senior Technical Officers</w:t>
      </w:r>
      <w:r>
        <w:rPr>
          <w:rStyle w:val="FootnoteReference"/>
        </w:rPr>
        <w:footnoteReference w:id="9"/>
      </w:r>
      <w:r>
        <w:t>.</w:t>
      </w:r>
    </w:p>
    <w:p w:rsidR="006F3ED5" w:rsidRDefault="00B65BEC" w:rsidP="00705059">
      <w:pPr>
        <w:pStyle w:val="TITRE2"/>
      </w:pPr>
      <w:bookmarkStart w:id="31" w:name="_Toc435689581"/>
      <w:bookmarkStart w:id="32" w:name="_Toc442177347"/>
      <w:r>
        <w:lastRenderedPageBreak/>
        <w:t>Skills</w:t>
      </w:r>
      <w:bookmarkEnd w:id="31"/>
      <w:bookmarkEnd w:id="32"/>
    </w:p>
    <w:p w:rsidR="00705059" w:rsidRPr="006A2FC1" w:rsidRDefault="00705059" w:rsidP="00705059">
      <w:pPr>
        <w:keepNext/>
        <w:spacing w:before="8" w:line="200" w:lineRule="exact"/>
      </w:pPr>
    </w:p>
    <w:p w:rsidR="006F3ED5" w:rsidRPr="006A2FC1" w:rsidRDefault="00B65BEC" w:rsidP="008F4808">
      <w:pPr>
        <w:pStyle w:val="paragraphe1"/>
      </w:pPr>
      <w:r>
        <w:t>No human resources skills management system was developed or implemented by DIEF in 2014.</w:t>
      </w:r>
    </w:p>
    <w:p w:rsidR="006F3ED5" w:rsidRPr="006A2FC1" w:rsidRDefault="006F3ED5">
      <w:pPr>
        <w:spacing w:before="20" w:line="220" w:lineRule="exact"/>
        <w:rPr>
          <w:sz w:val="22"/>
          <w:szCs w:val="22"/>
        </w:rPr>
      </w:pPr>
    </w:p>
    <w:p w:rsidR="006F3ED5" w:rsidRPr="006A2FC1" w:rsidRDefault="00B65BEC" w:rsidP="003B44FB">
      <w:pPr>
        <w:pStyle w:val="TITRE2"/>
      </w:pPr>
      <w:bookmarkStart w:id="33" w:name="_Toc435689582"/>
      <w:bookmarkStart w:id="34" w:name="_Toc442177348"/>
      <w:r>
        <w:t>Decision-making process</w:t>
      </w:r>
      <w:bookmarkEnd w:id="33"/>
      <w:bookmarkEnd w:id="34"/>
    </w:p>
    <w:p w:rsidR="006F3ED5" w:rsidRPr="006A2FC1" w:rsidRDefault="006F3ED5">
      <w:pPr>
        <w:spacing w:before="8" w:line="200" w:lineRule="exact"/>
      </w:pPr>
    </w:p>
    <w:p w:rsidR="006F3ED5" w:rsidRPr="006A2FC1" w:rsidRDefault="00B65BEC" w:rsidP="008F4808">
      <w:pPr>
        <w:pStyle w:val="paragraphe1"/>
      </w:pPr>
      <w:r>
        <w:t>Supervision of activities carried out by the companies in 2014 entailed daily monitoring of occurrences relative to railway operations, the holding of meetings, and inspections to evaluate compliance by the rail transport companies with the rules of operation.</w:t>
      </w:r>
    </w:p>
    <w:p w:rsidR="006F3ED5" w:rsidRPr="006A2FC1" w:rsidRDefault="006F3ED5">
      <w:pPr>
        <w:spacing w:before="14" w:line="220" w:lineRule="exact"/>
        <w:rPr>
          <w:sz w:val="22"/>
          <w:szCs w:val="22"/>
        </w:rPr>
      </w:pPr>
    </w:p>
    <w:p w:rsidR="006F3ED5" w:rsidRPr="006A2FC1" w:rsidRDefault="00B65BEC" w:rsidP="003B44FB">
      <w:pPr>
        <w:pStyle w:val="TITRE2"/>
      </w:pPr>
      <w:bookmarkStart w:id="35" w:name="_Toc435689583"/>
      <w:bookmarkStart w:id="36" w:name="_Toc442177349"/>
      <w:r>
        <w:t>Coordination and cooperation</w:t>
      </w:r>
      <w:bookmarkEnd w:id="35"/>
      <w:bookmarkEnd w:id="36"/>
    </w:p>
    <w:p w:rsidR="006F3ED5" w:rsidRPr="006A2FC1" w:rsidRDefault="006F3ED5">
      <w:pPr>
        <w:spacing w:before="3" w:line="200" w:lineRule="exact"/>
      </w:pPr>
    </w:p>
    <w:p w:rsidR="006F3ED5" w:rsidRPr="006A2FC1" w:rsidRDefault="00B65BEC" w:rsidP="008F4808">
      <w:pPr>
        <w:pStyle w:val="paragraphe1"/>
      </w:pPr>
      <w:r>
        <w:t>During 2014 a protocol with Spain was in effect which has relevance to supervision: the cross-acceptance of authorisation issued to wagons.</w:t>
      </w:r>
    </w:p>
    <w:p w:rsidR="006F3ED5" w:rsidRPr="006A2FC1" w:rsidRDefault="00B65BEC" w:rsidP="008F4808">
      <w:pPr>
        <w:pStyle w:val="paragraphe1"/>
      </w:pPr>
      <w:r>
        <w:t>The protocol for the cross-acceptance of wagons deals with the application of common procedures to authorise the commissioning of new or existing wagons. Its main objective is to facilitate the authorisation procedure in the other country by means of the mutual acceptance of the checks and tests that have already been approved by one of the authorities involved.</w:t>
      </w:r>
    </w:p>
    <w:p w:rsidR="006F3ED5" w:rsidRPr="006A2FC1" w:rsidRDefault="006F3ED5">
      <w:pPr>
        <w:spacing w:before="10" w:line="220" w:lineRule="exact"/>
        <w:rPr>
          <w:sz w:val="22"/>
          <w:szCs w:val="22"/>
        </w:rPr>
      </w:pPr>
    </w:p>
    <w:p w:rsidR="006F3ED5" w:rsidRPr="006A2FC1" w:rsidRDefault="00B65BEC" w:rsidP="003B44FB">
      <w:pPr>
        <w:pStyle w:val="TITRE2"/>
      </w:pPr>
      <w:bookmarkStart w:id="37" w:name="_Toc435689584"/>
      <w:bookmarkStart w:id="38" w:name="_Toc442177350"/>
      <w:r>
        <w:t>Outcome of the measures</w:t>
      </w:r>
      <w:bookmarkEnd w:id="37"/>
      <w:bookmarkEnd w:id="38"/>
    </w:p>
    <w:p w:rsidR="006F3ED5" w:rsidRPr="006A2FC1" w:rsidRDefault="006F3ED5">
      <w:pPr>
        <w:spacing w:before="8" w:line="200" w:lineRule="exact"/>
      </w:pPr>
    </w:p>
    <w:p w:rsidR="006F3ED5" w:rsidRPr="006A2FC1" w:rsidRDefault="00B65BEC" w:rsidP="008F4808">
      <w:pPr>
        <w:pStyle w:val="paragraphe1"/>
      </w:pPr>
      <w:r>
        <w:t>The rail transport companies and the infrastructure manager have carried out regular internal audits in compliance with management and rail safety objectives. As a result of the internal audits carried out, the entities addressed solutions to non-conformities and opportunities for improvement in their organisations in an expeditious and integrated manner.</w:t>
      </w:r>
    </w:p>
    <w:p w:rsidR="008F4808" w:rsidRDefault="008F4808">
      <w:pPr>
        <w:rPr>
          <w:rFonts w:ascii="Arial" w:eastAsia="Arial" w:hAnsi="Arial" w:cs="Arial"/>
          <w:b/>
          <w:sz w:val="28"/>
          <w:szCs w:val="28"/>
        </w:rPr>
      </w:pPr>
      <w:r>
        <w:br w:type="page"/>
      </w:r>
    </w:p>
    <w:p w:rsidR="006F3ED5" w:rsidRPr="006A2FC1" w:rsidRDefault="00B65BEC" w:rsidP="008F4808">
      <w:pPr>
        <w:pStyle w:val="titre1"/>
      </w:pPr>
      <w:bookmarkStart w:id="39" w:name="_Toc435689585"/>
      <w:bookmarkStart w:id="40" w:name="_Toc442177351"/>
      <w:r>
        <w:lastRenderedPageBreak/>
        <w:t>DEVELOPMENT OF SAFETY CERTIFICATION AND AUTHORISATION</w:t>
      </w:r>
      <w:bookmarkEnd w:id="39"/>
      <w:bookmarkEnd w:id="40"/>
    </w:p>
    <w:p w:rsidR="006F3ED5" w:rsidRPr="006A2FC1" w:rsidRDefault="006F3ED5">
      <w:pPr>
        <w:spacing w:before="8" w:line="240" w:lineRule="exact"/>
        <w:rPr>
          <w:sz w:val="24"/>
          <w:szCs w:val="24"/>
        </w:rPr>
      </w:pPr>
    </w:p>
    <w:p w:rsidR="006F3ED5" w:rsidRPr="006A2FC1" w:rsidRDefault="00B65BEC" w:rsidP="003B44FB">
      <w:pPr>
        <w:pStyle w:val="TITRE2"/>
      </w:pPr>
      <w:bookmarkStart w:id="41" w:name="_Toc435689586"/>
      <w:bookmarkStart w:id="42" w:name="_Toc442177352"/>
      <w:r>
        <w:t>Legal framework and support</w:t>
      </w:r>
      <w:bookmarkEnd w:id="41"/>
      <w:bookmarkEnd w:id="42"/>
    </w:p>
    <w:p w:rsidR="006F3ED5" w:rsidRPr="006A2FC1" w:rsidRDefault="006F3ED5">
      <w:pPr>
        <w:spacing w:before="8" w:line="200" w:lineRule="exact"/>
      </w:pPr>
    </w:p>
    <w:p w:rsidR="006F3ED5" w:rsidRPr="006A2FC1" w:rsidRDefault="00B65BEC" w:rsidP="008F4808">
      <w:pPr>
        <w:pStyle w:val="paragraphe1"/>
      </w:pPr>
      <w:r>
        <w:t>Decree Law No 231/2007, which introduced the amendments to Decree Law No 270/2003 necessary for the transposition of Safety Directive 2004/49/EC of 29 April 2006, came into effect on 14 June 2007. From that date on, therefore, a new system began to be used for the safety certification of railway companies, and the infrastructure manager now needs to be in possession of a safety authorisation in order to carry out its activities. 2014 saw the publication of Decree Law No 151/2014, which amended and republished Decree Law No 270/2003 without altering any of the aspects essential to the process of safety certification of the companies.</w:t>
      </w:r>
    </w:p>
    <w:p w:rsidR="003B44FB" w:rsidRDefault="003B44FB" w:rsidP="008F4808">
      <w:pPr>
        <w:pStyle w:val="paragraphe1"/>
      </w:pPr>
    </w:p>
    <w:p w:rsidR="006F3ED5" w:rsidRPr="006A2FC1" w:rsidRDefault="00B65BEC" w:rsidP="008F4808">
      <w:pPr>
        <w:pStyle w:val="paragraphe1"/>
      </w:pPr>
      <w:r>
        <w:t>The manner in which Safety Certification and Authorisation processes can be instituted is outlined in IMT Regulations Nos 442/2010 and 443/2010, respectively.</w:t>
      </w:r>
    </w:p>
    <w:p w:rsidR="003B44FB" w:rsidRDefault="003B44FB" w:rsidP="008F4808">
      <w:pPr>
        <w:pStyle w:val="paragraphe1"/>
      </w:pPr>
    </w:p>
    <w:p w:rsidR="006F3ED5" w:rsidRPr="006A2FC1" w:rsidRDefault="00B65BEC" w:rsidP="008F4808">
      <w:pPr>
        <w:pStyle w:val="paragraphe1"/>
      </w:pPr>
      <w:r>
        <w:t>The relevant legal documentation for preparation of safety authorisation and certification procedures, as well as a list of railway legislation and regulations, is available on the IMT, I.P. website. Prospective candidates can also request documentation on safety regulations from this institution.</w:t>
      </w:r>
    </w:p>
    <w:p w:rsidR="003B44FB" w:rsidRDefault="003B44FB" w:rsidP="008F4808">
      <w:pPr>
        <w:pStyle w:val="paragraphe1"/>
      </w:pPr>
    </w:p>
    <w:p w:rsidR="006F3ED5" w:rsidRPr="006A2FC1" w:rsidRDefault="00B65BEC" w:rsidP="008F4808">
      <w:pPr>
        <w:pStyle w:val="paragraphe1"/>
      </w:pPr>
      <w:r>
        <w:t>Other supporting documentation that may be needed for applications can be found on the Network Directory (published by the infrastructure manager).</w:t>
      </w:r>
    </w:p>
    <w:p w:rsidR="003B44FB" w:rsidRDefault="003B44FB" w:rsidP="008F4808">
      <w:pPr>
        <w:pStyle w:val="paragraphe1"/>
      </w:pPr>
    </w:p>
    <w:p w:rsidR="006F3ED5" w:rsidRPr="006A2FC1" w:rsidRDefault="00B65BEC" w:rsidP="008F4808">
      <w:pPr>
        <w:pStyle w:val="paragraphe1"/>
      </w:pPr>
      <w:r>
        <w:t>Applications for Safety Certificates, Part A, confirming the existence of an approved safety management system, are assessed according to criteria harmonised at a European level. These criteria were developed by a specific European Railway Agency working group, and resulted in the publication of Commission Regulation No 1158/2010/EU on the Common Safety Method for assessing the conformity of safety certificates.</w:t>
      </w:r>
    </w:p>
    <w:p w:rsidR="003B44FB" w:rsidRDefault="003B44FB" w:rsidP="008F4808">
      <w:pPr>
        <w:pStyle w:val="paragraphe1"/>
      </w:pPr>
    </w:p>
    <w:p w:rsidR="006F3ED5" w:rsidRPr="006A2FC1" w:rsidRDefault="00B65BEC" w:rsidP="008F4808">
      <w:pPr>
        <w:pStyle w:val="paragraphe1"/>
      </w:pPr>
      <w:r>
        <w:t>Applications for Safety Certificates, Part B, are examined according to assessment criteria found in European Commission (EC) Regulation No 653/2007 of 13 June 2007 (on the use of a common European format for safety certificates) and the previously mentioned Regulation 1158/2010/EU.</w:t>
      </w:r>
    </w:p>
    <w:p w:rsidR="006F3ED5" w:rsidRPr="006A2FC1" w:rsidRDefault="006F3ED5">
      <w:pPr>
        <w:spacing w:before="9" w:line="240" w:lineRule="exact"/>
        <w:rPr>
          <w:sz w:val="24"/>
          <w:szCs w:val="24"/>
        </w:rPr>
      </w:pPr>
    </w:p>
    <w:p w:rsidR="006F3ED5" w:rsidRPr="006A2FC1" w:rsidRDefault="00B65BEC" w:rsidP="003B44FB">
      <w:pPr>
        <w:pStyle w:val="paragraphe1"/>
      </w:pPr>
      <w:r>
        <w:t>Applications for safety authorisations are examined on the basis of Regulation 1169/2010/EU on the Common Safety Method for assessing conformity with the requirements for obtaining safety authorisations.</w:t>
      </w:r>
    </w:p>
    <w:p w:rsidR="006F3ED5" w:rsidRPr="006A2FC1" w:rsidRDefault="006F3ED5">
      <w:pPr>
        <w:spacing w:before="2" w:line="220" w:lineRule="exact"/>
        <w:rPr>
          <w:sz w:val="22"/>
          <w:szCs w:val="22"/>
        </w:rPr>
      </w:pPr>
    </w:p>
    <w:p w:rsidR="006F3ED5" w:rsidRPr="006A2FC1" w:rsidRDefault="00B65BEC" w:rsidP="003B44FB">
      <w:pPr>
        <w:pStyle w:val="TITRE2"/>
      </w:pPr>
      <w:bookmarkStart w:id="43" w:name="_Toc435689587"/>
      <w:bookmarkStart w:id="44" w:name="_Toc442177353"/>
      <w:r>
        <w:lastRenderedPageBreak/>
        <w:t>Contacts with other safety authorities</w:t>
      </w:r>
      <w:bookmarkEnd w:id="43"/>
      <w:bookmarkEnd w:id="44"/>
    </w:p>
    <w:p w:rsidR="006F3ED5" w:rsidRPr="006A2FC1" w:rsidRDefault="006F3ED5" w:rsidP="003B44FB">
      <w:pPr>
        <w:keepNext/>
        <w:spacing w:before="4" w:line="200" w:lineRule="exact"/>
      </w:pPr>
    </w:p>
    <w:p w:rsidR="006F3ED5" w:rsidRPr="006A2FC1" w:rsidRDefault="00B65BEC" w:rsidP="003B44FB">
      <w:pPr>
        <w:pStyle w:val="paragraphe1"/>
      </w:pPr>
      <w:r>
        <w:t>The IMT, I.P. has been an active participant in the Safety Performance Working Party (SPWP) promoted by the ERA. Throughout 2014 IMT, I.P. worked with the ERA and the other national safety authorities in meetings of the NSA network and working groups supported by ERA in order to arrive at mutual clarification and interpretation of indicator definitions.</w:t>
      </w:r>
    </w:p>
    <w:p w:rsidR="006F3ED5" w:rsidRPr="006A2FC1" w:rsidRDefault="006F3ED5" w:rsidP="003B44FB">
      <w:pPr>
        <w:pStyle w:val="paragraphe1"/>
        <w:rPr>
          <w:sz w:val="24"/>
          <w:szCs w:val="24"/>
        </w:rPr>
      </w:pPr>
    </w:p>
    <w:p w:rsidR="006F3ED5" w:rsidRPr="006A2FC1" w:rsidRDefault="00B65BEC" w:rsidP="003B44FB">
      <w:pPr>
        <w:pStyle w:val="paragraphe1"/>
      </w:pPr>
      <w:r>
        <w:t>The need to establish dialogue with the Spanish National Safety Authority was identified in order to establish a protocol of understanding with respect to operations along the border, similar to those that already exist between other National Safety Authorities.</w:t>
      </w:r>
    </w:p>
    <w:p w:rsidR="006F3ED5" w:rsidRPr="006A2FC1" w:rsidRDefault="006F3ED5">
      <w:pPr>
        <w:spacing w:before="16" w:line="220" w:lineRule="exact"/>
        <w:rPr>
          <w:sz w:val="22"/>
          <w:szCs w:val="22"/>
        </w:rPr>
      </w:pPr>
    </w:p>
    <w:p w:rsidR="006F3ED5" w:rsidRPr="006A2FC1" w:rsidRDefault="00B65BEC" w:rsidP="003B44FB">
      <w:pPr>
        <w:pStyle w:val="TITRE2"/>
      </w:pPr>
      <w:bookmarkStart w:id="45" w:name="_Toc435689588"/>
      <w:bookmarkStart w:id="46" w:name="_Toc442177354"/>
      <w:r>
        <w:t>Procedures</w:t>
      </w:r>
      <w:bookmarkEnd w:id="45"/>
      <w:bookmarkEnd w:id="46"/>
    </w:p>
    <w:p w:rsidR="006F3ED5" w:rsidRPr="006A2FC1" w:rsidRDefault="006F3ED5">
      <w:pPr>
        <w:spacing w:before="8" w:line="200" w:lineRule="exact"/>
      </w:pPr>
    </w:p>
    <w:p w:rsidR="006F3ED5" w:rsidRPr="006A2FC1" w:rsidRDefault="00B65BEC">
      <w:pPr>
        <w:spacing w:line="360" w:lineRule="auto"/>
        <w:ind w:left="120" w:right="872"/>
        <w:jc w:val="both"/>
        <w:rPr>
          <w:rFonts w:ascii="Arial" w:eastAsia="Arial" w:hAnsi="Arial" w:cs="Arial"/>
        </w:rPr>
      </w:pPr>
      <w:r>
        <w:rPr>
          <w:rFonts w:ascii="Arial" w:hAnsi="Arial"/>
        </w:rPr>
        <w:t>Portugal issued its first Railway Safety Certificate in 2007 in response to an application submitted by rail transport company Fertagus on</w:t>
      </w:r>
    </w:p>
    <w:p w:rsidR="006F3ED5" w:rsidRPr="006A2FC1" w:rsidRDefault="00B65BEC" w:rsidP="003B44FB">
      <w:pPr>
        <w:pStyle w:val="paragraphe1"/>
      </w:pPr>
      <w:r>
        <w:t>10 November 2006. The certificate was issued on 10 May 2007 under the safety certification system introduced by the original Decree Law No 270/2003, which transposed Directive 2001/14/EC of 26 February.</w:t>
      </w:r>
    </w:p>
    <w:p w:rsidR="006F3ED5" w:rsidRPr="006A2FC1" w:rsidRDefault="006F3ED5" w:rsidP="003B44FB">
      <w:pPr>
        <w:pStyle w:val="paragraphe1"/>
        <w:rPr>
          <w:sz w:val="24"/>
          <w:szCs w:val="24"/>
        </w:rPr>
      </w:pPr>
    </w:p>
    <w:p w:rsidR="006F3ED5" w:rsidRPr="006A2FC1" w:rsidRDefault="00B65BEC" w:rsidP="003B44FB">
      <w:pPr>
        <w:pStyle w:val="paragraphe1"/>
      </w:pPr>
      <w:r>
        <w:t>Two Part A Safety Certificates for a Portuguese freight transport company were updated in 2014, and a new Part A Safety Certificate was issued to another freight transport company. No applications were received this year for safety certification from rail transport companies of other member states.</w:t>
      </w:r>
    </w:p>
    <w:p w:rsidR="006F3ED5" w:rsidRPr="006A2FC1" w:rsidRDefault="006F3ED5">
      <w:pPr>
        <w:spacing w:before="15" w:line="220" w:lineRule="exact"/>
        <w:rPr>
          <w:sz w:val="22"/>
          <w:szCs w:val="22"/>
        </w:rPr>
      </w:pPr>
    </w:p>
    <w:p w:rsidR="006F3ED5" w:rsidRPr="006A2FC1" w:rsidRDefault="00B65BEC" w:rsidP="003B44FB">
      <w:pPr>
        <w:pStyle w:val="TITRE2"/>
      </w:pPr>
      <w:bookmarkStart w:id="47" w:name="_Toc435689589"/>
      <w:bookmarkStart w:id="48" w:name="_Toc442177355"/>
      <w:r>
        <w:t>Feedback</w:t>
      </w:r>
      <w:bookmarkEnd w:id="47"/>
      <w:bookmarkEnd w:id="48"/>
    </w:p>
    <w:p w:rsidR="006F3ED5" w:rsidRPr="006A2FC1" w:rsidRDefault="006F3ED5">
      <w:pPr>
        <w:spacing w:before="9" w:line="200" w:lineRule="exact"/>
      </w:pPr>
    </w:p>
    <w:p w:rsidR="006F3ED5" w:rsidRPr="006A2FC1" w:rsidRDefault="00B65BEC" w:rsidP="003B44FB">
      <w:pPr>
        <w:pStyle w:val="paragraphe1"/>
      </w:pPr>
      <w:r>
        <w:t>The companies and the infrastructure manager are permitted and encouraged to contact the IMT, I.P. for clarification, suggestions and comments relative to the process of awarding certificates and safety authorisations.</w:t>
      </w:r>
    </w:p>
    <w:p w:rsidR="003B44FB" w:rsidRDefault="003B44FB">
      <w:r>
        <w:br w:type="page"/>
      </w:r>
    </w:p>
    <w:p w:rsidR="006F3ED5" w:rsidRPr="006A2FC1" w:rsidRDefault="006F3ED5">
      <w:pPr>
        <w:spacing w:before="9" w:line="220" w:lineRule="exact"/>
        <w:rPr>
          <w:sz w:val="22"/>
          <w:szCs w:val="22"/>
        </w:rPr>
      </w:pPr>
    </w:p>
    <w:p w:rsidR="006F3ED5" w:rsidRPr="006A2FC1" w:rsidRDefault="00B65BEC" w:rsidP="003B44FB">
      <w:pPr>
        <w:pStyle w:val="titre1"/>
      </w:pPr>
      <w:bookmarkStart w:id="49" w:name="_Toc435689590"/>
      <w:bookmarkStart w:id="50" w:name="_Toc442177356"/>
      <w:r>
        <w:t>AMENDMENTS TO LEGISLATION AND REGULATIONS</w:t>
      </w:r>
      <w:bookmarkEnd w:id="49"/>
      <w:bookmarkEnd w:id="50"/>
    </w:p>
    <w:p w:rsidR="006F3ED5" w:rsidRPr="006A2FC1" w:rsidRDefault="006F3ED5">
      <w:pPr>
        <w:spacing w:before="8" w:line="180" w:lineRule="exact"/>
        <w:rPr>
          <w:sz w:val="19"/>
          <w:szCs w:val="19"/>
        </w:rPr>
      </w:pPr>
    </w:p>
    <w:p w:rsidR="006F3ED5" w:rsidRPr="006A2FC1" w:rsidRDefault="006F3ED5">
      <w:pPr>
        <w:spacing w:line="200" w:lineRule="exact"/>
      </w:pPr>
    </w:p>
    <w:p w:rsidR="006F3ED5" w:rsidRPr="003B44FB" w:rsidRDefault="00B65BEC" w:rsidP="003B44FB">
      <w:pPr>
        <w:pStyle w:val="TITRE2"/>
      </w:pPr>
      <w:bookmarkStart w:id="51" w:name="_Toc435689591"/>
      <w:bookmarkStart w:id="52" w:name="_Toc442177357"/>
      <w:r>
        <w:t>Railway Safety Directive</w:t>
      </w:r>
      <w:bookmarkEnd w:id="51"/>
      <w:bookmarkEnd w:id="52"/>
    </w:p>
    <w:p w:rsidR="006F3ED5" w:rsidRPr="006A2FC1" w:rsidRDefault="006F3ED5">
      <w:pPr>
        <w:spacing w:before="8" w:line="200" w:lineRule="exact"/>
      </w:pPr>
    </w:p>
    <w:p w:rsidR="006F3ED5" w:rsidRPr="006A2FC1" w:rsidRDefault="00B65BEC">
      <w:pPr>
        <w:spacing w:line="360" w:lineRule="auto"/>
        <w:ind w:left="120" w:right="879"/>
        <w:jc w:val="both"/>
        <w:rPr>
          <w:rFonts w:ascii="Arial" w:eastAsia="Arial" w:hAnsi="Arial" w:cs="Arial"/>
        </w:rPr>
      </w:pPr>
      <w:r>
        <w:rPr>
          <w:rFonts w:ascii="Arial" w:hAnsi="Arial"/>
        </w:rPr>
        <w:t>Directive 2014/38/EU, which amends the Railway Safety Directive, was transposed into Portuguese law by Decree Law No 179/2014 of 18 December.</w:t>
      </w:r>
    </w:p>
    <w:p w:rsidR="006F3ED5" w:rsidRPr="006A2FC1" w:rsidRDefault="006F3ED5">
      <w:pPr>
        <w:spacing w:before="4" w:line="240" w:lineRule="exact"/>
        <w:rPr>
          <w:sz w:val="24"/>
          <w:szCs w:val="24"/>
        </w:rPr>
      </w:pPr>
    </w:p>
    <w:p w:rsidR="006F3ED5" w:rsidRPr="006A2FC1" w:rsidRDefault="00B65BEC">
      <w:pPr>
        <w:spacing w:line="360" w:lineRule="auto"/>
        <w:ind w:left="120" w:right="874"/>
        <w:jc w:val="both"/>
        <w:rPr>
          <w:rFonts w:ascii="Arial" w:eastAsia="Arial" w:hAnsi="Arial" w:cs="Arial"/>
        </w:rPr>
      </w:pPr>
      <w:r>
        <w:rPr>
          <w:rFonts w:ascii="Arial" w:hAnsi="Arial"/>
        </w:rPr>
        <w:t>Directive 2013/9/EU, which also amends the Railway Safety Directive, was transposed into Portuguese law by Decree Law No 41/2014 of 18 March.</w:t>
      </w:r>
    </w:p>
    <w:p w:rsidR="006F3ED5" w:rsidRPr="006A2FC1" w:rsidRDefault="006F3ED5">
      <w:pPr>
        <w:spacing w:before="19" w:line="220" w:lineRule="exact"/>
        <w:rPr>
          <w:sz w:val="22"/>
          <w:szCs w:val="22"/>
        </w:rPr>
      </w:pPr>
    </w:p>
    <w:p w:rsidR="006F3ED5" w:rsidRPr="003B44FB" w:rsidRDefault="00B65BEC" w:rsidP="003B44FB">
      <w:pPr>
        <w:pStyle w:val="TITRE2"/>
        <w:ind w:left="1757" w:hanging="561"/>
      </w:pPr>
      <w:bookmarkStart w:id="53" w:name="_Toc435689592"/>
      <w:bookmarkStart w:id="54" w:name="_Toc442177358"/>
      <w:r>
        <w:t>Amendments to Portuguese law and to Technical Safety Regulations</w:t>
      </w:r>
      <w:bookmarkEnd w:id="53"/>
      <w:bookmarkEnd w:id="54"/>
    </w:p>
    <w:p w:rsidR="006F3ED5" w:rsidRPr="006A2FC1" w:rsidRDefault="006F3ED5">
      <w:pPr>
        <w:spacing w:before="12" w:line="200" w:lineRule="exact"/>
      </w:pPr>
    </w:p>
    <w:p w:rsidR="006F3ED5" w:rsidRPr="006A2FC1" w:rsidRDefault="00B65BEC" w:rsidP="003B44FB">
      <w:pPr>
        <w:pStyle w:val="paragraphe1"/>
      </w:pPr>
      <w:r>
        <w:t>During 2014, the legal basis of the IMT, I.P. was altered.</w:t>
      </w:r>
      <w:r>
        <w:rPr>
          <w:rStyle w:val="FootnoteReference"/>
        </w:rPr>
        <w:footnoteReference w:id="10"/>
      </w:r>
      <w:r>
        <w:t xml:space="preserve"> These changes set out the responsibilities of the institute in view of the creation of the Mobility and Transport Authority in 2013</w:t>
      </w:r>
      <w:r>
        <w:rPr>
          <w:rStyle w:val="FootnoteReference"/>
        </w:rPr>
        <w:footnoteReference w:id="11"/>
      </w:r>
      <w:r>
        <w:t>and the publication of the respective statutes.</w:t>
      </w:r>
      <w:r>
        <w:rPr>
          <w:rStyle w:val="FootnoteReference"/>
        </w:rPr>
        <w:footnoteReference w:id="12"/>
      </w:r>
    </w:p>
    <w:p w:rsidR="006F3ED5" w:rsidRPr="006A2FC1" w:rsidRDefault="006F3ED5" w:rsidP="003B44FB">
      <w:pPr>
        <w:pStyle w:val="paragraphe1"/>
        <w:rPr>
          <w:sz w:val="24"/>
          <w:szCs w:val="24"/>
        </w:rPr>
      </w:pPr>
    </w:p>
    <w:p w:rsidR="006F3ED5" w:rsidRPr="006A2FC1" w:rsidRDefault="00B65BEC" w:rsidP="003B44FB">
      <w:pPr>
        <w:pStyle w:val="paragraphe1"/>
      </w:pPr>
      <w:r>
        <w:t>Furthermore, the publication of Decree Law No 151/2014 of 13 October corrected some of the provisions made when the Safety Directive was transposed. This amendment added a set of articles which clarified the duties and powers of the IMT, I.P. as the National Rail Safety Authority (Articles 63-A to 63-C).</w:t>
      </w:r>
    </w:p>
    <w:p w:rsidR="006F3ED5" w:rsidRPr="006A2FC1" w:rsidRDefault="006F3ED5" w:rsidP="003B44FB">
      <w:pPr>
        <w:pStyle w:val="paragraphe1"/>
        <w:rPr>
          <w:sz w:val="24"/>
          <w:szCs w:val="24"/>
        </w:rPr>
      </w:pPr>
    </w:p>
    <w:p w:rsidR="006F3ED5" w:rsidRPr="006A2FC1" w:rsidRDefault="00B65BEC" w:rsidP="003B44FB">
      <w:pPr>
        <w:pStyle w:val="paragraphe1"/>
      </w:pPr>
      <w:r>
        <w:t>In 2014, the IMT, I.P. planned a review of the system of technical safety standards. Together with the rail transport companies and the infrastructure manager, a common understanding was reached relative to methodology to be used for the review of the aforementioned system, which will take into account ERA guidelines on this subject. The review will take place during 2015 and 2016, beginning with the issuing of the IMT, I.P. Instruction concerning this matter in 2015.</w:t>
      </w:r>
    </w:p>
    <w:p w:rsidR="003B44FB" w:rsidRDefault="003B44FB">
      <w:r>
        <w:br w:type="page"/>
      </w:r>
    </w:p>
    <w:p w:rsidR="006F3ED5" w:rsidRPr="006A2FC1" w:rsidRDefault="00B65BEC" w:rsidP="003B44FB">
      <w:pPr>
        <w:pStyle w:val="titre1"/>
      </w:pPr>
      <w:bookmarkStart w:id="55" w:name="_Toc435689593"/>
      <w:bookmarkStart w:id="56" w:name="_Toc442177359"/>
      <w:r>
        <w:lastRenderedPageBreak/>
        <w:t>APPLICATION OF THE COMMON SAFETY METHOD FOR RISK EVALUATION AND ASSESSMENT</w:t>
      </w:r>
      <w:bookmarkEnd w:id="55"/>
      <w:bookmarkEnd w:id="56"/>
    </w:p>
    <w:p w:rsidR="006F3ED5" w:rsidRPr="006A2FC1" w:rsidRDefault="006F3ED5">
      <w:pPr>
        <w:spacing w:before="16" w:line="240" w:lineRule="exact"/>
        <w:rPr>
          <w:sz w:val="24"/>
          <w:szCs w:val="24"/>
        </w:rPr>
      </w:pPr>
    </w:p>
    <w:p w:rsidR="006F3ED5" w:rsidRPr="006A2FC1" w:rsidRDefault="00B65BEC" w:rsidP="003B44FB">
      <w:pPr>
        <w:pStyle w:val="paragraphe1"/>
      </w:pPr>
      <w:r>
        <w:t>The rail transport companies and the infrastructure manager were generally considered to have correctly applied the CSM on the evaluation and assessment of risks covered by Regulation (EC) number 352/2009 of 24 April</w:t>
      </w:r>
      <w:r>
        <w:rPr>
          <w:rStyle w:val="FootnoteReference"/>
        </w:rPr>
        <w:footnoteReference w:id="13"/>
      </w:r>
      <w:r>
        <w:t xml:space="preserve"> with respect to the level of significance of the alterations as well as to the process of risk management, having made use of internal risk assessment bodies for this purpose.</w:t>
      </w:r>
    </w:p>
    <w:p w:rsidR="006F3ED5" w:rsidRPr="006A2FC1" w:rsidRDefault="006F3ED5">
      <w:pPr>
        <w:spacing w:before="11" w:line="220" w:lineRule="exact"/>
        <w:rPr>
          <w:sz w:val="22"/>
          <w:szCs w:val="22"/>
        </w:rPr>
      </w:pPr>
    </w:p>
    <w:p w:rsidR="006F3ED5" w:rsidRPr="006A2FC1" w:rsidRDefault="00B65BEC" w:rsidP="003B44FB">
      <w:pPr>
        <w:pStyle w:val="TITRE2"/>
      </w:pPr>
      <w:bookmarkStart w:id="57" w:name="_Toc435689594"/>
      <w:bookmarkStart w:id="58" w:name="_Toc442177360"/>
      <w:r>
        <w:t>Experience of the Regulator</w:t>
      </w:r>
      <w:bookmarkEnd w:id="57"/>
      <w:bookmarkEnd w:id="58"/>
    </w:p>
    <w:p w:rsidR="006F3ED5" w:rsidRPr="006A2FC1" w:rsidRDefault="006F3ED5">
      <w:pPr>
        <w:spacing w:before="9" w:line="200" w:lineRule="exact"/>
      </w:pPr>
    </w:p>
    <w:p w:rsidR="006F3ED5" w:rsidRPr="006A2FC1" w:rsidRDefault="00B65BEC" w:rsidP="003B44FB">
      <w:pPr>
        <w:pStyle w:val="paragraphe1"/>
      </w:pPr>
      <w:r>
        <w:t>The experience of the railway entities improved compared to 2013 with the implementation of this CSM. All the entities reported implementation in accordance with the European regulation.</w:t>
      </w:r>
    </w:p>
    <w:p w:rsidR="006F3ED5" w:rsidRPr="006A2FC1" w:rsidRDefault="006F3ED5" w:rsidP="003B44FB">
      <w:pPr>
        <w:pStyle w:val="paragraphe1"/>
        <w:rPr>
          <w:sz w:val="24"/>
          <w:szCs w:val="24"/>
        </w:rPr>
      </w:pPr>
    </w:p>
    <w:p w:rsidR="006F3ED5" w:rsidRPr="006A2FC1" w:rsidRDefault="00B65BEC" w:rsidP="003B44FB">
      <w:pPr>
        <w:pStyle w:val="paragraphe1"/>
      </w:pPr>
      <w:r>
        <w:t>The rail transport companies all found that they were dealing with amendments that would not have a significant impact on safety, and so risk management procedures were not applied.</w:t>
      </w:r>
    </w:p>
    <w:p w:rsidR="006F3ED5" w:rsidRPr="006A2FC1" w:rsidRDefault="006F3ED5" w:rsidP="003B44FB">
      <w:pPr>
        <w:pStyle w:val="paragraphe1"/>
        <w:rPr>
          <w:sz w:val="24"/>
          <w:szCs w:val="24"/>
        </w:rPr>
      </w:pPr>
    </w:p>
    <w:p w:rsidR="006F3ED5" w:rsidRPr="006A2FC1" w:rsidRDefault="00B65BEC" w:rsidP="003B44FB">
      <w:pPr>
        <w:pStyle w:val="paragraphe1"/>
      </w:pPr>
      <w:r>
        <w:t>The infrastructure manager found three changes that would potentially have an impact on safety. Two of these changes were considered to be significant, leading the infrastructure manager to properly apply risk management procedures.</w:t>
      </w:r>
    </w:p>
    <w:p w:rsidR="006F3ED5" w:rsidRPr="006A2FC1" w:rsidRDefault="006F3ED5" w:rsidP="003B44FB">
      <w:pPr>
        <w:pStyle w:val="paragraphe1"/>
        <w:rPr>
          <w:sz w:val="24"/>
          <w:szCs w:val="24"/>
        </w:rPr>
      </w:pPr>
    </w:p>
    <w:p w:rsidR="006F3ED5" w:rsidRPr="006A2FC1" w:rsidRDefault="00B65BEC" w:rsidP="003B44FB">
      <w:pPr>
        <w:pStyle w:val="paragraphe1"/>
      </w:pPr>
      <w:r>
        <w:t>Due to the differences in implementation experienced by the companies, the application of CSM needs to be harmonised to enable efficient implementation and monitoring, a point which the IMT, I.P. will monitor over the coming years.</w:t>
      </w:r>
    </w:p>
    <w:p w:rsidR="006F3ED5" w:rsidRPr="006A2FC1" w:rsidRDefault="006F3ED5">
      <w:pPr>
        <w:spacing w:before="18" w:line="220" w:lineRule="exact"/>
        <w:rPr>
          <w:sz w:val="22"/>
          <w:szCs w:val="22"/>
        </w:rPr>
      </w:pPr>
    </w:p>
    <w:p w:rsidR="006F3ED5" w:rsidRPr="006A2FC1" w:rsidRDefault="00B65BEC" w:rsidP="003B44FB">
      <w:pPr>
        <w:pStyle w:val="TITRE2"/>
      </w:pPr>
      <w:bookmarkStart w:id="59" w:name="_Toc435689595"/>
      <w:bookmarkStart w:id="60" w:name="_Toc442177361"/>
      <w:r>
        <w:t>Stakeholder Feedback</w:t>
      </w:r>
      <w:bookmarkEnd w:id="59"/>
      <w:bookmarkEnd w:id="60"/>
    </w:p>
    <w:p w:rsidR="006F3ED5" w:rsidRPr="006A2FC1" w:rsidRDefault="006F3ED5">
      <w:pPr>
        <w:spacing w:before="9" w:line="100" w:lineRule="exact"/>
        <w:rPr>
          <w:sz w:val="11"/>
          <w:szCs w:val="11"/>
        </w:rPr>
      </w:pPr>
    </w:p>
    <w:p w:rsidR="006F3ED5" w:rsidRPr="006A2FC1" w:rsidRDefault="00B65BEC" w:rsidP="003B44FB">
      <w:pPr>
        <w:pStyle w:val="paragraphe1"/>
      </w:pPr>
      <w:r>
        <w:t>The railway entitites did not conduct any surveys on their experience in implementing the CSM because this was considered somehat premature given that they do not have much experience in their application yet.</w:t>
      </w:r>
    </w:p>
    <w:p w:rsidR="003B44FB" w:rsidRDefault="003B44FB">
      <w:pPr>
        <w:rPr>
          <w:rFonts w:ascii="Arial" w:eastAsia="Arial" w:hAnsi="Arial" w:cs="Arial"/>
          <w:b/>
          <w:sz w:val="24"/>
          <w:szCs w:val="24"/>
        </w:rPr>
      </w:pPr>
      <w:r>
        <w:br w:type="page"/>
      </w:r>
    </w:p>
    <w:p w:rsidR="006F3ED5" w:rsidRPr="006A2FC1" w:rsidRDefault="00B65BEC" w:rsidP="003B44FB">
      <w:pPr>
        <w:pStyle w:val="TITRE2"/>
      </w:pPr>
      <w:bookmarkStart w:id="61" w:name="_Toc435689596"/>
      <w:bookmarkStart w:id="62" w:name="_Toc442177362"/>
      <w:r>
        <w:lastRenderedPageBreak/>
        <w:t>Revision of National Safety Rules in view of Community regulations on Common Safety Methods for Risk Evaluation and Assessment</w:t>
      </w:r>
      <w:bookmarkEnd w:id="61"/>
      <w:bookmarkEnd w:id="62"/>
    </w:p>
    <w:p w:rsidR="00705059" w:rsidRDefault="00705059" w:rsidP="003B44FB">
      <w:pPr>
        <w:pStyle w:val="paragraphe1"/>
      </w:pPr>
    </w:p>
    <w:p w:rsidR="006F3ED5" w:rsidRPr="006A2FC1" w:rsidRDefault="00B65BEC" w:rsidP="003B44FB">
      <w:pPr>
        <w:pStyle w:val="paragraphe1"/>
      </w:pPr>
      <w:r>
        <w:t>As referred to in F.2, in 2014 the IMT, I.P. planned a complete review of technical safety standards, to take place over a period of two years. This review process will take ERA recommendations into account.</w:t>
      </w:r>
    </w:p>
    <w:p w:rsidR="006F3ED5" w:rsidRPr="006A2FC1" w:rsidRDefault="006F3ED5" w:rsidP="003B44FB">
      <w:pPr>
        <w:pStyle w:val="paragraphe1"/>
        <w:rPr>
          <w:sz w:val="24"/>
          <w:szCs w:val="24"/>
        </w:rPr>
      </w:pPr>
    </w:p>
    <w:p w:rsidR="006F3ED5" w:rsidRPr="006A2FC1" w:rsidRDefault="00B65BEC" w:rsidP="003B44FB">
      <w:pPr>
        <w:pStyle w:val="paragraphe1"/>
      </w:pPr>
      <w:r>
        <w:t>No revisions to national safety rules based on the Common Safety Method for Risk Evaluation and Assessment were carried out in 2014.</w:t>
      </w:r>
    </w:p>
    <w:p w:rsidR="006F3ED5" w:rsidRPr="006A2FC1" w:rsidRDefault="006F3ED5">
      <w:pPr>
        <w:spacing w:line="200" w:lineRule="exact"/>
      </w:pPr>
    </w:p>
    <w:p w:rsidR="006F3ED5" w:rsidRPr="006A2FC1" w:rsidRDefault="006F3ED5">
      <w:pPr>
        <w:spacing w:line="200" w:lineRule="exact"/>
      </w:pPr>
    </w:p>
    <w:p w:rsidR="003B44FB" w:rsidRDefault="003B44FB">
      <w:pPr>
        <w:rPr>
          <w:sz w:val="22"/>
          <w:szCs w:val="22"/>
        </w:rPr>
      </w:pPr>
      <w:r>
        <w:br w:type="page"/>
      </w:r>
    </w:p>
    <w:p w:rsidR="006F3ED5" w:rsidRPr="006A2FC1" w:rsidRDefault="006F3ED5">
      <w:pPr>
        <w:spacing w:before="9" w:line="220" w:lineRule="exact"/>
        <w:rPr>
          <w:sz w:val="22"/>
          <w:szCs w:val="22"/>
        </w:rPr>
      </w:pPr>
    </w:p>
    <w:p w:rsidR="006F3ED5" w:rsidRPr="006A2FC1" w:rsidRDefault="00B65BEC" w:rsidP="003B44FB">
      <w:pPr>
        <w:pStyle w:val="titre1"/>
      </w:pPr>
      <w:bookmarkStart w:id="63" w:name="_Toc435689597"/>
      <w:bookmarkStart w:id="64" w:name="_Toc442177363"/>
      <w:r>
        <w:t>CERTIFICATION EXEMPTIONS FOR ENTITIES RESPONSIBLE FOR MAINTENANCE</w:t>
      </w:r>
      <w:bookmarkEnd w:id="63"/>
      <w:bookmarkEnd w:id="64"/>
    </w:p>
    <w:p w:rsidR="006F3ED5" w:rsidRPr="006A2FC1" w:rsidRDefault="006F3ED5">
      <w:pPr>
        <w:spacing w:before="15" w:line="240" w:lineRule="exact"/>
        <w:rPr>
          <w:sz w:val="24"/>
          <w:szCs w:val="24"/>
        </w:rPr>
      </w:pPr>
    </w:p>
    <w:p w:rsidR="006F3ED5" w:rsidRPr="006A2FC1" w:rsidRDefault="00B65BEC" w:rsidP="003B44FB">
      <w:pPr>
        <w:pStyle w:val="paragraphe1"/>
      </w:pPr>
      <w:r>
        <w:t>During 2014 the IMT, I.P. received no requests for exemptions in this area.</w:t>
      </w:r>
    </w:p>
    <w:p w:rsidR="006F3ED5" w:rsidRPr="006A2FC1" w:rsidRDefault="006F3ED5">
      <w:pPr>
        <w:spacing w:line="200" w:lineRule="exact"/>
      </w:pPr>
    </w:p>
    <w:p w:rsidR="006F3ED5" w:rsidRPr="006A2FC1" w:rsidRDefault="00B65BEC" w:rsidP="003B44FB">
      <w:pPr>
        <w:pStyle w:val="paragraphe1"/>
      </w:pPr>
      <w:r>
        <w:t>In 2014 CP Carga continued to operate and maintain its wagons under the terms of the Part B Safety Certificate it holds (PT 12 2011 0003), with the exemption provided in point 7 of Article 12 of Commission Regulation No 445/2011 of 10 May remaining in effect.</w:t>
      </w:r>
    </w:p>
    <w:p w:rsidR="003B44FB" w:rsidRDefault="003B44FB">
      <w:r>
        <w:br w:type="page"/>
      </w:r>
    </w:p>
    <w:p w:rsidR="006F3ED5" w:rsidRPr="006A2FC1" w:rsidRDefault="00B65BEC" w:rsidP="003B44FB">
      <w:pPr>
        <w:pStyle w:val="titre1"/>
      </w:pPr>
      <w:bookmarkStart w:id="65" w:name="_Toc435689598"/>
      <w:bookmarkStart w:id="66" w:name="_Toc442177364"/>
      <w:r>
        <w:lastRenderedPageBreak/>
        <w:t>BIBLIOGRAPHY</w:t>
      </w:r>
      <w:bookmarkEnd w:id="65"/>
      <w:bookmarkEnd w:id="66"/>
    </w:p>
    <w:p w:rsidR="006F3ED5" w:rsidRPr="006A2FC1" w:rsidRDefault="006F3ED5">
      <w:pPr>
        <w:spacing w:line="200" w:lineRule="exact"/>
      </w:pPr>
    </w:p>
    <w:p w:rsidR="006F3ED5" w:rsidRPr="006A2FC1" w:rsidRDefault="006F3ED5">
      <w:pPr>
        <w:spacing w:before="6" w:line="200" w:lineRule="exact"/>
      </w:pPr>
    </w:p>
    <w:p w:rsidR="006F3ED5" w:rsidRPr="003B44FB" w:rsidRDefault="00B65BEC" w:rsidP="003B44FB">
      <w:pPr>
        <w:pStyle w:val="paragraphe1"/>
        <w:spacing w:before="120"/>
      </w:pPr>
      <w:r>
        <w:t>Guidance for use of CSI's recommendation – WG on Common Safety Indicators/Safety Performance</w:t>
      </w:r>
    </w:p>
    <w:p w:rsidR="006F3ED5" w:rsidRPr="006A2FC1" w:rsidRDefault="00B65BEC" w:rsidP="003B44FB">
      <w:pPr>
        <w:pStyle w:val="paragraphe1"/>
        <w:spacing w:before="120"/>
      </w:pPr>
      <w:r>
        <w:t>Annual Safety Report 2014 – IP, S. A.</w:t>
      </w:r>
    </w:p>
    <w:p w:rsidR="006F3ED5" w:rsidRPr="006A2FC1" w:rsidRDefault="00B65BEC" w:rsidP="003B44FB">
      <w:pPr>
        <w:pStyle w:val="paragraphe1"/>
        <w:spacing w:before="120"/>
      </w:pPr>
      <w:r>
        <w:t>Annual Safety Report 2014 – CP – COMBOIOS DE PORTUGAL Annual Safety Report 2014 – CP CARGA</w:t>
      </w:r>
    </w:p>
    <w:p w:rsidR="006F3ED5" w:rsidRPr="006A2FC1" w:rsidRDefault="00B65BEC" w:rsidP="003B44FB">
      <w:pPr>
        <w:pStyle w:val="paragraphe1"/>
        <w:spacing w:before="120"/>
      </w:pPr>
      <w:r>
        <w:t>Annual Safety Report 2014 – FERTAGUS Annual Safety Report 2014 – TAKARGO</w:t>
      </w:r>
    </w:p>
    <w:p w:rsidR="006F3ED5" w:rsidRPr="003B44FB" w:rsidRDefault="00B65BEC" w:rsidP="003B44FB">
      <w:pPr>
        <w:pStyle w:val="paragraphe1"/>
        <w:spacing w:before="120"/>
      </w:pPr>
      <w:r>
        <w:t>Template – Structure for the content of the NSA Annual Report: ERA – Network of National Safety Authorities</w:t>
      </w:r>
    </w:p>
    <w:p w:rsidR="006F3ED5" w:rsidRPr="003B44FB" w:rsidRDefault="00B65BEC" w:rsidP="003B44FB">
      <w:pPr>
        <w:pStyle w:val="paragraphe1"/>
        <w:spacing w:before="120"/>
      </w:pPr>
      <w:r>
        <w:t>Guideline for the use of the template – Structure for the content of the NSA Annual Safety Report: ERA – Network of National Safety Authorities</w:t>
      </w:r>
    </w:p>
    <w:p w:rsidR="006F3ED5" w:rsidRPr="006A2FC1" w:rsidRDefault="00B65BEC" w:rsidP="003B44FB">
      <w:pPr>
        <w:pStyle w:val="paragraphe1"/>
        <w:spacing w:before="120"/>
        <w:rPr>
          <w:sz w:val="18"/>
          <w:szCs w:val="18"/>
        </w:rPr>
      </w:pPr>
      <w:r>
        <w:t>Data on the production indicators of companies and on GDP supplied by Statistics Portugal (INE)</w:t>
      </w:r>
    </w:p>
    <w:p w:rsidR="003B44FB" w:rsidRDefault="003B44FB">
      <w:pPr>
        <w:rPr>
          <w:rFonts w:ascii="Arial" w:eastAsia="Arial" w:hAnsi="Arial" w:cs="Arial"/>
          <w:b/>
          <w:sz w:val="24"/>
          <w:szCs w:val="24"/>
        </w:rPr>
      </w:pPr>
      <w:r>
        <w:br w:type="page"/>
      </w:r>
    </w:p>
    <w:p w:rsidR="006538E6" w:rsidRDefault="006538E6" w:rsidP="00705059">
      <w:pPr>
        <w:pStyle w:val="ANNEXE"/>
      </w:pPr>
      <w:bookmarkStart w:id="67" w:name="_Toc435689599"/>
      <w:bookmarkStart w:id="68" w:name="_Toc442177365"/>
      <w:r>
        <w:lastRenderedPageBreak/>
        <w:t>STRUCTURE OF THE RAIL SYSTEM</w:t>
      </w:r>
      <w:bookmarkEnd w:id="67"/>
      <w:bookmarkEnd w:id="68"/>
    </w:p>
    <w:p w:rsidR="006F3ED5" w:rsidRPr="006538E6" w:rsidRDefault="00B65BEC" w:rsidP="006A58EF">
      <w:pPr>
        <w:pStyle w:val="ANNEXEA"/>
      </w:pPr>
      <w:bookmarkStart w:id="69" w:name="_Toc435689600"/>
      <w:bookmarkStart w:id="70" w:name="_Toc442177366"/>
      <w:r>
        <w:t>Map of the National Rail Network</w:t>
      </w:r>
      <w:bookmarkEnd w:id="69"/>
      <w:bookmarkEnd w:id="70"/>
    </w:p>
    <w:p w:rsidR="006F3ED5" w:rsidRPr="006A2FC1" w:rsidRDefault="00B65BEC" w:rsidP="006538E6">
      <w:pPr>
        <w:spacing w:before="120" w:after="120"/>
        <w:rPr>
          <w:rFonts w:ascii="Arial" w:eastAsia="Arial" w:hAnsi="Arial" w:cs="Arial"/>
        </w:rPr>
      </w:pPr>
      <w:r>
        <w:rPr>
          <w:rFonts w:ascii="Arial" w:hAnsi="Arial"/>
        </w:rPr>
        <w:t>Source: Report on the Application of the Safety Management System 2014, from IP, S.A.</w:t>
      </w:r>
    </w:p>
    <w:p w:rsidR="006F3ED5" w:rsidRPr="006A2FC1" w:rsidRDefault="006F3ED5">
      <w:pPr>
        <w:spacing w:before="7" w:line="200" w:lineRule="exact"/>
      </w:pPr>
    </w:p>
    <w:p w:rsidR="006F3ED5" w:rsidRPr="006A2FC1" w:rsidRDefault="00B65BEC" w:rsidP="006538E6">
      <w:r>
        <w:rPr>
          <w:noProof/>
          <w:lang w:val="fr-LU" w:eastAsia="fr-LU" w:bidi="ar-SA"/>
        </w:rPr>
        <w:drawing>
          <wp:inline distT="0" distB="0" distL="0" distR="0" wp14:anchorId="5F2602F1" wp14:editId="504BB656">
            <wp:extent cx="5460365" cy="7565390"/>
            <wp:effectExtent l="0" t="0" r="6985"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0365" cy="7565390"/>
                    </a:xfrm>
                    <a:prstGeom prst="rect">
                      <a:avLst/>
                    </a:prstGeom>
                    <a:noFill/>
                    <a:ln>
                      <a:noFill/>
                    </a:ln>
                  </pic:spPr>
                </pic:pic>
              </a:graphicData>
            </a:graphic>
          </wp:inline>
        </w:drawing>
      </w:r>
    </w:p>
    <w:p w:rsidR="006538E6" w:rsidRDefault="006538E6">
      <w:pPr>
        <w:rPr>
          <w:rFonts w:ascii="Arial" w:eastAsia="Arial" w:hAnsi="Arial" w:cs="Arial"/>
          <w:i/>
          <w:sz w:val="22"/>
          <w:szCs w:val="22"/>
        </w:rPr>
      </w:pPr>
    </w:p>
    <w:p w:rsidR="006F3ED5" w:rsidRPr="006538E6" w:rsidRDefault="00B65BEC" w:rsidP="009A688E">
      <w:pPr>
        <w:pStyle w:val="ANNEXEA2"/>
      </w:pPr>
      <w:bookmarkStart w:id="71" w:name="_Toc435689601"/>
      <w:bookmarkStart w:id="72" w:name="_Toc442177367"/>
      <w:r>
        <w:lastRenderedPageBreak/>
        <w:t>Map of Automatic Speed Control Systems</w:t>
      </w:r>
      <w:bookmarkEnd w:id="71"/>
      <w:bookmarkEnd w:id="72"/>
    </w:p>
    <w:p w:rsidR="006F3ED5" w:rsidRPr="006A2FC1" w:rsidRDefault="00B65BEC" w:rsidP="006538E6">
      <w:pPr>
        <w:pStyle w:val="paragraphe1"/>
      </w:pPr>
      <w:r>
        <w:t>Source: Report on the Application of the Safety Management System 2014, from IP, S.A.</w:t>
      </w:r>
    </w:p>
    <w:p w:rsidR="006F3ED5" w:rsidRPr="006A2FC1" w:rsidRDefault="00B65BEC" w:rsidP="006538E6">
      <w:r>
        <w:rPr>
          <w:noProof/>
          <w:lang w:val="fr-LU" w:eastAsia="fr-LU" w:bidi="ar-SA"/>
        </w:rPr>
        <w:drawing>
          <wp:inline distT="0" distB="0" distL="0" distR="0" wp14:anchorId="039ED278" wp14:editId="7EFCF52B">
            <wp:extent cx="5719445" cy="7565390"/>
            <wp:effectExtent l="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9445" cy="7565390"/>
                    </a:xfrm>
                    <a:prstGeom prst="rect">
                      <a:avLst/>
                    </a:prstGeom>
                    <a:noFill/>
                    <a:ln>
                      <a:noFill/>
                    </a:ln>
                  </pic:spPr>
                </pic:pic>
              </a:graphicData>
            </a:graphic>
          </wp:inline>
        </w:drawing>
      </w:r>
    </w:p>
    <w:p w:rsidR="006538E6" w:rsidRDefault="006538E6">
      <w:r>
        <w:br w:type="page"/>
      </w:r>
    </w:p>
    <w:p w:rsidR="006F3ED5" w:rsidRPr="006A2FC1" w:rsidRDefault="006F3ED5">
      <w:pPr>
        <w:spacing w:before="17" w:line="280" w:lineRule="exact"/>
        <w:rPr>
          <w:sz w:val="28"/>
          <w:szCs w:val="28"/>
        </w:rPr>
      </w:pPr>
    </w:p>
    <w:p w:rsidR="006F3ED5" w:rsidRPr="006A2FC1" w:rsidRDefault="00B65BEC" w:rsidP="00CB308B">
      <w:pPr>
        <w:pStyle w:val="ANNEXEA"/>
      </w:pPr>
      <w:bookmarkStart w:id="73" w:name="_Toc435689602"/>
      <w:bookmarkStart w:id="74" w:name="_Toc442177368"/>
      <w:r>
        <w:t>List of infrastructure management and rail transport companies</w:t>
      </w:r>
      <w:bookmarkEnd w:id="73"/>
      <w:bookmarkEnd w:id="74"/>
    </w:p>
    <w:p w:rsidR="006F3ED5" w:rsidRPr="00E350D8" w:rsidRDefault="00B65BEC" w:rsidP="00E350D8">
      <w:pPr>
        <w:pStyle w:val="ANNEXEA2"/>
      </w:pPr>
      <w:bookmarkStart w:id="75" w:name="_Toc435689603"/>
      <w:bookmarkStart w:id="76" w:name="_Toc442177369"/>
      <w:r>
        <w:t>Infrastructure manager</w:t>
      </w:r>
      <w:bookmarkEnd w:id="75"/>
      <w:bookmarkEnd w:id="76"/>
    </w:p>
    <w:p w:rsidR="006F3ED5" w:rsidRPr="00F445AF" w:rsidRDefault="006F3ED5">
      <w:pPr>
        <w:spacing w:before="1" w:line="160" w:lineRule="exact"/>
        <w:rPr>
          <w:sz w:val="17"/>
          <w:szCs w:val="17"/>
        </w:rPr>
      </w:pPr>
    </w:p>
    <w:p w:rsidR="006F3ED5" w:rsidRPr="00F445AF" w:rsidRDefault="006F3ED5">
      <w:pPr>
        <w:spacing w:line="200" w:lineRule="exact"/>
      </w:pPr>
    </w:p>
    <w:p w:rsidR="006538E6" w:rsidRPr="00F445AF" w:rsidRDefault="006538E6">
      <w:pPr>
        <w:spacing w:before="6" w:line="100" w:lineRule="exact"/>
        <w:rPr>
          <w:sz w:val="11"/>
          <w:szCs w:val="11"/>
        </w:rPr>
      </w:pPr>
    </w:p>
    <w:p w:rsidR="006538E6" w:rsidRPr="00F445AF" w:rsidRDefault="006538E6">
      <w:pPr>
        <w:spacing w:line="200" w:lineRule="exact"/>
      </w:pPr>
    </w:p>
    <w:tbl>
      <w:tblPr>
        <w:tblStyle w:val="TableGrid"/>
        <w:tblW w:w="0" w:type="auto"/>
        <w:tblCellMar>
          <w:top w:w="85" w:type="dxa"/>
          <w:bottom w:w="85" w:type="dxa"/>
        </w:tblCellMar>
        <w:tblLook w:val="04A0" w:firstRow="1" w:lastRow="0" w:firstColumn="1" w:lastColumn="0" w:noHBand="0" w:noVBand="1"/>
      </w:tblPr>
      <w:tblGrid>
        <w:gridCol w:w="4776"/>
        <w:gridCol w:w="4777"/>
      </w:tblGrid>
      <w:tr w:rsidR="00F445AF" w:rsidRPr="00F445AF" w:rsidTr="00F445AF">
        <w:tc>
          <w:tcPr>
            <w:tcW w:w="4776" w:type="dxa"/>
            <w:shd w:val="clear" w:color="auto" w:fill="B6B6B6"/>
          </w:tcPr>
          <w:p w:rsidR="00F445AF" w:rsidRPr="00F445AF" w:rsidRDefault="00F445AF" w:rsidP="0054611A">
            <w:pPr>
              <w:rPr>
                <w:rFonts w:ascii="Arial" w:eastAsia="Arial" w:hAnsi="Arial" w:cs="Arial"/>
                <w:b/>
                <w:sz w:val="18"/>
                <w:szCs w:val="18"/>
              </w:rPr>
            </w:pPr>
            <w:r>
              <w:rPr>
                <w:rFonts w:ascii="Arial" w:hAnsi="Arial"/>
                <w:b/>
                <w:sz w:val="18"/>
              </w:rPr>
              <w:t xml:space="preserve">Description </w:t>
            </w:r>
          </w:p>
        </w:tc>
        <w:tc>
          <w:tcPr>
            <w:tcW w:w="4777" w:type="dxa"/>
            <w:shd w:val="clear" w:color="auto" w:fill="B6B6B6"/>
          </w:tcPr>
          <w:p w:rsidR="00F445AF" w:rsidRPr="00F445AF" w:rsidRDefault="00F445AF" w:rsidP="0054611A">
            <w:pPr>
              <w:rPr>
                <w:rFonts w:ascii="Arial" w:eastAsia="Arial" w:hAnsi="Arial" w:cs="Arial"/>
                <w:sz w:val="18"/>
                <w:szCs w:val="18"/>
              </w:rPr>
            </w:pPr>
            <w:r>
              <w:rPr>
                <w:rFonts w:ascii="Arial" w:hAnsi="Arial"/>
                <w:b/>
                <w:sz w:val="18"/>
              </w:rPr>
              <w:t>Information</w:t>
            </w:r>
          </w:p>
        </w:tc>
      </w:tr>
      <w:tr w:rsidR="00F445AF" w:rsidRPr="00705059"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xml:space="preserve">Name </w:t>
            </w:r>
          </w:p>
        </w:tc>
        <w:tc>
          <w:tcPr>
            <w:tcW w:w="4777" w:type="dxa"/>
          </w:tcPr>
          <w:p w:rsidR="00F445AF" w:rsidRPr="00705059" w:rsidRDefault="00F445AF" w:rsidP="0054611A">
            <w:pPr>
              <w:rPr>
                <w:rFonts w:ascii="Arial" w:eastAsia="Arial" w:hAnsi="Arial" w:cs="Arial"/>
                <w:sz w:val="18"/>
                <w:szCs w:val="18"/>
                <w:lang/>
              </w:rPr>
            </w:pPr>
            <w:r w:rsidRPr="00705059">
              <w:rPr>
                <w:rFonts w:ascii="Arial" w:hAnsi="Arial"/>
                <w:sz w:val="18"/>
                <w:lang/>
              </w:rPr>
              <w:t>Infraestruturas de Portugal, S.A.</w:t>
            </w:r>
          </w:p>
        </w:tc>
      </w:tr>
      <w:tr w:rsidR="00F445AF" w:rsidRPr="00705059"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xml:space="preserve">Address </w:t>
            </w:r>
          </w:p>
        </w:tc>
        <w:tc>
          <w:tcPr>
            <w:tcW w:w="4777" w:type="dxa"/>
          </w:tcPr>
          <w:p w:rsidR="00F445AF" w:rsidRPr="00705059" w:rsidRDefault="00F445AF" w:rsidP="0054611A">
            <w:pPr>
              <w:rPr>
                <w:rFonts w:ascii="Arial" w:eastAsia="Arial" w:hAnsi="Arial" w:cs="Arial"/>
                <w:sz w:val="18"/>
                <w:szCs w:val="18"/>
                <w:lang/>
              </w:rPr>
            </w:pPr>
            <w:r w:rsidRPr="00705059">
              <w:rPr>
                <w:rFonts w:ascii="Arial" w:hAnsi="Arial"/>
                <w:sz w:val="18"/>
                <w:lang/>
              </w:rPr>
              <w:t>Praça da Portagem 2809-013 Almada Portugal</w:t>
            </w:r>
          </w:p>
        </w:tc>
      </w:tr>
      <w:tr w:rsidR="00F445AF" w:rsidRPr="00F445AF"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xml:space="preserve">Website </w:t>
            </w:r>
          </w:p>
        </w:tc>
        <w:tc>
          <w:tcPr>
            <w:tcW w:w="4777" w:type="dxa"/>
          </w:tcPr>
          <w:p w:rsidR="00F445AF" w:rsidRPr="00F445AF" w:rsidRDefault="007D3C4A" w:rsidP="0054611A">
            <w:pPr>
              <w:rPr>
                <w:rFonts w:ascii="Arial" w:eastAsia="Arial" w:hAnsi="Arial" w:cs="Arial"/>
                <w:sz w:val="18"/>
                <w:szCs w:val="18"/>
              </w:rPr>
            </w:pPr>
            <w:hyperlink r:id="rId29">
              <w:r w:rsidR="00B63285">
                <w:rPr>
                  <w:rFonts w:ascii="Arial" w:hAnsi="Arial"/>
                  <w:color w:val="0000FF"/>
                  <w:sz w:val="18"/>
                </w:rPr>
                <w:t>http://www.infraestruturasdeportugal.pt/</w:t>
              </w:r>
            </w:hyperlink>
          </w:p>
        </w:tc>
      </w:tr>
      <w:tr w:rsidR="00F445AF" w:rsidRPr="00F445AF"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Safety Authorisation (DL No 270/2003, with changes introduced by DL No 231/2007 of 14 June)</w:t>
            </w:r>
          </w:p>
        </w:tc>
        <w:tc>
          <w:tcPr>
            <w:tcW w:w="4777" w:type="dxa"/>
          </w:tcPr>
          <w:p w:rsidR="00F445AF" w:rsidRPr="00F445AF" w:rsidRDefault="00F445AF" w:rsidP="0054611A">
            <w:pPr>
              <w:rPr>
                <w:rFonts w:ascii="Arial" w:eastAsia="Arial" w:hAnsi="Arial" w:cs="Arial"/>
                <w:sz w:val="18"/>
                <w:szCs w:val="18"/>
              </w:rPr>
            </w:pPr>
            <w:r>
              <w:rPr>
                <w:rFonts w:ascii="Arial" w:hAnsi="Arial"/>
                <w:sz w:val="18"/>
              </w:rPr>
              <w:t>PT 21 2012 0001 and PT 22 2012 0001</w:t>
            </w:r>
          </w:p>
        </w:tc>
      </w:tr>
      <w:tr w:rsidR="00F445AF" w:rsidRPr="00F445AF"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xml:space="preserve">Date of commencement of activity </w:t>
            </w:r>
          </w:p>
        </w:tc>
        <w:tc>
          <w:tcPr>
            <w:tcW w:w="4777" w:type="dxa"/>
          </w:tcPr>
          <w:p w:rsidR="00F445AF" w:rsidRPr="00F445AF" w:rsidRDefault="00F445AF" w:rsidP="0054611A">
            <w:pPr>
              <w:rPr>
                <w:rFonts w:ascii="Arial" w:eastAsia="Arial" w:hAnsi="Arial" w:cs="Arial"/>
                <w:sz w:val="18"/>
                <w:szCs w:val="18"/>
              </w:rPr>
            </w:pPr>
            <w:r>
              <w:rPr>
                <w:rFonts w:ascii="Arial" w:hAnsi="Arial"/>
                <w:sz w:val="18"/>
              </w:rPr>
              <w:t>01 June 2015</w:t>
            </w:r>
          </w:p>
        </w:tc>
      </w:tr>
      <w:tr w:rsidR="00F445AF" w:rsidRPr="00F445AF"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xml:space="preserve">Length of network open to traffic </w:t>
            </w:r>
          </w:p>
        </w:tc>
        <w:tc>
          <w:tcPr>
            <w:tcW w:w="4777" w:type="dxa"/>
          </w:tcPr>
          <w:p w:rsidR="00F445AF" w:rsidRPr="00F445AF" w:rsidRDefault="00F445AF" w:rsidP="0054611A">
            <w:pPr>
              <w:rPr>
                <w:rFonts w:ascii="Arial" w:eastAsia="Arial" w:hAnsi="Arial" w:cs="Arial"/>
                <w:sz w:val="18"/>
                <w:szCs w:val="18"/>
              </w:rPr>
            </w:pPr>
            <w:r>
              <w:rPr>
                <w:rFonts w:ascii="Arial" w:hAnsi="Arial"/>
                <w:sz w:val="18"/>
              </w:rPr>
              <w:t>Total: 2 545.960 km Broad gauge track (1668 mm): 2 433.424 km Narrow gauge track (1000 mm): 112.536 km.</w:t>
            </w:r>
          </w:p>
        </w:tc>
      </w:tr>
      <w:tr w:rsidR="00F445AF" w:rsidRPr="00B63285"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xml:space="preserve">Length of lines by number of tracks </w:t>
            </w:r>
          </w:p>
        </w:tc>
        <w:tc>
          <w:tcPr>
            <w:tcW w:w="4777" w:type="dxa"/>
          </w:tcPr>
          <w:p w:rsidR="00F445AF" w:rsidRPr="00F445AF" w:rsidRDefault="00F445AF" w:rsidP="0054611A">
            <w:pPr>
              <w:rPr>
                <w:rFonts w:ascii="Arial" w:eastAsia="Arial" w:hAnsi="Arial" w:cs="Arial"/>
                <w:sz w:val="18"/>
                <w:szCs w:val="18"/>
              </w:rPr>
            </w:pPr>
            <w:r>
              <w:rPr>
                <w:rFonts w:ascii="Arial" w:hAnsi="Arial"/>
                <w:sz w:val="18"/>
              </w:rPr>
              <w:t>Multiple track: 610.557 km Single track: 1,935.403 km Total: 1630.322 km.</w:t>
            </w:r>
          </w:p>
        </w:tc>
      </w:tr>
      <w:tr w:rsidR="00F445AF" w:rsidRPr="00B63285"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xml:space="preserve">Length of electrified network </w:t>
            </w:r>
          </w:p>
        </w:tc>
        <w:tc>
          <w:tcPr>
            <w:tcW w:w="4777" w:type="dxa"/>
          </w:tcPr>
          <w:p w:rsidR="00F445AF" w:rsidRPr="00F445AF" w:rsidRDefault="00F445AF" w:rsidP="0054611A">
            <w:pPr>
              <w:rPr>
                <w:rFonts w:ascii="Arial" w:eastAsia="Arial" w:hAnsi="Arial" w:cs="Arial"/>
                <w:sz w:val="18"/>
                <w:szCs w:val="18"/>
              </w:rPr>
            </w:pPr>
            <w:r>
              <w:rPr>
                <w:rFonts w:ascii="Arial" w:hAnsi="Arial"/>
                <w:sz w:val="18"/>
              </w:rPr>
              <w:t>25 000 VAC: 1,606.872 km 1,500 VDC: 25.450 km % of network open to traffic: 64.03%</w:t>
            </w:r>
          </w:p>
        </w:tc>
      </w:tr>
      <w:tr w:rsidR="00F445AF" w:rsidRPr="00B63285"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Length of lines equipped with CONVEL/ATP:</w:t>
            </w:r>
          </w:p>
        </w:tc>
        <w:tc>
          <w:tcPr>
            <w:tcW w:w="4777" w:type="dxa"/>
          </w:tcPr>
          <w:p w:rsidR="00F445AF" w:rsidRPr="00F445AF" w:rsidRDefault="00F445AF" w:rsidP="0054611A">
            <w:pPr>
              <w:rPr>
                <w:rFonts w:ascii="Arial" w:eastAsia="Arial" w:hAnsi="Arial" w:cs="Arial"/>
                <w:sz w:val="18"/>
                <w:szCs w:val="18"/>
              </w:rPr>
            </w:pPr>
            <w:r>
              <w:rPr>
                <w:rFonts w:ascii="Arial" w:hAnsi="Arial"/>
                <w:sz w:val="18"/>
              </w:rPr>
              <w:t>1,695.438 km % of network open to traffic: 66.59%</w:t>
            </w:r>
          </w:p>
        </w:tc>
      </w:tr>
      <w:tr w:rsidR="00F445AF" w:rsidRPr="00B63285"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Length of lines equipped with Ground-to-Train radio:</w:t>
            </w:r>
          </w:p>
        </w:tc>
        <w:tc>
          <w:tcPr>
            <w:tcW w:w="4777" w:type="dxa"/>
          </w:tcPr>
          <w:p w:rsidR="00F445AF" w:rsidRPr="00F445AF" w:rsidRDefault="00F445AF" w:rsidP="0054611A">
            <w:pPr>
              <w:rPr>
                <w:rFonts w:ascii="Arial" w:eastAsia="Arial" w:hAnsi="Arial" w:cs="Arial"/>
                <w:sz w:val="18"/>
                <w:szCs w:val="18"/>
              </w:rPr>
            </w:pPr>
            <w:r>
              <w:rPr>
                <w:rFonts w:ascii="Arial" w:hAnsi="Arial"/>
                <w:sz w:val="18"/>
              </w:rPr>
              <w:t>1510.671 km % of network open to traffic: 59.31%</w:t>
            </w:r>
          </w:p>
        </w:tc>
      </w:tr>
      <w:tr w:rsidR="00F445AF" w:rsidRPr="00F445AF"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xml:space="preserve">Number of Level Crossings </w:t>
            </w:r>
          </w:p>
        </w:tc>
        <w:tc>
          <w:tcPr>
            <w:tcW w:w="4777" w:type="dxa"/>
          </w:tcPr>
          <w:p w:rsidR="00F445AF" w:rsidRPr="00F445AF" w:rsidRDefault="00F445AF" w:rsidP="0054611A">
            <w:pPr>
              <w:rPr>
                <w:rFonts w:ascii="Arial" w:eastAsia="Arial" w:hAnsi="Arial" w:cs="Arial"/>
                <w:sz w:val="18"/>
                <w:szCs w:val="18"/>
              </w:rPr>
            </w:pPr>
            <w:r>
              <w:rPr>
                <w:rFonts w:ascii="Arial" w:hAnsi="Arial"/>
                <w:sz w:val="18"/>
              </w:rPr>
              <w:t>856 LCs</w:t>
            </w:r>
          </w:p>
        </w:tc>
      </w:tr>
      <w:tr w:rsidR="00F445AF" w:rsidRPr="00B63285"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xml:space="preserve">(including private and pedestrian) </w:t>
            </w:r>
          </w:p>
        </w:tc>
        <w:tc>
          <w:tcPr>
            <w:tcW w:w="4777" w:type="dxa"/>
          </w:tcPr>
          <w:p w:rsidR="00F445AF" w:rsidRPr="00F445AF" w:rsidRDefault="00F445AF" w:rsidP="0054611A">
            <w:pPr>
              <w:rPr>
                <w:rFonts w:ascii="Arial" w:eastAsia="Arial" w:hAnsi="Arial" w:cs="Arial"/>
                <w:sz w:val="18"/>
                <w:szCs w:val="18"/>
              </w:rPr>
            </w:pPr>
            <w:r>
              <w:rPr>
                <w:rFonts w:ascii="Arial" w:hAnsi="Arial"/>
                <w:b/>
                <w:sz w:val="18"/>
              </w:rPr>
              <w:t xml:space="preserve"> </w:t>
            </w:r>
            <w:r>
              <w:rPr>
                <w:rFonts w:ascii="Arial" w:hAnsi="Arial"/>
                <w:sz w:val="18"/>
              </w:rPr>
              <w:t>Density: 0.336 LCs/km of line. 0.263 LCs/km of track.</w:t>
            </w:r>
          </w:p>
        </w:tc>
      </w:tr>
      <w:tr w:rsidR="00F445AF" w:rsidRPr="00B63285"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Level crossings with automatic or manual protection</w:t>
            </w:r>
          </w:p>
        </w:tc>
        <w:tc>
          <w:tcPr>
            <w:tcW w:w="4777" w:type="dxa"/>
          </w:tcPr>
          <w:p w:rsidR="00F445AF" w:rsidRPr="00F445AF" w:rsidRDefault="00F445AF" w:rsidP="0054611A">
            <w:pPr>
              <w:rPr>
                <w:rFonts w:ascii="Arial" w:eastAsia="Arial" w:hAnsi="Arial" w:cs="Arial"/>
                <w:sz w:val="18"/>
                <w:szCs w:val="18"/>
              </w:rPr>
            </w:pPr>
            <w:r>
              <w:rPr>
                <w:rFonts w:ascii="Arial" w:hAnsi="Arial"/>
                <w:b/>
                <w:sz w:val="18"/>
              </w:rPr>
              <w:t xml:space="preserve"> </w:t>
            </w:r>
            <w:r>
              <w:rPr>
                <w:rFonts w:ascii="Arial" w:hAnsi="Arial"/>
                <w:sz w:val="18"/>
              </w:rPr>
              <w:t>458 LCs. % of total LCs: 53.50% Total: 623,007</w:t>
            </w:r>
          </w:p>
        </w:tc>
      </w:tr>
      <w:tr w:rsidR="00F445AF" w:rsidRPr="00B63285"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xml:space="preserve">Number of trains on network </w:t>
            </w:r>
          </w:p>
        </w:tc>
        <w:tc>
          <w:tcPr>
            <w:tcW w:w="4777" w:type="dxa"/>
          </w:tcPr>
          <w:p w:rsidR="00F445AF" w:rsidRPr="00F445AF" w:rsidRDefault="00F445AF" w:rsidP="0054611A">
            <w:pPr>
              <w:rPr>
                <w:rFonts w:ascii="Arial" w:eastAsia="Arial" w:hAnsi="Arial" w:cs="Arial"/>
                <w:sz w:val="18"/>
                <w:szCs w:val="18"/>
              </w:rPr>
            </w:pPr>
            <w:r>
              <w:rPr>
                <w:rFonts w:ascii="Arial" w:hAnsi="Arial"/>
                <w:sz w:val="18"/>
              </w:rPr>
              <w:t xml:space="preserve">Passenger: 503,346. Goods: 41,156. Trips: 78,505. Total: 37.19 x 106. Passenger: 30.03 x 106 </w:t>
            </w:r>
          </w:p>
        </w:tc>
      </w:tr>
      <w:tr w:rsidR="00F445AF" w:rsidRPr="00F445AF"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xml:space="preserve">Trains x km travelled on the network (train-km) </w:t>
            </w:r>
          </w:p>
        </w:tc>
        <w:tc>
          <w:tcPr>
            <w:tcW w:w="4777" w:type="dxa"/>
          </w:tcPr>
          <w:p w:rsidR="00F445AF" w:rsidRPr="00F445AF" w:rsidRDefault="00F445AF" w:rsidP="0054611A">
            <w:pPr>
              <w:rPr>
                <w:rFonts w:ascii="Arial" w:eastAsia="Arial" w:hAnsi="Arial" w:cs="Arial"/>
                <w:sz w:val="18"/>
                <w:szCs w:val="18"/>
              </w:rPr>
            </w:pPr>
            <w:r>
              <w:rPr>
                <w:rFonts w:ascii="Arial" w:hAnsi="Arial"/>
                <w:sz w:val="18"/>
              </w:rPr>
              <w:t>Goods: 6.02 x 106. Empty stock trips: 1.13 x 106</w:t>
            </w:r>
          </w:p>
        </w:tc>
      </w:tr>
      <w:tr w:rsidR="00F445AF" w:rsidRPr="00F445AF" w:rsidTr="00F445AF">
        <w:tc>
          <w:tcPr>
            <w:tcW w:w="4776" w:type="dxa"/>
          </w:tcPr>
          <w:p w:rsidR="00F445AF" w:rsidRPr="00F445AF" w:rsidRDefault="00F445AF" w:rsidP="0054611A">
            <w:pPr>
              <w:rPr>
                <w:rFonts w:ascii="Arial" w:eastAsia="Arial" w:hAnsi="Arial" w:cs="Arial"/>
                <w:b/>
                <w:sz w:val="18"/>
                <w:szCs w:val="18"/>
              </w:rPr>
            </w:pPr>
            <w:r>
              <w:rPr>
                <w:rFonts w:ascii="Arial" w:hAnsi="Arial"/>
                <w:b/>
                <w:sz w:val="18"/>
              </w:rPr>
              <w:t>% of train-km with automatic protection (CONVEL/ATP)</w:t>
            </w:r>
          </w:p>
        </w:tc>
        <w:tc>
          <w:tcPr>
            <w:tcW w:w="4777" w:type="dxa"/>
          </w:tcPr>
          <w:p w:rsidR="00F445AF" w:rsidRPr="00F445AF" w:rsidRDefault="00F445AF" w:rsidP="0054611A">
            <w:pPr>
              <w:rPr>
                <w:rFonts w:ascii="Arial" w:eastAsia="Arial" w:hAnsi="Arial" w:cs="Arial"/>
                <w:sz w:val="18"/>
                <w:szCs w:val="18"/>
              </w:rPr>
            </w:pPr>
            <w:r>
              <w:rPr>
                <w:rFonts w:ascii="Arial" w:hAnsi="Arial"/>
                <w:b/>
                <w:sz w:val="18"/>
              </w:rPr>
              <w:t xml:space="preserve"> </w:t>
            </w:r>
            <w:r>
              <w:rPr>
                <w:rFonts w:ascii="Arial" w:hAnsi="Arial"/>
                <w:sz w:val="18"/>
              </w:rPr>
              <w:t>88.04%</w:t>
            </w:r>
          </w:p>
        </w:tc>
      </w:tr>
    </w:tbl>
    <w:p w:rsidR="00E350D8" w:rsidRDefault="00E350D8" w:rsidP="00E350D8">
      <w:pPr>
        <w:rPr>
          <w:i/>
          <w:sz w:val="18"/>
          <w:szCs w:val="18"/>
        </w:rPr>
      </w:pPr>
    </w:p>
    <w:p w:rsidR="00E350D8" w:rsidRDefault="00E350D8">
      <w:pPr>
        <w:rPr>
          <w:rFonts w:ascii="Arial" w:eastAsia="Arial" w:hAnsi="Arial" w:cs="Arial"/>
          <w:sz w:val="18"/>
          <w:szCs w:val="18"/>
        </w:rPr>
      </w:pPr>
      <w:r>
        <w:br w:type="page"/>
      </w:r>
    </w:p>
    <w:p w:rsidR="006F3ED5" w:rsidRPr="00F445AF" w:rsidRDefault="00B65BEC" w:rsidP="00CB308B">
      <w:pPr>
        <w:pStyle w:val="ANNEXEA2"/>
      </w:pPr>
      <w:bookmarkStart w:id="77" w:name="_Toc435689604"/>
      <w:bookmarkStart w:id="78" w:name="_Toc442177370"/>
      <w:r>
        <w:lastRenderedPageBreak/>
        <w:t>Rail transport companies</w:t>
      </w:r>
      <w:bookmarkEnd w:id="77"/>
      <w:bookmarkEnd w:id="78"/>
    </w:p>
    <w:p w:rsidR="006F3ED5" w:rsidRPr="009A688E" w:rsidRDefault="00B65BEC" w:rsidP="00125D4C">
      <w:pPr>
        <w:pStyle w:val="annexeA3"/>
      </w:pPr>
      <w:r>
        <w:t>CP – Comboios de Portugal, E.P.E.</w:t>
      </w:r>
    </w:p>
    <w:tbl>
      <w:tblPr>
        <w:tblStyle w:val="TableGrid"/>
        <w:tblW w:w="0" w:type="auto"/>
        <w:tblCellMar>
          <w:top w:w="85" w:type="dxa"/>
          <w:bottom w:w="85" w:type="dxa"/>
        </w:tblCellMar>
        <w:tblLook w:val="04A0" w:firstRow="1" w:lastRow="0" w:firstColumn="1" w:lastColumn="0" w:noHBand="0" w:noVBand="1"/>
      </w:tblPr>
      <w:tblGrid>
        <w:gridCol w:w="4776"/>
        <w:gridCol w:w="4777"/>
      </w:tblGrid>
      <w:tr w:rsidR="00125D4C" w:rsidRPr="003107B5" w:rsidTr="003107B5">
        <w:tc>
          <w:tcPr>
            <w:tcW w:w="4776" w:type="dxa"/>
            <w:shd w:val="clear" w:color="auto" w:fill="B6B6B6"/>
          </w:tcPr>
          <w:p w:rsidR="00125D4C" w:rsidRPr="003107B5" w:rsidRDefault="00125D4C" w:rsidP="0054611A">
            <w:pPr>
              <w:rPr>
                <w:rFonts w:ascii="Arial" w:eastAsia="Arial" w:hAnsi="Arial" w:cs="Arial"/>
                <w:b/>
                <w:sz w:val="18"/>
                <w:szCs w:val="18"/>
              </w:rPr>
            </w:pPr>
            <w:r>
              <w:rPr>
                <w:rFonts w:ascii="Arial" w:hAnsi="Arial"/>
                <w:b/>
                <w:sz w:val="18"/>
              </w:rPr>
              <w:t xml:space="preserve">Description </w:t>
            </w:r>
          </w:p>
        </w:tc>
        <w:tc>
          <w:tcPr>
            <w:tcW w:w="4777" w:type="dxa"/>
            <w:shd w:val="clear" w:color="auto" w:fill="B6B6B6"/>
          </w:tcPr>
          <w:p w:rsidR="00125D4C" w:rsidRPr="003107B5" w:rsidRDefault="00125D4C" w:rsidP="0054611A">
            <w:pPr>
              <w:rPr>
                <w:rFonts w:ascii="Arial" w:eastAsia="Arial" w:hAnsi="Arial" w:cs="Arial"/>
                <w:b/>
                <w:sz w:val="18"/>
                <w:szCs w:val="18"/>
              </w:rPr>
            </w:pPr>
            <w:r>
              <w:rPr>
                <w:rFonts w:ascii="Arial" w:hAnsi="Arial"/>
                <w:b/>
                <w:sz w:val="18"/>
              </w:rPr>
              <w:t>Information</w:t>
            </w:r>
          </w:p>
        </w:tc>
      </w:tr>
      <w:tr w:rsidR="00125D4C" w:rsidRPr="00705059"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Name </w:t>
            </w:r>
          </w:p>
        </w:tc>
        <w:tc>
          <w:tcPr>
            <w:tcW w:w="4777" w:type="dxa"/>
          </w:tcPr>
          <w:p w:rsidR="00125D4C" w:rsidRPr="00705059" w:rsidRDefault="00125D4C" w:rsidP="0054611A">
            <w:pPr>
              <w:rPr>
                <w:rFonts w:ascii="Arial" w:eastAsia="Arial" w:hAnsi="Arial" w:cs="Arial"/>
                <w:sz w:val="18"/>
                <w:szCs w:val="18"/>
                <w:lang/>
              </w:rPr>
            </w:pPr>
            <w:r w:rsidRPr="00705059">
              <w:rPr>
                <w:rFonts w:ascii="Arial" w:hAnsi="Arial"/>
                <w:sz w:val="18"/>
                <w:lang/>
              </w:rPr>
              <w:t xml:space="preserve"> CP – Comboios de Portugal, E.P.E. Calçada do Duque, n.º 20</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Address </w:t>
            </w:r>
          </w:p>
        </w:tc>
        <w:tc>
          <w:tcPr>
            <w:tcW w:w="4777" w:type="dxa"/>
          </w:tcPr>
          <w:p w:rsidR="00125D4C" w:rsidRPr="003107B5" w:rsidRDefault="00125D4C" w:rsidP="0054611A">
            <w:pPr>
              <w:rPr>
                <w:rFonts w:ascii="Arial" w:eastAsia="Arial" w:hAnsi="Arial" w:cs="Arial"/>
                <w:sz w:val="18"/>
                <w:szCs w:val="18"/>
              </w:rPr>
            </w:pPr>
            <w:r>
              <w:rPr>
                <w:rFonts w:ascii="Arial" w:hAnsi="Arial"/>
                <w:sz w:val="18"/>
              </w:rPr>
              <w:t>Lisbon, Portugal</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Website </w:t>
            </w:r>
          </w:p>
        </w:tc>
        <w:tc>
          <w:tcPr>
            <w:tcW w:w="4777" w:type="dxa"/>
          </w:tcPr>
          <w:p w:rsidR="00125D4C" w:rsidRPr="003107B5" w:rsidRDefault="007D3C4A" w:rsidP="0054611A">
            <w:pPr>
              <w:rPr>
                <w:rFonts w:ascii="Arial" w:eastAsia="Arial" w:hAnsi="Arial" w:cs="Arial"/>
                <w:sz w:val="18"/>
                <w:szCs w:val="18"/>
              </w:rPr>
            </w:pPr>
            <w:hyperlink r:id="rId30">
              <w:r w:rsidR="00B63285">
                <w:rPr>
                  <w:rFonts w:ascii="Arial" w:hAnsi="Arial"/>
                  <w:color w:val="0000FF"/>
                  <w:sz w:val="18"/>
                </w:rPr>
                <w:t>www.cp.pt</w:t>
              </w:r>
            </w:hyperlink>
          </w:p>
        </w:tc>
      </w:tr>
      <w:tr w:rsidR="00125D4C" w:rsidRPr="00B6328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Operating licence (DL No 270 / 2003, wiith changes introduced by DL No 231/2007 of 14 June)</w:t>
            </w:r>
          </w:p>
        </w:tc>
        <w:tc>
          <w:tcPr>
            <w:tcW w:w="4777" w:type="dxa"/>
          </w:tcPr>
          <w:p w:rsidR="00125D4C" w:rsidRPr="00705059" w:rsidRDefault="00125D4C" w:rsidP="0054611A">
            <w:pPr>
              <w:rPr>
                <w:rFonts w:ascii="Arial" w:eastAsia="Arial" w:hAnsi="Arial" w:cs="Arial"/>
                <w:sz w:val="18"/>
                <w:szCs w:val="18"/>
                <w:lang w:val="fr-LU"/>
              </w:rPr>
            </w:pPr>
            <w:r w:rsidRPr="00705059">
              <w:rPr>
                <w:rFonts w:ascii="Arial" w:hAnsi="Arial"/>
                <w:sz w:val="18"/>
                <w:lang w:val="fr-LU"/>
              </w:rPr>
              <w:t xml:space="preserve">PT 01 2010 0001 – International passengers </w:t>
            </w:r>
          </w:p>
          <w:p w:rsidR="00125D4C" w:rsidRPr="00705059" w:rsidRDefault="00125D4C" w:rsidP="0054611A">
            <w:pPr>
              <w:rPr>
                <w:rFonts w:ascii="Arial" w:eastAsia="Arial" w:hAnsi="Arial" w:cs="Arial"/>
                <w:sz w:val="18"/>
                <w:szCs w:val="18"/>
                <w:lang w:val="fr-LU"/>
              </w:rPr>
            </w:pPr>
            <w:r w:rsidRPr="00705059">
              <w:rPr>
                <w:rFonts w:ascii="Arial" w:hAnsi="Arial"/>
                <w:sz w:val="18"/>
                <w:lang w:val="fr-LU"/>
              </w:rPr>
              <w:t xml:space="preserve">PT 01 2010 0002 – National passengers </w:t>
            </w:r>
          </w:p>
          <w:p w:rsidR="00125D4C" w:rsidRPr="003107B5" w:rsidRDefault="00125D4C" w:rsidP="0054611A">
            <w:pPr>
              <w:rPr>
                <w:rFonts w:ascii="Arial" w:eastAsia="Arial" w:hAnsi="Arial" w:cs="Arial"/>
                <w:sz w:val="18"/>
                <w:szCs w:val="18"/>
              </w:rPr>
            </w:pPr>
            <w:r>
              <w:rPr>
                <w:rFonts w:ascii="Arial" w:hAnsi="Arial"/>
                <w:sz w:val="18"/>
              </w:rPr>
              <w:t xml:space="preserve">PT 01 2010 0003 – Regional passengers </w:t>
            </w:r>
          </w:p>
          <w:p w:rsidR="00125D4C" w:rsidRPr="003107B5" w:rsidRDefault="00125D4C" w:rsidP="0054611A">
            <w:pPr>
              <w:rPr>
                <w:rFonts w:ascii="Arial" w:eastAsia="Arial" w:hAnsi="Arial" w:cs="Arial"/>
                <w:sz w:val="18"/>
                <w:szCs w:val="18"/>
              </w:rPr>
            </w:pPr>
            <w:r>
              <w:rPr>
                <w:rFonts w:ascii="Arial" w:hAnsi="Arial"/>
                <w:sz w:val="18"/>
              </w:rPr>
              <w:t>PT 01 2010 0004 – Suburban passengers</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Safety Certificate (DL No 270/2003, with changes introduced by DL No 231/2007 of 14 June)</w:t>
            </w:r>
          </w:p>
        </w:tc>
        <w:tc>
          <w:tcPr>
            <w:tcW w:w="4777" w:type="dxa"/>
          </w:tcPr>
          <w:p w:rsidR="00125D4C" w:rsidRPr="003107B5" w:rsidRDefault="00125D4C" w:rsidP="0054611A">
            <w:pPr>
              <w:rPr>
                <w:rFonts w:ascii="Arial" w:eastAsia="Arial" w:hAnsi="Arial" w:cs="Arial"/>
                <w:sz w:val="18"/>
                <w:szCs w:val="18"/>
              </w:rPr>
            </w:pPr>
            <w:r>
              <w:rPr>
                <w:rFonts w:ascii="Arial" w:hAnsi="Arial"/>
                <w:sz w:val="18"/>
              </w:rPr>
              <w:t>PT 11 2011 0002 and PT 12 2011 0004</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Date of commencement of activity </w:t>
            </w:r>
          </w:p>
        </w:tc>
        <w:tc>
          <w:tcPr>
            <w:tcW w:w="4777" w:type="dxa"/>
          </w:tcPr>
          <w:p w:rsidR="00125D4C" w:rsidRPr="003107B5" w:rsidRDefault="00125D4C" w:rsidP="0054611A">
            <w:pPr>
              <w:rPr>
                <w:rFonts w:ascii="Arial" w:eastAsia="Arial" w:hAnsi="Arial" w:cs="Arial"/>
                <w:sz w:val="18"/>
                <w:szCs w:val="18"/>
              </w:rPr>
            </w:pPr>
            <w:r>
              <w:rPr>
                <w:rFonts w:ascii="Arial" w:hAnsi="Arial"/>
                <w:sz w:val="18"/>
              </w:rPr>
              <w:t>09 May 1951</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Traffic type </w:t>
            </w:r>
          </w:p>
        </w:tc>
        <w:tc>
          <w:tcPr>
            <w:tcW w:w="4777" w:type="dxa"/>
          </w:tcPr>
          <w:p w:rsidR="00125D4C" w:rsidRPr="003107B5" w:rsidRDefault="00125D4C" w:rsidP="0054611A">
            <w:pPr>
              <w:rPr>
                <w:rFonts w:ascii="Arial" w:eastAsia="Arial" w:hAnsi="Arial" w:cs="Arial"/>
                <w:sz w:val="18"/>
                <w:szCs w:val="18"/>
              </w:rPr>
            </w:pPr>
            <w:r>
              <w:rPr>
                <w:rFonts w:ascii="Arial" w:hAnsi="Arial"/>
                <w:sz w:val="18"/>
              </w:rPr>
              <w:t>Passengers</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Number of Locomotives </w:t>
            </w:r>
          </w:p>
        </w:tc>
        <w:tc>
          <w:tcPr>
            <w:tcW w:w="4777" w:type="dxa"/>
          </w:tcPr>
          <w:p w:rsidR="00125D4C" w:rsidRPr="003107B5" w:rsidRDefault="00125D4C" w:rsidP="0054611A">
            <w:pPr>
              <w:rPr>
                <w:rFonts w:ascii="Arial" w:eastAsia="Arial" w:hAnsi="Arial" w:cs="Arial"/>
                <w:sz w:val="18"/>
                <w:szCs w:val="18"/>
              </w:rPr>
            </w:pPr>
            <w:r>
              <w:rPr>
                <w:rFonts w:ascii="Arial" w:hAnsi="Arial"/>
                <w:sz w:val="18"/>
              </w:rPr>
              <w:t>Total: 90 (Diesel: 38; Electric: 52)</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Number of railcars </w:t>
            </w:r>
          </w:p>
        </w:tc>
        <w:tc>
          <w:tcPr>
            <w:tcW w:w="4777" w:type="dxa"/>
          </w:tcPr>
          <w:p w:rsidR="00125D4C" w:rsidRPr="003107B5" w:rsidRDefault="00125D4C" w:rsidP="0054611A">
            <w:pPr>
              <w:rPr>
                <w:rFonts w:ascii="Arial" w:eastAsia="Arial" w:hAnsi="Arial" w:cs="Arial"/>
                <w:sz w:val="18"/>
                <w:szCs w:val="18"/>
              </w:rPr>
            </w:pPr>
            <w:r>
              <w:rPr>
                <w:rFonts w:ascii="Arial" w:hAnsi="Arial"/>
                <w:sz w:val="18"/>
              </w:rPr>
              <w:t>Total: 235 (Diesel:49; Electric: 186)</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Number of Carriages </w:t>
            </w:r>
          </w:p>
        </w:tc>
        <w:tc>
          <w:tcPr>
            <w:tcW w:w="4777" w:type="dxa"/>
          </w:tcPr>
          <w:p w:rsidR="00125D4C" w:rsidRPr="003107B5" w:rsidRDefault="00125D4C" w:rsidP="003107B5">
            <w:pPr>
              <w:pStyle w:val="DoNotTranslateExternal1"/>
              <w:rPr>
                <w:szCs w:val="18"/>
              </w:rPr>
            </w:pPr>
            <w:r>
              <w:t>102</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Number of drivers </w:t>
            </w:r>
          </w:p>
        </w:tc>
        <w:tc>
          <w:tcPr>
            <w:tcW w:w="4777" w:type="dxa"/>
          </w:tcPr>
          <w:p w:rsidR="00125D4C" w:rsidRPr="003107B5" w:rsidRDefault="00125D4C" w:rsidP="003107B5">
            <w:pPr>
              <w:pStyle w:val="DoNotTranslateExternal1"/>
              <w:rPr>
                <w:szCs w:val="18"/>
              </w:rPr>
            </w:pPr>
            <w:r>
              <w:t>767</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Number of assistant drivers </w:t>
            </w:r>
          </w:p>
        </w:tc>
        <w:tc>
          <w:tcPr>
            <w:tcW w:w="4777" w:type="dxa"/>
          </w:tcPr>
          <w:p w:rsidR="00125D4C" w:rsidRPr="003107B5" w:rsidRDefault="00125D4C" w:rsidP="003107B5">
            <w:pPr>
              <w:pStyle w:val="DoNotTranslateExternal1"/>
              <w:rPr>
                <w:szCs w:val="18"/>
              </w:rPr>
            </w:pPr>
            <w:r>
              <w:t>2</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Number of commercial operators with safety-related responsibilities</w:t>
            </w:r>
          </w:p>
        </w:tc>
        <w:tc>
          <w:tcPr>
            <w:tcW w:w="4777" w:type="dxa"/>
          </w:tcPr>
          <w:p w:rsidR="00125D4C" w:rsidRPr="003107B5" w:rsidRDefault="00125D4C" w:rsidP="003107B5">
            <w:pPr>
              <w:pStyle w:val="DoNotTranslateExternal1"/>
              <w:rPr>
                <w:szCs w:val="18"/>
              </w:rPr>
            </w:pPr>
            <w:r>
              <w:t>616</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Number of trains used </w:t>
            </w:r>
          </w:p>
        </w:tc>
        <w:tc>
          <w:tcPr>
            <w:tcW w:w="4777" w:type="dxa"/>
          </w:tcPr>
          <w:p w:rsidR="00125D4C" w:rsidRPr="003107B5" w:rsidRDefault="00125D4C" w:rsidP="0054611A">
            <w:pPr>
              <w:rPr>
                <w:rFonts w:ascii="Arial" w:eastAsia="Arial" w:hAnsi="Arial" w:cs="Arial"/>
                <w:sz w:val="18"/>
                <w:szCs w:val="18"/>
              </w:rPr>
            </w:pPr>
            <w:r>
              <w:rPr>
                <w:rFonts w:ascii="Arial" w:hAnsi="Arial"/>
                <w:sz w:val="18"/>
              </w:rPr>
              <w:t>Passenger: 449 468 (includes empty stock movements)</w:t>
            </w:r>
          </w:p>
        </w:tc>
      </w:tr>
      <w:tr w:rsidR="00125D4C" w:rsidRPr="003107B5" w:rsidTr="003107B5">
        <w:tc>
          <w:tcPr>
            <w:tcW w:w="4776" w:type="dxa"/>
          </w:tcPr>
          <w:p w:rsidR="00125D4C" w:rsidRPr="00705059" w:rsidRDefault="00125D4C" w:rsidP="0054611A">
            <w:pPr>
              <w:rPr>
                <w:rFonts w:ascii="Arial" w:eastAsia="Arial" w:hAnsi="Arial" w:cs="Arial"/>
                <w:b/>
                <w:sz w:val="18"/>
                <w:szCs w:val="18"/>
                <w:lang w:val="fr-LU"/>
              </w:rPr>
            </w:pPr>
            <w:r w:rsidRPr="00705059">
              <w:rPr>
                <w:rFonts w:ascii="Arial" w:hAnsi="Arial"/>
                <w:b/>
                <w:sz w:val="18"/>
                <w:lang w:val="fr-LU"/>
              </w:rPr>
              <w:t xml:space="preserve">Trains x km travelled (train-km) </w:t>
            </w:r>
          </w:p>
        </w:tc>
        <w:tc>
          <w:tcPr>
            <w:tcW w:w="4777" w:type="dxa"/>
          </w:tcPr>
          <w:p w:rsidR="00125D4C" w:rsidRPr="003107B5" w:rsidRDefault="00125D4C" w:rsidP="0054611A">
            <w:pPr>
              <w:rPr>
                <w:rFonts w:ascii="Arial" w:eastAsia="Arial" w:hAnsi="Arial" w:cs="Arial"/>
                <w:sz w:val="18"/>
                <w:szCs w:val="18"/>
              </w:rPr>
            </w:pPr>
            <w:r>
              <w:rPr>
                <w:rFonts w:ascii="Arial" w:hAnsi="Arial"/>
                <w:sz w:val="18"/>
              </w:rPr>
              <w:t>Passenger: 28 843 x 106 (includes empty stock movements)</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 of train-km travelled with automatic protection in operation (CONVEL/ATP) </w:t>
            </w:r>
          </w:p>
        </w:tc>
        <w:tc>
          <w:tcPr>
            <w:tcW w:w="4777" w:type="dxa"/>
          </w:tcPr>
          <w:p w:rsidR="00125D4C" w:rsidRPr="003107B5" w:rsidRDefault="00125D4C" w:rsidP="0054611A">
            <w:pPr>
              <w:rPr>
                <w:rFonts w:ascii="Arial" w:eastAsia="Arial" w:hAnsi="Arial" w:cs="Arial"/>
                <w:sz w:val="18"/>
                <w:szCs w:val="18"/>
              </w:rPr>
            </w:pPr>
            <w:r>
              <w:rPr>
                <w:rFonts w:ascii="Arial" w:hAnsi="Arial"/>
                <w:sz w:val="18"/>
              </w:rPr>
              <w:t>99.9%</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Number of passengers x km (pkm) </w:t>
            </w:r>
          </w:p>
        </w:tc>
        <w:tc>
          <w:tcPr>
            <w:tcW w:w="4777" w:type="dxa"/>
          </w:tcPr>
          <w:p w:rsidR="00125D4C" w:rsidRPr="003107B5" w:rsidRDefault="00125D4C" w:rsidP="0054611A">
            <w:pPr>
              <w:rPr>
                <w:rFonts w:ascii="Arial" w:eastAsia="Arial" w:hAnsi="Arial" w:cs="Arial"/>
                <w:sz w:val="18"/>
                <w:szCs w:val="18"/>
              </w:rPr>
            </w:pPr>
            <w:r>
              <w:rPr>
                <w:rFonts w:ascii="Arial" w:hAnsi="Arial"/>
                <w:sz w:val="18"/>
              </w:rPr>
              <w:t>3,518 x 106</w:t>
            </w:r>
          </w:p>
        </w:tc>
      </w:tr>
      <w:tr w:rsidR="00125D4C" w:rsidRPr="003107B5" w:rsidTr="003107B5">
        <w:tc>
          <w:tcPr>
            <w:tcW w:w="4776" w:type="dxa"/>
          </w:tcPr>
          <w:p w:rsidR="00125D4C" w:rsidRPr="003107B5" w:rsidRDefault="00125D4C" w:rsidP="0054611A">
            <w:pPr>
              <w:rPr>
                <w:rFonts w:ascii="Arial" w:eastAsia="Arial" w:hAnsi="Arial" w:cs="Arial"/>
                <w:b/>
                <w:sz w:val="18"/>
                <w:szCs w:val="18"/>
              </w:rPr>
            </w:pPr>
            <w:r>
              <w:rPr>
                <w:rFonts w:ascii="Arial" w:hAnsi="Arial"/>
                <w:b/>
                <w:sz w:val="18"/>
              </w:rPr>
              <w:t xml:space="preserve">Number of hours worked on company business </w:t>
            </w:r>
          </w:p>
        </w:tc>
        <w:tc>
          <w:tcPr>
            <w:tcW w:w="4777" w:type="dxa"/>
          </w:tcPr>
          <w:p w:rsidR="00125D4C" w:rsidRPr="003107B5" w:rsidRDefault="00125D4C" w:rsidP="0054611A">
            <w:pPr>
              <w:rPr>
                <w:rFonts w:ascii="Arial" w:eastAsia="Arial" w:hAnsi="Arial" w:cs="Arial"/>
                <w:sz w:val="18"/>
                <w:szCs w:val="18"/>
              </w:rPr>
            </w:pPr>
            <w:r>
              <w:rPr>
                <w:rFonts w:ascii="Arial" w:hAnsi="Arial"/>
                <w:sz w:val="18"/>
              </w:rPr>
              <w:t>5,108,078</w:t>
            </w:r>
          </w:p>
        </w:tc>
      </w:tr>
    </w:tbl>
    <w:p w:rsidR="003107B5" w:rsidRDefault="003107B5">
      <w:pPr>
        <w:spacing w:before="35" w:line="220" w:lineRule="exact"/>
        <w:ind w:left="200"/>
      </w:pPr>
    </w:p>
    <w:p w:rsidR="003107B5" w:rsidRDefault="003107B5">
      <w:r>
        <w:br w:type="page"/>
      </w:r>
    </w:p>
    <w:p w:rsidR="006F3ED5" w:rsidRPr="006A2FC1" w:rsidRDefault="00B65BEC" w:rsidP="003107B5">
      <w:pPr>
        <w:pStyle w:val="annexeA3"/>
      </w:pPr>
      <w:r>
        <w:lastRenderedPageBreak/>
        <w:t>FERTAGUS, S.A.</w:t>
      </w:r>
    </w:p>
    <w:tbl>
      <w:tblPr>
        <w:tblStyle w:val="TableGrid"/>
        <w:tblW w:w="0" w:type="auto"/>
        <w:tblCellMar>
          <w:top w:w="85" w:type="dxa"/>
          <w:bottom w:w="85" w:type="dxa"/>
        </w:tblCellMar>
        <w:tblLook w:val="04A0" w:firstRow="1" w:lastRow="0" w:firstColumn="1" w:lastColumn="0" w:noHBand="0" w:noVBand="1"/>
      </w:tblPr>
      <w:tblGrid>
        <w:gridCol w:w="4776"/>
        <w:gridCol w:w="4777"/>
      </w:tblGrid>
      <w:tr w:rsidR="003107B5" w:rsidRPr="003107B5" w:rsidTr="003107B5">
        <w:tc>
          <w:tcPr>
            <w:tcW w:w="4776" w:type="dxa"/>
            <w:shd w:val="clear" w:color="auto" w:fill="B6B6B6"/>
          </w:tcPr>
          <w:p w:rsidR="003107B5" w:rsidRPr="003107B5" w:rsidRDefault="003107B5" w:rsidP="0054611A">
            <w:pPr>
              <w:rPr>
                <w:rFonts w:ascii="Arial" w:eastAsia="Arial" w:hAnsi="Arial" w:cs="Arial"/>
                <w:b/>
                <w:sz w:val="18"/>
                <w:szCs w:val="18"/>
              </w:rPr>
            </w:pPr>
            <w:r>
              <w:rPr>
                <w:rFonts w:ascii="Arial" w:hAnsi="Arial"/>
                <w:b/>
                <w:sz w:val="18"/>
              </w:rPr>
              <w:t xml:space="preserve">Description </w:t>
            </w:r>
          </w:p>
        </w:tc>
        <w:tc>
          <w:tcPr>
            <w:tcW w:w="4777" w:type="dxa"/>
            <w:shd w:val="clear" w:color="auto" w:fill="B6B6B6"/>
          </w:tcPr>
          <w:p w:rsidR="003107B5" w:rsidRPr="003107B5" w:rsidRDefault="003107B5" w:rsidP="0054611A">
            <w:pPr>
              <w:rPr>
                <w:rFonts w:ascii="Arial" w:eastAsia="Arial" w:hAnsi="Arial" w:cs="Arial"/>
                <w:sz w:val="18"/>
                <w:szCs w:val="18"/>
              </w:rPr>
            </w:pPr>
            <w:r>
              <w:rPr>
                <w:rFonts w:ascii="Arial" w:hAnsi="Arial"/>
                <w:b/>
                <w:sz w:val="18"/>
              </w:rPr>
              <w:t>Information</w:t>
            </w:r>
          </w:p>
        </w:tc>
      </w:tr>
      <w:tr w:rsidR="003107B5" w:rsidRPr="00B6328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Name </w:t>
            </w:r>
          </w:p>
        </w:tc>
        <w:tc>
          <w:tcPr>
            <w:tcW w:w="4777" w:type="dxa"/>
          </w:tcPr>
          <w:p w:rsidR="003107B5" w:rsidRPr="003107B5" w:rsidRDefault="003107B5" w:rsidP="003107B5">
            <w:pPr>
              <w:rPr>
                <w:rFonts w:ascii="Arial" w:eastAsia="Arial" w:hAnsi="Arial" w:cs="Arial"/>
                <w:sz w:val="18"/>
                <w:szCs w:val="18"/>
              </w:rPr>
            </w:pPr>
            <w:r>
              <w:rPr>
                <w:rFonts w:ascii="Arial" w:hAnsi="Arial"/>
                <w:sz w:val="18"/>
              </w:rPr>
              <w:t xml:space="preserve">FERTAGUS, Travessia do Tejo, Transportes, S.A. </w:t>
            </w:r>
          </w:p>
        </w:tc>
      </w:tr>
      <w:tr w:rsidR="003107B5" w:rsidRPr="00B6328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Address </w:t>
            </w:r>
          </w:p>
        </w:tc>
        <w:tc>
          <w:tcPr>
            <w:tcW w:w="4777" w:type="dxa"/>
          </w:tcPr>
          <w:p w:rsidR="003107B5" w:rsidRDefault="003107B5" w:rsidP="0054611A">
            <w:pPr>
              <w:rPr>
                <w:rFonts w:ascii="Arial" w:eastAsia="Arial" w:hAnsi="Arial" w:cs="Arial"/>
                <w:sz w:val="18"/>
                <w:szCs w:val="18"/>
              </w:rPr>
            </w:pPr>
            <w:r>
              <w:rPr>
                <w:rFonts w:ascii="Arial" w:hAnsi="Arial"/>
                <w:sz w:val="18"/>
              </w:rPr>
              <w:t xml:space="preserve">Estação do Pragal </w:t>
            </w:r>
          </w:p>
          <w:p w:rsidR="003107B5" w:rsidRDefault="003107B5" w:rsidP="0054611A">
            <w:pPr>
              <w:rPr>
                <w:rFonts w:ascii="Arial" w:eastAsia="Arial" w:hAnsi="Arial" w:cs="Arial"/>
                <w:sz w:val="18"/>
                <w:szCs w:val="18"/>
              </w:rPr>
            </w:pPr>
            <w:r>
              <w:rPr>
                <w:rFonts w:ascii="Arial" w:hAnsi="Arial"/>
                <w:sz w:val="18"/>
              </w:rPr>
              <w:t xml:space="preserve">Porta 23 </w:t>
            </w:r>
          </w:p>
          <w:p w:rsidR="003107B5" w:rsidRDefault="003107B5" w:rsidP="0054611A">
            <w:pPr>
              <w:rPr>
                <w:rFonts w:ascii="Arial" w:eastAsia="Arial" w:hAnsi="Arial" w:cs="Arial"/>
                <w:sz w:val="18"/>
                <w:szCs w:val="18"/>
              </w:rPr>
            </w:pPr>
            <w:r>
              <w:rPr>
                <w:rFonts w:ascii="Arial" w:hAnsi="Arial"/>
                <w:sz w:val="18"/>
              </w:rPr>
              <w:t xml:space="preserve">2805-333 Almada </w:t>
            </w:r>
          </w:p>
          <w:p w:rsidR="003107B5" w:rsidRPr="003107B5" w:rsidRDefault="003107B5" w:rsidP="0054611A">
            <w:pPr>
              <w:rPr>
                <w:rFonts w:ascii="Arial" w:eastAsia="Arial" w:hAnsi="Arial" w:cs="Arial"/>
                <w:sz w:val="18"/>
                <w:szCs w:val="18"/>
              </w:rPr>
            </w:pPr>
            <w:r>
              <w:rPr>
                <w:rFonts w:ascii="Arial" w:hAnsi="Arial"/>
                <w:sz w:val="18"/>
              </w:rPr>
              <w:t>Portugal</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Website </w:t>
            </w:r>
          </w:p>
        </w:tc>
        <w:tc>
          <w:tcPr>
            <w:tcW w:w="4777" w:type="dxa"/>
          </w:tcPr>
          <w:p w:rsidR="003107B5" w:rsidRPr="003107B5" w:rsidRDefault="007D3C4A" w:rsidP="0054611A">
            <w:pPr>
              <w:rPr>
                <w:rFonts w:ascii="Arial" w:eastAsia="Arial" w:hAnsi="Arial" w:cs="Arial"/>
                <w:sz w:val="18"/>
                <w:szCs w:val="18"/>
              </w:rPr>
            </w:pPr>
            <w:hyperlink r:id="rId31">
              <w:r w:rsidR="00B63285">
                <w:rPr>
                  <w:rFonts w:ascii="Arial" w:hAnsi="Arial"/>
                  <w:color w:val="0000FF"/>
                  <w:sz w:val="18"/>
                </w:rPr>
                <w:t>www.fertagus.pt</w:t>
              </w:r>
            </w:hyperlink>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Operating licence (DL No 270 / 2003, with changes introduced by DL No 231/2007 of 14 June)</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PT 01 2011 0001</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Safety Certificate (DL No 270 / 2003 of 28 October)</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PT 11 2011 0003 and PT 2011 0005</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Date of commencement of activity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29 July 1999</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Traffic type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Passengers</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railcars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Electric: 18</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drivers </w:t>
            </w:r>
          </w:p>
        </w:tc>
        <w:tc>
          <w:tcPr>
            <w:tcW w:w="4777" w:type="dxa"/>
          </w:tcPr>
          <w:p w:rsidR="003107B5" w:rsidRPr="003107B5" w:rsidRDefault="003107B5" w:rsidP="003107B5">
            <w:pPr>
              <w:pStyle w:val="DoNotTranslateExternal1"/>
            </w:pPr>
            <w:r>
              <w:t>46</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assistant drivers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Not applicable</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Number of commercial operators with safety-related responsibilities</w:t>
            </w:r>
          </w:p>
        </w:tc>
        <w:tc>
          <w:tcPr>
            <w:tcW w:w="4777" w:type="dxa"/>
          </w:tcPr>
          <w:p w:rsidR="003107B5" w:rsidRPr="003107B5" w:rsidRDefault="003107B5" w:rsidP="003107B5">
            <w:pPr>
              <w:pStyle w:val="DoNotTranslateExternal1"/>
            </w:pPr>
            <w:r>
              <w:t>83</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trains used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Passenger: 56,098 (includes empty stock movements)</w:t>
            </w:r>
          </w:p>
        </w:tc>
      </w:tr>
      <w:tr w:rsidR="003107B5" w:rsidRPr="003107B5" w:rsidTr="003107B5">
        <w:tc>
          <w:tcPr>
            <w:tcW w:w="4776" w:type="dxa"/>
          </w:tcPr>
          <w:p w:rsidR="003107B5" w:rsidRPr="00705059" w:rsidRDefault="003107B5" w:rsidP="0054611A">
            <w:pPr>
              <w:rPr>
                <w:rFonts w:ascii="Arial" w:eastAsia="Arial" w:hAnsi="Arial" w:cs="Arial"/>
                <w:b/>
                <w:sz w:val="18"/>
                <w:szCs w:val="18"/>
                <w:lang w:val="fr-LU"/>
              </w:rPr>
            </w:pPr>
            <w:r w:rsidRPr="00705059">
              <w:rPr>
                <w:rFonts w:ascii="Arial" w:hAnsi="Arial"/>
                <w:b/>
                <w:sz w:val="18"/>
                <w:lang w:val="fr-LU"/>
              </w:rPr>
              <w:t xml:space="preserve">Trains x km travelled (train-km)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Passenger: 1 785 x 106</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passengers x km (pkm)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332.71 x 106</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 of train-km with automatic protection (CONVEL/ATP)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100%</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hours worked on company business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303 369 hours</w:t>
            </w:r>
          </w:p>
        </w:tc>
      </w:tr>
    </w:tbl>
    <w:p w:rsidR="003107B5" w:rsidRDefault="003107B5">
      <w:pPr>
        <w:spacing w:before="35" w:line="220" w:lineRule="exact"/>
        <w:ind w:left="220"/>
        <w:rPr>
          <w:rFonts w:ascii="Arial" w:eastAsia="Arial" w:hAnsi="Arial" w:cs="Arial"/>
        </w:rPr>
      </w:pPr>
    </w:p>
    <w:p w:rsidR="003107B5" w:rsidRDefault="003107B5">
      <w:pPr>
        <w:rPr>
          <w:rFonts w:ascii="Arial" w:eastAsia="Arial" w:hAnsi="Arial" w:cs="Arial"/>
        </w:rPr>
      </w:pPr>
      <w:r>
        <w:br w:type="page"/>
      </w:r>
    </w:p>
    <w:p w:rsidR="006F3ED5" w:rsidRPr="00705059" w:rsidRDefault="00B65BEC" w:rsidP="003107B5">
      <w:pPr>
        <w:pStyle w:val="annexeA3"/>
        <w:rPr>
          <w:lang/>
        </w:rPr>
      </w:pPr>
      <w:r w:rsidRPr="00705059">
        <w:rPr>
          <w:lang/>
        </w:rPr>
        <w:lastRenderedPageBreak/>
        <w:t>TAKARGO, Transporte de Mercadorias, S.A.</w:t>
      </w:r>
    </w:p>
    <w:tbl>
      <w:tblPr>
        <w:tblStyle w:val="TableGrid"/>
        <w:tblW w:w="0" w:type="auto"/>
        <w:tblCellMar>
          <w:top w:w="85" w:type="dxa"/>
          <w:bottom w:w="85" w:type="dxa"/>
        </w:tblCellMar>
        <w:tblLook w:val="04A0" w:firstRow="1" w:lastRow="0" w:firstColumn="1" w:lastColumn="0" w:noHBand="0" w:noVBand="1"/>
      </w:tblPr>
      <w:tblGrid>
        <w:gridCol w:w="4776"/>
        <w:gridCol w:w="4777"/>
      </w:tblGrid>
      <w:tr w:rsidR="003107B5" w:rsidRPr="003107B5" w:rsidTr="003107B5">
        <w:tc>
          <w:tcPr>
            <w:tcW w:w="4776" w:type="dxa"/>
            <w:shd w:val="clear" w:color="auto" w:fill="B6B6B6"/>
          </w:tcPr>
          <w:p w:rsidR="003107B5" w:rsidRPr="003107B5" w:rsidRDefault="003107B5" w:rsidP="0054611A">
            <w:pPr>
              <w:rPr>
                <w:rFonts w:ascii="Arial" w:eastAsia="Arial" w:hAnsi="Arial" w:cs="Arial"/>
                <w:b/>
                <w:sz w:val="18"/>
                <w:szCs w:val="18"/>
              </w:rPr>
            </w:pPr>
            <w:r>
              <w:rPr>
                <w:rFonts w:ascii="Arial" w:hAnsi="Arial"/>
                <w:b/>
                <w:sz w:val="18"/>
              </w:rPr>
              <w:t xml:space="preserve">Description </w:t>
            </w:r>
          </w:p>
        </w:tc>
        <w:tc>
          <w:tcPr>
            <w:tcW w:w="4777" w:type="dxa"/>
            <w:shd w:val="clear" w:color="auto" w:fill="B6B6B6"/>
          </w:tcPr>
          <w:p w:rsidR="003107B5" w:rsidRPr="003107B5" w:rsidRDefault="003107B5" w:rsidP="0054611A">
            <w:pPr>
              <w:rPr>
                <w:rFonts w:ascii="Arial" w:eastAsia="Arial" w:hAnsi="Arial" w:cs="Arial"/>
                <w:sz w:val="18"/>
                <w:szCs w:val="18"/>
              </w:rPr>
            </w:pPr>
            <w:r>
              <w:rPr>
                <w:rFonts w:ascii="Arial" w:hAnsi="Arial"/>
                <w:b/>
                <w:sz w:val="18"/>
              </w:rPr>
              <w:t>Information</w:t>
            </w:r>
          </w:p>
        </w:tc>
      </w:tr>
      <w:tr w:rsidR="003107B5" w:rsidRPr="00705059"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Name </w:t>
            </w:r>
          </w:p>
        </w:tc>
        <w:tc>
          <w:tcPr>
            <w:tcW w:w="4777" w:type="dxa"/>
          </w:tcPr>
          <w:p w:rsidR="003107B5" w:rsidRPr="00705059" w:rsidRDefault="003107B5" w:rsidP="0054611A">
            <w:pPr>
              <w:rPr>
                <w:rFonts w:ascii="Arial" w:eastAsia="Arial" w:hAnsi="Arial" w:cs="Arial"/>
                <w:sz w:val="18"/>
                <w:szCs w:val="18"/>
                <w:lang/>
              </w:rPr>
            </w:pPr>
            <w:r w:rsidRPr="00705059">
              <w:rPr>
                <w:rFonts w:ascii="Arial" w:hAnsi="Arial"/>
                <w:sz w:val="18"/>
                <w:lang/>
              </w:rPr>
              <w:t xml:space="preserve">TAKARGO, Transporte de Mercadorias, S.A. </w:t>
            </w:r>
          </w:p>
        </w:tc>
      </w:tr>
      <w:tr w:rsidR="003107B5" w:rsidRPr="00705059"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Address </w:t>
            </w:r>
          </w:p>
        </w:tc>
        <w:tc>
          <w:tcPr>
            <w:tcW w:w="4777" w:type="dxa"/>
          </w:tcPr>
          <w:p w:rsidR="003107B5" w:rsidRPr="00705059" w:rsidRDefault="003107B5" w:rsidP="0054611A">
            <w:pPr>
              <w:rPr>
                <w:rFonts w:ascii="Arial" w:eastAsia="Arial" w:hAnsi="Arial" w:cs="Arial"/>
                <w:sz w:val="18"/>
                <w:szCs w:val="18"/>
                <w:lang/>
              </w:rPr>
            </w:pPr>
            <w:r w:rsidRPr="00705059">
              <w:rPr>
                <w:rFonts w:ascii="Arial" w:hAnsi="Arial"/>
                <w:sz w:val="18"/>
                <w:lang/>
              </w:rPr>
              <w:t>Rua Mário Dionísio, nº 2 2799 – 557 Linda-a-Velha Portugal</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Website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Not available</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Operating licence (DL No 270 / 2003, with changes introduced by DL No 231/2007 of 14 June)</w:t>
            </w:r>
          </w:p>
        </w:tc>
        <w:tc>
          <w:tcPr>
            <w:tcW w:w="4777" w:type="dxa"/>
          </w:tcPr>
          <w:p w:rsidR="003107B5" w:rsidRPr="003107B5" w:rsidRDefault="003107B5" w:rsidP="0054611A">
            <w:pPr>
              <w:rPr>
                <w:rFonts w:ascii="Arial" w:eastAsia="Arial" w:hAnsi="Arial" w:cs="Arial"/>
                <w:sz w:val="18"/>
                <w:szCs w:val="18"/>
              </w:rPr>
            </w:pPr>
            <w:r>
              <w:rPr>
                <w:rFonts w:ascii="Arial" w:hAnsi="Arial"/>
                <w:color w:val="2A2E35"/>
                <w:sz w:val="18"/>
              </w:rPr>
              <w:t xml:space="preserve">PT 01 2014 03 </w:t>
            </w:r>
            <w:r>
              <w:rPr>
                <w:rFonts w:ascii="Arial" w:hAnsi="Arial"/>
                <w:color w:val="000000"/>
                <w:sz w:val="18"/>
              </w:rPr>
              <w:t>– Domestic freight</w:t>
            </w:r>
          </w:p>
        </w:tc>
      </w:tr>
      <w:tr w:rsidR="003107B5" w:rsidRPr="00B6328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Safety Certificate (DL No 270/2003, with changes introduced by DL No 231/2007 of 14 June)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Part A-</w:t>
            </w:r>
            <w:r>
              <w:rPr>
                <w:rFonts w:ascii="Arial" w:hAnsi="Arial"/>
                <w:color w:val="2A2E35"/>
                <w:sz w:val="18"/>
              </w:rPr>
              <w:t xml:space="preserve">PT 11 2014 0003 </w:t>
            </w:r>
            <w:r>
              <w:rPr>
                <w:rFonts w:ascii="Arial" w:hAnsi="Arial"/>
                <w:sz w:val="18"/>
              </w:rPr>
              <w:t>Part B – PT 12 2008 0001 (1st issue)</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Date of commencement of activity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25 September 2008</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Traffic type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Goods</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Locomotives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Diesel: 13</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wagons </w:t>
            </w:r>
          </w:p>
        </w:tc>
        <w:tc>
          <w:tcPr>
            <w:tcW w:w="4777" w:type="dxa"/>
          </w:tcPr>
          <w:p w:rsidR="003107B5" w:rsidRPr="003107B5" w:rsidRDefault="003107B5" w:rsidP="00A27499">
            <w:pPr>
              <w:pStyle w:val="DoNotTranslateExternal1"/>
            </w:pPr>
            <w:r>
              <w:t>125</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drivers </w:t>
            </w:r>
          </w:p>
        </w:tc>
        <w:tc>
          <w:tcPr>
            <w:tcW w:w="4777" w:type="dxa"/>
          </w:tcPr>
          <w:p w:rsidR="003107B5" w:rsidRPr="003107B5" w:rsidRDefault="003107B5" w:rsidP="00A27499">
            <w:pPr>
              <w:pStyle w:val="DoNotTranslateExternal1"/>
            </w:pPr>
            <w:r>
              <w:t>32</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assistant drivers </w:t>
            </w:r>
          </w:p>
        </w:tc>
        <w:tc>
          <w:tcPr>
            <w:tcW w:w="4777" w:type="dxa"/>
          </w:tcPr>
          <w:p w:rsidR="003107B5" w:rsidRPr="003107B5" w:rsidRDefault="003107B5" w:rsidP="00A27499">
            <w:pPr>
              <w:pStyle w:val="DoNotTranslateExternal1"/>
            </w:pPr>
            <w:r>
              <w:t>7</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trains used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Goods: 2 905 (includes empty stock movements)</w:t>
            </w:r>
          </w:p>
        </w:tc>
      </w:tr>
      <w:tr w:rsidR="003107B5" w:rsidRPr="003107B5" w:rsidTr="003107B5">
        <w:tc>
          <w:tcPr>
            <w:tcW w:w="4776" w:type="dxa"/>
          </w:tcPr>
          <w:p w:rsidR="003107B5" w:rsidRPr="00705059" w:rsidRDefault="003107B5" w:rsidP="0054611A">
            <w:pPr>
              <w:rPr>
                <w:rFonts w:ascii="Arial" w:eastAsia="Arial" w:hAnsi="Arial" w:cs="Arial"/>
                <w:b/>
                <w:sz w:val="18"/>
                <w:szCs w:val="18"/>
                <w:lang w:val="fr-LU"/>
              </w:rPr>
            </w:pPr>
            <w:r w:rsidRPr="00705059">
              <w:rPr>
                <w:rFonts w:ascii="Arial" w:hAnsi="Arial"/>
                <w:b/>
                <w:sz w:val="18"/>
                <w:lang w:val="fr-LU"/>
              </w:rPr>
              <w:t xml:space="preserve">Trains x km travelled (train-km)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Goods: 0.764918 X 106 (includes empty stock movements)</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tonne-km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319.871 x 106</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of train-km with automatic protection (CONVEL/ATP)</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84%</w:t>
            </w:r>
          </w:p>
        </w:tc>
      </w:tr>
      <w:tr w:rsidR="003107B5" w:rsidRPr="003107B5" w:rsidTr="003107B5">
        <w:tc>
          <w:tcPr>
            <w:tcW w:w="4776" w:type="dxa"/>
          </w:tcPr>
          <w:p w:rsidR="003107B5" w:rsidRPr="003107B5" w:rsidRDefault="003107B5" w:rsidP="0054611A">
            <w:pPr>
              <w:rPr>
                <w:rFonts w:ascii="Arial" w:eastAsia="Arial" w:hAnsi="Arial" w:cs="Arial"/>
                <w:b/>
                <w:sz w:val="18"/>
                <w:szCs w:val="18"/>
              </w:rPr>
            </w:pPr>
            <w:r>
              <w:rPr>
                <w:rFonts w:ascii="Arial" w:hAnsi="Arial"/>
                <w:b/>
                <w:sz w:val="18"/>
              </w:rPr>
              <w:t xml:space="preserve">Number of hours worked on company business </w:t>
            </w:r>
          </w:p>
        </w:tc>
        <w:tc>
          <w:tcPr>
            <w:tcW w:w="4777" w:type="dxa"/>
          </w:tcPr>
          <w:p w:rsidR="003107B5" w:rsidRPr="003107B5" w:rsidRDefault="003107B5" w:rsidP="0054611A">
            <w:pPr>
              <w:rPr>
                <w:rFonts w:ascii="Arial" w:eastAsia="Arial" w:hAnsi="Arial" w:cs="Arial"/>
                <w:sz w:val="18"/>
                <w:szCs w:val="18"/>
              </w:rPr>
            </w:pPr>
            <w:r>
              <w:rPr>
                <w:rFonts w:ascii="Arial" w:hAnsi="Arial"/>
                <w:sz w:val="18"/>
              </w:rPr>
              <w:t>117 630 hours</w:t>
            </w:r>
          </w:p>
        </w:tc>
      </w:tr>
    </w:tbl>
    <w:p w:rsidR="003107B5" w:rsidRDefault="003107B5">
      <w:pPr>
        <w:spacing w:before="35" w:line="220" w:lineRule="exact"/>
        <w:ind w:left="220"/>
        <w:rPr>
          <w:rFonts w:ascii="Arial" w:eastAsia="Arial" w:hAnsi="Arial" w:cs="Arial"/>
        </w:rPr>
      </w:pPr>
    </w:p>
    <w:p w:rsidR="003107B5" w:rsidRDefault="003107B5">
      <w:pPr>
        <w:rPr>
          <w:rFonts w:ascii="Arial" w:eastAsia="Arial" w:hAnsi="Arial" w:cs="Arial"/>
        </w:rPr>
      </w:pPr>
      <w:r>
        <w:br w:type="page"/>
      </w:r>
    </w:p>
    <w:p w:rsidR="006F3ED5" w:rsidRPr="00705059" w:rsidRDefault="00B65BEC" w:rsidP="003107B5">
      <w:pPr>
        <w:pStyle w:val="annexeA3"/>
        <w:rPr>
          <w:lang/>
        </w:rPr>
      </w:pPr>
      <w:r w:rsidRPr="00705059">
        <w:rPr>
          <w:lang/>
        </w:rPr>
        <w:lastRenderedPageBreak/>
        <w:t>CP Carga – Logística e Transporte Ferroviário de Mercadorias S.A.</w:t>
      </w:r>
    </w:p>
    <w:tbl>
      <w:tblPr>
        <w:tblStyle w:val="TableGrid"/>
        <w:tblW w:w="0" w:type="auto"/>
        <w:tblCellMar>
          <w:top w:w="85" w:type="dxa"/>
          <w:bottom w:w="85" w:type="dxa"/>
        </w:tblCellMar>
        <w:tblLook w:val="04A0" w:firstRow="1" w:lastRow="0" w:firstColumn="1" w:lastColumn="0" w:noHBand="0" w:noVBand="1"/>
      </w:tblPr>
      <w:tblGrid>
        <w:gridCol w:w="4776"/>
        <w:gridCol w:w="4777"/>
      </w:tblGrid>
      <w:tr w:rsidR="00AF22F3" w:rsidRPr="00AF22F3" w:rsidTr="00AF22F3">
        <w:tc>
          <w:tcPr>
            <w:tcW w:w="4776" w:type="dxa"/>
            <w:shd w:val="clear" w:color="auto" w:fill="B6B6B6"/>
          </w:tcPr>
          <w:p w:rsidR="00AF22F3" w:rsidRPr="00AF22F3" w:rsidRDefault="00AF22F3" w:rsidP="0054611A">
            <w:pPr>
              <w:rPr>
                <w:rFonts w:ascii="Arial" w:eastAsia="Arial" w:hAnsi="Arial" w:cs="Arial"/>
                <w:b/>
                <w:sz w:val="18"/>
                <w:szCs w:val="18"/>
              </w:rPr>
            </w:pPr>
            <w:r>
              <w:rPr>
                <w:rFonts w:ascii="Arial" w:hAnsi="Arial"/>
                <w:b/>
                <w:sz w:val="18"/>
              </w:rPr>
              <w:t xml:space="preserve">Description </w:t>
            </w:r>
          </w:p>
        </w:tc>
        <w:tc>
          <w:tcPr>
            <w:tcW w:w="4777" w:type="dxa"/>
            <w:shd w:val="clear" w:color="auto" w:fill="B6B6B6"/>
          </w:tcPr>
          <w:p w:rsidR="00AF22F3" w:rsidRPr="00AF22F3" w:rsidRDefault="00AF22F3" w:rsidP="0054611A">
            <w:pPr>
              <w:rPr>
                <w:rFonts w:ascii="Arial" w:eastAsia="Arial" w:hAnsi="Arial" w:cs="Arial"/>
                <w:sz w:val="18"/>
                <w:szCs w:val="18"/>
              </w:rPr>
            </w:pPr>
            <w:r>
              <w:rPr>
                <w:rFonts w:ascii="Arial" w:hAnsi="Arial"/>
                <w:b/>
                <w:sz w:val="18"/>
              </w:rPr>
              <w:t>Information</w:t>
            </w:r>
          </w:p>
        </w:tc>
      </w:tr>
      <w:tr w:rsidR="00AF22F3" w:rsidRPr="00705059"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 xml:space="preserve">Name </w:t>
            </w:r>
          </w:p>
        </w:tc>
        <w:tc>
          <w:tcPr>
            <w:tcW w:w="4777" w:type="dxa"/>
          </w:tcPr>
          <w:p w:rsidR="00AF22F3" w:rsidRPr="00705059" w:rsidRDefault="00AF22F3" w:rsidP="0054611A">
            <w:pPr>
              <w:rPr>
                <w:rFonts w:ascii="Arial" w:eastAsia="Arial" w:hAnsi="Arial" w:cs="Arial"/>
                <w:sz w:val="18"/>
                <w:szCs w:val="18"/>
                <w:lang/>
              </w:rPr>
            </w:pPr>
            <w:r w:rsidRPr="00705059">
              <w:rPr>
                <w:rFonts w:ascii="Arial" w:hAnsi="Arial"/>
                <w:sz w:val="18"/>
                <w:lang/>
              </w:rPr>
              <w:t>CP Carga – Logística e Transporte Ferroviário de Mercadorias S.A.</w:t>
            </w:r>
          </w:p>
        </w:tc>
      </w:tr>
      <w:tr w:rsidR="00AF22F3" w:rsidRPr="00705059"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 xml:space="preserve">Address </w:t>
            </w:r>
          </w:p>
        </w:tc>
        <w:tc>
          <w:tcPr>
            <w:tcW w:w="4777" w:type="dxa"/>
          </w:tcPr>
          <w:p w:rsidR="00AF22F3" w:rsidRPr="00705059" w:rsidRDefault="00AF22F3" w:rsidP="0054611A">
            <w:pPr>
              <w:rPr>
                <w:rFonts w:ascii="Arial" w:eastAsia="Arial" w:hAnsi="Arial" w:cs="Arial"/>
                <w:sz w:val="18"/>
                <w:szCs w:val="18"/>
                <w:lang/>
              </w:rPr>
            </w:pPr>
            <w:r w:rsidRPr="00705059">
              <w:rPr>
                <w:rFonts w:ascii="Arial" w:hAnsi="Arial"/>
                <w:sz w:val="18"/>
                <w:lang/>
              </w:rPr>
              <w:t>Calçada do Duque, n.º 20 Lisbon Portugal</w:t>
            </w:r>
          </w:p>
        </w:tc>
      </w:tr>
      <w:tr w:rsidR="00AF22F3" w:rsidRPr="00AF22F3"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Website</w:t>
            </w:r>
          </w:p>
        </w:tc>
        <w:tc>
          <w:tcPr>
            <w:tcW w:w="4777" w:type="dxa"/>
          </w:tcPr>
          <w:p w:rsidR="00AF22F3" w:rsidRPr="00AF22F3" w:rsidRDefault="007D3C4A" w:rsidP="0054611A">
            <w:pPr>
              <w:rPr>
                <w:rFonts w:ascii="Arial" w:eastAsia="Arial" w:hAnsi="Arial" w:cs="Arial"/>
                <w:sz w:val="18"/>
                <w:szCs w:val="18"/>
              </w:rPr>
            </w:pPr>
            <w:hyperlink r:id="rId32">
              <w:r w:rsidR="00B63285">
                <w:rPr>
                  <w:rFonts w:ascii="Arial" w:hAnsi="Arial"/>
                  <w:color w:val="0000FF"/>
                  <w:sz w:val="18"/>
                </w:rPr>
                <w:t>www.cpcarga.pt</w:t>
              </w:r>
            </w:hyperlink>
          </w:p>
        </w:tc>
      </w:tr>
      <w:tr w:rsidR="00AF22F3" w:rsidRPr="00B63285"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Operating licence (DL No 270 / 2003, amended under DL No 231/2007 of 14 June)</w:t>
            </w:r>
          </w:p>
        </w:tc>
        <w:tc>
          <w:tcPr>
            <w:tcW w:w="4777" w:type="dxa"/>
          </w:tcPr>
          <w:p w:rsidR="00AF22F3" w:rsidRPr="00AF22F3" w:rsidRDefault="00AF22F3" w:rsidP="0054611A">
            <w:pPr>
              <w:rPr>
                <w:rFonts w:ascii="Arial" w:eastAsia="Arial" w:hAnsi="Arial" w:cs="Arial"/>
                <w:sz w:val="18"/>
                <w:szCs w:val="18"/>
              </w:rPr>
            </w:pPr>
            <w:r>
              <w:rPr>
                <w:rFonts w:ascii="Arial" w:hAnsi="Arial"/>
                <w:sz w:val="18"/>
              </w:rPr>
              <w:t xml:space="preserve">PT 01 2009 01 – National freight </w:t>
            </w:r>
            <w:r>
              <w:rPr>
                <w:rFonts w:ascii="Arial" w:hAnsi="Arial"/>
                <w:color w:val="2A2E35"/>
                <w:sz w:val="18"/>
              </w:rPr>
              <w:t xml:space="preserve">PT 01 2014 01 </w:t>
            </w:r>
            <w:r>
              <w:rPr>
                <w:rFonts w:ascii="Arial" w:hAnsi="Arial"/>
                <w:color w:val="000000"/>
                <w:sz w:val="18"/>
              </w:rPr>
              <w:t>– International freight</w:t>
            </w:r>
          </w:p>
        </w:tc>
      </w:tr>
      <w:tr w:rsidR="00AF22F3" w:rsidRPr="00B63285"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Safety Certificate (DL No 270/2003, with changes introduced by DL No 231/2007 of 14 June)</w:t>
            </w:r>
          </w:p>
        </w:tc>
        <w:tc>
          <w:tcPr>
            <w:tcW w:w="4777" w:type="dxa"/>
          </w:tcPr>
          <w:p w:rsidR="00AF22F3" w:rsidRPr="00AF22F3" w:rsidRDefault="00AF22F3" w:rsidP="0054611A">
            <w:pPr>
              <w:rPr>
                <w:rFonts w:ascii="Arial" w:eastAsia="Arial" w:hAnsi="Arial" w:cs="Arial"/>
                <w:sz w:val="18"/>
                <w:szCs w:val="18"/>
              </w:rPr>
            </w:pPr>
            <w:r>
              <w:rPr>
                <w:rFonts w:ascii="Arial" w:hAnsi="Arial"/>
                <w:sz w:val="18"/>
              </w:rPr>
              <w:t>Part A – PT 11 2010 0001 Part B – PT 12 2010 0004</w:t>
            </w:r>
          </w:p>
        </w:tc>
      </w:tr>
      <w:tr w:rsidR="00AF22F3" w:rsidRPr="00AF22F3"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 xml:space="preserve">Date of commencement of activity </w:t>
            </w:r>
          </w:p>
        </w:tc>
        <w:tc>
          <w:tcPr>
            <w:tcW w:w="4777" w:type="dxa"/>
          </w:tcPr>
          <w:p w:rsidR="00AF22F3" w:rsidRPr="00AF22F3" w:rsidRDefault="00AF22F3" w:rsidP="0054611A">
            <w:pPr>
              <w:rPr>
                <w:rFonts w:ascii="Arial" w:eastAsia="Arial" w:hAnsi="Arial" w:cs="Arial"/>
                <w:sz w:val="18"/>
                <w:szCs w:val="18"/>
              </w:rPr>
            </w:pPr>
            <w:r>
              <w:rPr>
                <w:rFonts w:ascii="Arial" w:hAnsi="Arial"/>
                <w:sz w:val="18"/>
              </w:rPr>
              <w:t>01 August 2009</w:t>
            </w:r>
          </w:p>
        </w:tc>
      </w:tr>
      <w:tr w:rsidR="00AF22F3" w:rsidRPr="00AF22F3"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 xml:space="preserve">Traffic type </w:t>
            </w:r>
          </w:p>
        </w:tc>
        <w:tc>
          <w:tcPr>
            <w:tcW w:w="4777" w:type="dxa"/>
          </w:tcPr>
          <w:p w:rsidR="00AF22F3" w:rsidRPr="00AF22F3" w:rsidRDefault="00AF22F3" w:rsidP="0054611A">
            <w:pPr>
              <w:rPr>
                <w:rFonts w:ascii="Arial" w:eastAsia="Arial" w:hAnsi="Arial" w:cs="Arial"/>
                <w:sz w:val="18"/>
                <w:szCs w:val="18"/>
              </w:rPr>
            </w:pPr>
            <w:r>
              <w:rPr>
                <w:rFonts w:ascii="Arial" w:hAnsi="Arial"/>
                <w:sz w:val="18"/>
              </w:rPr>
              <w:t>Goods</w:t>
            </w:r>
          </w:p>
        </w:tc>
      </w:tr>
      <w:tr w:rsidR="00AF22F3" w:rsidRPr="00AF22F3"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 xml:space="preserve">Number of Locomotives </w:t>
            </w:r>
          </w:p>
        </w:tc>
        <w:tc>
          <w:tcPr>
            <w:tcW w:w="4777" w:type="dxa"/>
          </w:tcPr>
          <w:p w:rsidR="00AF22F3" w:rsidRPr="00AF22F3" w:rsidRDefault="00AF22F3" w:rsidP="0054611A">
            <w:pPr>
              <w:rPr>
                <w:rFonts w:ascii="Arial" w:eastAsia="Arial" w:hAnsi="Arial" w:cs="Arial"/>
                <w:sz w:val="18"/>
                <w:szCs w:val="18"/>
              </w:rPr>
            </w:pPr>
            <w:r>
              <w:rPr>
                <w:rFonts w:ascii="Arial" w:hAnsi="Arial"/>
                <w:sz w:val="18"/>
              </w:rPr>
              <w:t>Total: 50 (Diesel: 31; Electric: 34)</w:t>
            </w:r>
          </w:p>
        </w:tc>
      </w:tr>
      <w:tr w:rsidR="00AF22F3" w:rsidRPr="00AF22F3"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 xml:space="preserve">Number of Wagons </w:t>
            </w:r>
          </w:p>
        </w:tc>
        <w:tc>
          <w:tcPr>
            <w:tcW w:w="4777" w:type="dxa"/>
          </w:tcPr>
          <w:p w:rsidR="00AF22F3" w:rsidRPr="00AF22F3" w:rsidRDefault="00AF22F3" w:rsidP="00A27499">
            <w:pPr>
              <w:pStyle w:val="DoNotTranslateExternal1"/>
            </w:pPr>
            <w:r>
              <w:t>2715</w:t>
            </w:r>
          </w:p>
        </w:tc>
      </w:tr>
      <w:tr w:rsidR="00AF22F3" w:rsidRPr="00AF22F3"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 xml:space="preserve">Number of drivers </w:t>
            </w:r>
          </w:p>
        </w:tc>
        <w:tc>
          <w:tcPr>
            <w:tcW w:w="4777" w:type="dxa"/>
          </w:tcPr>
          <w:p w:rsidR="00AF22F3" w:rsidRPr="00AF22F3" w:rsidRDefault="00AF22F3" w:rsidP="0054611A">
            <w:pPr>
              <w:rPr>
                <w:rFonts w:ascii="Arial" w:eastAsia="Arial" w:hAnsi="Arial" w:cs="Arial"/>
                <w:sz w:val="18"/>
                <w:szCs w:val="18"/>
              </w:rPr>
            </w:pPr>
            <w:r>
              <w:rPr>
                <w:rFonts w:ascii="Arial" w:hAnsi="Arial"/>
                <w:sz w:val="18"/>
              </w:rPr>
              <w:t>230 (average)</w:t>
            </w:r>
          </w:p>
        </w:tc>
      </w:tr>
      <w:tr w:rsidR="00AF22F3" w:rsidRPr="00AF22F3"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Number of assistant drivers</w:t>
            </w:r>
          </w:p>
        </w:tc>
        <w:tc>
          <w:tcPr>
            <w:tcW w:w="4777" w:type="dxa"/>
          </w:tcPr>
          <w:p w:rsidR="00AF22F3" w:rsidRPr="00AF22F3" w:rsidRDefault="00AF22F3" w:rsidP="0054611A">
            <w:pPr>
              <w:rPr>
                <w:rFonts w:ascii="Arial" w:eastAsia="Arial" w:hAnsi="Arial" w:cs="Arial"/>
                <w:sz w:val="18"/>
                <w:szCs w:val="18"/>
              </w:rPr>
            </w:pPr>
            <w:r>
              <w:rPr>
                <w:rFonts w:ascii="Arial" w:hAnsi="Arial"/>
                <w:b/>
                <w:sz w:val="18"/>
              </w:rPr>
              <w:t>-</w:t>
            </w:r>
            <w:r>
              <w:rPr>
                <w:rFonts w:ascii="Arial" w:hAnsi="Arial"/>
                <w:sz w:val="18"/>
              </w:rPr>
              <w:t>284.7</w:t>
            </w:r>
          </w:p>
        </w:tc>
      </w:tr>
      <w:tr w:rsidR="00AF22F3" w:rsidRPr="00AF22F3"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 xml:space="preserve">Number of trains used </w:t>
            </w:r>
          </w:p>
        </w:tc>
        <w:tc>
          <w:tcPr>
            <w:tcW w:w="4777" w:type="dxa"/>
          </w:tcPr>
          <w:p w:rsidR="00AF22F3" w:rsidRPr="00AF22F3" w:rsidRDefault="00AF22F3" w:rsidP="0054611A">
            <w:pPr>
              <w:rPr>
                <w:rFonts w:ascii="Arial" w:eastAsia="Arial" w:hAnsi="Arial" w:cs="Arial"/>
                <w:sz w:val="18"/>
                <w:szCs w:val="18"/>
              </w:rPr>
            </w:pPr>
            <w:r>
              <w:rPr>
                <w:rFonts w:ascii="Arial" w:hAnsi="Arial"/>
                <w:sz w:val="18"/>
              </w:rPr>
              <w:t>Goods: 45,992 (includes empty stock movements)</w:t>
            </w:r>
          </w:p>
        </w:tc>
      </w:tr>
      <w:tr w:rsidR="00AF22F3" w:rsidRPr="00AF22F3" w:rsidTr="00AF22F3">
        <w:tc>
          <w:tcPr>
            <w:tcW w:w="4776" w:type="dxa"/>
          </w:tcPr>
          <w:p w:rsidR="00AF22F3" w:rsidRPr="00705059" w:rsidRDefault="00AF22F3" w:rsidP="0054611A">
            <w:pPr>
              <w:rPr>
                <w:rFonts w:ascii="Arial" w:eastAsia="Arial" w:hAnsi="Arial" w:cs="Arial"/>
                <w:b/>
                <w:sz w:val="18"/>
                <w:szCs w:val="18"/>
                <w:lang w:val="fr-LU"/>
              </w:rPr>
            </w:pPr>
            <w:r w:rsidRPr="00705059">
              <w:rPr>
                <w:rFonts w:ascii="Arial" w:hAnsi="Arial"/>
                <w:b/>
                <w:sz w:val="18"/>
                <w:lang w:val="fr-LU"/>
              </w:rPr>
              <w:t xml:space="preserve">Trains x km travelled (train-km) </w:t>
            </w:r>
          </w:p>
        </w:tc>
        <w:tc>
          <w:tcPr>
            <w:tcW w:w="4777" w:type="dxa"/>
          </w:tcPr>
          <w:p w:rsidR="00AF22F3" w:rsidRPr="00AF22F3" w:rsidRDefault="00AF22F3" w:rsidP="0054611A">
            <w:pPr>
              <w:rPr>
                <w:rFonts w:ascii="Arial" w:eastAsia="Arial" w:hAnsi="Arial" w:cs="Arial"/>
                <w:sz w:val="18"/>
                <w:szCs w:val="18"/>
              </w:rPr>
            </w:pPr>
            <w:r>
              <w:rPr>
                <w:rFonts w:ascii="Arial" w:hAnsi="Arial"/>
                <w:sz w:val="18"/>
              </w:rPr>
              <w:t>Goods: 5.503 x 106</w:t>
            </w:r>
          </w:p>
        </w:tc>
      </w:tr>
      <w:tr w:rsidR="00AF22F3" w:rsidRPr="00AF22F3"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 xml:space="preserve">% of train-km travelled with automatic protection in operation (CONVEL/ATP) </w:t>
            </w:r>
          </w:p>
        </w:tc>
        <w:tc>
          <w:tcPr>
            <w:tcW w:w="4777" w:type="dxa"/>
          </w:tcPr>
          <w:p w:rsidR="00AF22F3" w:rsidRPr="00AF22F3" w:rsidRDefault="00AF22F3" w:rsidP="0054611A">
            <w:pPr>
              <w:rPr>
                <w:rFonts w:ascii="Arial" w:eastAsia="Arial" w:hAnsi="Arial" w:cs="Arial"/>
                <w:sz w:val="18"/>
                <w:szCs w:val="18"/>
              </w:rPr>
            </w:pPr>
            <w:r>
              <w:rPr>
                <w:rFonts w:ascii="Arial" w:hAnsi="Arial"/>
                <w:b/>
                <w:sz w:val="18"/>
              </w:rPr>
              <w:t xml:space="preserve"> </w:t>
            </w:r>
            <w:r>
              <w:rPr>
                <w:rFonts w:ascii="Arial" w:hAnsi="Arial"/>
                <w:sz w:val="18"/>
              </w:rPr>
              <w:t>-- %</w:t>
            </w:r>
          </w:p>
        </w:tc>
      </w:tr>
      <w:tr w:rsidR="00AF22F3" w:rsidRPr="00AF22F3"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 xml:space="preserve">Number of tonne-km </w:t>
            </w:r>
          </w:p>
        </w:tc>
        <w:tc>
          <w:tcPr>
            <w:tcW w:w="4777" w:type="dxa"/>
          </w:tcPr>
          <w:p w:rsidR="00AF22F3" w:rsidRPr="00AF22F3" w:rsidRDefault="00AF22F3" w:rsidP="0054611A">
            <w:pPr>
              <w:rPr>
                <w:rFonts w:ascii="Arial" w:eastAsia="Arial" w:hAnsi="Arial" w:cs="Arial"/>
                <w:sz w:val="18"/>
                <w:szCs w:val="18"/>
              </w:rPr>
            </w:pPr>
            <w:r>
              <w:rPr>
                <w:rFonts w:ascii="Arial" w:hAnsi="Arial"/>
                <w:sz w:val="18"/>
              </w:rPr>
              <w:t>2 113.666 x 106</w:t>
            </w:r>
          </w:p>
        </w:tc>
      </w:tr>
      <w:tr w:rsidR="00AF22F3" w:rsidRPr="00AF22F3" w:rsidTr="00AF22F3">
        <w:tc>
          <w:tcPr>
            <w:tcW w:w="4776" w:type="dxa"/>
          </w:tcPr>
          <w:p w:rsidR="00AF22F3" w:rsidRPr="00AF22F3" w:rsidRDefault="00AF22F3" w:rsidP="0054611A">
            <w:pPr>
              <w:rPr>
                <w:rFonts w:ascii="Arial" w:eastAsia="Arial" w:hAnsi="Arial" w:cs="Arial"/>
                <w:b/>
                <w:sz w:val="18"/>
                <w:szCs w:val="18"/>
              </w:rPr>
            </w:pPr>
            <w:r>
              <w:rPr>
                <w:rFonts w:ascii="Arial" w:hAnsi="Arial"/>
                <w:b/>
                <w:sz w:val="18"/>
              </w:rPr>
              <w:t xml:space="preserve">Number of hours worked on company business </w:t>
            </w:r>
          </w:p>
        </w:tc>
        <w:tc>
          <w:tcPr>
            <w:tcW w:w="4777" w:type="dxa"/>
          </w:tcPr>
          <w:p w:rsidR="00AF22F3" w:rsidRPr="00AF22F3" w:rsidRDefault="00AF22F3" w:rsidP="00A27499">
            <w:pPr>
              <w:pStyle w:val="DoNotTranslateExternal1"/>
            </w:pPr>
            <w:r>
              <w:t>1 055 688</w:t>
            </w:r>
          </w:p>
        </w:tc>
      </w:tr>
    </w:tbl>
    <w:p w:rsidR="00AF22F3" w:rsidRDefault="00AF22F3">
      <w:pPr>
        <w:spacing w:before="23" w:line="358" w:lineRule="auto"/>
        <w:ind w:left="1681" w:right="858" w:hanging="1561"/>
        <w:rPr>
          <w:rFonts w:ascii="Arial" w:eastAsia="Arial" w:hAnsi="Arial" w:cs="Arial"/>
        </w:rPr>
      </w:pPr>
    </w:p>
    <w:p w:rsidR="00AF22F3" w:rsidRDefault="00AF22F3">
      <w:pPr>
        <w:rPr>
          <w:rFonts w:ascii="Arial" w:eastAsia="Arial" w:hAnsi="Arial" w:cs="Arial"/>
        </w:rPr>
      </w:pPr>
      <w:r>
        <w:br w:type="page"/>
      </w:r>
    </w:p>
    <w:p w:rsidR="006F3ED5" w:rsidRPr="006A2FC1" w:rsidRDefault="00B65BEC" w:rsidP="006A58EF">
      <w:pPr>
        <w:pStyle w:val="ANNEXE"/>
      </w:pPr>
      <w:bookmarkStart w:id="79" w:name="_Toc435689605"/>
      <w:bookmarkStart w:id="80" w:name="_Toc442177371"/>
      <w:r>
        <w:lastRenderedPageBreak/>
        <w:t>ORGANISATION OF THE IMT, I.P.</w:t>
      </w:r>
      <w:bookmarkEnd w:id="79"/>
      <w:bookmarkEnd w:id="80"/>
    </w:p>
    <w:p w:rsidR="006F3ED5" w:rsidRPr="006A2FC1" w:rsidRDefault="006F3ED5">
      <w:pPr>
        <w:spacing w:before="8" w:line="240" w:lineRule="exact"/>
        <w:rPr>
          <w:sz w:val="24"/>
          <w:szCs w:val="24"/>
        </w:rPr>
      </w:pPr>
    </w:p>
    <w:p w:rsidR="006F3ED5" w:rsidRPr="00705059" w:rsidRDefault="00B65BEC" w:rsidP="006A58EF">
      <w:pPr>
        <w:pStyle w:val="ANNEXEA"/>
        <w:rPr>
          <w:lang w:val="fr-LU"/>
        </w:rPr>
      </w:pPr>
      <w:bookmarkStart w:id="81" w:name="_Toc435689606"/>
      <w:bookmarkStart w:id="82" w:name="_Toc442177372"/>
      <w:r w:rsidRPr="00705059">
        <w:rPr>
          <w:lang w:val="fr-LU"/>
        </w:rPr>
        <w:t>Organisational Chart- IMT, I.P. 2014</w:t>
      </w:r>
      <w:bookmarkEnd w:id="81"/>
      <w:bookmarkEnd w:id="82"/>
    </w:p>
    <w:p w:rsidR="006F3ED5" w:rsidRPr="00705059" w:rsidRDefault="006F3ED5">
      <w:pPr>
        <w:spacing w:before="7" w:line="140" w:lineRule="exact"/>
        <w:rPr>
          <w:sz w:val="14"/>
          <w:szCs w:val="14"/>
          <w:lang w:val="fr-LU"/>
        </w:rPr>
      </w:pPr>
    </w:p>
    <w:p w:rsidR="006F3ED5" w:rsidRPr="00705059" w:rsidRDefault="006F3ED5">
      <w:pPr>
        <w:spacing w:line="200" w:lineRule="exact"/>
        <w:rPr>
          <w:lang w:val="fr-LU"/>
        </w:rPr>
      </w:pPr>
    </w:p>
    <w:p w:rsidR="006F3ED5" w:rsidRPr="006A2FC1" w:rsidRDefault="00B65BEC" w:rsidP="00B63285">
      <w:pPr>
        <w:jc w:val="center"/>
      </w:pPr>
      <w:r>
        <w:rPr>
          <w:noProof/>
          <w:lang w:val="fr-LU" w:eastAsia="fr-LU" w:bidi="ar-SA"/>
        </w:rPr>
        <w:drawing>
          <wp:inline distT="0" distB="0" distL="0" distR="0" wp14:anchorId="2699D16E" wp14:editId="76041EFB">
            <wp:extent cx="3358800" cy="4878000"/>
            <wp:effectExtent l="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8800" cy="4878000"/>
                    </a:xfrm>
                    <a:prstGeom prst="rect">
                      <a:avLst/>
                    </a:prstGeom>
                    <a:noFill/>
                    <a:ln>
                      <a:noFill/>
                    </a:ln>
                  </pic:spPr>
                </pic:pic>
              </a:graphicData>
            </a:graphic>
          </wp:inline>
        </w:drawing>
      </w:r>
    </w:p>
    <w:p w:rsidR="00B46B17" w:rsidRPr="00B46B17" w:rsidRDefault="00B46B17">
      <w:pPr>
        <w:rPr>
          <w:rFonts w:ascii="Arial" w:hAnsi="Arial" w:cs="Arial"/>
          <w:sz w:val="18"/>
          <w:szCs w:val="18"/>
        </w:rPr>
      </w:pPr>
    </w:p>
    <w:tbl>
      <w:tblPr>
        <w:tblW w:w="8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7"/>
        <w:gridCol w:w="4478"/>
      </w:tblGrid>
      <w:tr w:rsidR="0021519B" w:rsidRPr="000C2E43" w:rsidTr="0021519B">
        <w:tc>
          <w:tcPr>
            <w:tcW w:w="4477" w:type="dxa"/>
          </w:tcPr>
          <w:p w:rsidR="0021519B" w:rsidRPr="0021519B" w:rsidRDefault="0021519B" w:rsidP="0021519B">
            <w:pPr>
              <w:pStyle w:val="DoNotTranslateExternal1"/>
            </w:pPr>
            <w:r>
              <w:t>Unidade de Regulação Ferroviário</w:t>
            </w:r>
          </w:p>
        </w:tc>
        <w:tc>
          <w:tcPr>
            <w:tcW w:w="4478" w:type="dxa"/>
          </w:tcPr>
          <w:p w:rsidR="0021519B" w:rsidRPr="0021519B" w:rsidRDefault="0021519B" w:rsidP="00705059">
            <w:pPr>
              <w:jc w:val="both"/>
              <w:rPr>
                <w:rFonts w:ascii="Arial" w:hAnsi="Arial" w:cs="Arial"/>
                <w:sz w:val="18"/>
                <w:szCs w:val="18"/>
              </w:rPr>
            </w:pPr>
            <w:r>
              <w:rPr>
                <w:rFonts w:ascii="Arial" w:hAnsi="Arial"/>
                <w:sz w:val="18"/>
              </w:rPr>
              <w:t>Rail Regulation Unit</w:t>
            </w:r>
          </w:p>
        </w:tc>
      </w:tr>
      <w:tr w:rsidR="0021519B" w:rsidRPr="000C2E43" w:rsidTr="0021519B">
        <w:tc>
          <w:tcPr>
            <w:tcW w:w="4477" w:type="dxa"/>
          </w:tcPr>
          <w:p w:rsidR="0021519B" w:rsidRPr="0021519B" w:rsidRDefault="0021519B" w:rsidP="0021519B">
            <w:pPr>
              <w:pStyle w:val="DoNotTranslateExternal1"/>
            </w:pPr>
            <w:r>
              <w:t>Conselho Directivo</w:t>
            </w:r>
          </w:p>
        </w:tc>
        <w:tc>
          <w:tcPr>
            <w:tcW w:w="4478" w:type="dxa"/>
          </w:tcPr>
          <w:p w:rsidR="0021519B" w:rsidRPr="0021519B" w:rsidRDefault="0021519B" w:rsidP="00705059">
            <w:pPr>
              <w:jc w:val="both"/>
              <w:rPr>
                <w:rFonts w:ascii="Arial" w:hAnsi="Arial" w:cs="Arial"/>
                <w:sz w:val="18"/>
                <w:szCs w:val="18"/>
              </w:rPr>
            </w:pPr>
            <w:r>
              <w:rPr>
                <w:rFonts w:ascii="Arial" w:hAnsi="Arial"/>
                <w:sz w:val="18"/>
              </w:rPr>
              <w:t>Governing Board</w:t>
            </w:r>
          </w:p>
        </w:tc>
      </w:tr>
      <w:tr w:rsidR="0021519B" w:rsidRPr="000C2E43" w:rsidTr="0021519B">
        <w:tc>
          <w:tcPr>
            <w:tcW w:w="4477" w:type="dxa"/>
          </w:tcPr>
          <w:p w:rsidR="0021519B" w:rsidRPr="0021519B" w:rsidRDefault="0021519B" w:rsidP="0021519B">
            <w:pPr>
              <w:pStyle w:val="DoNotTranslateExternal1"/>
            </w:pPr>
            <w:r>
              <w:t>Fiscal Unloo</w:t>
            </w:r>
          </w:p>
        </w:tc>
        <w:tc>
          <w:tcPr>
            <w:tcW w:w="4478" w:type="dxa"/>
          </w:tcPr>
          <w:p w:rsidR="0021519B" w:rsidRPr="0021519B" w:rsidRDefault="0021519B" w:rsidP="00705059">
            <w:pPr>
              <w:jc w:val="both"/>
              <w:rPr>
                <w:rFonts w:ascii="Arial" w:hAnsi="Arial" w:cs="Arial"/>
                <w:sz w:val="18"/>
                <w:szCs w:val="18"/>
              </w:rPr>
            </w:pPr>
            <w:r>
              <w:rPr>
                <w:rFonts w:ascii="Arial" w:hAnsi="Arial"/>
                <w:sz w:val="18"/>
              </w:rPr>
              <w:t>Supervision</w:t>
            </w:r>
          </w:p>
        </w:tc>
      </w:tr>
      <w:tr w:rsidR="0021519B" w:rsidRPr="0021519B" w:rsidTr="0021519B">
        <w:tc>
          <w:tcPr>
            <w:tcW w:w="4477" w:type="dxa"/>
          </w:tcPr>
          <w:p w:rsidR="0021519B" w:rsidRPr="0021519B" w:rsidRDefault="0021519B" w:rsidP="0021519B">
            <w:pPr>
              <w:pStyle w:val="DoNotTranslateExternal1"/>
            </w:pPr>
            <w:r>
              <w:t>Div. de Serv. de Apoyo à Gestão</w:t>
            </w:r>
          </w:p>
        </w:tc>
        <w:tc>
          <w:tcPr>
            <w:tcW w:w="4478" w:type="dxa"/>
          </w:tcPr>
          <w:p w:rsidR="0021519B" w:rsidRPr="0021519B" w:rsidRDefault="0021519B" w:rsidP="00705059">
            <w:pPr>
              <w:jc w:val="both"/>
              <w:rPr>
                <w:rFonts w:ascii="Arial" w:hAnsi="Arial" w:cs="Arial"/>
                <w:sz w:val="18"/>
                <w:szCs w:val="18"/>
              </w:rPr>
            </w:pPr>
            <w:r>
              <w:rPr>
                <w:rFonts w:ascii="Arial" w:hAnsi="Arial"/>
                <w:sz w:val="18"/>
              </w:rPr>
              <w:t>Management Support Division</w:t>
            </w:r>
          </w:p>
        </w:tc>
      </w:tr>
      <w:tr w:rsidR="0021519B" w:rsidRPr="0021519B" w:rsidTr="0021519B">
        <w:tc>
          <w:tcPr>
            <w:tcW w:w="4477" w:type="dxa"/>
          </w:tcPr>
          <w:p w:rsidR="0021519B" w:rsidRPr="00705059" w:rsidRDefault="0021519B" w:rsidP="0021519B">
            <w:pPr>
              <w:pStyle w:val="DoNotTranslateExternal1"/>
              <w:rPr>
                <w:lang/>
              </w:rPr>
            </w:pPr>
            <w:r w:rsidRPr="00705059">
              <w:rPr>
                <w:lang/>
              </w:rPr>
              <w:t>Gab. de Planeamento, Inovação e Avaliação</w:t>
            </w:r>
          </w:p>
        </w:tc>
        <w:tc>
          <w:tcPr>
            <w:tcW w:w="4478" w:type="dxa"/>
          </w:tcPr>
          <w:p w:rsidR="0021519B" w:rsidRPr="0021519B" w:rsidRDefault="0021519B" w:rsidP="00705059">
            <w:pPr>
              <w:jc w:val="both"/>
              <w:rPr>
                <w:rFonts w:ascii="Arial" w:hAnsi="Arial" w:cs="Arial"/>
                <w:sz w:val="18"/>
                <w:szCs w:val="18"/>
              </w:rPr>
            </w:pPr>
            <w:r>
              <w:rPr>
                <w:rFonts w:ascii="Arial" w:hAnsi="Arial"/>
                <w:sz w:val="18"/>
              </w:rPr>
              <w:t>Office of Planning, Innovation &amp; Evaluation</w:t>
            </w:r>
          </w:p>
        </w:tc>
      </w:tr>
      <w:tr w:rsidR="0021519B" w:rsidRPr="0021519B" w:rsidTr="0021519B">
        <w:tc>
          <w:tcPr>
            <w:tcW w:w="4477" w:type="dxa"/>
          </w:tcPr>
          <w:p w:rsidR="0021519B" w:rsidRPr="00705059" w:rsidRDefault="0021519B" w:rsidP="0021519B">
            <w:pPr>
              <w:pStyle w:val="DoNotTranslateExternal1"/>
              <w:rPr>
                <w:lang/>
              </w:rPr>
            </w:pPr>
            <w:r w:rsidRPr="00705059">
              <w:rPr>
                <w:lang/>
              </w:rPr>
              <w:t>Gabinete Jurídico e de Contencioso</w:t>
            </w:r>
          </w:p>
        </w:tc>
        <w:tc>
          <w:tcPr>
            <w:tcW w:w="4478" w:type="dxa"/>
          </w:tcPr>
          <w:p w:rsidR="0021519B" w:rsidRPr="0021519B" w:rsidRDefault="0021519B" w:rsidP="00705059">
            <w:pPr>
              <w:jc w:val="both"/>
              <w:rPr>
                <w:rFonts w:ascii="Arial" w:hAnsi="Arial" w:cs="Arial"/>
                <w:sz w:val="18"/>
                <w:szCs w:val="18"/>
              </w:rPr>
            </w:pPr>
            <w:r>
              <w:rPr>
                <w:rFonts w:ascii="Arial" w:hAnsi="Arial"/>
                <w:sz w:val="18"/>
              </w:rPr>
              <w:t>Legal and Claims Office</w:t>
            </w:r>
          </w:p>
        </w:tc>
      </w:tr>
      <w:tr w:rsidR="0021519B" w:rsidRPr="000C2E43" w:rsidTr="0021519B">
        <w:tc>
          <w:tcPr>
            <w:tcW w:w="4477" w:type="dxa"/>
          </w:tcPr>
          <w:p w:rsidR="0021519B" w:rsidRPr="0021519B" w:rsidRDefault="0021519B" w:rsidP="0021519B">
            <w:pPr>
              <w:pStyle w:val="DoNotTranslateExternal1"/>
            </w:pPr>
            <w:r>
              <w:t>Departmento Jurídico-Económico</w:t>
            </w:r>
          </w:p>
        </w:tc>
        <w:tc>
          <w:tcPr>
            <w:tcW w:w="4478" w:type="dxa"/>
          </w:tcPr>
          <w:p w:rsidR="0021519B" w:rsidRPr="0021519B" w:rsidRDefault="0021519B" w:rsidP="00705059">
            <w:pPr>
              <w:jc w:val="both"/>
              <w:rPr>
                <w:rFonts w:ascii="Arial" w:hAnsi="Arial" w:cs="Arial"/>
                <w:sz w:val="18"/>
                <w:szCs w:val="18"/>
              </w:rPr>
            </w:pPr>
            <w:r>
              <w:rPr>
                <w:rFonts w:ascii="Arial" w:hAnsi="Arial"/>
                <w:sz w:val="18"/>
              </w:rPr>
              <w:t>Financial Legal Department</w:t>
            </w:r>
          </w:p>
        </w:tc>
      </w:tr>
      <w:tr w:rsidR="0021519B" w:rsidRPr="000C2E43" w:rsidTr="0021519B">
        <w:tc>
          <w:tcPr>
            <w:tcW w:w="4477" w:type="dxa"/>
          </w:tcPr>
          <w:p w:rsidR="0021519B" w:rsidRPr="0021519B" w:rsidRDefault="0021519B" w:rsidP="0021519B">
            <w:pPr>
              <w:pStyle w:val="DoNotTranslateExternal1"/>
            </w:pPr>
            <w:r>
              <w:t>Departmento de Regulação Técnica</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Department of Technical Regulations</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Departmento de Estudos y Prospectiva</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Department of Studies and Forecasts</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Departmento de Programas e Avaliação</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Department of Programmes and Evaluation</w:t>
            </w:r>
          </w:p>
        </w:tc>
      </w:tr>
      <w:tr w:rsidR="0021519B" w:rsidRPr="000C2E43" w:rsidTr="0021519B">
        <w:tc>
          <w:tcPr>
            <w:tcW w:w="4477" w:type="dxa"/>
          </w:tcPr>
          <w:p w:rsidR="0021519B" w:rsidRPr="0021519B" w:rsidRDefault="0021519B" w:rsidP="0021519B">
            <w:pPr>
              <w:pStyle w:val="DoNotTranslateExternal1"/>
            </w:pPr>
            <w:r>
              <w:t>Departmento Jurídico</w:t>
            </w:r>
          </w:p>
        </w:tc>
        <w:tc>
          <w:tcPr>
            <w:tcW w:w="4478" w:type="dxa"/>
          </w:tcPr>
          <w:p w:rsidR="0021519B" w:rsidRPr="0021519B" w:rsidRDefault="0021519B" w:rsidP="00705059">
            <w:pPr>
              <w:jc w:val="both"/>
              <w:rPr>
                <w:rFonts w:ascii="Arial" w:hAnsi="Arial" w:cs="Arial"/>
                <w:sz w:val="18"/>
                <w:szCs w:val="18"/>
              </w:rPr>
            </w:pPr>
            <w:r>
              <w:rPr>
                <w:rFonts w:ascii="Arial" w:hAnsi="Arial"/>
                <w:sz w:val="18"/>
              </w:rPr>
              <w:t>Legal Department</w:t>
            </w:r>
          </w:p>
        </w:tc>
      </w:tr>
      <w:tr w:rsidR="0021519B" w:rsidRPr="000C2E43" w:rsidTr="0021519B">
        <w:tc>
          <w:tcPr>
            <w:tcW w:w="4477" w:type="dxa"/>
          </w:tcPr>
          <w:p w:rsidR="0021519B" w:rsidRPr="0021519B" w:rsidRDefault="0021519B" w:rsidP="0021519B">
            <w:pPr>
              <w:pStyle w:val="DoNotTranslateExternal1"/>
            </w:pPr>
            <w:r>
              <w:t>Departmento de Relações Internacionais</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Department of International Relations</w:t>
            </w:r>
          </w:p>
        </w:tc>
      </w:tr>
      <w:tr w:rsidR="0021519B" w:rsidRPr="0021519B" w:rsidTr="0021519B">
        <w:tc>
          <w:tcPr>
            <w:tcW w:w="4477" w:type="dxa"/>
          </w:tcPr>
          <w:p w:rsidR="0021519B" w:rsidRPr="00705059" w:rsidRDefault="0021519B" w:rsidP="0021519B">
            <w:pPr>
              <w:pStyle w:val="DoNotTranslateExternal1"/>
              <w:rPr>
                <w:lang/>
              </w:rPr>
            </w:pPr>
            <w:r w:rsidRPr="00705059">
              <w:rPr>
                <w:lang/>
              </w:rPr>
              <w:t>Div. de Serv. de Regulação Jurídico-Económico</w:t>
            </w:r>
          </w:p>
        </w:tc>
        <w:tc>
          <w:tcPr>
            <w:tcW w:w="4478" w:type="dxa"/>
          </w:tcPr>
          <w:p w:rsidR="0021519B" w:rsidRPr="0021519B" w:rsidRDefault="0021519B" w:rsidP="00705059">
            <w:pPr>
              <w:jc w:val="both"/>
              <w:rPr>
                <w:rFonts w:ascii="Arial" w:hAnsi="Arial" w:cs="Arial"/>
                <w:sz w:val="18"/>
                <w:szCs w:val="18"/>
              </w:rPr>
            </w:pPr>
            <w:r>
              <w:rPr>
                <w:rFonts w:ascii="Arial" w:hAnsi="Arial"/>
                <w:sz w:val="18"/>
              </w:rPr>
              <w:t>Financial/Legal Regulation Division</w:t>
            </w:r>
          </w:p>
        </w:tc>
      </w:tr>
      <w:tr w:rsidR="0021519B" w:rsidRPr="0021519B" w:rsidTr="0021519B">
        <w:tc>
          <w:tcPr>
            <w:tcW w:w="4477" w:type="dxa"/>
          </w:tcPr>
          <w:p w:rsidR="0021519B" w:rsidRPr="00705059" w:rsidRDefault="0021519B" w:rsidP="0021519B">
            <w:pPr>
              <w:pStyle w:val="DoNotTranslateExternal1"/>
              <w:rPr>
                <w:lang/>
              </w:rPr>
            </w:pPr>
            <w:r w:rsidRPr="00705059">
              <w:rPr>
                <w:lang/>
              </w:rPr>
              <w:t>Div. de Serv. de Regulação Técnica e de Segurança</w:t>
            </w:r>
          </w:p>
        </w:tc>
        <w:tc>
          <w:tcPr>
            <w:tcW w:w="4478" w:type="dxa"/>
          </w:tcPr>
          <w:p w:rsidR="0021519B" w:rsidRPr="0021519B" w:rsidRDefault="0021519B" w:rsidP="00705059">
            <w:pPr>
              <w:jc w:val="both"/>
              <w:rPr>
                <w:rFonts w:ascii="Arial" w:hAnsi="Arial" w:cs="Arial"/>
                <w:sz w:val="18"/>
                <w:szCs w:val="18"/>
              </w:rPr>
            </w:pPr>
            <w:r>
              <w:rPr>
                <w:rFonts w:ascii="Arial" w:hAnsi="Arial"/>
                <w:sz w:val="18"/>
              </w:rPr>
              <w:t>Technical and Safety Regulation Services Division</w:t>
            </w:r>
          </w:p>
        </w:tc>
      </w:tr>
      <w:tr w:rsidR="0021519B" w:rsidRPr="0021519B" w:rsidTr="0021519B">
        <w:tc>
          <w:tcPr>
            <w:tcW w:w="4477" w:type="dxa"/>
          </w:tcPr>
          <w:p w:rsidR="0021519B" w:rsidRPr="0021519B" w:rsidRDefault="0021519B" w:rsidP="0021519B">
            <w:pPr>
              <w:pStyle w:val="DoNotTranslateExternal1"/>
            </w:pPr>
            <w:r>
              <w:t>Div. de Serv. de Formação e Certificação</w:t>
            </w:r>
          </w:p>
        </w:tc>
        <w:tc>
          <w:tcPr>
            <w:tcW w:w="4478" w:type="dxa"/>
          </w:tcPr>
          <w:p w:rsidR="0021519B" w:rsidRPr="0021519B" w:rsidRDefault="0021519B" w:rsidP="00705059">
            <w:pPr>
              <w:jc w:val="both"/>
              <w:rPr>
                <w:rFonts w:ascii="Arial" w:hAnsi="Arial" w:cs="Arial"/>
                <w:sz w:val="18"/>
                <w:szCs w:val="18"/>
              </w:rPr>
            </w:pPr>
            <w:r>
              <w:rPr>
                <w:rFonts w:ascii="Arial" w:hAnsi="Arial"/>
                <w:sz w:val="18"/>
              </w:rPr>
              <w:t>Training and Certification Services Division</w:t>
            </w:r>
          </w:p>
        </w:tc>
      </w:tr>
      <w:tr w:rsidR="0021519B" w:rsidRPr="0021519B" w:rsidTr="0021519B">
        <w:tc>
          <w:tcPr>
            <w:tcW w:w="4477" w:type="dxa"/>
          </w:tcPr>
          <w:p w:rsidR="0021519B" w:rsidRPr="00705059" w:rsidRDefault="0021519B" w:rsidP="0021519B">
            <w:pPr>
              <w:pStyle w:val="DoNotTranslateExternal1"/>
              <w:rPr>
                <w:lang/>
              </w:rPr>
            </w:pPr>
            <w:r w:rsidRPr="00705059">
              <w:rPr>
                <w:lang/>
              </w:rPr>
              <w:t>Div. de Serv. de Inspecção, Fiscalização e Contra-Ordenações</w:t>
            </w:r>
          </w:p>
        </w:tc>
        <w:tc>
          <w:tcPr>
            <w:tcW w:w="4478" w:type="dxa"/>
          </w:tcPr>
          <w:p w:rsidR="0021519B" w:rsidRPr="0021519B" w:rsidRDefault="0021519B" w:rsidP="00705059">
            <w:pPr>
              <w:jc w:val="both"/>
              <w:rPr>
                <w:rFonts w:ascii="Arial" w:hAnsi="Arial" w:cs="Arial"/>
                <w:sz w:val="18"/>
                <w:szCs w:val="18"/>
              </w:rPr>
            </w:pPr>
            <w:r>
              <w:rPr>
                <w:rFonts w:ascii="Arial" w:hAnsi="Arial"/>
                <w:sz w:val="18"/>
              </w:rPr>
              <w:t>Inspection, Supervision and Violations Services Division</w:t>
            </w:r>
          </w:p>
        </w:tc>
      </w:tr>
      <w:tr w:rsidR="0021519B" w:rsidRPr="0021519B" w:rsidTr="0021519B">
        <w:tc>
          <w:tcPr>
            <w:tcW w:w="4477" w:type="dxa"/>
          </w:tcPr>
          <w:p w:rsidR="0021519B" w:rsidRPr="00705059" w:rsidRDefault="0021519B" w:rsidP="0021519B">
            <w:pPr>
              <w:pStyle w:val="DoNotTranslateExternal1"/>
              <w:rPr>
                <w:lang/>
              </w:rPr>
            </w:pPr>
            <w:r w:rsidRPr="00705059">
              <w:rPr>
                <w:lang/>
              </w:rPr>
              <w:t>Div. de Serv. de Sistemas de Informação</w:t>
            </w:r>
          </w:p>
        </w:tc>
        <w:tc>
          <w:tcPr>
            <w:tcW w:w="4478" w:type="dxa"/>
          </w:tcPr>
          <w:p w:rsidR="0021519B" w:rsidRPr="0021519B" w:rsidRDefault="0021519B" w:rsidP="00705059">
            <w:pPr>
              <w:jc w:val="both"/>
              <w:rPr>
                <w:rFonts w:ascii="Arial" w:hAnsi="Arial" w:cs="Arial"/>
                <w:sz w:val="18"/>
                <w:szCs w:val="18"/>
              </w:rPr>
            </w:pPr>
            <w:r>
              <w:rPr>
                <w:rFonts w:ascii="Arial" w:hAnsi="Arial"/>
                <w:sz w:val="18"/>
              </w:rPr>
              <w:t>Information Systems Services Division</w:t>
            </w:r>
          </w:p>
        </w:tc>
      </w:tr>
      <w:tr w:rsidR="0021519B" w:rsidRPr="0021519B" w:rsidTr="0021519B">
        <w:tc>
          <w:tcPr>
            <w:tcW w:w="4477" w:type="dxa"/>
          </w:tcPr>
          <w:p w:rsidR="0021519B" w:rsidRPr="00705059" w:rsidRDefault="0021519B" w:rsidP="0021519B">
            <w:pPr>
              <w:pStyle w:val="DoNotTranslateExternal1"/>
              <w:rPr>
                <w:lang/>
              </w:rPr>
            </w:pPr>
            <w:r w:rsidRPr="00705059">
              <w:rPr>
                <w:lang/>
              </w:rPr>
              <w:t>Div. de Serv. de Administração de Recursos</w:t>
            </w:r>
          </w:p>
        </w:tc>
        <w:tc>
          <w:tcPr>
            <w:tcW w:w="4478" w:type="dxa"/>
          </w:tcPr>
          <w:p w:rsidR="0021519B" w:rsidRPr="0021519B" w:rsidRDefault="0021519B" w:rsidP="00705059">
            <w:pPr>
              <w:jc w:val="both"/>
              <w:rPr>
                <w:rFonts w:ascii="Arial" w:hAnsi="Arial" w:cs="Arial"/>
                <w:sz w:val="18"/>
                <w:szCs w:val="18"/>
              </w:rPr>
            </w:pPr>
            <w:r>
              <w:rPr>
                <w:rFonts w:ascii="Arial" w:hAnsi="Arial"/>
                <w:sz w:val="18"/>
              </w:rPr>
              <w:t>Resource Administration Services Division</w:t>
            </w:r>
          </w:p>
        </w:tc>
      </w:tr>
      <w:tr w:rsidR="0021519B" w:rsidRPr="0021519B" w:rsidTr="0021519B">
        <w:tc>
          <w:tcPr>
            <w:tcW w:w="4477" w:type="dxa"/>
          </w:tcPr>
          <w:p w:rsidR="0021519B" w:rsidRPr="00705059" w:rsidRDefault="0021519B" w:rsidP="0021519B">
            <w:pPr>
              <w:pStyle w:val="DoNotTranslateExternal1"/>
              <w:rPr>
                <w:lang/>
              </w:rPr>
            </w:pPr>
            <w:r w:rsidRPr="00705059">
              <w:rPr>
                <w:lang/>
              </w:rPr>
              <w:lastRenderedPageBreak/>
              <w:t>Div. de Serv. de Processamento e Atendimento</w:t>
            </w:r>
          </w:p>
        </w:tc>
        <w:tc>
          <w:tcPr>
            <w:tcW w:w="4478" w:type="dxa"/>
          </w:tcPr>
          <w:p w:rsidR="0021519B" w:rsidRPr="0021519B" w:rsidRDefault="0021519B" w:rsidP="00705059">
            <w:pPr>
              <w:jc w:val="both"/>
              <w:rPr>
                <w:rFonts w:ascii="Arial" w:hAnsi="Arial" w:cs="Arial"/>
                <w:sz w:val="18"/>
                <w:szCs w:val="18"/>
              </w:rPr>
            </w:pPr>
            <w:r>
              <w:rPr>
                <w:rFonts w:ascii="Arial" w:hAnsi="Arial"/>
                <w:sz w:val="18"/>
              </w:rPr>
              <w:t>Processing and Customer Support Services Division</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 Licenciamento de Act. de Transportes</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of Transport Activities Licensing</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 Homologação e Registo de Veículos Rodoviários</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of Approval and Registration of Road Vehicles</w:t>
            </w:r>
          </w:p>
        </w:tc>
      </w:tr>
      <w:tr w:rsidR="0021519B" w:rsidRPr="000C2E43" w:rsidTr="0021519B">
        <w:tc>
          <w:tcPr>
            <w:tcW w:w="4477" w:type="dxa"/>
          </w:tcPr>
          <w:p w:rsidR="0021519B" w:rsidRPr="0021519B" w:rsidRDefault="0021519B" w:rsidP="0021519B">
            <w:pPr>
              <w:pStyle w:val="DoNotTranslateExternal1"/>
            </w:pPr>
            <w:r>
              <w:t>Laboratório de Psicologia</w:t>
            </w:r>
          </w:p>
        </w:tc>
        <w:tc>
          <w:tcPr>
            <w:tcW w:w="4478" w:type="dxa"/>
          </w:tcPr>
          <w:p w:rsidR="0021519B" w:rsidRPr="0021519B" w:rsidRDefault="0021519B" w:rsidP="00705059">
            <w:pPr>
              <w:jc w:val="both"/>
              <w:rPr>
                <w:rFonts w:ascii="Arial" w:hAnsi="Arial" w:cs="Arial"/>
                <w:sz w:val="18"/>
                <w:szCs w:val="18"/>
              </w:rPr>
            </w:pPr>
            <w:r>
              <w:rPr>
                <w:rFonts w:ascii="Arial" w:hAnsi="Arial"/>
                <w:sz w:val="18"/>
              </w:rPr>
              <w:t>Psychology Laboratory</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 Desenvolvimento de Sistemas e Aplicações</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of Development of Systems and Applications</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 Difusão de Informação Pública</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of Public Information</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 Informação Documental e Publicações</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of Documentary Information and Publications</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 Autorização de Serviços de Transportes Públicas</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of Authorisation of Public Transport Services</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 Inspecção de Veículos Rodoviários</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of Inspection of Road Vehicles</w:t>
            </w:r>
          </w:p>
        </w:tc>
      </w:tr>
      <w:tr w:rsidR="0021519B" w:rsidRPr="000C2E43" w:rsidTr="0021519B">
        <w:tc>
          <w:tcPr>
            <w:tcW w:w="4477" w:type="dxa"/>
          </w:tcPr>
          <w:p w:rsidR="0021519B" w:rsidRPr="0021519B" w:rsidRDefault="0021519B" w:rsidP="0021519B">
            <w:pPr>
              <w:pStyle w:val="DoNotTranslateExternal1"/>
            </w:pPr>
            <w:r>
              <w:t>Dep. Ensino da Condução</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of Driver Education</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 Tecnologías de Informação e Comunicação</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ICT Department</w:t>
            </w:r>
          </w:p>
        </w:tc>
      </w:tr>
      <w:tr w:rsidR="0021519B" w:rsidRPr="000C2E43" w:rsidTr="0021519B">
        <w:tc>
          <w:tcPr>
            <w:tcW w:w="4477" w:type="dxa"/>
          </w:tcPr>
          <w:p w:rsidR="0021519B" w:rsidRPr="0021519B" w:rsidRDefault="0021519B" w:rsidP="0021519B">
            <w:pPr>
              <w:pStyle w:val="DoNotTranslateExternal1"/>
            </w:pPr>
            <w:r>
              <w:t>Dep. Contratualização e Tarifários</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Contracts and Tariffs</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 Infra-Estruturas e Equipamentos Ferroviários</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Infrastructure and Rail facilities</w:t>
            </w:r>
          </w:p>
        </w:tc>
      </w:tr>
      <w:tr w:rsidR="0021519B" w:rsidRPr="0021519B" w:rsidTr="0021519B">
        <w:tc>
          <w:tcPr>
            <w:tcW w:w="4477" w:type="dxa"/>
          </w:tcPr>
          <w:p w:rsidR="0021519B" w:rsidRPr="00705059" w:rsidRDefault="0021519B" w:rsidP="0021519B">
            <w:pPr>
              <w:pStyle w:val="DoNotTranslateExternal1"/>
              <w:rPr>
                <w:lang/>
              </w:rPr>
            </w:pPr>
            <w:r w:rsidRPr="00705059">
              <w:rPr>
                <w:lang/>
              </w:rPr>
              <w:t>Dep. Habilitação e Registo de Condutores</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Driver Training and Registration</w:t>
            </w:r>
          </w:p>
        </w:tc>
      </w:tr>
      <w:tr w:rsidR="0021519B" w:rsidRPr="000C2E43" w:rsidTr="0021519B">
        <w:tc>
          <w:tcPr>
            <w:tcW w:w="4477" w:type="dxa"/>
          </w:tcPr>
          <w:p w:rsidR="0021519B" w:rsidRPr="0021519B" w:rsidRDefault="0021519B" w:rsidP="0021519B">
            <w:pPr>
              <w:pStyle w:val="DoNotTranslateExternal1"/>
            </w:pPr>
            <w:r>
              <w:t>Dep. Apoio ao Utilizador</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User Support</w:t>
            </w:r>
          </w:p>
        </w:tc>
      </w:tr>
      <w:tr w:rsidR="0021519B" w:rsidRPr="0021519B" w:rsidTr="0021519B">
        <w:tc>
          <w:tcPr>
            <w:tcW w:w="4477" w:type="dxa"/>
          </w:tcPr>
          <w:p w:rsidR="0021519B" w:rsidRPr="00705059" w:rsidRDefault="0021519B" w:rsidP="0021519B">
            <w:pPr>
              <w:pStyle w:val="DoNotTranslateExternal1"/>
              <w:rPr>
                <w:lang w:val="fr-LU"/>
              </w:rPr>
            </w:pPr>
            <w:r w:rsidRPr="00705059">
              <w:rPr>
                <w:lang w:val="fr-LU"/>
              </w:rPr>
              <w:t>Dep. Formação e Certificação Profissionais</w:t>
            </w:r>
          </w:p>
        </w:tc>
        <w:tc>
          <w:tcPr>
            <w:tcW w:w="4478" w:type="dxa"/>
          </w:tcPr>
          <w:p w:rsidR="0021519B" w:rsidRPr="0021519B" w:rsidRDefault="0021519B" w:rsidP="00705059">
            <w:pPr>
              <w:jc w:val="both"/>
              <w:rPr>
                <w:rFonts w:ascii="Arial" w:hAnsi="Arial" w:cs="Arial"/>
                <w:sz w:val="18"/>
                <w:szCs w:val="18"/>
              </w:rPr>
            </w:pPr>
            <w:r>
              <w:rPr>
                <w:rFonts w:ascii="Arial" w:hAnsi="Arial"/>
                <w:sz w:val="18"/>
              </w:rPr>
              <w:t>Dept. Professional Training and Certification</w:t>
            </w:r>
          </w:p>
        </w:tc>
      </w:tr>
      <w:tr w:rsidR="0021519B" w:rsidRPr="0021519B" w:rsidTr="0021519B">
        <w:tc>
          <w:tcPr>
            <w:tcW w:w="4477" w:type="dxa"/>
          </w:tcPr>
          <w:p w:rsidR="0021519B" w:rsidRPr="00705059" w:rsidRDefault="0021519B" w:rsidP="0021519B">
            <w:pPr>
              <w:pStyle w:val="DoNotTranslateExternal1"/>
              <w:rPr>
                <w:lang/>
              </w:rPr>
            </w:pPr>
            <w:r w:rsidRPr="00705059">
              <w:rPr>
                <w:lang/>
              </w:rPr>
              <w:t>Direcção Regional de Mobilidade e Transportes do Norte</w:t>
            </w:r>
          </w:p>
        </w:tc>
        <w:tc>
          <w:tcPr>
            <w:tcW w:w="4478" w:type="dxa"/>
          </w:tcPr>
          <w:p w:rsidR="0021519B" w:rsidRPr="0021519B" w:rsidRDefault="0021519B" w:rsidP="00705059">
            <w:pPr>
              <w:jc w:val="both"/>
              <w:rPr>
                <w:rFonts w:ascii="Arial" w:hAnsi="Arial" w:cs="Arial"/>
                <w:sz w:val="18"/>
                <w:szCs w:val="18"/>
              </w:rPr>
            </w:pPr>
            <w:r>
              <w:rPr>
                <w:rFonts w:ascii="Arial" w:hAnsi="Arial"/>
                <w:sz w:val="18"/>
              </w:rPr>
              <w:t>Regional Directorate for Mobility and Transport (North)</w:t>
            </w:r>
          </w:p>
        </w:tc>
      </w:tr>
      <w:tr w:rsidR="0021519B" w:rsidRPr="0021519B" w:rsidTr="0021519B">
        <w:tc>
          <w:tcPr>
            <w:tcW w:w="4477" w:type="dxa"/>
          </w:tcPr>
          <w:p w:rsidR="0021519B" w:rsidRPr="00705059" w:rsidRDefault="0021519B" w:rsidP="0021519B">
            <w:pPr>
              <w:pStyle w:val="DoNotTranslateExternal1"/>
              <w:rPr>
                <w:lang/>
              </w:rPr>
            </w:pPr>
            <w:r w:rsidRPr="00705059">
              <w:rPr>
                <w:lang/>
              </w:rPr>
              <w:t>Direcção Regional de Mobilidade e Transportes do Centro</w:t>
            </w:r>
          </w:p>
        </w:tc>
        <w:tc>
          <w:tcPr>
            <w:tcW w:w="4478" w:type="dxa"/>
          </w:tcPr>
          <w:p w:rsidR="0021519B" w:rsidRPr="0021519B" w:rsidRDefault="0021519B" w:rsidP="00705059">
            <w:pPr>
              <w:jc w:val="both"/>
              <w:rPr>
                <w:rFonts w:ascii="Arial" w:hAnsi="Arial" w:cs="Arial"/>
                <w:sz w:val="18"/>
                <w:szCs w:val="18"/>
              </w:rPr>
            </w:pPr>
            <w:r>
              <w:rPr>
                <w:rFonts w:ascii="Arial" w:hAnsi="Arial"/>
                <w:sz w:val="18"/>
              </w:rPr>
              <w:t>Regional Directorate for Mobility and Transport (Centre)</w:t>
            </w:r>
          </w:p>
        </w:tc>
      </w:tr>
      <w:tr w:rsidR="0021519B" w:rsidRPr="0021519B" w:rsidTr="0021519B">
        <w:tc>
          <w:tcPr>
            <w:tcW w:w="4477" w:type="dxa"/>
          </w:tcPr>
          <w:p w:rsidR="0021519B" w:rsidRPr="00705059" w:rsidRDefault="0021519B" w:rsidP="0021519B">
            <w:pPr>
              <w:pStyle w:val="DoNotTranslateExternal1"/>
              <w:rPr>
                <w:lang/>
              </w:rPr>
            </w:pPr>
            <w:r w:rsidRPr="00705059">
              <w:rPr>
                <w:lang/>
              </w:rPr>
              <w:t>Direcção Regional de Mobilidade e Transportes de Lisboa e Vale do Tejo</w:t>
            </w:r>
          </w:p>
        </w:tc>
        <w:tc>
          <w:tcPr>
            <w:tcW w:w="4478" w:type="dxa"/>
          </w:tcPr>
          <w:p w:rsidR="0021519B" w:rsidRPr="0021519B" w:rsidRDefault="0021519B" w:rsidP="00705059">
            <w:pPr>
              <w:jc w:val="both"/>
              <w:rPr>
                <w:rFonts w:ascii="Arial" w:hAnsi="Arial" w:cs="Arial"/>
                <w:sz w:val="18"/>
                <w:szCs w:val="18"/>
              </w:rPr>
            </w:pPr>
            <w:r>
              <w:rPr>
                <w:rFonts w:ascii="Arial" w:hAnsi="Arial"/>
                <w:sz w:val="18"/>
              </w:rPr>
              <w:t>Regional Directorate for Mobility and Transport (Lisbon and Tejo Valley)</w:t>
            </w:r>
          </w:p>
        </w:tc>
      </w:tr>
      <w:tr w:rsidR="0021519B" w:rsidRPr="0021519B" w:rsidTr="0021519B">
        <w:tc>
          <w:tcPr>
            <w:tcW w:w="4477" w:type="dxa"/>
          </w:tcPr>
          <w:p w:rsidR="0021519B" w:rsidRPr="00705059" w:rsidRDefault="0021519B" w:rsidP="0021519B">
            <w:pPr>
              <w:pStyle w:val="DoNotTranslateExternal1"/>
              <w:rPr>
                <w:lang/>
              </w:rPr>
            </w:pPr>
            <w:r w:rsidRPr="00705059">
              <w:rPr>
                <w:lang/>
              </w:rPr>
              <w:t>Direcção Regional de Mobilidade e Transportes do Alentejo</w:t>
            </w:r>
          </w:p>
        </w:tc>
        <w:tc>
          <w:tcPr>
            <w:tcW w:w="4478" w:type="dxa"/>
          </w:tcPr>
          <w:p w:rsidR="0021519B" w:rsidRPr="0021519B" w:rsidRDefault="0021519B" w:rsidP="00705059">
            <w:pPr>
              <w:jc w:val="both"/>
              <w:rPr>
                <w:rFonts w:ascii="Arial" w:hAnsi="Arial" w:cs="Arial"/>
                <w:sz w:val="18"/>
                <w:szCs w:val="18"/>
              </w:rPr>
            </w:pPr>
            <w:r>
              <w:rPr>
                <w:rFonts w:ascii="Arial" w:hAnsi="Arial"/>
                <w:sz w:val="18"/>
              </w:rPr>
              <w:t>Regional Directorate for Mobility and Transport (Alentejo)</w:t>
            </w:r>
          </w:p>
        </w:tc>
      </w:tr>
      <w:tr w:rsidR="0021519B" w:rsidRPr="0021519B" w:rsidTr="0021519B">
        <w:tc>
          <w:tcPr>
            <w:tcW w:w="4477" w:type="dxa"/>
          </w:tcPr>
          <w:p w:rsidR="0021519B" w:rsidRPr="00705059" w:rsidRDefault="0021519B" w:rsidP="0021519B">
            <w:pPr>
              <w:pStyle w:val="DoNotTranslateExternal1"/>
              <w:rPr>
                <w:lang/>
              </w:rPr>
            </w:pPr>
            <w:r w:rsidRPr="00705059">
              <w:rPr>
                <w:lang/>
              </w:rPr>
              <w:t>Direcção Regional de Mobilidade e Transportes do Algarve</w:t>
            </w:r>
          </w:p>
        </w:tc>
        <w:tc>
          <w:tcPr>
            <w:tcW w:w="4478" w:type="dxa"/>
          </w:tcPr>
          <w:p w:rsidR="0021519B" w:rsidRPr="0021519B" w:rsidRDefault="0021519B" w:rsidP="00705059">
            <w:pPr>
              <w:jc w:val="both"/>
              <w:rPr>
                <w:rFonts w:ascii="Arial" w:hAnsi="Arial" w:cs="Arial"/>
                <w:sz w:val="18"/>
                <w:szCs w:val="18"/>
              </w:rPr>
            </w:pPr>
            <w:r>
              <w:rPr>
                <w:rFonts w:ascii="Arial" w:hAnsi="Arial"/>
                <w:sz w:val="18"/>
              </w:rPr>
              <w:t>Regional Directorate for Mobility and Transport (Algarve)</w:t>
            </w:r>
          </w:p>
        </w:tc>
      </w:tr>
    </w:tbl>
    <w:p w:rsidR="00B46B17" w:rsidRPr="0021519B" w:rsidRDefault="00B46B17">
      <w:pPr>
        <w:rPr>
          <w:rFonts w:ascii="Arial" w:hAnsi="Arial" w:cs="Arial"/>
          <w:sz w:val="18"/>
          <w:szCs w:val="18"/>
        </w:rPr>
      </w:pPr>
    </w:p>
    <w:p w:rsidR="0054611A" w:rsidRPr="0021519B" w:rsidRDefault="0054611A">
      <w:r>
        <w:br w:type="page"/>
      </w:r>
    </w:p>
    <w:p w:rsidR="006F3ED5" w:rsidRDefault="00B65BEC" w:rsidP="0054611A">
      <w:pPr>
        <w:pStyle w:val="ANNEXEA"/>
      </w:pPr>
      <w:bookmarkStart w:id="83" w:name="_Toc435689607"/>
      <w:bookmarkStart w:id="84" w:name="_Toc442177373"/>
      <w:r>
        <w:lastRenderedPageBreak/>
        <w:t>Relationship of the IMT, I.P. with other rail safety entities</w:t>
      </w:r>
      <w:bookmarkEnd w:id="83"/>
      <w:bookmarkEnd w:id="84"/>
    </w:p>
    <w:p w:rsidR="00B63285" w:rsidRPr="006A2FC1" w:rsidRDefault="00B63285" w:rsidP="00B63285">
      <w:pPr>
        <w:jc w:val="center"/>
      </w:pPr>
      <w:r>
        <w:rPr>
          <w:noProof/>
          <w:lang w:val="fr-LU" w:eastAsia="fr-LU" w:bidi="ar-SA"/>
        </w:rPr>
        <w:drawing>
          <wp:inline distT="0" distB="0" distL="0" distR="0">
            <wp:extent cx="4183200" cy="45756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3200" cy="4575600"/>
                    </a:xfrm>
                    <a:prstGeom prst="rect">
                      <a:avLst/>
                    </a:prstGeom>
                    <a:noFill/>
                    <a:ln>
                      <a:noFill/>
                    </a:ln>
                  </pic:spPr>
                </pic:pic>
              </a:graphicData>
            </a:graphic>
          </wp:inline>
        </w:drawing>
      </w:r>
    </w:p>
    <w:p w:rsidR="006F3ED5" w:rsidRPr="0054611A" w:rsidRDefault="006F3ED5">
      <w:pPr>
        <w:spacing w:line="200" w:lineRule="exact"/>
      </w:pPr>
    </w:p>
    <w:tbl>
      <w:tblPr>
        <w:tblStyle w:val="TableGrid"/>
        <w:tblW w:w="9629" w:type="dxa"/>
        <w:tblLook w:val="04A0" w:firstRow="1" w:lastRow="0" w:firstColumn="1" w:lastColumn="0" w:noHBand="0" w:noVBand="1"/>
      </w:tblPr>
      <w:tblGrid>
        <w:gridCol w:w="5121"/>
        <w:gridCol w:w="4508"/>
      </w:tblGrid>
      <w:tr w:rsidR="0054611A" w:rsidRPr="00B63285" w:rsidTr="0054611A">
        <w:tc>
          <w:tcPr>
            <w:tcW w:w="5121" w:type="dxa"/>
          </w:tcPr>
          <w:p w:rsidR="0054611A" w:rsidRPr="00705059" w:rsidRDefault="0054611A" w:rsidP="0054611A">
            <w:pPr>
              <w:pStyle w:val="DoNotTranslateExternal1"/>
              <w:rPr>
                <w:lang/>
              </w:rPr>
            </w:pPr>
            <w:r w:rsidRPr="00705059">
              <w:rPr>
                <w:lang/>
              </w:rPr>
              <w:t>Instituto da Mobilidade e dos Transportes Terrestres</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Mobilit and Land Transport Institute</w:t>
            </w:r>
          </w:p>
        </w:tc>
      </w:tr>
      <w:tr w:rsidR="0054611A" w:rsidRPr="00B63285" w:rsidTr="0054611A">
        <w:tc>
          <w:tcPr>
            <w:tcW w:w="5121" w:type="dxa"/>
          </w:tcPr>
          <w:p w:rsidR="0054611A" w:rsidRPr="00705059" w:rsidRDefault="0054611A" w:rsidP="0054611A">
            <w:pPr>
              <w:pStyle w:val="DoNotTranslateExternal1"/>
              <w:rPr>
                <w:lang/>
              </w:rPr>
            </w:pPr>
            <w:r w:rsidRPr="00705059">
              <w:rPr>
                <w:lang/>
              </w:rPr>
              <w:t>Comissão Nacional do Transporte de Mercadorias</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National Freight Transport Commission</w:t>
            </w:r>
          </w:p>
        </w:tc>
      </w:tr>
      <w:tr w:rsidR="0054611A" w:rsidRPr="0054611A" w:rsidTr="0054611A">
        <w:tc>
          <w:tcPr>
            <w:tcW w:w="5121" w:type="dxa"/>
          </w:tcPr>
          <w:p w:rsidR="0054611A" w:rsidRPr="0054611A" w:rsidRDefault="0054611A" w:rsidP="0054611A">
            <w:pPr>
              <w:pStyle w:val="DoNotTranslateExternal1"/>
            </w:pPr>
            <w:r>
              <w:t>Governo</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Government</w:t>
            </w:r>
          </w:p>
        </w:tc>
      </w:tr>
      <w:tr w:rsidR="0054611A" w:rsidRPr="00B63285" w:rsidTr="0054611A">
        <w:tc>
          <w:tcPr>
            <w:tcW w:w="5121" w:type="dxa"/>
          </w:tcPr>
          <w:p w:rsidR="0054611A" w:rsidRPr="00705059" w:rsidRDefault="0054611A" w:rsidP="0054611A">
            <w:pPr>
              <w:pStyle w:val="DoNotTranslateExternal1"/>
              <w:rPr>
                <w:lang/>
              </w:rPr>
            </w:pPr>
            <w:r w:rsidRPr="00705059">
              <w:rPr>
                <w:lang/>
              </w:rPr>
              <w:t>Ministério de Economia e do Emprego</w:t>
            </w:r>
          </w:p>
        </w:tc>
        <w:tc>
          <w:tcPr>
            <w:tcW w:w="4508" w:type="dxa"/>
          </w:tcPr>
          <w:p w:rsidR="0054611A" w:rsidRPr="0054611A" w:rsidRDefault="0054611A" w:rsidP="0054611A">
            <w:pPr>
              <w:rPr>
                <w:rFonts w:ascii="Arial" w:hAnsi="Arial" w:cs="Arial"/>
                <w:sz w:val="18"/>
                <w:szCs w:val="18"/>
              </w:rPr>
            </w:pPr>
            <w:r>
              <w:rPr>
                <w:rFonts w:ascii="Arial" w:hAnsi="Arial"/>
                <w:sz w:val="18"/>
              </w:rPr>
              <w:t>Ministry of the Economy and Employment</w:t>
            </w:r>
          </w:p>
        </w:tc>
      </w:tr>
      <w:tr w:rsidR="0054611A" w:rsidRPr="0054611A" w:rsidTr="0054611A">
        <w:tc>
          <w:tcPr>
            <w:tcW w:w="5121" w:type="dxa"/>
          </w:tcPr>
          <w:p w:rsidR="0054611A" w:rsidRPr="0054611A" w:rsidRDefault="0054611A" w:rsidP="0054611A">
            <w:pPr>
              <w:pStyle w:val="DoNotTranslateExternal1"/>
            </w:pPr>
            <w:r>
              <w:t>Organismos de Normalização Setorial</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Sectoral standardisation bodies</w:t>
            </w:r>
          </w:p>
        </w:tc>
      </w:tr>
      <w:tr w:rsidR="0054611A" w:rsidRPr="0054611A" w:rsidTr="0054611A">
        <w:tc>
          <w:tcPr>
            <w:tcW w:w="5121" w:type="dxa"/>
          </w:tcPr>
          <w:p w:rsidR="0054611A" w:rsidRPr="0054611A" w:rsidRDefault="0054611A" w:rsidP="0054611A">
            <w:pPr>
              <w:pStyle w:val="DoNotTranslateExternal1"/>
            </w:pPr>
            <w:r>
              <w:t>Outras Entidades</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Other Entities</w:t>
            </w:r>
          </w:p>
        </w:tc>
      </w:tr>
      <w:tr w:rsidR="0054611A" w:rsidRPr="0054611A" w:rsidTr="0054611A">
        <w:tc>
          <w:tcPr>
            <w:tcW w:w="5121" w:type="dxa"/>
          </w:tcPr>
          <w:p w:rsidR="0054611A" w:rsidRPr="0054611A" w:rsidRDefault="0054611A" w:rsidP="0054611A">
            <w:pPr>
              <w:pStyle w:val="DoNotTranslateExternal1"/>
            </w:pPr>
            <w:r>
              <w:t>GISAF</w:t>
            </w:r>
          </w:p>
        </w:tc>
        <w:tc>
          <w:tcPr>
            <w:tcW w:w="4508" w:type="dxa"/>
          </w:tcPr>
          <w:p w:rsidR="0054611A" w:rsidRPr="0054611A" w:rsidRDefault="0054611A" w:rsidP="0054611A">
            <w:pPr>
              <w:rPr>
                <w:rFonts w:ascii="Arial" w:hAnsi="Arial" w:cs="Arial"/>
                <w:sz w:val="18"/>
                <w:szCs w:val="18"/>
              </w:rPr>
            </w:pPr>
            <w:r>
              <w:rPr>
                <w:rFonts w:ascii="Arial" w:hAnsi="Arial"/>
                <w:sz w:val="18"/>
              </w:rPr>
              <w:t>GISAF</w:t>
            </w:r>
          </w:p>
        </w:tc>
      </w:tr>
      <w:tr w:rsidR="0054611A" w:rsidRPr="0054611A" w:rsidTr="0054611A">
        <w:tc>
          <w:tcPr>
            <w:tcW w:w="5121" w:type="dxa"/>
          </w:tcPr>
          <w:p w:rsidR="0054611A" w:rsidRPr="0054611A" w:rsidRDefault="0054611A" w:rsidP="0054611A">
            <w:pPr>
              <w:pStyle w:val="DoNotTranslateExternal1"/>
            </w:pPr>
            <w:r>
              <w:t>Instituto Nacional de Estatística</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Statistics Portugal</w:t>
            </w:r>
          </w:p>
        </w:tc>
      </w:tr>
      <w:tr w:rsidR="0054611A" w:rsidRPr="0054611A" w:rsidTr="0054611A">
        <w:tc>
          <w:tcPr>
            <w:tcW w:w="5121" w:type="dxa"/>
          </w:tcPr>
          <w:p w:rsidR="0054611A" w:rsidRPr="0054611A" w:rsidRDefault="0054611A" w:rsidP="0054611A">
            <w:pPr>
              <w:pStyle w:val="DoNotTranslateExternal1"/>
            </w:pPr>
            <w:r>
              <w:t>Órgãos da Administração Pública</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Government Bodies</w:t>
            </w:r>
          </w:p>
        </w:tc>
      </w:tr>
      <w:tr w:rsidR="0054611A" w:rsidRPr="0054611A" w:rsidTr="0054611A">
        <w:tc>
          <w:tcPr>
            <w:tcW w:w="5121" w:type="dxa"/>
          </w:tcPr>
          <w:p w:rsidR="0054611A" w:rsidRPr="0054611A" w:rsidRDefault="0054611A" w:rsidP="0054611A">
            <w:pPr>
              <w:pStyle w:val="DoNotTranslateExternal1"/>
            </w:pPr>
            <w:r>
              <w:t>PSP</w:t>
            </w:r>
          </w:p>
        </w:tc>
        <w:tc>
          <w:tcPr>
            <w:tcW w:w="4508" w:type="dxa"/>
          </w:tcPr>
          <w:p w:rsidR="0054611A" w:rsidRPr="0054611A" w:rsidRDefault="0054611A" w:rsidP="0054611A">
            <w:pPr>
              <w:rPr>
                <w:rFonts w:ascii="Arial" w:hAnsi="Arial" w:cs="Arial"/>
                <w:sz w:val="18"/>
                <w:szCs w:val="18"/>
              </w:rPr>
            </w:pPr>
            <w:r>
              <w:rPr>
                <w:rFonts w:ascii="Arial" w:hAnsi="Arial"/>
                <w:sz w:val="18"/>
              </w:rPr>
              <w:t>Police force (PSP)</w:t>
            </w:r>
          </w:p>
        </w:tc>
      </w:tr>
      <w:tr w:rsidR="0054611A" w:rsidRPr="0054611A" w:rsidTr="0054611A">
        <w:tc>
          <w:tcPr>
            <w:tcW w:w="5121" w:type="dxa"/>
          </w:tcPr>
          <w:p w:rsidR="0054611A" w:rsidRPr="0054611A" w:rsidRDefault="0054611A" w:rsidP="0054611A">
            <w:pPr>
              <w:pStyle w:val="DoNotTranslateExternal1"/>
            </w:pPr>
            <w:r>
              <w:t>Empresas Reguladas</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Regulated companies</w:t>
            </w:r>
          </w:p>
        </w:tc>
      </w:tr>
      <w:tr w:rsidR="0054611A" w:rsidRPr="0054611A" w:rsidTr="0054611A">
        <w:tc>
          <w:tcPr>
            <w:tcW w:w="5121" w:type="dxa"/>
          </w:tcPr>
          <w:p w:rsidR="0054611A" w:rsidRPr="0054611A" w:rsidRDefault="0054611A" w:rsidP="0054611A">
            <w:pPr>
              <w:pStyle w:val="DoNotTranslateExternal1"/>
            </w:pPr>
            <w:r>
              <w:t>Sistemas Integrados</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Integrated Systems</w:t>
            </w:r>
          </w:p>
        </w:tc>
      </w:tr>
      <w:tr w:rsidR="0054611A" w:rsidRPr="0054611A" w:rsidTr="0054611A">
        <w:tc>
          <w:tcPr>
            <w:tcW w:w="5121" w:type="dxa"/>
          </w:tcPr>
          <w:p w:rsidR="0054611A" w:rsidRPr="0054611A" w:rsidRDefault="0054611A" w:rsidP="0054611A">
            <w:pPr>
              <w:pStyle w:val="DoNotTranslateExternal1"/>
            </w:pPr>
            <w:r>
              <w:t>Caminho-de-ferro</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Railways</w:t>
            </w:r>
          </w:p>
        </w:tc>
      </w:tr>
      <w:tr w:rsidR="0054611A" w:rsidRPr="0054611A" w:rsidTr="0054611A">
        <w:tc>
          <w:tcPr>
            <w:tcW w:w="5121" w:type="dxa"/>
          </w:tcPr>
          <w:p w:rsidR="0054611A" w:rsidRPr="0054611A" w:rsidRDefault="0054611A" w:rsidP="0054611A">
            <w:pPr>
              <w:pStyle w:val="DoNotTranslateExternal1"/>
            </w:pPr>
            <w:r>
              <w:t>Transporte por Cabo</w:t>
            </w:r>
          </w:p>
        </w:tc>
        <w:tc>
          <w:tcPr>
            <w:tcW w:w="4508" w:type="dxa"/>
          </w:tcPr>
          <w:p w:rsidR="0054611A" w:rsidRPr="0054611A" w:rsidRDefault="0054611A" w:rsidP="0054611A">
            <w:pPr>
              <w:rPr>
                <w:rFonts w:ascii="Arial" w:hAnsi="Arial" w:cs="Arial"/>
                <w:sz w:val="18"/>
                <w:szCs w:val="18"/>
              </w:rPr>
            </w:pPr>
            <w:r>
              <w:rPr>
                <w:rFonts w:ascii="Arial" w:hAnsi="Arial"/>
                <w:sz w:val="18"/>
              </w:rPr>
              <w:t>Cable Transport</w:t>
            </w:r>
          </w:p>
        </w:tc>
      </w:tr>
      <w:tr w:rsidR="0054611A" w:rsidRPr="0054611A" w:rsidTr="0054611A">
        <w:tc>
          <w:tcPr>
            <w:tcW w:w="5121" w:type="dxa"/>
          </w:tcPr>
          <w:p w:rsidR="0054611A" w:rsidRPr="0054611A" w:rsidRDefault="0054611A" w:rsidP="0054611A">
            <w:pPr>
              <w:pStyle w:val="DoNotTranslateExternal1"/>
            </w:pPr>
            <w:r>
              <w:t>Metros</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Metros</w:t>
            </w:r>
          </w:p>
        </w:tc>
      </w:tr>
      <w:tr w:rsidR="0054611A" w:rsidRPr="0054611A" w:rsidTr="0054611A">
        <w:tc>
          <w:tcPr>
            <w:tcW w:w="5121" w:type="dxa"/>
          </w:tcPr>
          <w:p w:rsidR="0054611A" w:rsidRPr="0054611A" w:rsidRDefault="0054611A" w:rsidP="0054611A">
            <w:pPr>
              <w:pStyle w:val="DoNotTranslateExternal1"/>
            </w:pPr>
            <w:r>
              <w:t>Gestor da Infraestrutura</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Infrastructure manager</w:t>
            </w:r>
          </w:p>
        </w:tc>
      </w:tr>
      <w:tr w:rsidR="0054611A" w:rsidRPr="0054611A" w:rsidTr="0054611A">
        <w:tc>
          <w:tcPr>
            <w:tcW w:w="5121" w:type="dxa"/>
          </w:tcPr>
          <w:p w:rsidR="0054611A" w:rsidRPr="0054611A" w:rsidRDefault="0054611A" w:rsidP="0054611A">
            <w:pPr>
              <w:pStyle w:val="DoNotTranslateExternal1"/>
            </w:pPr>
            <w:r>
              <w:t>Funiculares</w:t>
            </w:r>
          </w:p>
        </w:tc>
        <w:tc>
          <w:tcPr>
            <w:tcW w:w="4508" w:type="dxa"/>
          </w:tcPr>
          <w:p w:rsidR="0054611A" w:rsidRPr="0054611A" w:rsidRDefault="0054611A" w:rsidP="0054611A">
            <w:pPr>
              <w:rPr>
                <w:rFonts w:ascii="Arial" w:hAnsi="Arial" w:cs="Arial"/>
                <w:sz w:val="18"/>
                <w:szCs w:val="18"/>
              </w:rPr>
            </w:pPr>
            <w:r>
              <w:rPr>
                <w:rFonts w:ascii="Arial" w:hAnsi="Arial"/>
                <w:sz w:val="18"/>
              </w:rPr>
              <w:t>Funicular Railways</w:t>
            </w:r>
          </w:p>
        </w:tc>
      </w:tr>
      <w:tr w:rsidR="0054611A" w:rsidRPr="0054611A" w:rsidTr="0054611A">
        <w:tc>
          <w:tcPr>
            <w:tcW w:w="5121" w:type="dxa"/>
          </w:tcPr>
          <w:p w:rsidR="0054611A" w:rsidRPr="0054611A" w:rsidRDefault="0054611A" w:rsidP="0054611A">
            <w:pPr>
              <w:pStyle w:val="DoNotTranslateExternal1"/>
            </w:pPr>
            <w:r>
              <w:t>Metros Ligeiros</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Light Metros</w:t>
            </w:r>
          </w:p>
        </w:tc>
      </w:tr>
      <w:tr w:rsidR="0054611A" w:rsidRPr="0054611A" w:rsidTr="0054611A">
        <w:tc>
          <w:tcPr>
            <w:tcW w:w="5121" w:type="dxa"/>
          </w:tcPr>
          <w:p w:rsidR="0054611A" w:rsidRPr="0054611A" w:rsidRDefault="0054611A" w:rsidP="0054611A">
            <w:pPr>
              <w:pStyle w:val="DoNotTranslateExternal1"/>
            </w:pPr>
            <w:r>
              <w:t>Operadores</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Operators</w:t>
            </w:r>
          </w:p>
        </w:tc>
      </w:tr>
      <w:tr w:rsidR="0054611A" w:rsidRPr="0054611A" w:rsidTr="0054611A">
        <w:tc>
          <w:tcPr>
            <w:tcW w:w="5121" w:type="dxa"/>
          </w:tcPr>
          <w:p w:rsidR="0054611A" w:rsidRPr="0054611A" w:rsidRDefault="0054611A" w:rsidP="0054611A">
            <w:pPr>
              <w:pStyle w:val="DoNotTranslateExternal1"/>
            </w:pPr>
            <w:r>
              <w:t>Teleféricos e telecadeiras</w:t>
            </w:r>
          </w:p>
        </w:tc>
        <w:tc>
          <w:tcPr>
            <w:tcW w:w="4508" w:type="dxa"/>
          </w:tcPr>
          <w:p w:rsidR="0054611A" w:rsidRPr="0054611A" w:rsidRDefault="0054611A" w:rsidP="0054611A">
            <w:pPr>
              <w:rPr>
                <w:rFonts w:ascii="Arial" w:hAnsi="Arial" w:cs="Arial"/>
                <w:sz w:val="18"/>
                <w:szCs w:val="18"/>
              </w:rPr>
            </w:pPr>
            <w:r>
              <w:rPr>
                <w:rFonts w:ascii="Arial" w:hAnsi="Arial"/>
                <w:sz w:val="18"/>
              </w:rPr>
              <w:t>Cable cars and chairlifts</w:t>
            </w:r>
          </w:p>
        </w:tc>
      </w:tr>
      <w:tr w:rsidR="0054611A" w:rsidRPr="0054611A" w:rsidTr="0054611A">
        <w:tc>
          <w:tcPr>
            <w:tcW w:w="5121" w:type="dxa"/>
          </w:tcPr>
          <w:p w:rsidR="0054611A" w:rsidRPr="0054611A" w:rsidRDefault="0054611A" w:rsidP="0054611A">
            <w:pPr>
              <w:pStyle w:val="DoNotTranslateExternal1"/>
            </w:pPr>
            <w:r>
              <w:t>Mini comboios</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Mini-trains</w:t>
            </w:r>
          </w:p>
        </w:tc>
      </w:tr>
      <w:tr w:rsidR="0054611A" w:rsidRPr="0054611A" w:rsidTr="0054611A">
        <w:tc>
          <w:tcPr>
            <w:tcW w:w="5121" w:type="dxa"/>
          </w:tcPr>
          <w:p w:rsidR="0054611A" w:rsidRPr="0054611A" w:rsidRDefault="0054611A" w:rsidP="0054611A">
            <w:pPr>
              <w:pStyle w:val="DoNotTranslateExternal1"/>
            </w:pPr>
            <w:r>
              <w:t>Empreiteiros</w:t>
            </w:r>
          </w:p>
        </w:tc>
        <w:tc>
          <w:tcPr>
            <w:tcW w:w="4508" w:type="dxa"/>
          </w:tcPr>
          <w:p w:rsidR="0054611A" w:rsidRPr="0054611A" w:rsidRDefault="0054611A" w:rsidP="0054611A">
            <w:pPr>
              <w:rPr>
                <w:rFonts w:ascii="Arial" w:eastAsia="Arial" w:hAnsi="Arial" w:cs="Arial"/>
                <w:sz w:val="18"/>
                <w:szCs w:val="18"/>
              </w:rPr>
            </w:pPr>
            <w:r>
              <w:rPr>
                <w:rFonts w:ascii="Arial" w:hAnsi="Arial"/>
                <w:sz w:val="18"/>
              </w:rPr>
              <w:t>Contractors</w:t>
            </w:r>
          </w:p>
        </w:tc>
      </w:tr>
      <w:tr w:rsidR="0054611A" w:rsidRPr="0054611A" w:rsidTr="0054611A">
        <w:tc>
          <w:tcPr>
            <w:tcW w:w="5121" w:type="dxa"/>
          </w:tcPr>
          <w:p w:rsidR="0054611A" w:rsidRPr="0054611A" w:rsidRDefault="0054611A" w:rsidP="0054611A">
            <w:pPr>
              <w:pStyle w:val="DoNotTranslateExternal1"/>
            </w:pPr>
            <w:r>
              <w:t>Teleskis</w:t>
            </w:r>
          </w:p>
        </w:tc>
        <w:tc>
          <w:tcPr>
            <w:tcW w:w="4508" w:type="dxa"/>
          </w:tcPr>
          <w:p w:rsidR="0054611A" w:rsidRPr="0054611A" w:rsidRDefault="0054611A" w:rsidP="0054611A">
            <w:pPr>
              <w:rPr>
                <w:rFonts w:ascii="Arial" w:hAnsi="Arial" w:cs="Arial"/>
                <w:sz w:val="18"/>
                <w:szCs w:val="18"/>
              </w:rPr>
            </w:pPr>
            <w:r>
              <w:rPr>
                <w:rFonts w:ascii="Arial" w:hAnsi="Arial"/>
                <w:sz w:val="18"/>
              </w:rPr>
              <w:t>Draglifts</w:t>
            </w:r>
          </w:p>
        </w:tc>
      </w:tr>
      <w:tr w:rsidR="0054611A" w:rsidRPr="0054611A" w:rsidTr="0054611A">
        <w:tc>
          <w:tcPr>
            <w:tcW w:w="5121" w:type="dxa"/>
          </w:tcPr>
          <w:p w:rsidR="0054611A" w:rsidRPr="0054611A" w:rsidRDefault="0054611A" w:rsidP="0054611A">
            <w:pPr>
              <w:pStyle w:val="DoNotTranslateExternal1"/>
            </w:pPr>
            <w:r>
              <w:t>Oficinas de manutenção</w:t>
            </w:r>
          </w:p>
        </w:tc>
        <w:tc>
          <w:tcPr>
            <w:tcW w:w="4508" w:type="dxa"/>
          </w:tcPr>
          <w:p w:rsidR="0054611A" w:rsidRPr="0054611A" w:rsidRDefault="0054611A" w:rsidP="0054611A">
            <w:r>
              <w:rPr>
                <w:rFonts w:ascii="Arial" w:hAnsi="Arial"/>
                <w:sz w:val="18"/>
              </w:rPr>
              <w:t>Maintenance workshops</w:t>
            </w:r>
          </w:p>
        </w:tc>
      </w:tr>
    </w:tbl>
    <w:p w:rsidR="0054611A" w:rsidRDefault="0054611A">
      <w:r>
        <w:br w:type="page"/>
      </w:r>
    </w:p>
    <w:p w:rsidR="006F3ED5" w:rsidRPr="006A2FC1" w:rsidRDefault="00B65BEC" w:rsidP="00B01ABB">
      <w:pPr>
        <w:pStyle w:val="ANNEXE"/>
      </w:pPr>
      <w:bookmarkStart w:id="85" w:name="_Toc435689608"/>
      <w:bookmarkStart w:id="86" w:name="_Toc442177374"/>
      <w:r>
        <w:lastRenderedPageBreak/>
        <w:t>COMMON SAFETY INDICATORS 2014</w:t>
      </w:r>
      <w:bookmarkEnd w:id="85"/>
      <w:bookmarkEnd w:id="86"/>
    </w:p>
    <w:p w:rsidR="006F3ED5" w:rsidRPr="006A2FC1" w:rsidRDefault="006F3ED5">
      <w:pPr>
        <w:spacing w:line="200" w:lineRule="exact"/>
      </w:pPr>
    </w:p>
    <w:tbl>
      <w:tblPr>
        <w:tblW w:w="0" w:type="auto"/>
        <w:tblInd w:w="111" w:type="dxa"/>
        <w:tblLayout w:type="fixed"/>
        <w:tblCellMar>
          <w:left w:w="0" w:type="dxa"/>
          <w:right w:w="0" w:type="dxa"/>
        </w:tblCellMar>
        <w:tblLook w:val="01E0" w:firstRow="1" w:lastRow="1" w:firstColumn="1" w:lastColumn="1" w:noHBand="0" w:noVBand="0"/>
      </w:tblPr>
      <w:tblGrid>
        <w:gridCol w:w="6242"/>
        <w:gridCol w:w="1700"/>
        <w:gridCol w:w="1705"/>
      </w:tblGrid>
      <w:tr w:rsidR="006F3ED5" w:rsidRPr="00B63285" w:rsidTr="00B01ABB">
        <w:trPr>
          <w:trHeight w:val="20"/>
        </w:trPr>
        <w:tc>
          <w:tcPr>
            <w:tcW w:w="9647"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8"/>
              <w:rPr>
                <w:rFonts w:ascii="Arial" w:eastAsia="Arial" w:hAnsi="Arial" w:cs="Arial"/>
                <w:sz w:val="18"/>
                <w:szCs w:val="18"/>
              </w:rPr>
            </w:pPr>
            <w:r>
              <w:rPr>
                <w:rFonts w:ascii="Arial" w:hAnsi="Arial"/>
                <w:b/>
                <w:sz w:val="18"/>
              </w:rPr>
              <w:t>1.1a. Number of significant accidents and breakdown by type</w:t>
            </w:r>
          </w:p>
        </w:tc>
      </w:tr>
      <w:tr w:rsidR="006F3ED5" w:rsidRPr="006A2FC1" w:rsidTr="00B01ABB">
        <w:trPr>
          <w:trHeight w:val="20"/>
        </w:trPr>
        <w:tc>
          <w:tcPr>
            <w:tcW w:w="6242"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75"/>
              <w:ind w:left="28"/>
              <w:rPr>
                <w:rFonts w:ascii="Arial" w:eastAsia="Arial" w:hAnsi="Arial" w:cs="Arial"/>
                <w:sz w:val="18"/>
                <w:szCs w:val="18"/>
              </w:rPr>
            </w:pPr>
            <w:r>
              <w:rPr>
                <w:rFonts w:ascii="Arial" w:hAnsi="Arial"/>
                <w:sz w:val="18"/>
              </w:rPr>
              <w:t>Total for all accidents</w:t>
            </w:r>
          </w:p>
        </w:tc>
        <w:tc>
          <w:tcPr>
            <w:tcW w:w="170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50</w:t>
            </w:r>
          </w:p>
        </w:tc>
        <w:tc>
          <w:tcPr>
            <w:tcW w:w="1705"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1,37</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6" w:line="200" w:lineRule="exact"/>
              <w:ind w:left="28" w:right="333"/>
              <w:rPr>
                <w:rFonts w:ascii="Arial" w:eastAsia="Arial" w:hAnsi="Arial" w:cs="Arial"/>
                <w:sz w:val="18"/>
                <w:szCs w:val="18"/>
              </w:rPr>
            </w:pPr>
            <w:r>
              <w:rPr>
                <w:rFonts w:ascii="Arial" w:hAnsi="Arial"/>
                <w:sz w:val="18"/>
              </w:rPr>
              <w:t>Train collisions, including collisions with obstacles within the clearance gauge</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6F3ED5" w:rsidP="00B01ABB">
            <w:pPr>
              <w:pStyle w:val="DoNotTranslateExternal3"/>
              <w:rPr>
                <w:sz w:val="10"/>
                <w:szCs w:val="10"/>
              </w:rPr>
            </w:pPr>
          </w:p>
          <w:p w:rsidR="006F3ED5" w:rsidRPr="006A2FC1" w:rsidRDefault="00B65BEC" w:rsidP="00B01ABB">
            <w:pPr>
              <w:pStyle w:val="DoNotTranslateExternal3"/>
            </w:pPr>
            <w:r>
              <w:t>7</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0,19</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1"/>
              <w:ind w:left="263"/>
              <w:rPr>
                <w:rFonts w:ascii="Arial" w:eastAsia="Arial" w:hAnsi="Arial" w:cs="Arial"/>
                <w:sz w:val="18"/>
                <w:szCs w:val="18"/>
              </w:rPr>
            </w:pPr>
            <w:r>
              <w:rPr>
                <w:rFonts w:ascii="Arial" w:hAnsi="Arial"/>
                <w:sz w:val="18"/>
              </w:rPr>
              <w:t>Number of train collisions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63"/>
              <w:rPr>
                <w:rFonts w:ascii="Arial" w:eastAsia="Arial" w:hAnsi="Arial" w:cs="Arial"/>
                <w:sz w:val="18"/>
                <w:szCs w:val="18"/>
              </w:rPr>
            </w:pPr>
            <w:r>
              <w:rPr>
                <w:rFonts w:ascii="Arial" w:hAnsi="Arial"/>
                <w:sz w:val="18"/>
              </w:rPr>
              <w:t>Number of collisions against obstacles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7</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0,19</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55"/>
              <w:ind w:left="28"/>
              <w:rPr>
                <w:rFonts w:ascii="Arial" w:eastAsia="Arial" w:hAnsi="Arial" w:cs="Arial"/>
                <w:sz w:val="18"/>
                <w:szCs w:val="18"/>
              </w:rPr>
            </w:pPr>
            <w:r>
              <w:rPr>
                <w:rFonts w:ascii="Arial" w:hAnsi="Arial"/>
                <w:sz w:val="18"/>
              </w:rPr>
              <w:t>Derailments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3</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0,08</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8"/>
              <w:rPr>
                <w:rFonts w:ascii="Arial" w:eastAsia="Arial" w:hAnsi="Arial" w:cs="Arial"/>
                <w:sz w:val="18"/>
                <w:szCs w:val="18"/>
              </w:rPr>
            </w:pPr>
            <w:r>
              <w:rPr>
                <w:rFonts w:ascii="Arial" w:hAnsi="Arial"/>
                <w:sz w:val="18"/>
              </w:rPr>
              <w:t>Accidents at LCs, including those involving pedestrians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9</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0,25</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6" w:line="200" w:lineRule="exact"/>
              <w:ind w:left="28" w:right="858"/>
              <w:rPr>
                <w:rFonts w:ascii="Arial" w:eastAsia="Arial" w:hAnsi="Arial" w:cs="Arial"/>
                <w:sz w:val="18"/>
                <w:szCs w:val="18"/>
              </w:rPr>
            </w:pPr>
            <w:r>
              <w:rPr>
                <w:rFonts w:ascii="Arial" w:hAnsi="Arial"/>
                <w:sz w:val="18"/>
              </w:rPr>
              <w:t>Accidents to persons caused by rolling stock in motion, excluding suicides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6F3ED5" w:rsidP="00B01ABB">
            <w:pPr>
              <w:pStyle w:val="DoNotTranslateExternal3"/>
              <w:rPr>
                <w:sz w:val="10"/>
                <w:szCs w:val="10"/>
              </w:rPr>
            </w:pPr>
          </w:p>
          <w:p w:rsidR="006F3ED5" w:rsidRPr="006A2FC1" w:rsidRDefault="00B65BEC" w:rsidP="00B01ABB">
            <w:pPr>
              <w:pStyle w:val="DoNotTranslateExternal3"/>
            </w:pPr>
            <w:r>
              <w:t>31</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0,85</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3"/>
              <w:ind w:left="28"/>
              <w:rPr>
                <w:rFonts w:ascii="Arial" w:eastAsia="Arial" w:hAnsi="Arial" w:cs="Arial"/>
                <w:sz w:val="18"/>
                <w:szCs w:val="18"/>
              </w:rPr>
            </w:pPr>
            <w:r>
              <w:rPr>
                <w:rFonts w:ascii="Arial" w:hAnsi="Arial"/>
                <w:sz w:val="18"/>
              </w:rPr>
              <w:t>Fires on rolling stock</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Other accidents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6F3ED5" w:rsidRPr="006A2FC1" w:rsidRDefault="006F3ED5">
      <w:pPr>
        <w:spacing w:line="200" w:lineRule="exact"/>
      </w:pPr>
    </w:p>
    <w:tbl>
      <w:tblPr>
        <w:tblW w:w="0" w:type="auto"/>
        <w:tblInd w:w="111" w:type="dxa"/>
        <w:tblLayout w:type="fixed"/>
        <w:tblCellMar>
          <w:left w:w="0" w:type="dxa"/>
          <w:right w:w="0" w:type="dxa"/>
        </w:tblCellMar>
        <w:tblLook w:val="01E0" w:firstRow="1" w:lastRow="1" w:firstColumn="1" w:lastColumn="1" w:noHBand="0" w:noVBand="0"/>
      </w:tblPr>
      <w:tblGrid>
        <w:gridCol w:w="6242"/>
        <w:gridCol w:w="1700"/>
        <w:gridCol w:w="1705"/>
      </w:tblGrid>
      <w:tr w:rsidR="006F3ED5" w:rsidRPr="006A2FC1" w:rsidTr="00B01ABB">
        <w:trPr>
          <w:trHeight w:val="20"/>
        </w:trPr>
        <w:tc>
          <w:tcPr>
            <w:tcW w:w="9647"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8"/>
              <w:rPr>
                <w:rFonts w:ascii="Arial" w:eastAsia="Arial" w:hAnsi="Arial" w:cs="Arial"/>
                <w:sz w:val="18"/>
                <w:szCs w:val="18"/>
              </w:rPr>
            </w:pPr>
            <w:r>
              <w:rPr>
                <w:rFonts w:ascii="Arial" w:hAnsi="Arial"/>
                <w:b/>
                <w:sz w:val="18"/>
              </w:rPr>
              <w:t>1.2a. Number of suicides</w:t>
            </w:r>
          </w:p>
        </w:tc>
      </w:tr>
      <w:tr w:rsidR="006F3ED5" w:rsidRPr="006A2FC1" w:rsidTr="00B01ABB">
        <w:trPr>
          <w:trHeight w:val="20"/>
        </w:trPr>
        <w:tc>
          <w:tcPr>
            <w:tcW w:w="6242"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15"/>
              <w:ind w:left="28"/>
              <w:rPr>
                <w:rFonts w:ascii="Arial" w:eastAsia="Arial" w:hAnsi="Arial" w:cs="Arial"/>
                <w:sz w:val="18"/>
                <w:szCs w:val="18"/>
              </w:rPr>
            </w:pPr>
            <w:r>
              <w:rPr>
                <w:rFonts w:ascii="Arial" w:hAnsi="Arial"/>
                <w:sz w:val="18"/>
              </w:rPr>
              <w:t>Total suicides</w:t>
            </w:r>
          </w:p>
        </w:tc>
        <w:tc>
          <w:tcPr>
            <w:tcW w:w="170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44</w:t>
            </w:r>
          </w:p>
        </w:tc>
        <w:tc>
          <w:tcPr>
            <w:tcW w:w="1705"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15"/>
              <w:ind w:left="637" w:right="633"/>
              <w:jc w:val="center"/>
              <w:rPr>
                <w:rFonts w:ascii="Arial" w:eastAsia="Arial" w:hAnsi="Arial" w:cs="Arial"/>
                <w:sz w:val="18"/>
                <w:szCs w:val="18"/>
              </w:rPr>
            </w:pPr>
            <w:r>
              <w:rPr>
                <w:rFonts w:ascii="Arial" w:hAnsi="Arial"/>
                <w:b/>
                <w:i/>
                <w:sz w:val="18"/>
              </w:rPr>
              <w:t>1.21</w:t>
            </w:r>
          </w:p>
        </w:tc>
      </w:tr>
    </w:tbl>
    <w:p w:rsidR="006F3ED5" w:rsidRPr="006A2FC1" w:rsidRDefault="006F3ED5">
      <w:pPr>
        <w:spacing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6233"/>
        <w:gridCol w:w="1710"/>
        <w:gridCol w:w="1714"/>
      </w:tblGrid>
      <w:tr w:rsidR="006F3ED5" w:rsidRPr="00B63285" w:rsidTr="00B01ABB">
        <w:trPr>
          <w:trHeight w:val="20"/>
        </w:trPr>
        <w:tc>
          <w:tcPr>
            <w:tcW w:w="9657"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1.3a. Number of accidents involving the transportation of dangerous goods</w:t>
            </w:r>
          </w:p>
        </w:tc>
      </w:tr>
      <w:tr w:rsidR="006F3ED5" w:rsidRPr="006A2FC1" w:rsidTr="00B01ABB">
        <w:trPr>
          <w:trHeight w:val="20"/>
        </w:trPr>
        <w:tc>
          <w:tcPr>
            <w:tcW w:w="6233"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22" w:line="200" w:lineRule="exact"/>
              <w:ind w:left="23" w:right="180"/>
              <w:rPr>
                <w:rFonts w:ascii="Arial" w:eastAsia="Arial" w:hAnsi="Arial" w:cs="Arial"/>
                <w:sz w:val="18"/>
                <w:szCs w:val="18"/>
              </w:rPr>
            </w:pPr>
            <w:r>
              <w:rPr>
                <w:rFonts w:ascii="Arial" w:hAnsi="Arial"/>
                <w:sz w:val="18"/>
              </w:rPr>
              <w:t>Total accidents involving at least one vehicle carrying dangerous goods</w:t>
            </w:r>
          </w:p>
        </w:tc>
        <w:tc>
          <w:tcPr>
            <w:tcW w:w="171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rPr>
                <w:i/>
              </w:rPr>
              <w:t>3</w:t>
            </w:r>
          </w:p>
        </w:tc>
        <w:tc>
          <w:tcPr>
            <w:tcW w:w="1714"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6F3ED5">
            <w:pPr>
              <w:spacing w:before="9" w:line="100" w:lineRule="exact"/>
              <w:rPr>
                <w:sz w:val="11"/>
                <w:szCs w:val="11"/>
              </w:rPr>
            </w:pPr>
          </w:p>
          <w:p w:rsidR="006F3ED5" w:rsidRPr="006A2FC1" w:rsidRDefault="00B65BEC">
            <w:pPr>
              <w:ind w:left="635" w:right="630"/>
              <w:jc w:val="center"/>
              <w:rPr>
                <w:rFonts w:ascii="Arial" w:eastAsia="Arial" w:hAnsi="Arial" w:cs="Arial"/>
                <w:sz w:val="18"/>
                <w:szCs w:val="18"/>
              </w:rPr>
            </w:pPr>
            <w:r>
              <w:rPr>
                <w:rFonts w:ascii="Arial" w:hAnsi="Arial"/>
                <w:b/>
                <w:i/>
                <w:sz w:val="18"/>
              </w:rPr>
              <w:t>0.08</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6" w:line="200" w:lineRule="exact"/>
              <w:ind w:left="23" w:right="320"/>
              <w:rPr>
                <w:rFonts w:ascii="Arial" w:eastAsia="Arial" w:hAnsi="Arial" w:cs="Arial"/>
                <w:sz w:val="18"/>
                <w:szCs w:val="18"/>
              </w:rPr>
            </w:pPr>
            <w:r>
              <w:rPr>
                <w:rFonts w:ascii="Arial" w:hAnsi="Arial"/>
                <w:sz w:val="18"/>
              </w:rPr>
              <w:t>Number of accidents involving at least one vehicle carrying dangerous goods in which the goods were not released</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rPr>
                <w:i/>
              </w:rPr>
              <w:t>2</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6F3ED5">
            <w:pPr>
              <w:spacing w:before="4" w:line="100" w:lineRule="exact"/>
              <w:rPr>
                <w:sz w:val="10"/>
                <w:szCs w:val="10"/>
              </w:rPr>
            </w:pPr>
          </w:p>
          <w:p w:rsidR="006F3ED5" w:rsidRPr="006A2FC1" w:rsidRDefault="00B65BEC">
            <w:pPr>
              <w:ind w:left="635" w:right="630"/>
              <w:jc w:val="center"/>
              <w:rPr>
                <w:rFonts w:ascii="Arial" w:eastAsia="Arial" w:hAnsi="Arial" w:cs="Arial"/>
                <w:sz w:val="18"/>
                <w:szCs w:val="18"/>
              </w:rPr>
            </w:pPr>
            <w:r>
              <w:rPr>
                <w:rFonts w:ascii="Arial" w:hAnsi="Arial"/>
                <w:b/>
                <w:i/>
                <w:sz w:val="18"/>
              </w:rPr>
              <w:t>0.05</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Number of accidents which caused the release of dangerous goods</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rPr>
                <w:i/>
              </w:rPr>
              <w:t>1</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642" w:right="637"/>
              <w:jc w:val="center"/>
              <w:rPr>
                <w:rFonts w:ascii="Arial" w:eastAsia="Arial" w:hAnsi="Arial" w:cs="Arial"/>
                <w:sz w:val="18"/>
                <w:szCs w:val="18"/>
              </w:rPr>
            </w:pPr>
            <w:r>
              <w:rPr>
                <w:rFonts w:ascii="Arial" w:hAnsi="Arial"/>
                <w:b/>
                <w:i/>
                <w:sz w:val="18"/>
              </w:rPr>
              <w:t>0.03</w:t>
            </w:r>
          </w:p>
        </w:tc>
      </w:tr>
    </w:tbl>
    <w:p w:rsidR="006F3ED5" w:rsidRPr="006A2FC1" w:rsidRDefault="006F3ED5">
      <w:pPr>
        <w:spacing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6233"/>
        <w:gridCol w:w="1710"/>
        <w:gridCol w:w="1714"/>
      </w:tblGrid>
      <w:tr w:rsidR="006F3ED5" w:rsidRPr="00B63285" w:rsidTr="00B01ABB">
        <w:trPr>
          <w:trHeight w:val="20"/>
        </w:trPr>
        <w:tc>
          <w:tcPr>
            <w:tcW w:w="9657"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2.1a. Total number of serious injuries by type of accident, divided into the following categories</w:t>
            </w:r>
          </w:p>
        </w:tc>
      </w:tr>
      <w:tr w:rsidR="006F3ED5" w:rsidRPr="006A2FC1" w:rsidTr="00B01ABB">
        <w:trPr>
          <w:trHeight w:val="20"/>
        </w:trPr>
        <w:tc>
          <w:tcPr>
            <w:tcW w:w="6233"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3"/>
              <w:ind w:left="23"/>
              <w:rPr>
                <w:rFonts w:ascii="Arial" w:eastAsia="Arial" w:hAnsi="Arial" w:cs="Arial"/>
                <w:sz w:val="18"/>
                <w:szCs w:val="18"/>
              </w:rPr>
            </w:pPr>
            <w:r>
              <w:rPr>
                <w:rFonts w:ascii="Arial" w:hAnsi="Arial"/>
                <w:sz w:val="18"/>
              </w:rPr>
              <w:t>Total for all accidents</w:t>
            </w:r>
          </w:p>
        </w:tc>
        <w:tc>
          <w:tcPr>
            <w:tcW w:w="171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21</w:t>
            </w:r>
          </w:p>
        </w:tc>
        <w:tc>
          <w:tcPr>
            <w:tcW w:w="1714"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39"/>
              <w:ind w:left="640" w:right="635"/>
              <w:jc w:val="center"/>
              <w:rPr>
                <w:rFonts w:ascii="Arial" w:eastAsia="Arial" w:hAnsi="Arial" w:cs="Arial"/>
                <w:sz w:val="18"/>
                <w:szCs w:val="18"/>
              </w:rPr>
            </w:pPr>
            <w:r>
              <w:rPr>
                <w:rFonts w:ascii="Arial" w:hAnsi="Arial"/>
                <w:b/>
                <w:i/>
                <w:sz w:val="18"/>
              </w:rPr>
              <w:t>0.58</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83" w:line="200" w:lineRule="exact"/>
              <w:ind w:left="23" w:right="502"/>
              <w:rPr>
                <w:rFonts w:ascii="Arial" w:eastAsia="Arial" w:hAnsi="Arial" w:cs="Arial"/>
                <w:sz w:val="18"/>
                <w:szCs w:val="18"/>
              </w:rPr>
            </w:pPr>
            <w:r>
              <w:rPr>
                <w:rFonts w:ascii="Arial" w:hAnsi="Arial"/>
                <w:sz w:val="18"/>
              </w:rPr>
              <w:t>Train collisions, including collisions with obstacles within the clearance gauge</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Derailments</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Accidents at LCs, including those involving pedestrians</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5</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642" w:right="637"/>
              <w:jc w:val="center"/>
              <w:rPr>
                <w:rFonts w:ascii="Arial" w:eastAsia="Arial" w:hAnsi="Arial" w:cs="Arial"/>
                <w:sz w:val="18"/>
                <w:szCs w:val="18"/>
              </w:rPr>
            </w:pPr>
            <w:r>
              <w:rPr>
                <w:rFonts w:ascii="Arial" w:hAnsi="Arial"/>
                <w:b/>
                <w:i/>
                <w:sz w:val="18"/>
              </w:rPr>
              <w:t>0.14</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line="200" w:lineRule="exact"/>
              <w:ind w:left="23" w:right="49"/>
              <w:rPr>
                <w:rFonts w:ascii="Arial" w:eastAsia="Arial" w:hAnsi="Arial" w:cs="Arial"/>
                <w:sz w:val="18"/>
                <w:szCs w:val="18"/>
              </w:rPr>
            </w:pPr>
            <w:r>
              <w:rPr>
                <w:rFonts w:ascii="Arial" w:hAnsi="Arial"/>
                <w:sz w:val="18"/>
              </w:rPr>
              <w:t>Accidents between persons and rolling stock in motion, excluding suicides</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16</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6F3ED5">
            <w:pPr>
              <w:spacing w:before="4" w:line="100" w:lineRule="exact"/>
              <w:rPr>
                <w:sz w:val="10"/>
                <w:szCs w:val="10"/>
              </w:rPr>
            </w:pPr>
          </w:p>
          <w:p w:rsidR="006F3ED5" w:rsidRPr="006A2FC1" w:rsidRDefault="00B65BEC">
            <w:pPr>
              <w:ind w:left="635" w:right="629"/>
              <w:jc w:val="center"/>
              <w:rPr>
                <w:rFonts w:ascii="Arial" w:eastAsia="Arial" w:hAnsi="Arial" w:cs="Arial"/>
                <w:sz w:val="18"/>
                <w:szCs w:val="18"/>
              </w:rPr>
            </w:pPr>
            <w:r>
              <w:rPr>
                <w:rFonts w:ascii="Arial" w:hAnsi="Arial"/>
                <w:b/>
                <w:i/>
                <w:sz w:val="18"/>
              </w:rPr>
              <w:t>0.44</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Fires on rolling stock</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Other accidents</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6F3ED5" w:rsidRPr="006A2FC1" w:rsidRDefault="006F3ED5">
      <w:pPr>
        <w:spacing w:line="200" w:lineRule="exact"/>
      </w:pPr>
    </w:p>
    <w:tbl>
      <w:tblPr>
        <w:tblW w:w="0" w:type="auto"/>
        <w:tblInd w:w="97" w:type="dxa"/>
        <w:tblLayout w:type="fixed"/>
        <w:tblCellMar>
          <w:left w:w="0" w:type="dxa"/>
          <w:right w:w="0" w:type="dxa"/>
        </w:tblCellMar>
        <w:tblLook w:val="01E0" w:firstRow="1" w:lastRow="1" w:firstColumn="1" w:lastColumn="1" w:noHBand="0" w:noVBand="0"/>
      </w:tblPr>
      <w:tblGrid>
        <w:gridCol w:w="6257"/>
        <w:gridCol w:w="1705"/>
        <w:gridCol w:w="1714"/>
      </w:tblGrid>
      <w:tr w:rsidR="006F3ED5" w:rsidRPr="00B63285" w:rsidTr="00B01ABB">
        <w:trPr>
          <w:trHeight w:val="20"/>
        </w:trPr>
        <w:tc>
          <w:tcPr>
            <w:tcW w:w="9676"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2.2a. Total number of passengers with serious injuries by type of accident, divided into the following categories</w:t>
            </w:r>
          </w:p>
        </w:tc>
      </w:tr>
      <w:tr w:rsidR="006F3ED5" w:rsidRPr="006A2FC1" w:rsidTr="00B01ABB">
        <w:trPr>
          <w:trHeight w:val="20"/>
        </w:trPr>
        <w:tc>
          <w:tcPr>
            <w:tcW w:w="6257"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6"/>
              <w:ind w:left="23"/>
              <w:rPr>
                <w:rFonts w:ascii="Arial" w:eastAsia="Arial" w:hAnsi="Arial" w:cs="Arial"/>
                <w:sz w:val="18"/>
                <w:szCs w:val="18"/>
              </w:rPr>
            </w:pPr>
            <w:r>
              <w:rPr>
                <w:rFonts w:ascii="Arial" w:hAnsi="Arial"/>
                <w:sz w:val="18"/>
              </w:rPr>
              <w:t>Total for all accidents</w:t>
            </w:r>
          </w:p>
        </w:tc>
        <w:tc>
          <w:tcPr>
            <w:tcW w:w="1705"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9</w:t>
            </w:r>
          </w:p>
        </w:tc>
        <w:tc>
          <w:tcPr>
            <w:tcW w:w="1714"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42"/>
              <w:ind w:left="640" w:right="635"/>
              <w:jc w:val="center"/>
              <w:rPr>
                <w:rFonts w:ascii="Arial" w:eastAsia="Arial" w:hAnsi="Arial" w:cs="Arial"/>
                <w:sz w:val="18"/>
                <w:szCs w:val="18"/>
              </w:rPr>
            </w:pPr>
            <w:r>
              <w:rPr>
                <w:rFonts w:ascii="Arial" w:hAnsi="Arial"/>
                <w:b/>
                <w:i/>
                <w:sz w:val="18"/>
              </w:rPr>
              <w:t>0.25</w:t>
            </w:r>
          </w:p>
        </w:tc>
      </w:tr>
      <w:tr w:rsidR="006F3ED5" w:rsidRPr="006A2FC1" w:rsidTr="00B01ABB">
        <w:trPr>
          <w:trHeight w:val="20"/>
        </w:trPr>
        <w:tc>
          <w:tcPr>
            <w:tcW w:w="625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79" w:line="200" w:lineRule="exact"/>
              <w:ind w:left="23" w:right="526"/>
              <w:rPr>
                <w:rFonts w:ascii="Arial" w:eastAsia="Arial" w:hAnsi="Arial" w:cs="Arial"/>
                <w:sz w:val="18"/>
                <w:szCs w:val="18"/>
              </w:rPr>
            </w:pPr>
            <w:r>
              <w:rPr>
                <w:rFonts w:ascii="Arial" w:hAnsi="Arial"/>
                <w:sz w:val="18"/>
              </w:rPr>
              <w:t>Train collisions, including collisions with obstacles within the clearance gauge</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5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Derailments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5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Accidents at LCs, including those involving pedestrians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5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6" w:line="200" w:lineRule="exact"/>
              <w:ind w:left="23" w:right="73"/>
              <w:rPr>
                <w:rFonts w:ascii="Arial" w:eastAsia="Arial" w:hAnsi="Arial" w:cs="Arial"/>
                <w:sz w:val="18"/>
                <w:szCs w:val="18"/>
              </w:rPr>
            </w:pPr>
            <w:r>
              <w:rPr>
                <w:rFonts w:ascii="Arial" w:hAnsi="Arial"/>
                <w:sz w:val="18"/>
              </w:rPr>
              <w:t>Accidents between persons and rolling stock in motion, excluding suicides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9</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6F3ED5">
            <w:pPr>
              <w:spacing w:before="4" w:line="100" w:lineRule="exact"/>
              <w:rPr>
                <w:sz w:val="10"/>
                <w:szCs w:val="10"/>
              </w:rPr>
            </w:pPr>
          </w:p>
          <w:p w:rsidR="006F3ED5" w:rsidRPr="006A2FC1" w:rsidRDefault="00B65BEC">
            <w:pPr>
              <w:ind w:left="635" w:right="629"/>
              <w:jc w:val="center"/>
              <w:rPr>
                <w:rFonts w:ascii="Arial" w:eastAsia="Arial" w:hAnsi="Arial" w:cs="Arial"/>
                <w:sz w:val="18"/>
                <w:szCs w:val="18"/>
              </w:rPr>
            </w:pPr>
            <w:r>
              <w:rPr>
                <w:rFonts w:ascii="Arial" w:hAnsi="Arial"/>
                <w:b/>
                <w:i/>
                <w:sz w:val="18"/>
              </w:rPr>
              <w:t>0.25</w:t>
            </w:r>
          </w:p>
        </w:tc>
      </w:tr>
      <w:tr w:rsidR="006F3ED5" w:rsidRPr="006A2FC1" w:rsidTr="00B01ABB">
        <w:trPr>
          <w:trHeight w:val="20"/>
        </w:trPr>
        <w:tc>
          <w:tcPr>
            <w:tcW w:w="625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Fires on rolling stock</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5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55"/>
              <w:ind w:left="23"/>
              <w:rPr>
                <w:rFonts w:ascii="Arial" w:eastAsia="Arial" w:hAnsi="Arial" w:cs="Arial"/>
                <w:sz w:val="18"/>
                <w:szCs w:val="18"/>
              </w:rPr>
            </w:pPr>
            <w:r>
              <w:rPr>
                <w:rFonts w:ascii="Arial" w:hAnsi="Arial"/>
                <w:sz w:val="18"/>
              </w:rPr>
              <w:t>Other accidents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4"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292DF0" w:rsidRDefault="00292DF0">
      <w:pPr>
        <w:spacing w:line="200" w:lineRule="exact"/>
      </w:pPr>
    </w:p>
    <w:p w:rsidR="00292DF0" w:rsidRDefault="00292DF0">
      <w:r>
        <w:br w:type="page"/>
      </w:r>
    </w:p>
    <w:tbl>
      <w:tblPr>
        <w:tblW w:w="9647" w:type="dxa"/>
        <w:tblInd w:w="111" w:type="dxa"/>
        <w:tblLayout w:type="fixed"/>
        <w:tblCellMar>
          <w:left w:w="0" w:type="dxa"/>
          <w:right w:w="0" w:type="dxa"/>
        </w:tblCellMar>
        <w:tblLook w:val="01E0" w:firstRow="1" w:lastRow="1" w:firstColumn="1" w:lastColumn="1" w:noHBand="0" w:noVBand="0"/>
      </w:tblPr>
      <w:tblGrid>
        <w:gridCol w:w="6242"/>
        <w:gridCol w:w="1700"/>
        <w:gridCol w:w="1705"/>
      </w:tblGrid>
      <w:tr w:rsidR="006F3ED5" w:rsidRPr="00B63285" w:rsidTr="00292DF0">
        <w:trPr>
          <w:trHeight w:val="20"/>
        </w:trPr>
        <w:tc>
          <w:tcPr>
            <w:tcW w:w="9647" w:type="dxa"/>
            <w:gridSpan w:val="3"/>
            <w:tcBorders>
              <w:top w:val="single" w:sz="12" w:space="0" w:color="FF9900"/>
              <w:left w:val="single" w:sz="5" w:space="0" w:color="000000"/>
              <w:bottom w:val="single" w:sz="12" w:space="0" w:color="FF9900"/>
              <w:right w:val="single" w:sz="5" w:space="0" w:color="000000"/>
            </w:tcBorders>
            <w:shd w:val="clear" w:color="auto" w:fill="FF9900"/>
          </w:tcPr>
          <w:p w:rsidR="006F3ED5" w:rsidRPr="006A2FC1" w:rsidRDefault="00B65BEC" w:rsidP="00B01ABB">
            <w:pPr>
              <w:spacing w:line="200" w:lineRule="exact"/>
              <w:ind w:left="28"/>
              <w:rPr>
                <w:rFonts w:ascii="Arial" w:eastAsia="Arial" w:hAnsi="Arial" w:cs="Arial"/>
                <w:sz w:val="18"/>
                <w:szCs w:val="18"/>
              </w:rPr>
            </w:pPr>
            <w:r>
              <w:rPr>
                <w:rFonts w:ascii="Arial" w:hAnsi="Arial"/>
                <w:b/>
                <w:sz w:val="18"/>
              </w:rPr>
              <w:lastRenderedPageBreak/>
              <w:t>2.3a. Total number of rail workers, including service providers, with serious injuries by type of accident, divided into the following categories</w:t>
            </w:r>
          </w:p>
        </w:tc>
      </w:tr>
      <w:tr w:rsidR="006F3ED5" w:rsidRPr="006A2FC1" w:rsidTr="00292DF0">
        <w:trPr>
          <w:trHeight w:val="20"/>
        </w:trPr>
        <w:tc>
          <w:tcPr>
            <w:tcW w:w="6242" w:type="dxa"/>
            <w:tcBorders>
              <w:top w:val="single" w:sz="12" w:space="0" w:color="FF99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Total for all accidents</w:t>
            </w:r>
          </w:p>
        </w:tc>
        <w:tc>
          <w:tcPr>
            <w:tcW w:w="1700" w:type="dxa"/>
            <w:tcBorders>
              <w:top w:val="single" w:sz="12"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292DF0">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84" w:line="200" w:lineRule="exact"/>
              <w:ind w:left="28" w:right="510"/>
              <w:rPr>
                <w:rFonts w:ascii="Arial" w:eastAsia="Arial" w:hAnsi="Arial" w:cs="Arial"/>
                <w:sz w:val="18"/>
                <w:szCs w:val="18"/>
              </w:rPr>
            </w:pPr>
            <w:r>
              <w:rPr>
                <w:rFonts w:ascii="Arial" w:hAnsi="Arial"/>
                <w:sz w:val="18"/>
              </w:rPr>
              <w:t>Train collisions, including collisions with obstacles within the clearance gauge</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292DF0">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Derailments</w:t>
            </w:r>
          </w:p>
        </w:tc>
        <w:tc>
          <w:tcPr>
            <w:tcW w:w="1700" w:type="dxa"/>
            <w:tcBorders>
              <w:top w:val="single" w:sz="12" w:space="0" w:color="C2D59A"/>
              <w:left w:val="single" w:sz="5" w:space="0" w:color="000000"/>
              <w:bottom w:val="single" w:sz="13"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3"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292DF0">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8"/>
              <w:rPr>
                <w:rFonts w:ascii="Arial" w:eastAsia="Arial" w:hAnsi="Arial" w:cs="Arial"/>
                <w:sz w:val="18"/>
                <w:szCs w:val="18"/>
              </w:rPr>
            </w:pPr>
            <w:r>
              <w:rPr>
                <w:rFonts w:ascii="Arial" w:hAnsi="Arial"/>
                <w:sz w:val="18"/>
              </w:rPr>
              <w:t>Accidents at LCs, including those involving pedestrians</w:t>
            </w:r>
          </w:p>
        </w:tc>
        <w:tc>
          <w:tcPr>
            <w:tcW w:w="1700" w:type="dxa"/>
            <w:tcBorders>
              <w:top w:val="single" w:sz="13"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3"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292DF0">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7" w:line="244" w:lineRule="auto"/>
              <w:ind w:left="28" w:right="54"/>
              <w:rPr>
                <w:rFonts w:ascii="Arial" w:eastAsia="Arial" w:hAnsi="Arial" w:cs="Arial"/>
                <w:sz w:val="18"/>
                <w:szCs w:val="18"/>
              </w:rPr>
            </w:pPr>
            <w:r>
              <w:rPr>
                <w:rFonts w:ascii="Arial" w:hAnsi="Arial"/>
                <w:sz w:val="18"/>
              </w:rPr>
              <w:t>Accidents between persons and rolling stock in motion, excluding suicides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292DF0">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55"/>
              <w:ind w:left="28"/>
              <w:rPr>
                <w:rFonts w:ascii="Arial" w:eastAsia="Arial" w:hAnsi="Arial" w:cs="Arial"/>
                <w:sz w:val="18"/>
                <w:szCs w:val="18"/>
              </w:rPr>
            </w:pPr>
            <w:r>
              <w:rPr>
                <w:rFonts w:ascii="Arial" w:hAnsi="Arial"/>
                <w:sz w:val="18"/>
              </w:rPr>
              <w:t>Fires on rolling stock</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292DF0">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Other accidents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6F3ED5" w:rsidRPr="006A2FC1" w:rsidRDefault="006F3ED5">
      <w:pPr>
        <w:spacing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6247"/>
        <w:gridCol w:w="1705"/>
        <w:gridCol w:w="1700"/>
      </w:tblGrid>
      <w:tr w:rsidR="006F3ED5" w:rsidRPr="00B63285" w:rsidTr="00B01ABB">
        <w:trPr>
          <w:trHeight w:val="20"/>
        </w:trPr>
        <w:tc>
          <w:tcPr>
            <w:tcW w:w="9652" w:type="dxa"/>
            <w:gridSpan w:val="3"/>
            <w:tcBorders>
              <w:top w:val="single" w:sz="12" w:space="0" w:color="FF9900"/>
              <w:left w:val="single" w:sz="5" w:space="0" w:color="000000"/>
              <w:bottom w:val="single" w:sz="12" w:space="0" w:color="FF9900"/>
              <w:right w:val="single" w:sz="5" w:space="0" w:color="000000"/>
            </w:tcBorders>
            <w:shd w:val="clear" w:color="auto" w:fill="FF9900"/>
          </w:tcPr>
          <w:p w:rsidR="006F3ED5" w:rsidRPr="006A2FC1" w:rsidRDefault="00B65BEC">
            <w:pPr>
              <w:spacing w:before="2" w:line="200" w:lineRule="exact"/>
              <w:ind w:left="28" w:right="76"/>
              <w:rPr>
                <w:rFonts w:ascii="Arial" w:eastAsia="Arial" w:hAnsi="Arial" w:cs="Arial"/>
                <w:sz w:val="18"/>
                <w:szCs w:val="18"/>
              </w:rPr>
            </w:pPr>
            <w:r>
              <w:rPr>
                <w:rFonts w:ascii="Arial" w:hAnsi="Arial"/>
                <w:b/>
                <w:sz w:val="18"/>
              </w:rPr>
              <w:t>2.4a. Total number of LC users with serious injuries by type of accident, divided into the following categories</w:t>
            </w:r>
          </w:p>
        </w:tc>
      </w:tr>
      <w:tr w:rsidR="006F3ED5" w:rsidRPr="006A2FC1" w:rsidTr="00B01ABB">
        <w:trPr>
          <w:trHeight w:val="20"/>
        </w:trPr>
        <w:tc>
          <w:tcPr>
            <w:tcW w:w="6247" w:type="dxa"/>
            <w:tcBorders>
              <w:top w:val="single" w:sz="12" w:space="0" w:color="FF9900"/>
              <w:left w:val="single" w:sz="5" w:space="0" w:color="000000"/>
              <w:bottom w:val="single" w:sz="5" w:space="0" w:color="000000"/>
              <w:right w:val="single" w:sz="5" w:space="0" w:color="000000"/>
            </w:tcBorders>
          </w:tcPr>
          <w:p w:rsidR="006F3ED5" w:rsidRPr="006A2FC1" w:rsidRDefault="00B65BEC">
            <w:pPr>
              <w:spacing w:before="65"/>
              <w:ind w:left="28"/>
              <w:rPr>
                <w:rFonts w:ascii="Arial" w:eastAsia="Arial" w:hAnsi="Arial" w:cs="Arial"/>
                <w:sz w:val="18"/>
                <w:szCs w:val="18"/>
              </w:rPr>
            </w:pPr>
            <w:r>
              <w:rPr>
                <w:rFonts w:ascii="Arial" w:hAnsi="Arial"/>
                <w:sz w:val="18"/>
              </w:rPr>
              <w:t>Total for all accidents</w:t>
            </w:r>
          </w:p>
        </w:tc>
        <w:tc>
          <w:tcPr>
            <w:tcW w:w="1705" w:type="dxa"/>
            <w:tcBorders>
              <w:top w:val="single" w:sz="12"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5</w:t>
            </w:r>
          </w:p>
        </w:tc>
        <w:tc>
          <w:tcPr>
            <w:tcW w:w="1700" w:type="dxa"/>
            <w:tcBorders>
              <w:top w:val="single" w:sz="12"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41"/>
              <w:ind w:left="636" w:right="625"/>
              <w:jc w:val="center"/>
              <w:rPr>
                <w:rFonts w:ascii="Arial" w:eastAsia="Arial" w:hAnsi="Arial" w:cs="Arial"/>
                <w:sz w:val="18"/>
                <w:szCs w:val="18"/>
              </w:rPr>
            </w:pPr>
            <w:r>
              <w:rPr>
                <w:rFonts w:ascii="Arial" w:hAnsi="Arial"/>
                <w:b/>
                <w:i/>
                <w:sz w:val="18"/>
              </w:rPr>
              <w:t>0.14</w:t>
            </w:r>
          </w:p>
        </w:tc>
      </w:tr>
      <w:tr w:rsidR="006F3ED5" w:rsidRPr="006A2FC1" w:rsidTr="00B01ABB">
        <w:trPr>
          <w:trHeight w:val="20"/>
        </w:trPr>
        <w:tc>
          <w:tcPr>
            <w:tcW w:w="624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75" w:line="244" w:lineRule="auto"/>
              <w:ind w:left="28" w:right="515"/>
              <w:rPr>
                <w:rFonts w:ascii="Arial" w:eastAsia="Arial" w:hAnsi="Arial" w:cs="Arial"/>
                <w:sz w:val="18"/>
                <w:szCs w:val="18"/>
              </w:rPr>
            </w:pPr>
            <w:r>
              <w:rPr>
                <w:rFonts w:ascii="Arial" w:hAnsi="Arial"/>
                <w:sz w:val="18"/>
              </w:rPr>
              <w:t>Train collisions, including collisions with obstacles within the clearance gauge</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4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Derailments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4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3"/>
              <w:ind w:left="28"/>
              <w:rPr>
                <w:rFonts w:ascii="Arial" w:eastAsia="Arial" w:hAnsi="Arial" w:cs="Arial"/>
                <w:sz w:val="18"/>
                <w:szCs w:val="18"/>
              </w:rPr>
            </w:pPr>
            <w:r>
              <w:rPr>
                <w:rFonts w:ascii="Arial" w:hAnsi="Arial"/>
                <w:sz w:val="18"/>
              </w:rPr>
              <w:t>Accidents at LCs, including those involving pedestrians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5</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637" w:right="627"/>
              <w:jc w:val="center"/>
              <w:rPr>
                <w:rFonts w:ascii="Arial" w:eastAsia="Arial" w:hAnsi="Arial" w:cs="Arial"/>
                <w:sz w:val="18"/>
                <w:szCs w:val="18"/>
              </w:rPr>
            </w:pPr>
            <w:r>
              <w:rPr>
                <w:rFonts w:ascii="Arial" w:hAnsi="Arial"/>
                <w:b/>
                <w:i/>
                <w:sz w:val="18"/>
              </w:rPr>
              <w:t>0.14</w:t>
            </w:r>
          </w:p>
        </w:tc>
      </w:tr>
      <w:tr w:rsidR="006F3ED5" w:rsidRPr="006A2FC1" w:rsidTr="00B01ABB">
        <w:trPr>
          <w:trHeight w:val="20"/>
        </w:trPr>
        <w:tc>
          <w:tcPr>
            <w:tcW w:w="624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6" w:line="200" w:lineRule="exact"/>
              <w:ind w:left="28" w:right="53"/>
              <w:rPr>
                <w:rFonts w:ascii="Arial" w:eastAsia="Arial" w:hAnsi="Arial" w:cs="Arial"/>
                <w:sz w:val="18"/>
                <w:szCs w:val="18"/>
              </w:rPr>
            </w:pPr>
            <w:r>
              <w:rPr>
                <w:rFonts w:ascii="Arial" w:hAnsi="Arial"/>
                <w:sz w:val="18"/>
              </w:rPr>
              <w:t>Accidents between persons and rolling stock in motion, excluding suicides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4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Fires on rolling stock</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4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Other accidents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6F3ED5" w:rsidRPr="006A2FC1" w:rsidRDefault="006F3ED5">
      <w:pPr>
        <w:spacing w:line="200" w:lineRule="exact"/>
      </w:pPr>
    </w:p>
    <w:tbl>
      <w:tblPr>
        <w:tblW w:w="0" w:type="auto"/>
        <w:tblInd w:w="111" w:type="dxa"/>
        <w:tblLayout w:type="fixed"/>
        <w:tblCellMar>
          <w:left w:w="0" w:type="dxa"/>
          <w:right w:w="0" w:type="dxa"/>
        </w:tblCellMar>
        <w:tblLook w:val="01E0" w:firstRow="1" w:lastRow="1" w:firstColumn="1" w:lastColumn="1" w:noHBand="0" w:noVBand="0"/>
      </w:tblPr>
      <w:tblGrid>
        <w:gridCol w:w="6233"/>
        <w:gridCol w:w="1705"/>
        <w:gridCol w:w="1709"/>
      </w:tblGrid>
      <w:tr w:rsidR="006F3ED5" w:rsidRPr="006A2FC1" w:rsidTr="00B01ABB">
        <w:trPr>
          <w:trHeight w:val="20"/>
        </w:trPr>
        <w:tc>
          <w:tcPr>
            <w:tcW w:w="9647" w:type="dxa"/>
            <w:gridSpan w:val="3"/>
            <w:tcBorders>
              <w:top w:val="single" w:sz="12" w:space="0" w:color="FF9900"/>
              <w:left w:val="single" w:sz="5" w:space="0" w:color="000000"/>
              <w:bottom w:val="single" w:sz="12"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2.5a. Total number of trespassers with serious injuries by type of accident, divided into</w:t>
            </w:r>
          </w:p>
          <w:p w:rsidR="006F3ED5" w:rsidRPr="006A2FC1" w:rsidRDefault="00B65BEC">
            <w:pPr>
              <w:spacing w:before="4"/>
              <w:ind w:left="23"/>
              <w:rPr>
                <w:rFonts w:ascii="Arial" w:eastAsia="Arial" w:hAnsi="Arial" w:cs="Arial"/>
                <w:sz w:val="18"/>
                <w:szCs w:val="18"/>
              </w:rPr>
            </w:pPr>
            <w:r>
              <w:rPr>
                <w:rFonts w:ascii="Arial" w:hAnsi="Arial"/>
                <w:b/>
                <w:sz w:val="18"/>
              </w:rPr>
              <w:t>the following categories</w:t>
            </w:r>
          </w:p>
        </w:tc>
      </w:tr>
      <w:tr w:rsidR="006F3ED5" w:rsidRPr="006A2FC1" w:rsidTr="00B01ABB">
        <w:trPr>
          <w:trHeight w:val="20"/>
        </w:trPr>
        <w:tc>
          <w:tcPr>
            <w:tcW w:w="6233" w:type="dxa"/>
            <w:tcBorders>
              <w:top w:val="single" w:sz="12" w:space="0" w:color="FF99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Total for all accidents</w:t>
            </w:r>
          </w:p>
        </w:tc>
        <w:tc>
          <w:tcPr>
            <w:tcW w:w="1705" w:type="dxa"/>
            <w:tcBorders>
              <w:top w:val="single" w:sz="12"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7</w:t>
            </w:r>
          </w:p>
        </w:tc>
        <w:tc>
          <w:tcPr>
            <w:tcW w:w="1709" w:type="dxa"/>
            <w:tcBorders>
              <w:top w:val="single" w:sz="12"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36"/>
              <w:ind w:left="636" w:right="636"/>
              <w:jc w:val="center"/>
              <w:rPr>
                <w:rFonts w:ascii="Arial" w:eastAsia="Arial" w:hAnsi="Arial" w:cs="Arial"/>
                <w:sz w:val="18"/>
                <w:szCs w:val="18"/>
              </w:rPr>
            </w:pPr>
            <w:r>
              <w:rPr>
                <w:rFonts w:ascii="Arial" w:hAnsi="Arial"/>
                <w:b/>
                <w:i/>
                <w:sz w:val="18"/>
              </w:rPr>
              <w:t>0.19</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83" w:line="200" w:lineRule="exact"/>
              <w:ind w:left="23" w:right="505"/>
              <w:rPr>
                <w:rFonts w:ascii="Arial" w:eastAsia="Arial" w:hAnsi="Arial" w:cs="Arial"/>
                <w:sz w:val="18"/>
                <w:szCs w:val="18"/>
              </w:rPr>
            </w:pPr>
            <w:r>
              <w:rPr>
                <w:rFonts w:ascii="Arial" w:hAnsi="Arial"/>
                <w:sz w:val="18"/>
              </w:rPr>
              <w:t>Train collisions, including collisions with obstacles within the clearance gauge</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Derailments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3"/>
              <w:ind w:left="23"/>
              <w:rPr>
                <w:rFonts w:ascii="Arial" w:eastAsia="Arial" w:hAnsi="Arial" w:cs="Arial"/>
                <w:sz w:val="18"/>
                <w:szCs w:val="18"/>
              </w:rPr>
            </w:pPr>
            <w:r>
              <w:rPr>
                <w:rFonts w:ascii="Arial" w:hAnsi="Arial"/>
                <w:sz w:val="18"/>
              </w:rPr>
              <w:t>Accidents at LCs, including those involving pedestrians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1" w:line="200" w:lineRule="exact"/>
              <w:ind w:left="23" w:right="44"/>
              <w:rPr>
                <w:rFonts w:ascii="Arial" w:eastAsia="Arial" w:hAnsi="Arial" w:cs="Arial"/>
                <w:sz w:val="18"/>
                <w:szCs w:val="18"/>
              </w:rPr>
            </w:pPr>
            <w:r>
              <w:rPr>
                <w:rFonts w:ascii="Arial" w:hAnsi="Arial"/>
                <w:sz w:val="18"/>
              </w:rPr>
              <w:t>Accidents between persons and rolling stock in motion, excluding suicides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7</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6F3ED5">
            <w:pPr>
              <w:spacing w:before="4" w:line="100" w:lineRule="exact"/>
              <w:rPr>
                <w:sz w:val="10"/>
                <w:szCs w:val="10"/>
              </w:rPr>
            </w:pPr>
          </w:p>
          <w:p w:rsidR="006F3ED5" w:rsidRPr="006A2FC1" w:rsidRDefault="00B65BEC">
            <w:pPr>
              <w:ind w:left="630" w:right="630"/>
              <w:jc w:val="center"/>
              <w:rPr>
                <w:rFonts w:ascii="Arial" w:eastAsia="Arial" w:hAnsi="Arial" w:cs="Arial"/>
                <w:sz w:val="18"/>
                <w:szCs w:val="18"/>
              </w:rPr>
            </w:pPr>
            <w:r>
              <w:rPr>
                <w:rFonts w:ascii="Arial" w:hAnsi="Arial"/>
                <w:b/>
                <w:i/>
                <w:sz w:val="18"/>
              </w:rPr>
              <w:t>0.19</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Fires on rolling stock</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Other accidents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6F3ED5" w:rsidRPr="006A2FC1" w:rsidRDefault="006F3ED5">
      <w:pPr>
        <w:spacing w:before="5" w:line="100" w:lineRule="exact"/>
        <w:rPr>
          <w:sz w:val="11"/>
          <w:szCs w:val="11"/>
        </w:rPr>
      </w:pPr>
    </w:p>
    <w:p w:rsidR="006F3ED5" w:rsidRPr="006A2FC1" w:rsidRDefault="006F3ED5">
      <w:pPr>
        <w:spacing w:line="200" w:lineRule="exact"/>
      </w:pPr>
    </w:p>
    <w:tbl>
      <w:tblPr>
        <w:tblW w:w="0" w:type="auto"/>
        <w:tblInd w:w="125" w:type="dxa"/>
        <w:tblLayout w:type="fixed"/>
        <w:tblCellMar>
          <w:left w:w="0" w:type="dxa"/>
          <w:right w:w="0" w:type="dxa"/>
        </w:tblCellMar>
        <w:tblLook w:val="01E0" w:firstRow="1" w:lastRow="1" w:firstColumn="1" w:lastColumn="1" w:noHBand="0" w:noVBand="0"/>
      </w:tblPr>
      <w:tblGrid>
        <w:gridCol w:w="6209"/>
        <w:gridCol w:w="1700"/>
        <w:gridCol w:w="1709"/>
      </w:tblGrid>
      <w:tr w:rsidR="006F3ED5" w:rsidRPr="00B63285" w:rsidTr="00B01ABB">
        <w:trPr>
          <w:trHeight w:val="20"/>
        </w:trPr>
        <w:tc>
          <w:tcPr>
            <w:tcW w:w="9618" w:type="dxa"/>
            <w:gridSpan w:val="3"/>
            <w:tcBorders>
              <w:top w:val="single" w:sz="13" w:space="0" w:color="FF9900"/>
              <w:left w:val="single" w:sz="5" w:space="0" w:color="000000"/>
              <w:bottom w:val="single" w:sz="12" w:space="0" w:color="FF9900"/>
              <w:right w:val="single" w:sz="5" w:space="0" w:color="000000"/>
            </w:tcBorders>
            <w:shd w:val="clear" w:color="auto" w:fill="FF9900"/>
          </w:tcPr>
          <w:p w:rsidR="006F3ED5" w:rsidRPr="006A2FC1" w:rsidRDefault="00B65BEC">
            <w:pPr>
              <w:spacing w:before="2" w:line="200" w:lineRule="exact"/>
              <w:ind w:left="23" w:right="440"/>
              <w:rPr>
                <w:rFonts w:ascii="Arial" w:eastAsia="Arial" w:hAnsi="Arial" w:cs="Arial"/>
                <w:sz w:val="18"/>
                <w:szCs w:val="18"/>
              </w:rPr>
            </w:pPr>
            <w:r>
              <w:rPr>
                <w:rFonts w:ascii="Arial" w:hAnsi="Arial"/>
                <w:b/>
                <w:sz w:val="18"/>
              </w:rPr>
              <w:t>2.6a. Total number of other persons with serious injuries by type of accident, divided into the following categories</w:t>
            </w:r>
          </w:p>
        </w:tc>
      </w:tr>
      <w:tr w:rsidR="006F3ED5" w:rsidRPr="006A2FC1" w:rsidTr="00B01ABB">
        <w:trPr>
          <w:trHeight w:val="20"/>
        </w:trPr>
        <w:tc>
          <w:tcPr>
            <w:tcW w:w="6209" w:type="dxa"/>
            <w:tcBorders>
              <w:top w:val="single" w:sz="12" w:space="0" w:color="FF9900"/>
              <w:left w:val="single" w:sz="5" w:space="0" w:color="000000"/>
              <w:bottom w:val="single" w:sz="5" w:space="0" w:color="000000"/>
              <w:right w:val="single" w:sz="5" w:space="0" w:color="000000"/>
            </w:tcBorders>
          </w:tcPr>
          <w:p w:rsidR="006F3ED5" w:rsidRPr="006A2FC1" w:rsidRDefault="00B65BEC">
            <w:pPr>
              <w:spacing w:before="65"/>
              <w:ind w:left="23"/>
              <w:rPr>
                <w:rFonts w:ascii="Arial" w:eastAsia="Arial" w:hAnsi="Arial" w:cs="Arial"/>
                <w:sz w:val="18"/>
                <w:szCs w:val="18"/>
              </w:rPr>
            </w:pPr>
            <w:r>
              <w:rPr>
                <w:rFonts w:ascii="Arial" w:hAnsi="Arial"/>
                <w:sz w:val="18"/>
              </w:rPr>
              <w:t>Total for all accidents</w:t>
            </w:r>
          </w:p>
        </w:tc>
        <w:tc>
          <w:tcPr>
            <w:tcW w:w="1700" w:type="dxa"/>
            <w:tcBorders>
              <w:top w:val="single" w:sz="12"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09"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79" w:line="200" w:lineRule="exact"/>
              <w:ind w:left="23" w:right="481"/>
              <w:rPr>
                <w:rFonts w:ascii="Arial" w:eastAsia="Arial" w:hAnsi="Arial" w:cs="Arial"/>
                <w:sz w:val="18"/>
                <w:szCs w:val="18"/>
              </w:rPr>
            </w:pPr>
            <w:r>
              <w:rPr>
                <w:rFonts w:ascii="Arial" w:hAnsi="Arial"/>
                <w:sz w:val="18"/>
              </w:rPr>
              <w:t>Train collisions, including collisions with obstacles within the clearance gauge</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09"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Derailments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09"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1"/>
              <w:ind w:left="23"/>
              <w:rPr>
                <w:rFonts w:ascii="Arial" w:eastAsia="Arial" w:hAnsi="Arial" w:cs="Arial"/>
                <w:sz w:val="18"/>
                <w:szCs w:val="18"/>
              </w:rPr>
            </w:pPr>
            <w:r>
              <w:rPr>
                <w:rFonts w:ascii="Arial" w:hAnsi="Arial"/>
                <w:sz w:val="18"/>
              </w:rPr>
              <w:t>Accidents at LCs, including those involving pedestrians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09"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6" w:line="200" w:lineRule="exact"/>
              <w:ind w:left="23" w:right="20"/>
              <w:rPr>
                <w:rFonts w:ascii="Arial" w:eastAsia="Arial" w:hAnsi="Arial" w:cs="Arial"/>
                <w:sz w:val="18"/>
                <w:szCs w:val="18"/>
              </w:rPr>
            </w:pPr>
            <w:r>
              <w:rPr>
                <w:rFonts w:ascii="Arial" w:hAnsi="Arial"/>
                <w:sz w:val="18"/>
              </w:rPr>
              <w:t>Accidents between persons and rolling stock in motion, excluding suicides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09"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Fires on rolling stock</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09"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Other accidents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292DF0" w:rsidRDefault="00292DF0">
      <w:pPr>
        <w:spacing w:before="4" w:line="100" w:lineRule="exact"/>
        <w:rPr>
          <w:sz w:val="11"/>
          <w:szCs w:val="11"/>
        </w:rPr>
      </w:pPr>
    </w:p>
    <w:p w:rsidR="00292DF0" w:rsidRDefault="00292DF0">
      <w:pPr>
        <w:rPr>
          <w:sz w:val="11"/>
          <w:szCs w:val="11"/>
        </w:rPr>
      </w:pPr>
      <w:r>
        <w:br w:type="page"/>
      </w:r>
    </w:p>
    <w:p w:rsidR="006F3ED5" w:rsidRPr="006A2FC1" w:rsidRDefault="006F3ED5">
      <w:pPr>
        <w:spacing w:line="200" w:lineRule="exact"/>
      </w:pPr>
    </w:p>
    <w:tbl>
      <w:tblPr>
        <w:tblW w:w="0" w:type="auto"/>
        <w:tblInd w:w="111" w:type="dxa"/>
        <w:tblLayout w:type="fixed"/>
        <w:tblCellMar>
          <w:left w:w="0" w:type="dxa"/>
          <w:right w:w="0" w:type="dxa"/>
        </w:tblCellMar>
        <w:tblLook w:val="01E0" w:firstRow="1" w:lastRow="1" w:firstColumn="1" w:lastColumn="1" w:noHBand="0" w:noVBand="0"/>
      </w:tblPr>
      <w:tblGrid>
        <w:gridCol w:w="6242"/>
        <w:gridCol w:w="1700"/>
        <w:gridCol w:w="1705"/>
      </w:tblGrid>
      <w:tr w:rsidR="006F3ED5" w:rsidRPr="00B63285" w:rsidTr="00B01ABB">
        <w:trPr>
          <w:trHeight w:val="20"/>
        </w:trPr>
        <w:tc>
          <w:tcPr>
            <w:tcW w:w="9647"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8"/>
              <w:rPr>
                <w:rFonts w:ascii="Arial" w:eastAsia="Arial" w:hAnsi="Arial" w:cs="Arial"/>
                <w:sz w:val="18"/>
                <w:szCs w:val="18"/>
              </w:rPr>
            </w:pPr>
            <w:r>
              <w:rPr>
                <w:rFonts w:ascii="Arial" w:hAnsi="Arial"/>
                <w:b/>
                <w:sz w:val="18"/>
              </w:rPr>
              <w:t>3.1a. Total number of fatalities by type of accident, divided into the following categories</w:t>
            </w:r>
          </w:p>
        </w:tc>
      </w:tr>
      <w:tr w:rsidR="006F3ED5" w:rsidRPr="006A2FC1" w:rsidTr="00B01ABB">
        <w:trPr>
          <w:trHeight w:val="20"/>
        </w:trPr>
        <w:tc>
          <w:tcPr>
            <w:tcW w:w="6242"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3"/>
              <w:ind w:left="28"/>
              <w:rPr>
                <w:rFonts w:ascii="Arial" w:eastAsia="Arial" w:hAnsi="Arial" w:cs="Arial"/>
                <w:sz w:val="18"/>
                <w:szCs w:val="18"/>
              </w:rPr>
            </w:pPr>
            <w:r>
              <w:rPr>
                <w:rFonts w:ascii="Arial" w:hAnsi="Arial"/>
                <w:sz w:val="18"/>
              </w:rPr>
              <w:t>Total for all accidents</w:t>
            </w:r>
          </w:p>
        </w:tc>
        <w:tc>
          <w:tcPr>
            <w:tcW w:w="170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19</w:t>
            </w:r>
          </w:p>
        </w:tc>
        <w:tc>
          <w:tcPr>
            <w:tcW w:w="1705"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39"/>
              <w:ind w:left="636" w:right="630"/>
              <w:jc w:val="center"/>
              <w:rPr>
                <w:rFonts w:ascii="Arial" w:eastAsia="Arial" w:hAnsi="Arial" w:cs="Arial"/>
                <w:sz w:val="18"/>
                <w:szCs w:val="18"/>
              </w:rPr>
            </w:pPr>
            <w:r>
              <w:rPr>
                <w:rFonts w:ascii="Arial" w:hAnsi="Arial"/>
                <w:b/>
                <w:i/>
                <w:sz w:val="18"/>
              </w:rPr>
              <w:t>0.52</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84" w:line="200" w:lineRule="exact"/>
              <w:ind w:left="28" w:right="510"/>
              <w:rPr>
                <w:rFonts w:ascii="Arial" w:eastAsia="Arial" w:hAnsi="Arial" w:cs="Arial"/>
                <w:sz w:val="18"/>
                <w:szCs w:val="18"/>
              </w:rPr>
            </w:pPr>
            <w:r>
              <w:rPr>
                <w:rFonts w:ascii="Arial" w:hAnsi="Arial"/>
                <w:sz w:val="18"/>
              </w:rPr>
              <w:t>Train collisions, including collisions with obstacles within the clearance gauge</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Derailments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3"/>
              <w:ind w:left="28"/>
              <w:rPr>
                <w:rFonts w:ascii="Arial" w:eastAsia="Arial" w:hAnsi="Arial" w:cs="Arial"/>
                <w:sz w:val="18"/>
                <w:szCs w:val="18"/>
              </w:rPr>
            </w:pPr>
            <w:r>
              <w:rPr>
                <w:rFonts w:ascii="Arial" w:hAnsi="Arial"/>
                <w:sz w:val="18"/>
              </w:rPr>
              <w:t>Accidents at LCs, including those involving pedestrians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4</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637" w:right="633"/>
              <w:jc w:val="center"/>
              <w:rPr>
                <w:rFonts w:ascii="Arial" w:eastAsia="Arial" w:hAnsi="Arial" w:cs="Arial"/>
                <w:sz w:val="18"/>
                <w:szCs w:val="18"/>
              </w:rPr>
            </w:pPr>
            <w:r>
              <w:rPr>
                <w:rFonts w:ascii="Arial" w:hAnsi="Arial"/>
                <w:b/>
                <w:i/>
                <w:sz w:val="18"/>
              </w:rPr>
              <w:t>0.11</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6" w:line="200" w:lineRule="exact"/>
              <w:ind w:left="28" w:right="54"/>
              <w:rPr>
                <w:rFonts w:ascii="Arial" w:eastAsia="Arial" w:hAnsi="Arial" w:cs="Arial"/>
                <w:sz w:val="18"/>
                <w:szCs w:val="18"/>
              </w:rPr>
            </w:pPr>
            <w:r>
              <w:rPr>
                <w:rFonts w:ascii="Arial" w:hAnsi="Arial"/>
                <w:sz w:val="18"/>
              </w:rPr>
              <w:t>Accidents between persons and rolling stock in motion, excluding suicides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15</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6F3ED5">
            <w:pPr>
              <w:spacing w:before="9" w:line="100" w:lineRule="exact"/>
              <w:rPr>
                <w:sz w:val="10"/>
                <w:szCs w:val="10"/>
              </w:rPr>
            </w:pPr>
          </w:p>
          <w:p w:rsidR="006F3ED5" w:rsidRPr="006A2FC1" w:rsidRDefault="00B65BEC">
            <w:pPr>
              <w:ind w:left="630" w:right="624"/>
              <w:jc w:val="center"/>
              <w:rPr>
                <w:rFonts w:ascii="Arial" w:eastAsia="Arial" w:hAnsi="Arial" w:cs="Arial"/>
                <w:sz w:val="18"/>
                <w:szCs w:val="18"/>
              </w:rPr>
            </w:pPr>
            <w:r>
              <w:rPr>
                <w:rFonts w:ascii="Arial" w:hAnsi="Arial"/>
                <w:b/>
                <w:i/>
                <w:sz w:val="18"/>
              </w:rPr>
              <w:t>0.41</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Fires on rolling stock</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4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Other accidents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6F3ED5" w:rsidRPr="006A2FC1" w:rsidRDefault="006F3ED5">
      <w:pPr>
        <w:spacing w:before="4" w:line="100" w:lineRule="exact"/>
        <w:rPr>
          <w:sz w:val="10"/>
          <w:szCs w:val="10"/>
        </w:rPr>
      </w:pPr>
    </w:p>
    <w:p w:rsidR="006F3ED5" w:rsidRPr="006A2FC1" w:rsidRDefault="006F3ED5">
      <w:pPr>
        <w:spacing w:line="200" w:lineRule="exact"/>
      </w:pPr>
    </w:p>
    <w:tbl>
      <w:tblPr>
        <w:tblW w:w="0" w:type="auto"/>
        <w:tblInd w:w="111" w:type="dxa"/>
        <w:tblLayout w:type="fixed"/>
        <w:tblCellMar>
          <w:left w:w="0" w:type="dxa"/>
          <w:right w:w="0" w:type="dxa"/>
        </w:tblCellMar>
        <w:tblLook w:val="01E0" w:firstRow="1" w:lastRow="1" w:firstColumn="1" w:lastColumn="1" w:noHBand="0" w:noVBand="0"/>
      </w:tblPr>
      <w:tblGrid>
        <w:gridCol w:w="6233"/>
        <w:gridCol w:w="1705"/>
        <w:gridCol w:w="1709"/>
      </w:tblGrid>
      <w:tr w:rsidR="006F3ED5" w:rsidRPr="00B63285" w:rsidTr="00B01ABB">
        <w:trPr>
          <w:trHeight w:val="20"/>
        </w:trPr>
        <w:tc>
          <w:tcPr>
            <w:tcW w:w="9647"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ind w:left="28"/>
              <w:rPr>
                <w:rFonts w:ascii="Arial" w:eastAsia="Arial" w:hAnsi="Arial" w:cs="Arial"/>
                <w:sz w:val="18"/>
                <w:szCs w:val="18"/>
              </w:rPr>
            </w:pPr>
            <w:r>
              <w:rPr>
                <w:rFonts w:ascii="Arial" w:hAnsi="Arial"/>
                <w:b/>
                <w:sz w:val="18"/>
              </w:rPr>
              <w:t>3.2a. Total number of passenger fatalities by type of accident, divided into the following categories</w:t>
            </w:r>
          </w:p>
        </w:tc>
      </w:tr>
      <w:tr w:rsidR="006F3ED5" w:rsidRPr="006A2FC1" w:rsidTr="00B01ABB">
        <w:trPr>
          <w:trHeight w:val="20"/>
        </w:trPr>
        <w:tc>
          <w:tcPr>
            <w:tcW w:w="6233"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6"/>
              <w:ind w:left="28"/>
              <w:rPr>
                <w:rFonts w:ascii="Arial" w:eastAsia="Arial" w:hAnsi="Arial" w:cs="Arial"/>
                <w:sz w:val="18"/>
                <w:szCs w:val="18"/>
              </w:rPr>
            </w:pPr>
            <w:r>
              <w:rPr>
                <w:rFonts w:ascii="Arial" w:hAnsi="Arial"/>
                <w:sz w:val="18"/>
              </w:rPr>
              <w:t>Total for all accidents</w:t>
            </w:r>
          </w:p>
        </w:tc>
        <w:tc>
          <w:tcPr>
            <w:tcW w:w="1705"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79" w:line="200" w:lineRule="exact"/>
              <w:ind w:left="28" w:right="499"/>
              <w:rPr>
                <w:rFonts w:ascii="Arial" w:eastAsia="Arial" w:hAnsi="Arial" w:cs="Arial"/>
                <w:sz w:val="18"/>
                <w:szCs w:val="18"/>
              </w:rPr>
            </w:pPr>
            <w:r>
              <w:rPr>
                <w:rFonts w:ascii="Arial" w:hAnsi="Arial"/>
                <w:sz w:val="18"/>
              </w:rPr>
              <w:t>Train collisions, including collisions with obstacles within the clearance gauge</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Derailments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8"/>
              <w:rPr>
                <w:rFonts w:ascii="Arial" w:eastAsia="Arial" w:hAnsi="Arial" w:cs="Arial"/>
                <w:sz w:val="18"/>
                <w:szCs w:val="18"/>
              </w:rPr>
            </w:pPr>
            <w:r>
              <w:rPr>
                <w:rFonts w:ascii="Arial" w:hAnsi="Arial"/>
                <w:sz w:val="18"/>
              </w:rPr>
              <w:t>Accidents at LCs, including those involving pedestrians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7" w:line="200" w:lineRule="exact"/>
              <w:ind w:left="28" w:right="44"/>
              <w:rPr>
                <w:rFonts w:ascii="Arial" w:eastAsia="Arial" w:hAnsi="Arial" w:cs="Arial"/>
                <w:sz w:val="18"/>
                <w:szCs w:val="18"/>
              </w:rPr>
            </w:pPr>
            <w:r>
              <w:rPr>
                <w:rFonts w:ascii="Arial" w:hAnsi="Arial"/>
                <w:sz w:val="18"/>
              </w:rPr>
              <w:t>Accidents between persons and rolling stock in motion, excluding suicides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Fires on rolling stock</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55"/>
              <w:ind w:left="28"/>
              <w:rPr>
                <w:rFonts w:ascii="Arial" w:eastAsia="Arial" w:hAnsi="Arial" w:cs="Arial"/>
                <w:sz w:val="18"/>
                <w:szCs w:val="18"/>
              </w:rPr>
            </w:pPr>
            <w:r>
              <w:rPr>
                <w:rFonts w:ascii="Arial" w:hAnsi="Arial"/>
                <w:sz w:val="18"/>
              </w:rPr>
              <w:t>Other accidents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6F3ED5" w:rsidRPr="006A2FC1" w:rsidRDefault="006F3ED5">
      <w:pPr>
        <w:spacing w:before="5" w:line="100" w:lineRule="exact"/>
        <w:rPr>
          <w:sz w:val="11"/>
          <w:szCs w:val="11"/>
        </w:rPr>
      </w:pPr>
    </w:p>
    <w:p w:rsidR="006F3ED5" w:rsidRPr="006A2FC1" w:rsidRDefault="006F3ED5">
      <w:pPr>
        <w:spacing w:line="200" w:lineRule="exact"/>
      </w:pPr>
    </w:p>
    <w:tbl>
      <w:tblPr>
        <w:tblW w:w="0" w:type="auto"/>
        <w:tblInd w:w="116" w:type="dxa"/>
        <w:tblLayout w:type="fixed"/>
        <w:tblCellMar>
          <w:left w:w="0" w:type="dxa"/>
          <w:right w:w="0" w:type="dxa"/>
        </w:tblCellMar>
        <w:tblLook w:val="01E0" w:firstRow="1" w:lastRow="1" w:firstColumn="1" w:lastColumn="1" w:noHBand="0" w:noVBand="0"/>
      </w:tblPr>
      <w:tblGrid>
        <w:gridCol w:w="6228"/>
        <w:gridCol w:w="1700"/>
        <w:gridCol w:w="1710"/>
      </w:tblGrid>
      <w:tr w:rsidR="006F3ED5" w:rsidRPr="00B63285" w:rsidTr="00B01ABB">
        <w:trPr>
          <w:trHeight w:val="20"/>
        </w:trPr>
        <w:tc>
          <w:tcPr>
            <w:tcW w:w="9638" w:type="dxa"/>
            <w:gridSpan w:val="3"/>
            <w:tcBorders>
              <w:top w:val="single" w:sz="12" w:space="0" w:color="FF9900"/>
              <w:left w:val="single" w:sz="5" w:space="0" w:color="000000"/>
              <w:bottom w:val="single" w:sz="12" w:space="0" w:color="FF9900"/>
              <w:right w:val="single" w:sz="5" w:space="0" w:color="000000"/>
            </w:tcBorders>
            <w:shd w:val="clear" w:color="auto" w:fill="FF9900"/>
          </w:tcPr>
          <w:p w:rsidR="006F3ED5" w:rsidRPr="006A2FC1" w:rsidRDefault="00B65BEC">
            <w:pPr>
              <w:spacing w:before="2" w:line="200" w:lineRule="exact"/>
              <w:ind w:left="23" w:right="138"/>
              <w:rPr>
                <w:rFonts w:ascii="Arial" w:eastAsia="Arial" w:hAnsi="Arial" w:cs="Arial"/>
                <w:sz w:val="18"/>
                <w:szCs w:val="18"/>
              </w:rPr>
            </w:pPr>
            <w:r>
              <w:rPr>
                <w:rFonts w:ascii="Arial" w:hAnsi="Arial"/>
                <w:b/>
                <w:sz w:val="18"/>
              </w:rPr>
              <w:t>3.3a. Total number of fatalities amongst rail workers, including service providers, by type of accident, divided into the following categories</w:t>
            </w:r>
          </w:p>
        </w:tc>
      </w:tr>
      <w:tr w:rsidR="006F3ED5" w:rsidRPr="006A2FC1" w:rsidTr="00B01ABB">
        <w:trPr>
          <w:trHeight w:val="20"/>
        </w:trPr>
        <w:tc>
          <w:tcPr>
            <w:tcW w:w="6228" w:type="dxa"/>
            <w:tcBorders>
              <w:top w:val="single" w:sz="12" w:space="0" w:color="FF9900"/>
              <w:left w:val="single" w:sz="5" w:space="0" w:color="000000"/>
              <w:bottom w:val="single" w:sz="5" w:space="0" w:color="000000"/>
              <w:right w:val="single" w:sz="5" w:space="0" w:color="000000"/>
            </w:tcBorders>
          </w:tcPr>
          <w:p w:rsidR="006F3ED5" w:rsidRPr="006A2FC1" w:rsidRDefault="00B65BEC">
            <w:pPr>
              <w:spacing w:before="65"/>
              <w:ind w:left="23"/>
              <w:rPr>
                <w:rFonts w:ascii="Arial" w:eastAsia="Arial" w:hAnsi="Arial" w:cs="Arial"/>
                <w:sz w:val="18"/>
                <w:szCs w:val="18"/>
              </w:rPr>
            </w:pPr>
            <w:r>
              <w:rPr>
                <w:rFonts w:ascii="Arial" w:hAnsi="Arial"/>
                <w:sz w:val="18"/>
              </w:rPr>
              <w:t>Total for all accidents</w:t>
            </w:r>
          </w:p>
        </w:tc>
        <w:tc>
          <w:tcPr>
            <w:tcW w:w="1700" w:type="dxa"/>
            <w:tcBorders>
              <w:top w:val="single" w:sz="12"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83" w:line="200" w:lineRule="exact"/>
              <w:ind w:left="23" w:right="500"/>
              <w:rPr>
                <w:rFonts w:ascii="Arial" w:eastAsia="Arial" w:hAnsi="Arial" w:cs="Arial"/>
                <w:sz w:val="18"/>
                <w:szCs w:val="18"/>
              </w:rPr>
            </w:pPr>
            <w:r>
              <w:rPr>
                <w:rFonts w:ascii="Arial" w:hAnsi="Arial"/>
                <w:sz w:val="18"/>
              </w:rPr>
              <w:t>Train collisions, including collisions with obstacles within the clearance gauge</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Derailments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7"/>
              <w:ind w:left="23"/>
              <w:rPr>
                <w:rFonts w:ascii="Arial" w:eastAsia="Arial" w:hAnsi="Arial" w:cs="Arial"/>
                <w:sz w:val="18"/>
                <w:szCs w:val="18"/>
              </w:rPr>
            </w:pPr>
            <w:r>
              <w:rPr>
                <w:rFonts w:ascii="Arial" w:hAnsi="Arial"/>
                <w:sz w:val="18"/>
              </w:rPr>
              <w:t>Accidents at LCs, including those involving pedestrians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7" w:line="200" w:lineRule="exact"/>
              <w:ind w:left="23" w:right="44"/>
              <w:rPr>
                <w:rFonts w:ascii="Arial" w:eastAsia="Arial" w:hAnsi="Arial" w:cs="Arial"/>
                <w:sz w:val="18"/>
                <w:szCs w:val="18"/>
              </w:rPr>
            </w:pPr>
            <w:r>
              <w:rPr>
                <w:rFonts w:ascii="Arial" w:hAnsi="Arial"/>
                <w:sz w:val="18"/>
              </w:rPr>
              <w:t>Accidents between persons and rolling stock in motion, excluding suicides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Fires on rolling stock</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Other accidents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6F3ED5" w:rsidRPr="006A2FC1" w:rsidRDefault="006F3ED5">
      <w:pPr>
        <w:spacing w:before="4" w:line="100" w:lineRule="exact"/>
        <w:rPr>
          <w:sz w:val="10"/>
          <w:szCs w:val="10"/>
        </w:rPr>
      </w:pPr>
    </w:p>
    <w:p w:rsidR="006F3ED5" w:rsidRPr="006A2FC1" w:rsidRDefault="006F3ED5">
      <w:pPr>
        <w:spacing w:line="200" w:lineRule="exact"/>
      </w:pPr>
    </w:p>
    <w:tbl>
      <w:tblPr>
        <w:tblW w:w="0" w:type="auto"/>
        <w:tblInd w:w="111" w:type="dxa"/>
        <w:tblLayout w:type="fixed"/>
        <w:tblCellMar>
          <w:left w:w="0" w:type="dxa"/>
          <w:right w:w="0" w:type="dxa"/>
        </w:tblCellMar>
        <w:tblLook w:val="01E0" w:firstRow="1" w:lastRow="1" w:firstColumn="1" w:lastColumn="1" w:noHBand="0" w:noVBand="0"/>
      </w:tblPr>
      <w:tblGrid>
        <w:gridCol w:w="6233"/>
        <w:gridCol w:w="1705"/>
        <w:gridCol w:w="1709"/>
      </w:tblGrid>
      <w:tr w:rsidR="006F3ED5" w:rsidRPr="00B63285" w:rsidTr="00B01ABB">
        <w:trPr>
          <w:trHeight w:val="20"/>
        </w:trPr>
        <w:tc>
          <w:tcPr>
            <w:tcW w:w="9647"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8"/>
              <w:rPr>
                <w:rFonts w:ascii="Arial" w:eastAsia="Arial" w:hAnsi="Arial" w:cs="Arial"/>
                <w:sz w:val="18"/>
                <w:szCs w:val="18"/>
              </w:rPr>
            </w:pPr>
            <w:r>
              <w:rPr>
                <w:rFonts w:ascii="Arial" w:hAnsi="Arial"/>
                <w:b/>
                <w:sz w:val="18"/>
              </w:rPr>
              <w:t>3.4a. Total number of fatalities amongst LC users by type of accident, divided into the following categories</w:t>
            </w:r>
          </w:p>
        </w:tc>
      </w:tr>
      <w:tr w:rsidR="006F3ED5" w:rsidRPr="006A2FC1" w:rsidTr="00B01ABB">
        <w:trPr>
          <w:trHeight w:val="20"/>
        </w:trPr>
        <w:tc>
          <w:tcPr>
            <w:tcW w:w="6233"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1"/>
              <w:ind w:left="28"/>
              <w:rPr>
                <w:rFonts w:ascii="Arial" w:eastAsia="Arial" w:hAnsi="Arial" w:cs="Arial"/>
                <w:sz w:val="18"/>
                <w:szCs w:val="18"/>
              </w:rPr>
            </w:pPr>
            <w:r>
              <w:rPr>
                <w:rFonts w:ascii="Arial" w:hAnsi="Arial"/>
                <w:sz w:val="18"/>
              </w:rPr>
              <w:t>Total for all accidents</w:t>
            </w:r>
          </w:p>
        </w:tc>
        <w:tc>
          <w:tcPr>
            <w:tcW w:w="1705"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4</w:t>
            </w:r>
          </w:p>
        </w:tc>
        <w:tc>
          <w:tcPr>
            <w:tcW w:w="1709"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37"/>
              <w:ind w:left="636" w:right="636"/>
              <w:jc w:val="center"/>
              <w:rPr>
                <w:rFonts w:ascii="Arial" w:eastAsia="Arial" w:hAnsi="Arial" w:cs="Arial"/>
                <w:sz w:val="18"/>
                <w:szCs w:val="18"/>
              </w:rPr>
            </w:pPr>
            <w:r>
              <w:rPr>
                <w:rFonts w:ascii="Arial" w:hAnsi="Arial"/>
                <w:b/>
                <w:i/>
                <w:sz w:val="18"/>
              </w:rPr>
              <w:t>0.11</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6" w:line="200" w:lineRule="exact"/>
              <w:ind w:left="28" w:right="500"/>
              <w:rPr>
                <w:rFonts w:ascii="Arial" w:eastAsia="Arial" w:hAnsi="Arial" w:cs="Arial"/>
                <w:sz w:val="18"/>
                <w:szCs w:val="18"/>
              </w:rPr>
            </w:pPr>
            <w:r>
              <w:rPr>
                <w:rFonts w:ascii="Arial" w:hAnsi="Arial"/>
                <w:sz w:val="18"/>
              </w:rPr>
              <w:t>Train collisions, including collisions with obstacles within the clearance gauge</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Derailments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8"/>
              <w:rPr>
                <w:rFonts w:ascii="Arial" w:eastAsia="Arial" w:hAnsi="Arial" w:cs="Arial"/>
                <w:sz w:val="18"/>
                <w:szCs w:val="18"/>
              </w:rPr>
            </w:pPr>
            <w:r>
              <w:rPr>
                <w:rFonts w:ascii="Arial" w:hAnsi="Arial"/>
                <w:sz w:val="18"/>
              </w:rPr>
              <w:t>Accidents at LCs, including those involving pedestrians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4</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637" w:right="637"/>
              <w:jc w:val="center"/>
              <w:rPr>
                <w:rFonts w:ascii="Arial" w:eastAsia="Arial" w:hAnsi="Arial" w:cs="Arial"/>
                <w:sz w:val="18"/>
                <w:szCs w:val="18"/>
              </w:rPr>
            </w:pPr>
            <w:r>
              <w:rPr>
                <w:rFonts w:ascii="Arial" w:hAnsi="Arial"/>
                <w:b/>
                <w:i/>
                <w:sz w:val="18"/>
              </w:rPr>
              <w:t>0.11</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8" w:right="44"/>
              <w:rPr>
                <w:rFonts w:ascii="Arial" w:eastAsia="Arial" w:hAnsi="Arial" w:cs="Arial"/>
                <w:sz w:val="18"/>
                <w:szCs w:val="18"/>
              </w:rPr>
            </w:pPr>
            <w:r>
              <w:rPr>
                <w:rFonts w:ascii="Arial" w:hAnsi="Arial"/>
                <w:sz w:val="18"/>
              </w:rPr>
              <w:t>Accidents between persons and rolling stock in motion, excluding suicides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8"/>
              <w:rPr>
                <w:rFonts w:ascii="Arial" w:eastAsia="Arial" w:hAnsi="Arial" w:cs="Arial"/>
                <w:sz w:val="18"/>
                <w:szCs w:val="18"/>
              </w:rPr>
            </w:pPr>
            <w:r>
              <w:rPr>
                <w:rFonts w:ascii="Arial" w:hAnsi="Arial"/>
                <w:sz w:val="18"/>
              </w:rPr>
              <w:t>Fires on rolling stock</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3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55"/>
              <w:ind w:left="28"/>
              <w:rPr>
                <w:rFonts w:ascii="Arial" w:eastAsia="Arial" w:hAnsi="Arial" w:cs="Arial"/>
                <w:sz w:val="18"/>
                <w:szCs w:val="18"/>
              </w:rPr>
            </w:pPr>
            <w:r>
              <w:rPr>
                <w:rFonts w:ascii="Arial" w:hAnsi="Arial"/>
                <w:sz w:val="18"/>
              </w:rPr>
              <w:t>Other accidents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B01ABB" w:rsidRDefault="00B01ABB">
      <w:pPr>
        <w:spacing w:before="9" w:line="100" w:lineRule="exact"/>
        <w:rPr>
          <w:sz w:val="10"/>
          <w:szCs w:val="10"/>
        </w:rPr>
      </w:pPr>
    </w:p>
    <w:p w:rsidR="00B01ABB" w:rsidRDefault="00B01ABB">
      <w:pPr>
        <w:rPr>
          <w:sz w:val="10"/>
          <w:szCs w:val="10"/>
        </w:rPr>
      </w:pPr>
      <w:r>
        <w:br w:type="page"/>
      </w:r>
    </w:p>
    <w:p w:rsidR="006F3ED5" w:rsidRPr="006A2FC1" w:rsidRDefault="006F3ED5">
      <w:pPr>
        <w:spacing w:before="9" w:line="100" w:lineRule="exact"/>
        <w:rPr>
          <w:sz w:val="10"/>
          <w:szCs w:val="10"/>
        </w:rPr>
      </w:pPr>
    </w:p>
    <w:tbl>
      <w:tblPr>
        <w:tblW w:w="9638" w:type="dxa"/>
        <w:tblInd w:w="116" w:type="dxa"/>
        <w:tblLayout w:type="fixed"/>
        <w:tblCellMar>
          <w:left w:w="0" w:type="dxa"/>
          <w:right w:w="0" w:type="dxa"/>
        </w:tblCellMar>
        <w:tblLook w:val="01E0" w:firstRow="1" w:lastRow="1" w:firstColumn="1" w:lastColumn="1" w:noHBand="0" w:noVBand="0"/>
      </w:tblPr>
      <w:tblGrid>
        <w:gridCol w:w="6228"/>
        <w:gridCol w:w="1700"/>
        <w:gridCol w:w="1710"/>
      </w:tblGrid>
      <w:tr w:rsidR="006F3ED5" w:rsidRPr="00B63285" w:rsidTr="00B01ABB">
        <w:trPr>
          <w:trHeight w:val="20"/>
        </w:trPr>
        <w:tc>
          <w:tcPr>
            <w:tcW w:w="9638"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3.5a. Total number of fatalities amongst trespassers by type of accident, divided into the following categories</w:t>
            </w:r>
          </w:p>
        </w:tc>
      </w:tr>
      <w:tr w:rsidR="006F3ED5" w:rsidRPr="006A2FC1" w:rsidTr="00B01ABB">
        <w:trPr>
          <w:trHeight w:val="20"/>
        </w:trPr>
        <w:tc>
          <w:tcPr>
            <w:tcW w:w="6228"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1"/>
              <w:ind w:left="23"/>
              <w:rPr>
                <w:rFonts w:ascii="Arial" w:eastAsia="Arial" w:hAnsi="Arial" w:cs="Arial"/>
                <w:sz w:val="18"/>
                <w:szCs w:val="18"/>
              </w:rPr>
            </w:pPr>
            <w:r>
              <w:rPr>
                <w:rFonts w:ascii="Arial" w:hAnsi="Arial"/>
                <w:sz w:val="18"/>
              </w:rPr>
              <w:t>Total for all accidents</w:t>
            </w:r>
          </w:p>
        </w:tc>
        <w:tc>
          <w:tcPr>
            <w:tcW w:w="170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15</w:t>
            </w:r>
          </w:p>
        </w:tc>
        <w:tc>
          <w:tcPr>
            <w:tcW w:w="171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37"/>
              <w:ind w:left="636" w:right="635"/>
              <w:jc w:val="center"/>
              <w:rPr>
                <w:rFonts w:ascii="Arial" w:eastAsia="Arial" w:hAnsi="Arial" w:cs="Arial"/>
                <w:sz w:val="18"/>
                <w:szCs w:val="18"/>
              </w:rPr>
            </w:pPr>
            <w:r>
              <w:rPr>
                <w:rFonts w:ascii="Arial" w:hAnsi="Arial"/>
                <w:b/>
                <w:i/>
                <w:sz w:val="18"/>
              </w:rPr>
              <w:t>0.41</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83" w:line="200" w:lineRule="exact"/>
              <w:ind w:left="23" w:right="500"/>
              <w:rPr>
                <w:rFonts w:ascii="Arial" w:eastAsia="Arial" w:hAnsi="Arial" w:cs="Arial"/>
                <w:sz w:val="18"/>
                <w:szCs w:val="18"/>
              </w:rPr>
            </w:pPr>
            <w:r>
              <w:rPr>
                <w:rFonts w:ascii="Arial" w:hAnsi="Arial"/>
                <w:sz w:val="18"/>
              </w:rPr>
              <w:t>Train collisions, including collisions with obstacles within the clearance gauge</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Derailments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Accidents at LCs, including those involving pedestrians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7" w:line="245" w:lineRule="auto"/>
              <w:ind w:left="23" w:right="44"/>
              <w:rPr>
                <w:rFonts w:ascii="Arial" w:eastAsia="Arial" w:hAnsi="Arial" w:cs="Arial"/>
                <w:sz w:val="18"/>
                <w:szCs w:val="18"/>
              </w:rPr>
            </w:pPr>
            <w:r>
              <w:rPr>
                <w:rFonts w:ascii="Arial" w:hAnsi="Arial"/>
                <w:sz w:val="18"/>
              </w:rPr>
              <w:t>Accidents between persons and rolling stock in motion, excluding suicides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15</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6F3ED5">
            <w:pPr>
              <w:spacing w:before="4" w:line="100" w:lineRule="exact"/>
              <w:rPr>
                <w:sz w:val="10"/>
                <w:szCs w:val="10"/>
              </w:rPr>
            </w:pPr>
          </w:p>
          <w:p w:rsidR="006F3ED5" w:rsidRPr="006A2FC1" w:rsidRDefault="00B65BEC">
            <w:pPr>
              <w:ind w:left="629" w:right="629"/>
              <w:jc w:val="center"/>
              <w:rPr>
                <w:rFonts w:ascii="Arial" w:eastAsia="Arial" w:hAnsi="Arial" w:cs="Arial"/>
                <w:sz w:val="18"/>
                <w:szCs w:val="18"/>
              </w:rPr>
            </w:pPr>
            <w:r>
              <w:rPr>
                <w:rFonts w:ascii="Arial" w:hAnsi="Arial"/>
                <w:b/>
                <w:i/>
                <w:sz w:val="18"/>
              </w:rPr>
              <w:t>0.41</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55"/>
              <w:ind w:left="23"/>
              <w:rPr>
                <w:rFonts w:ascii="Arial" w:eastAsia="Arial" w:hAnsi="Arial" w:cs="Arial"/>
                <w:sz w:val="18"/>
                <w:szCs w:val="18"/>
              </w:rPr>
            </w:pPr>
            <w:r>
              <w:rPr>
                <w:rFonts w:ascii="Arial" w:hAnsi="Arial"/>
                <w:sz w:val="18"/>
              </w:rPr>
              <w:t>Fires on rolling stock</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Other accidents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1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6F3ED5" w:rsidRPr="006A2FC1" w:rsidRDefault="006F3ED5">
      <w:pPr>
        <w:spacing w:before="4" w:line="100" w:lineRule="exact"/>
        <w:rPr>
          <w:sz w:val="10"/>
          <w:szCs w:val="10"/>
        </w:rPr>
      </w:pPr>
    </w:p>
    <w:p w:rsidR="006F3ED5" w:rsidRPr="006A2FC1" w:rsidRDefault="006F3ED5">
      <w:pPr>
        <w:spacing w:line="200" w:lineRule="exact"/>
      </w:pPr>
    </w:p>
    <w:tbl>
      <w:tblPr>
        <w:tblW w:w="0" w:type="auto"/>
        <w:tblInd w:w="116" w:type="dxa"/>
        <w:tblLayout w:type="fixed"/>
        <w:tblCellMar>
          <w:left w:w="0" w:type="dxa"/>
          <w:right w:w="0" w:type="dxa"/>
        </w:tblCellMar>
        <w:tblLook w:val="01E0" w:firstRow="1" w:lastRow="1" w:firstColumn="1" w:lastColumn="1" w:noHBand="0" w:noVBand="0"/>
      </w:tblPr>
      <w:tblGrid>
        <w:gridCol w:w="6223"/>
        <w:gridCol w:w="1705"/>
        <w:gridCol w:w="1710"/>
      </w:tblGrid>
      <w:tr w:rsidR="006F3ED5" w:rsidRPr="00B63285" w:rsidTr="00B01ABB">
        <w:trPr>
          <w:trHeight w:val="20"/>
        </w:trPr>
        <w:tc>
          <w:tcPr>
            <w:tcW w:w="9638"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3.6a. Total number of fatalities amongst other persons by type of accident, divided into the following categories</w:t>
            </w:r>
          </w:p>
        </w:tc>
      </w:tr>
      <w:tr w:rsidR="006F3ED5" w:rsidRPr="006A2FC1" w:rsidTr="00B01ABB">
        <w:trPr>
          <w:trHeight w:val="20"/>
        </w:trPr>
        <w:tc>
          <w:tcPr>
            <w:tcW w:w="6223"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6"/>
              <w:ind w:left="23"/>
              <w:rPr>
                <w:rFonts w:ascii="Arial" w:eastAsia="Arial" w:hAnsi="Arial" w:cs="Arial"/>
                <w:sz w:val="18"/>
                <w:szCs w:val="18"/>
              </w:rPr>
            </w:pPr>
            <w:r>
              <w:rPr>
                <w:rFonts w:ascii="Arial" w:hAnsi="Arial"/>
                <w:sz w:val="18"/>
              </w:rPr>
              <w:t>Total for all accidents</w:t>
            </w:r>
          </w:p>
        </w:tc>
        <w:tc>
          <w:tcPr>
            <w:tcW w:w="1705"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79" w:line="200" w:lineRule="exact"/>
              <w:ind w:left="23" w:right="494"/>
              <w:rPr>
                <w:rFonts w:ascii="Arial" w:eastAsia="Arial" w:hAnsi="Arial" w:cs="Arial"/>
                <w:sz w:val="18"/>
                <w:szCs w:val="18"/>
              </w:rPr>
            </w:pPr>
            <w:r>
              <w:rPr>
                <w:rFonts w:ascii="Arial" w:hAnsi="Arial"/>
                <w:sz w:val="18"/>
              </w:rPr>
              <w:t>Train collisions, including collisions with obstacles within the clearance gauge</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Derailments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Accidents at LCs, including those involving pedestrians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6" w:line="200" w:lineRule="exact"/>
              <w:ind w:left="23" w:right="39"/>
              <w:rPr>
                <w:rFonts w:ascii="Arial" w:eastAsia="Arial" w:hAnsi="Arial" w:cs="Arial"/>
                <w:sz w:val="18"/>
                <w:szCs w:val="18"/>
              </w:rPr>
            </w:pPr>
            <w:r>
              <w:rPr>
                <w:rFonts w:ascii="Arial" w:hAnsi="Arial"/>
                <w:sz w:val="18"/>
              </w:rPr>
              <w:t>Accidents between persons and rolling stock in motion, excluding suicides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Fires on rolling stock</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3"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Other accidents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bl>
    <w:p w:rsidR="006F3ED5" w:rsidRPr="006A2FC1" w:rsidRDefault="006F3ED5">
      <w:pPr>
        <w:spacing w:before="19" w:line="280" w:lineRule="exact"/>
        <w:rPr>
          <w:sz w:val="28"/>
          <w:szCs w:val="28"/>
        </w:rPr>
      </w:pPr>
    </w:p>
    <w:tbl>
      <w:tblPr>
        <w:tblW w:w="0" w:type="auto"/>
        <w:tblInd w:w="116" w:type="dxa"/>
        <w:tblLayout w:type="fixed"/>
        <w:tblCellMar>
          <w:left w:w="0" w:type="dxa"/>
          <w:right w:w="0" w:type="dxa"/>
        </w:tblCellMar>
        <w:tblLook w:val="01E0" w:firstRow="1" w:lastRow="1" w:firstColumn="1" w:lastColumn="1" w:noHBand="0" w:noVBand="0"/>
      </w:tblPr>
      <w:tblGrid>
        <w:gridCol w:w="6228"/>
        <w:gridCol w:w="1700"/>
        <w:gridCol w:w="1710"/>
      </w:tblGrid>
      <w:tr w:rsidR="006F3ED5" w:rsidRPr="00B63285" w:rsidTr="00B01ABB">
        <w:trPr>
          <w:trHeight w:val="20"/>
        </w:trPr>
        <w:tc>
          <w:tcPr>
            <w:tcW w:w="9638"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4.1a. Total number of accident precursors and breakdown by type</w:t>
            </w:r>
          </w:p>
        </w:tc>
      </w:tr>
      <w:tr w:rsidR="006F3ED5" w:rsidRPr="006A2FC1" w:rsidTr="00B01ABB">
        <w:trPr>
          <w:trHeight w:val="20"/>
        </w:trPr>
        <w:tc>
          <w:tcPr>
            <w:tcW w:w="6228"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6"/>
              <w:ind w:left="23"/>
              <w:rPr>
                <w:rFonts w:ascii="Arial" w:eastAsia="Arial" w:hAnsi="Arial" w:cs="Arial"/>
                <w:sz w:val="18"/>
                <w:szCs w:val="18"/>
              </w:rPr>
            </w:pPr>
            <w:r>
              <w:rPr>
                <w:rFonts w:ascii="Arial" w:hAnsi="Arial"/>
                <w:sz w:val="18"/>
              </w:rPr>
              <w:t>Total for all accident precursors</w:t>
            </w:r>
          </w:p>
        </w:tc>
        <w:tc>
          <w:tcPr>
            <w:tcW w:w="170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231</w:t>
            </w:r>
          </w:p>
        </w:tc>
        <w:tc>
          <w:tcPr>
            <w:tcW w:w="1709"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42"/>
              <w:ind w:left="636" w:right="636"/>
              <w:jc w:val="center"/>
              <w:rPr>
                <w:rFonts w:ascii="Arial" w:eastAsia="Arial" w:hAnsi="Arial" w:cs="Arial"/>
                <w:sz w:val="18"/>
                <w:szCs w:val="18"/>
              </w:rPr>
            </w:pPr>
            <w:r>
              <w:rPr>
                <w:rFonts w:ascii="Arial" w:hAnsi="Arial"/>
                <w:b/>
                <w:i/>
                <w:sz w:val="18"/>
              </w:rPr>
              <w:t>6.35</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1"/>
              <w:ind w:left="23"/>
              <w:rPr>
                <w:rFonts w:ascii="Arial" w:eastAsia="Arial" w:hAnsi="Arial" w:cs="Arial"/>
                <w:sz w:val="18"/>
                <w:szCs w:val="18"/>
              </w:rPr>
            </w:pPr>
            <w:r>
              <w:rPr>
                <w:rFonts w:ascii="Arial" w:hAnsi="Arial"/>
                <w:sz w:val="18"/>
              </w:rPr>
              <w:t>Broken rails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52</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636" w:right="635"/>
              <w:jc w:val="center"/>
              <w:rPr>
                <w:rFonts w:ascii="Arial" w:eastAsia="Arial" w:hAnsi="Arial" w:cs="Arial"/>
                <w:sz w:val="18"/>
                <w:szCs w:val="18"/>
              </w:rPr>
            </w:pPr>
            <w:r>
              <w:rPr>
                <w:rFonts w:ascii="Arial" w:hAnsi="Arial"/>
                <w:b/>
                <w:i/>
                <w:sz w:val="18"/>
              </w:rPr>
              <w:t>1.43</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Track buckles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146</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636" w:right="636"/>
              <w:jc w:val="center"/>
              <w:rPr>
                <w:rFonts w:ascii="Arial" w:eastAsia="Arial" w:hAnsi="Arial" w:cs="Arial"/>
                <w:sz w:val="18"/>
                <w:szCs w:val="18"/>
              </w:rPr>
            </w:pPr>
            <w:r>
              <w:rPr>
                <w:rFonts w:ascii="Arial" w:hAnsi="Arial"/>
                <w:b/>
                <w:i/>
                <w:sz w:val="18"/>
              </w:rPr>
              <w:t>4.01</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55"/>
              <w:ind w:left="23"/>
              <w:rPr>
                <w:rFonts w:ascii="Arial" w:eastAsia="Arial" w:hAnsi="Arial" w:cs="Arial"/>
                <w:sz w:val="18"/>
                <w:szCs w:val="18"/>
              </w:rPr>
            </w:pPr>
            <w:r>
              <w:rPr>
                <w:rFonts w:ascii="Arial" w:hAnsi="Arial"/>
                <w:sz w:val="18"/>
              </w:rPr>
              <w:t>Wrong-side signalling failures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Signals passed at danger (SPAD)</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30</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637" w:right="637"/>
              <w:jc w:val="center"/>
              <w:rPr>
                <w:rFonts w:ascii="Arial" w:eastAsia="Arial" w:hAnsi="Arial" w:cs="Arial"/>
                <w:sz w:val="18"/>
                <w:szCs w:val="18"/>
              </w:rPr>
            </w:pPr>
            <w:r>
              <w:rPr>
                <w:rFonts w:ascii="Arial" w:hAnsi="Arial"/>
                <w:b/>
                <w:i/>
                <w:sz w:val="18"/>
              </w:rPr>
              <w:t>0.82</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Broken wheels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1</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636" w:right="636"/>
              <w:jc w:val="center"/>
              <w:rPr>
                <w:rFonts w:ascii="Arial" w:eastAsia="Arial" w:hAnsi="Arial" w:cs="Arial"/>
                <w:sz w:val="18"/>
                <w:szCs w:val="18"/>
              </w:rPr>
            </w:pPr>
            <w:r>
              <w:rPr>
                <w:rFonts w:ascii="Arial" w:hAnsi="Arial"/>
                <w:b/>
                <w:i/>
                <w:sz w:val="18"/>
              </w:rPr>
              <w:t>0.03</w:t>
            </w:r>
          </w:p>
        </w:tc>
      </w:tr>
      <w:tr w:rsidR="006F3ED5" w:rsidRPr="006A2FC1" w:rsidTr="00B01ABB">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1"/>
              <w:ind w:left="23"/>
              <w:rPr>
                <w:rFonts w:ascii="Arial" w:eastAsia="Arial" w:hAnsi="Arial" w:cs="Arial"/>
                <w:sz w:val="18"/>
                <w:szCs w:val="18"/>
              </w:rPr>
            </w:pPr>
            <w:r>
              <w:rPr>
                <w:rFonts w:ascii="Arial" w:hAnsi="Arial"/>
                <w:sz w:val="18"/>
              </w:rPr>
              <w:t>Broken axles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B01ABB">
            <w:pPr>
              <w:pStyle w:val="DoNotTranslateExternal3"/>
            </w:pPr>
            <w:r>
              <w:t>2</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636" w:right="636"/>
              <w:jc w:val="center"/>
              <w:rPr>
                <w:rFonts w:ascii="Arial" w:eastAsia="Arial" w:hAnsi="Arial" w:cs="Arial"/>
                <w:sz w:val="18"/>
                <w:szCs w:val="18"/>
              </w:rPr>
            </w:pPr>
            <w:r>
              <w:rPr>
                <w:rFonts w:ascii="Arial" w:hAnsi="Arial"/>
                <w:b/>
                <w:i/>
                <w:sz w:val="18"/>
              </w:rPr>
              <w:t>0.05</w:t>
            </w:r>
          </w:p>
        </w:tc>
      </w:tr>
    </w:tbl>
    <w:p w:rsidR="006F3ED5" w:rsidRPr="006A2FC1" w:rsidRDefault="006F3ED5">
      <w:pPr>
        <w:spacing w:before="4" w:line="100" w:lineRule="exact"/>
        <w:rPr>
          <w:sz w:val="10"/>
          <w:szCs w:val="10"/>
        </w:rPr>
      </w:pPr>
    </w:p>
    <w:p w:rsidR="006F3ED5" w:rsidRPr="006A2FC1" w:rsidRDefault="006F3ED5">
      <w:pPr>
        <w:spacing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6252"/>
        <w:gridCol w:w="1671"/>
        <w:gridCol w:w="1739"/>
      </w:tblGrid>
      <w:tr w:rsidR="006F3ED5" w:rsidRPr="00B63285" w:rsidTr="00B01ABB">
        <w:trPr>
          <w:trHeight w:val="20"/>
        </w:trPr>
        <w:tc>
          <w:tcPr>
            <w:tcW w:w="9662"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5.1a. Cost of significant accidents in Euros</w:t>
            </w:r>
          </w:p>
        </w:tc>
      </w:tr>
      <w:tr w:rsidR="006F3ED5" w:rsidRPr="006A2FC1" w:rsidTr="00B01ABB">
        <w:trPr>
          <w:trHeight w:val="20"/>
        </w:trPr>
        <w:tc>
          <w:tcPr>
            <w:tcW w:w="6252"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1"/>
              <w:ind w:left="23"/>
              <w:rPr>
                <w:rFonts w:ascii="Arial" w:eastAsia="Arial" w:hAnsi="Arial" w:cs="Arial"/>
                <w:sz w:val="18"/>
                <w:szCs w:val="18"/>
              </w:rPr>
            </w:pPr>
            <w:r>
              <w:rPr>
                <w:rFonts w:ascii="Arial" w:hAnsi="Arial"/>
                <w:sz w:val="18"/>
              </w:rPr>
              <w:t>Total cost</w:t>
            </w:r>
          </w:p>
        </w:tc>
        <w:tc>
          <w:tcPr>
            <w:tcW w:w="1671"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37"/>
              <w:ind w:left="292"/>
              <w:rPr>
                <w:rFonts w:ascii="Arial" w:eastAsia="Arial" w:hAnsi="Arial" w:cs="Arial"/>
                <w:sz w:val="18"/>
                <w:szCs w:val="18"/>
              </w:rPr>
            </w:pPr>
            <w:r>
              <w:rPr>
                <w:rFonts w:ascii="Arial" w:hAnsi="Arial"/>
                <w:b/>
                <w:i/>
                <w:sz w:val="18"/>
              </w:rPr>
              <w:t>EUR 21 446 053</w:t>
            </w:r>
          </w:p>
        </w:tc>
        <w:tc>
          <w:tcPr>
            <w:tcW w:w="1738"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37"/>
              <w:ind w:left="354"/>
              <w:rPr>
                <w:rFonts w:ascii="Arial" w:eastAsia="Arial" w:hAnsi="Arial" w:cs="Arial"/>
                <w:sz w:val="18"/>
                <w:szCs w:val="18"/>
              </w:rPr>
            </w:pPr>
            <w:r>
              <w:rPr>
                <w:rFonts w:ascii="Arial" w:hAnsi="Arial"/>
                <w:b/>
                <w:i/>
                <w:sz w:val="18"/>
              </w:rPr>
              <w:t>€610 692.25</w:t>
            </w:r>
          </w:p>
        </w:tc>
      </w:tr>
      <w:tr w:rsidR="006F3ED5" w:rsidRPr="006A2FC1" w:rsidTr="00B01ABB">
        <w:trPr>
          <w:trHeight w:val="20"/>
        </w:trPr>
        <w:tc>
          <w:tcPr>
            <w:tcW w:w="625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Number of fatalities x VPC (fatality)</w:t>
            </w:r>
          </w:p>
        </w:tc>
        <w:tc>
          <w:tcPr>
            <w:tcW w:w="1671"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292"/>
              <w:rPr>
                <w:rFonts w:ascii="Arial" w:eastAsia="Arial" w:hAnsi="Arial" w:cs="Arial"/>
                <w:sz w:val="18"/>
                <w:szCs w:val="18"/>
              </w:rPr>
            </w:pPr>
            <w:r>
              <w:rPr>
                <w:rFonts w:ascii="Arial" w:hAnsi="Arial"/>
                <w:b/>
                <w:sz w:val="18"/>
              </w:rPr>
              <w:t>€17 725 044</w:t>
            </w:r>
          </w:p>
        </w:tc>
        <w:tc>
          <w:tcPr>
            <w:tcW w:w="1738"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354"/>
              <w:rPr>
                <w:rFonts w:ascii="Arial" w:eastAsia="Arial" w:hAnsi="Arial" w:cs="Arial"/>
                <w:sz w:val="18"/>
                <w:szCs w:val="18"/>
              </w:rPr>
            </w:pPr>
            <w:r>
              <w:rPr>
                <w:rFonts w:ascii="Arial" w:hAnsi="Arial"/>
                <w:b/>
                <w:i/>
                <w:sz w:val="18"/>
              </w:rPr>
              <w:t>€487 406.66</w:t>
            </w:r>
          </w:p>
        </w:tc>
      </w:tr>
      <w:tr w:rsidR="006F3ED5" w:rsidRPr="006A2FC1" w:rsidTr="00B01ABB">
        <w:trPr>
          <w:trHeight w:val="20"/>
        </w:trPr>
        <w:tc>
          <w:tcPr>
            <w:tcW w:w="625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Number of serious injuries x VPC (serious injury)</w:t>
            </w:r>
          </w:p>
        </w:tc>
        <w:tc>
          <w:tcPr>
            <w:tcW w:w="1671" w:type="dxa"/>
            <w:tcBorders>
              <w:top w:val="single" w:sz="12" w:space="0" w:color="C2D59A"/>
              <w:left w:val="single" w:sz="5" w:space="0" w:color="000000"/>
              <w:bottom w:val="single" w:sz="13" w:space="0" w:color="C2D59A"/>
              <w:right w:val="single" w:sz="5" w:space="0" w:color="000000"/>
            </w:tcBorders>
            <w:shd w:val="clear" w:color="auto" w:fill="C2D59A"/>
          </w:tcPr>
          <w:p w:rsidR="006F3ED5" w:rsidRPr="006A2FC1" w:rsidRDefault="00B65BEC">
            <w:pPr>
              <w:spacing w:before="27"/>
              <w:ind w:left="393"/>
              <w:rPr>
                <w:rFonts w:ascii="Arial" w:eastAsia="Arial" w:hAnsi="Arial" w:cs="Arial"/>
                <w:sz w:val="18"/>
                <w:szCs w:val="18"/>
              </w:rPr>
            </w:pPr>
            <w:r>
              <w:rPr>
                <w:rFonts w:ascii="Arial" w:hAnsi="Arial"/>
                <w:b/>
                <w:sz w:val="18"/>
              </w:rPr>
              <w:t>€2 620 244</w:t>
            </w:r>
          </w:p>
        </w:tc>
        <w:tc>
          <w:tcPr>
            <w:tcW w:w="1738" w:type="dxa"/>
            <w:tcBorders>
              <w:top w:val="single" w:sz="12" w:space="0" w:color="C2D59A"/>
              <w:left w:val="single" w:sz="5" w:space="0" w:color="000000"/>
              <w:bottom w:val="single" w:sz="13" w:space="0" w:color="C2D59A"/>
              <w:right w:val="single" w:sz="5" w:space="0" w:color="000000"/>
            </w:tcBorders>
            <w:shd w:val="clear" w:color="auto" w:fill="C2D59A"/>
          </w:tcPr>
          <w:p w:rsidR="006F3ED5" w:rsidRPr="006A2FC1" w:rsidRDefault="00B65BEC">
            <w:pPr>
              <w:spacing w:before="27"/>
              <w:ind w:left="455"/>
              <w:rPr>
                <w:rFonts w:ascii="Arial" w:eastAsia="Arial" w:hAnsi="Arial" w:cs="Arial"/>
                <w:sz w:val="18"/>
                <w:szCs w:val="18"/>
              </w:rPr>
            </w:pPr>
            <w:r>
              <w:rPr>
                <w:rFonts w:ascii="Arial" w:hAnsi="Arial"/>
                <w:b/>
                <w:i/>
                <w:sz w:val="18"/>
              </w:rPr>
              <w:t>€72 051.97</w:t>
            </w:r>
          </w:p>
        </w:tc>
      </w:tr>
      <w:tr w:rsidR="006F3ED5" w:rsidRPr="006A2FC1" w:rsidTr="00B01ABB">
        <w:trPr>
          <w:trHeight w:val="20"/>
        </w:trPr>
        <w:tc>
          <w:tcPr>
            <w:tcW w:w="625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83" w:line="200" w:lineRule="exact"/>
              <w:ind w:left="23" w:right="170"/>
              <w:rPr>
                <w:rFonts w:ascii="Arial" w:eastAsia="Arial" w:hAnsi="Arial" w:cs="Arial"/>
                <w:sz w:val="18"/>
                <w:szCs w:val="18"/>
              </w:rPr>
            </w:pPr>
            <w:r>
              <w:rPr>
                <w:rFonts w:ascii="Arial" w:hAnsi="Arial"/>
                <w:sz w:val="18"/>
              </w:rPr>
              <w:t>Cost of replacement or repair of damaged rolling stock or infrastructure</w:t>
            </w:r>
          </w:p>
        </w:tc>
        <w:tc>
          <w:tcPr>
            <w:tcW w:w="1671" w:type="dxa"/>
            <w:tcBorders>
              <w:top w:val="single" w:sz="13" w:space="0" w:color="C2D59A"/>
              <w:left w:val="single" w:sz="5" w:space="0" w:color="000000"/>
              <w:bottom w:val="single" w:sz="12" w:space="0" w:color="C2D59A"/>
              <w:right w:val="single" w:sz="5" w:space="0" w:color="000000"/>
            </w:tcBorders>
            <w:shd w:val="clear" w:color="auto" w:fill="C2D59A"/>
          </w:tcPr>
          <w:p w:rsidR="006F3ED5" w:rsidRPr="006A2FC1" w:rsidRDefault="006F3ED5">
            <w:pPr>
              <w:spacing w:before="7" w:line="120" w:lineRule="exact"/>
              <w:rPr>
                <w:sz w:val="13"/>
                <w:szCs w:val="13"/>
              </w:rPr>
            </w:pPr>
          </w:p>
          <w:p w:rsidR="006F3ED5" w:rsidRPr="006A2FC1" w:rsidRDefault="00B65BEC">
            <w:pPr>
              <w:ind w:left="542"/>
              <w:rPr>
                <w:rFonts w:ascii="Arial" w:eastAsia="Arial" w:hAnsi="Arial" w:cs="Arial"/>
                <w:sz w:val="18"/>
                <w:szCs w:val="18"/>
              </w:rPr>
            </w:pPr>
            <w:r>
              <w:rPr>
                <w:rFonts w:ascii="Arial" w:hAnsi="Arial"/>
                <w:b/>
                <w:i/>
                <w:sz w:val="18"/>
              </w:rPr>
              <w:t>€844 784</w:t>
            </w:r>
          </w:p>
        </w:tc>
        <w:tc>
          <w:tcPr>
            <w:tcW w:w="1738" w:type="dxa"/>
            <w:tcBorders>
              <w:top w:val="single" w:sz="13" w:space="0" w:color="C2D59A"/>
              <w:left w:val="single" w:sz="5" w:space="0" w:color="000000"/>
              <w:bottom w:val="single" w:sz="12" w:space="0" w:color="C2D59A"/>
              <w:right w:val="single" w:sz="5" w:space="0" w:color="000000"/>
            </w:tcBorders>
            <w:shd w:val="clear" w:color="auto" w:fill="C2D59A"/>
          </w:tcPr>
          <w:p w:rsidR="006F3ED5" w:rsidRPr="006A2FC1" w:rsidRDefault="006F3ED5">
            <w:pPr>
              <w:spacing w:before="7" w:line="120" w:lineRule="exact"/>
              <w:rPr>
                <w:sz w:val="13"/>
                <w:szCs w:val="13"/>
              </w:rPr>
            </w:pPr>
          </w:p>
          <w:p w:rsidR="006F3ED5" w:rsidRPr="006A2FC1" w:rsidRDefault="00B65BEC">
            <w:pPr>
              <w:ind w:left="455"/>
              <w:rPr>
                <w:rFonts w:ascii="Arial" w:eastAsia="Arial" w:hAnsi="Arial" w:cs="Arial"/>
                <w:sz w:val="18"/>
                <w:szCs w:val="18"/>
              </w:rPr>
            </w:pPr>
            <w:r>
              <w:rPr>
                <w:rFonts w:ascii="Arial" w:hAnsi="Arial"/>
                <w:b/>
                <w:i/>
                <w:sz w:val="18"/>
              </w:rPr>
              <w:t>€23 230.03</w:t>
            </w:r>
          </w:p>
        </w:tc>
      </w:tr>
      <w:tr w:rsidR="006F3ED5" w:rsidRPr="006A2FC1" w:rsidTr="00B01ABB">
        <w:trPr>
          <w:trHeight w:val="20"/>
        </w:trPr>
        <w:tc>
          <w:tcPr>
            <w:tcW w:w="625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Cost of damage to the environment</w:t>
            </w:r>
          </w:p>
        </w:tc>
        <w:tc>
          <w:tcPr>
            <w:tcW w:w="1671"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right="311"/>
              <w:jc w:val="right"/>
              <w:rPr>
                <w:rFonts w:ascii="Arial" w:eastAsia="Arial" w:hAnsi="Arial" w:cs="Arial"/>
                <w:sz w:val="18"/>
                <w:szCs w:val="18"/>
              </w:rPr>
            </w:pPr>
            <w:r>
              <w:rPr>
                <w:rFonts w:ascii="Arial" w:hAnsi="Arial"/>
                <w:b/>
                <w:i/>
                <w:sz w:val="18"/>
              </w:rPr>
              <w:t>- €</w:t>
            </w:r>
          </w:p>
        </w:tc>
        <w:tc>
          <w:tcPr>
            <w:tcW w:w="1738"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1099"/>
              <w:rPr>
                <w:rFonts w:ascii="Arial" w:eastAsia="Arial" w:hAnsi="Arial" w:cs="Arial"/>
                <w:sz w:val="18"/>
                <w:szCs w:val="18"/>
              </w:rPr>
            </w:pPr>
            <w:r>
              <w:rPr>
                <w:rFonts w:ascii="Arial" w:hAnsi="Arial"/>
                <w:b/>
                <w:i/>
                <w:sz w:val="18"/>
              </w:rPr>
              <w:t>- €</w:t>
            </w:r>
          </w:p>
        </w:tc>
      </w:tr>
      <w:tr w:rsidR="006F3ED5" w:rsidRPr="006A2FC1" w:rsidTr="00B01ABB">
        <w:trPr>
          <w:trHeight w:val="20"/>
        </w:trPr>
        <w:tc>
          <w:tcPr>
            <w:tcW w:w="6252"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Cost of delays due to accidents</w:t>
            </w:r>
          </w:p>
        </w:tc>
        <w:tc>
          <w:tcPr>
            <w:tcW w:w="1671"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542"/>
              <w:rPr>
                <w:rFonts w:ascii="Arial" w:eastAsia="Arial" w:hAnsi="Arial" w:cs="Arial"/>
                <w:sz w:val="18"/>
                <w:szCs w:val="18"/>
              </w:rPr>
            </w:pPr>
            <w:r>
              <w:rPr>
                <w:rFonts w:ascii="Arial" w:hAnsi="Arial"/>
                <w:b/>
                <w:i/>
                <w:sz w:val="18"/>
              </w:rPr>
              <w:t>€255 981</w:t>
            </w:r>
          </w:p>
        </w:tc>
        <w:tc>
          <w:tcPr>
            <w:tcW w:w="1738"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455"/>
              <w:rPr>
                <w:rFonts w:ascii="Arial" w:eastAsia="Arial" w:hAnsi="Arial" w:cs="Arial"/>
                <w:sz w:val="18"/>
                <w:szCs w:val="18"/>
              </w:rPr>
            </w:pPr>
            <w:r>
              <w:rPr>
                <w:rFonts w:ascii="Arial" w:hAnsi="Arial"/>
                <w:b/>
                <w:i/>
                <w:sz w:val="18"/>
              </w:rPr>
              <w:t>€28 003.59</w:t>
            </w:r>
          </w:p>
        </w:tc>
      </w:tr>
    </w:tbl>
    <w:p w:rsidR="006F3ED5" w:rsidRPr="006A2FC1" w:rsidRDefault="006F3ED5">
      <w:pPr>
        <w:spacing w:before="4" w:line="140" w:lineRule="exact"/>
        <w:rPr>
          <w:sz w:val="14"/>
          <w:szCs w:val="14"/>
        </w:rPr>
      </w:pPr>
    </w:p>
    <w:p w:rsidR="006F3ED5" w:rsidRPr="006A2FC1" w:rsidRDefault="006F3ED5">
      <w:pPr>
        <w:spacing w:line="200" w:lineRule="exact"/>
      </w:pPr>
    </w:p>
    <w:p w:rsidR="00292DF0" w:rsidRDefault="00292DF0">
      <w:r>
        <w:br w:type="page"/>
      </w:r>
    </w:p>
    <w:p w:rsidR="006F3ED5" w:rsidRPr="006A2FC1" w:rsidRDefault="006F3ED5">
      <w:pPr>
        <w:spacing w:line="200" w:lineRule="exact"/>
      </w:pPr>
    </w:p>
    <w:tbl>
      <w:tblPr>
        <w:tblW w:w="0" w:type="auto"/>
        <w:tblInd w:w="106" w:type="dxa"/>
        <w:tblLayout w:type="fixed"/>
        <w:tblCellMar>
          <w:left w:w="0" w:type="dxa"/>
          <w:right w:w="0" w:type="dxa"/>
        </w:tblCellMar>
        <w:tblLook w:val="01E0" w:firstRow="1" w:lastRow="1" w:firstColumn="1" w:lastColumn="1" w:noHBand="0" w:noVBand="0"/>
      </w:tblPr>
      <w:tblGrid>
        <w:gridCol w:w="7957"/>
        <w:gridCol w:w="1705"/>
      </w:tblGrid>
      <w:tr w:rsidR="006F3ED5" w:rsidRPr="00B63285" w:rsidTr="00B01ABB">
        <w:trPr>
          <w:trHeight w:val="20"/>
        </w:trPr>
        <w:tc>
          <w:tcPr>
            <w:tcW w:w="9662" w:type="dxa"/>
            <w:gridSpan w:val="2"/>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6.1a. Indicators relative to technical safety of the infrastructure and its implementation</w:t>
            </w:r>
          </w:p>
        </w:tc>
      </w:tr>
      <w:tr w:rsidR="006F3ED5" w:rsidRPr="006A2FC1" w:rsidTr="00B01ABB">
        <w:trPr>
          <w:trHeight w:val="20"/>
        </w:trPr>
        <w:tc>
          <w:tcPr>
            <w:tcW w:w="7957"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5"/>
              <w:ind w:left="23"/>
              <w:rPr>
                <w:rFonts w:ascii="Arial" w:eastAsia="Arial" w:hAnsi="Arial" w:cs="Arial"/>
                <w:sz w:val="18"/>
                <w:szCs w:val="18"/>
              </w:rPr>
            </w:pPr>
            <w:r>
              <w:rPr>
                <w:rFonts w:ascii="Arial" w:hAnsi="Arial"/>
                <w:sz w:val="18"/>
              </w:rPr>
              <w:t>% of lines that have Automatic Train Protection (ATP) in operation</w:t>
            </w:r>
          </w:p>
        </w:tc>
        <w:tc>
          <w:tcPr>
            <w:tcW w:w="1705"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41"/>
              <w:ind w:left="926"/>
              <w:rPr>
                <w:rFonts w:ascii="Arial" w:eastAsia="Arial" w:hAnsi="Arial" w:cs="Arial"/>
                <w:sz w:val="18"/>
                <w:szCs w:val="18"/>
              </w:rPr>
            </w:pPr>
            <w:r>
              <w:rPr>
                <w:rFonts w:ascii="Arial" w:hAnsi="Arial"/>
                <w:b/>
                <w:i/>
                <w:sz w:val="18"/>
              </w:rPr>
              <w:t>66.59%</w:t>
            </w:r>
          </w:p>
        </w:tc>
      </w:tr>
      <w:tr w:rsidR="006F3ED5" w:rsidRPr="006A2FC1" w:rsidTr="00B01ABB">
        <w:trPr>
          <w:trHeight w:val="20"/>
        </w:trPr>
        <w:tc>
          <w:tcPr>
            <w:tcW w:w="795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 of train-kilometres travelled using operational ATP systems</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926"/>
              <w:rPr>
                <w:rFonts w:ascii="Arial" w:eastAsia="Arial" w:hAnsi="Arial" w:cs="Arial"/>
                <w:sz w:val="18"/>
                <w:szCs w:val="18"/>
              </w:rPr>
            </w:pPr>
            <w:r>
              <w:rPr>
                <w:rFonts w:ascii="Arial" w:hAnsi="Arial"/>
                <w:b/>
                <w:i/>
                <w:sz w:val="18"/>
              </w:rPr>
              <w:t>88.04%</w:t>
            </w:r>
          </w:p>
        </w:tc>
      </w:tr>
      <w:tr w:rsidR="006F3ED5" w:rsidRPr="006A2FC1" w:rsidTr="00B01ABB">
        <w:trPr>
          <w:trHeight w:val="20"/>
        </w:trPr>
        <w:tc>
          <w:tcPr>
            <w:tcW w:w="795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Total number of LCs (active + passive)</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right="153"/>
              <w:jc w:val="right"/>
              <w:rPr>
                <w:rFonts w:ascii="Arial" w:eastAsia="Arial" w:hAnsi="Arial" w:cs="Arial"/>
                <w:sz w:val="18"/>
                <w:szCs w:val="18"/>
              </w:rPr>
            </w:pPr>
            <w:r>
              <w:rPr>
                <w:rFonts w:ascii="Arial" w:hAnsi="Arial"/>
                <w:b/>
                <w:i/>
                <w:sz w:val="18"/>
              </w:rPr>
              <w:t>856</w:t>
            </w:r>
          </w:p>
        </w:tc>
      </w:tr>
    </w:tbl>
    <w:p w:rsidR="006F3ED5" w:rsidRPr="006A2FC1" w:rsidRDefault="006F3ED5">
      <w:pPr>
        <w:spacing w:before="19" w:line="280" w:lineRule="exact"/>
        <w:rPr>
          <w:sz w:val="28"/>
          <w:szCs w:val="28"/>
        </w:rPr>
      </w:pPr>
    </w:p>
    <w:p w:rsidR="006F3ED5" w:rsidRPr="006A2FC1" w:rsidRDefault="006F3ED5">
      <w:pPr>
        <w:spacing w:line="200" w:lineRule="exact"/>
      </w:pPr>
    </w:p>
    <w:p w:rsidR="006F3ED5" w:rsidRPr="006A2FC1" w:rsidRDefault="006F3ED5">
      <w:pPr>
        <w:spacing w:before="18" w:line="220" w:lineRule="exact"/>
        <w:rPr>
          <w:sz w:val="22"/>
          <w:szCs w:val="22"/>
        </w:rPr>
      </w:pPr>
    </w:p>
    <w:tbl>
      <w:tblPr>
        <w:tblW w:w="0" w:type="auto"/>
        <w:tblInd w:w="106" w:type="dxa"/>
        <w:tblLayout w:type="fixed"/>
        <w:tblCellMar>
          <w:left w:w="0" w:type="dxa"/>
          <w:right w:w="0" w:type="dxa"/>
        </w:tblCellMar>
        <w:tblLook w:val="01E0" w:firstRow="1" w:lastRow="1" w:firstColumn="1" w:lastColumn="1" w:noHBand="0" w:noVBand="0"/>
      </w:tblPr>
      <w:tblGrid>
        <w:gridCol w:w="7957"/>
        <w:gridCol w:w="1705"/>
      </w:tblGrid>
      <w:tr w:rsidR="006F3ED5" w:rsidRPr="00B63285" w:rsidTr="001B7152">
        <w:trPr>
          <w:trHeight w:val="20"/>
        </w:trPr>
        <w:tc>
          <w:tcPr>
            <w:tcW w:w="9662" w:type="dxa"/>
            <w:gridSpan w:val="2"/>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6.1a. Indicators relative to technical safety of the infrastructure and its implementation</w:t>
            </w:r>
          </w:p>
        </w:tc>
      </w:tr>
      <w:tr w:rsidR="006F3ED5" w:rsidRPr="006A2FC1" w:rsidTr="001B7152">
        <w:trPr>
          <w:trHeight w:val="20"/>
        </w:trPr>
        <w:tc>
          <w:tcPr>
            <w:tcW w:w="7957"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13"/>
              <w:ind w:left="23"/>
              <w:rPr>
                <w:rFonts w:ascii="Arial" w:eastAsia="Arial" w:hAnsi="Arial" w:cs="Arial"/>
                <w:sz w:val="18"/>
                <w:szCs w:val="18"/>
              </w:rPr>
            </w:pPr>
            <w:r>
              <w:rPr>
                <w:rFonts w:ascii="Arial" w:hAnsi="Arial"/>
                <w:sz w:val="18"/>
              </w:rPr>
              <w:t>Total number of LCs (active + passive) per km of track</w:t>
            </w:r>
          </w:p>
        </w:tc>
        <w:tc>
          <w:tcPr>
            <w:tcW w:w="1705"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13"/>
              <w:ind w:left="1089"/>
              <w:rPr>
                <w:rFonts w:ascii="Arial" w:eastAsia="Arial" w:hAnsi="Arial" w:cs="Arial"/>
                <w:sz w:val="18"/>
                <w:szCs w:val="18"/>
              </w:rPr>
            </w:pPr>
            <w:r>
              <w:rPr>
                <w:rFonts w:ascii="Arial" w:hAnsi="Arial"/>
                <w:b/>
                <w:i/>
                <w:sz w:val="18"/>
              </w:rPr>
              <w:t>0.263</w:t>
            </w:r>
          </w:p>
        </w:tc>
      </w:tr>
      <w:tr w:rsidR="006F3ED5" w:rsidRPr="006A2FC1" w:rsidTr="001B7152">
        <w:trPr>
          <w:trHeight w:val="20"/>
        </w:trPr>
        <w:tc>
          <w:tcPr>
            <w:tcW w:w="795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Total number of LCs (active + passive) per km of line</w:t>
            </w:r>
          </w:p>
        </w:tc>
        <w:tc>
          <w:tcPr>
            <w:tcW w:w="1705"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1089"/>
              <w:rPr>
                <w:rFonts w:ascii="Arial" w:eastAsia="Arial" w:hAnsi="Arial" w:cs="Arial"/>
                <w:sz w:val="18"/>
                <w:szCs w:val="18"/>
              </w:rPr>
            </w:pPr>
            <w:r>
              <w:rPr>
                <w:rFonts w:ascii="Arial" w:hAnsi="Arial"/>
                <w:b/>
                <w:i/>
                <w:sz w:val="18"/>
              </w:rPr>
              <w:t>0.336</w:t>
            </w:r>
          </w:p>
        </w:tc>
      </w:tr>
    </w:tbl>
    <w:p w:rsidR="006F3ED5" w:rsidRPr="006A2FC1" w:rsidRDefault="006F3ED5">
      <w:pPr>
        <w:spacing w:before="4" w:line="100" w:lineRule="exact"/>
        <w:rPr>
          <w:sz w:val="10"/>
          <w:szCs w:val="10"/>
        </w:rPr>
      </w:pPr>
    </w:p>
    <w:p w:rsidR="006F3ED5" w:rsidRPr="006A2FC1" w:rsidRDefault="006F3ED5">
      <w:pPr>
        <w:spacing w:line="200" w:lineRule="exact"/>
      </w:pPr>
    </w:p>
    <w:tbl>
      <w:tblPr>
        <w:tblW w:w="0" w:type="auto"/>
        <w:tblInd w:w="116" w:type="dxa"/>
        <w:tblLayout w:type="fixed"/>
        <w:tblCellMar>
          <w:left w:w="0" w:type="dxa"/>
          <w:right w:w="0" w:type="dxa"/>
        </w:tblCellMar>
        <w:tblLook w:val="01E0" w:firstRow="1" w:lastRow="1" w:firstColumn="1" w:lastColumn="1" w:noHBand="0" w:noVBand="0"/>
      </w:tblPr>
      <w:tblGrid>
        <w:gridCol w:w="6223"/>
        <w:gridCol w:w="1705"/>
        <w:gridCol w:w="1710"/>
      </w:tblGrid>
      <w:tr w:rsidR="006F3ED5" w:rsidRPr="00B63285" w:rsidTr="001B7152">
        <w:trPr>
          <w:trHeight w:val="20"/>
        </w:trPr>
        <w:tc>
          <w:tcPr>
            <w:tcW w:w="9638"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Total number of LCs</w:t>
            </w:r>
          </w:p>
        </w:tc>
      </w:tr>
      <w:tr w:rsidR="006F3ED5" w:rsidRPr="006A2FC1" w:rsidTr="001B7152">
        <w:trPr>
          <w:trHeight w:val="20"/>
        </w:trPr>
        <w:tc>
          <w:tcPr>
            <w:tcW w:w="6223"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18"/>
              <w:ind w:left="23"/>
              <w:rPr>
                <w:rFonts w:ascii="Arial" w:eastAsia="Arial" w:hAnsi="Arial" w:cs="Arial"/>
                <w:sz w:val="18"/>
                <w:szCs w:val="18"/>
              </w:rPr>
            </w:pPr>
            <w:r>
              <w:rPr>
                <w:rFonts w:ascii="Arial" w:hAnsi="Arial"/>
                <w:sz w:val="18"/>
              </w:rPr>
              <w:t>Total of all LCs (active + passive)</w:t>
            </w:r>
          </w:p>
        </w:tc>
        <w:tc>
          <w:tcPr>
            <w:tcW w:w="1705"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856</w:t>
            </w:r>
          </w:p>
        </w:tc>
        <w:tc>
          <w:tcPr>
            <w:tcW w:w="1709"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18"/>
              <w:ind w:left="589" w:right="585"/>
              <w:jc w:val="center"/>
              <w:rPr>
                <w:rFonts w:ascii="Arial" w:eastAsia="Arial" w:hAnsi="Arial" w:cs="Arial"/>
                <w:sz w:val="18"/>
                <w:szCs w:val="18"/>
              </w:rPr>
            </w:pPr>
            <w:r>
              <w:rPr>
                <w:rFonts w:ascii="Arial" w:hAnsi="Arial"/>
                <w:b/>
                <w:i/>
                <w:sz w:val="18"/>
              </w:rPr>
              <w:t>23.54</w:t>
            </w:r>
          </w:p>
        </w:tc>
      </w:tr>
    </w:tbl>
    <w:p w:rsidR="006F3ED5" w:rsidRPr="006A2FC1" w:rsidRDefault="006F3ED5">
      <w:pPr>
        <w:spacing w:before="4" w:line="100" w:lineRule="exact"/>
        <w:rPr>
          <w:sz w:val="10"/>
          <w:szCs w:val="10"/>
        </w:rPr>
      </w:pPr>
    </w:p>
    <w:p w:rsidR="006F3ED5" w:rsidRPr="006A2FC1" w:rsidRDefault="006F3ED5">
      <w:pPr>
        <w:spacing w:line="200" w:lineRule="exact"/>
      </w:pPr>
    </w:p>
    <w:tbl>
      <w:tblPr>
        <w:tblW w:w="0" w:type="auto"/>
        <w:tblInd w:w="116" w:type="dxa"/>
        <w:tblLayout w:type="fixed"/>
        <w:tblCellMar>
          <w:left w:w="0" w:type="dxa"/>
          <w:right w:w="0" w:type="dxa"/>
        </w:tblCellMar>
        <w:tblLook w:val="01E0" w:firstRow="1" w:lastRow="1" w:firstColumn="1" w:lastColumn="1" w:noHBand="0" w:noVBand="0"/>
      </w:tblPr>
      <w:tblGrid>
        <w:gridCol w:w="6228"/>
        <w:gridCol w:w="1700"/>
        <w:gridCol w:w="1710"/>
      </w:tblGrid>
      <w:tr w:rsidR="006F3ED5" w:rsidRPr="006A2FC1" w:rsidTr="001B7152">
        <w:trPr>
          <w:trHeight w:val="20"/>
        </w:trPr>
        <w:tc>
          <w:tcPr>
            <w:tcW w:w="9638"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Number of active LCs</w:t>
            </w:r>
          </w:p>
        </w:tc>
      </w:tr>
      <w:tr w:rsidR="006F3ED5" w:rsidRPr="006A2FC1" w:rsidTr="001B7152">
        <w:trPr>
          <w:trHeight w:val="20"/>
        </w:trPr>
        <w:tc>
          <w:tcPr>
            <w:tcW w:w="6228"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1"/>
              <w:ind w:left="23"/>
              <w:rPr>
                <w:rFonts w:ascii="Arial" w:eastAsia="Arial" w:hAnsi="Arial" w:cs="Arial"/>
                <w:sz w:val="18"/>
                <w:szCs w:val="18"/>
              </w:rPr>
            </w:pPr>
            <w:r>
              <w:rPr>
                <w:rFonts w:ascii="Arial" w:hAnsi="Arial"/>
                <w:sz w:val="18"/>
              </w:rPr>
              <w:t>Total of all active LCs</w:t>
            </w:r>
          </w:p>
        </w:tc>
        <w:tc>
          <w:tcPr>
            <w:tcW w:w="170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458</w:t>
            </w:r>
          </w:p>
        </w:tc>
        <w:tc>
          <w:tcPr>
            <w:tcW w:w="1709"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37"/>
              <w:ind w:left="588" w:right="583"/>
              <w:jc w:val="center"/>
              <w:rPr>
                <w:rFonts w:ascii="Arial" w:eastAsia="Arial" w:hAnsi="Arial" w:cs="Arial"/>
                <w:sz w:val="18"/>
                <w:szCs w:val="18"/>
              </w:rPr>
            </w:pPr>
            <w:r>
              <w:rPr>
                <w:rFonts w:ascii="Arial" w:hAnsi="Arial"/>
                <w:b/>
                <w:i/>
                <w:sz w:val="18"/>
              </w:rPr>
              <w:t>12.59</w:t>
            </w:r>
          </w:p>
        </w:tc>
      </w:tr>
      <w:tr w:rsidR="006F3ED5" w:rsidRPr="006A2FC1" w:rsidTr="001B7152">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Automatic warning of users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38</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636" w:right="636"/>
              <w:jc w:val="center"/>
              <w:rPr>
                <w:rFonts w:ascii="Arial" w:eastAsia="Arial" w:hAnsi="Arial" w:cs="Arial"/>
                <w:sz w:val="18"/>
                <w:szCs w:val="18"/>
              </w:rPr>
            </w:pPr>
            <w:r>
              <w:rPr>
                <w:rFonts w:ascii="Arial" w:hAnsi="Arial"/>
                <w:b/>
                <w:i/>
                <w:sz w:val="18"/>
              </w:rPr>
              <w:t>1.04</w:t>
            </w:r>
          </w:p>
        </w:tc>
      </w:tr>
      <w:tr w:rsidR="006F3ED5" w:rsidRPr="006A2FC1" w:rsidTr="001B7152">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Automated user protection</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w:t>
            </w:r>
          </w:p>
        </w:tc>
      </w:tr>
      <w:tr w:rsidR="006F3ED5" w:rsidRPr="006A2FC1" w:rsidTr="001B7152">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Automated user warning and protection</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373</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588" w:right="583"/>
              <w:jc w:val="center"/>
              <w:rPr>
                <w:rFonts w:ascii="Arial" w:eastAsia="Arial" w:hAnsi="Arial" w:cs="Arial"/>
                <w:sz w:val="18"/>
                <w:szCs w:val="18"/>
              </w:rPr>
            </w:pPr>
            <w:r>
              <w:rPr>
                <w:rFonts w:ascii="Arial" w:hAnsi="Arial"/>
                <w:b/>
                <w:i/>
                <w:sz w:val="18"/>
              </w:rPr>
              <w:t>10.26</w:t>
            </w:r>
          </w:p>
        </w:tc>
      </w:tr>
      <w:tr w:rsidR="006F3ED5" w:rsidRPr="006A2FC1" w:rsidTr="001B7152">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79" w:line="200" w:lineRule="exact"/>
              <w:ind w:left="23" w:right="239"/>
              <w:rPr>
                <w:rFonts w:ascii="Arial" w:eastAsia="Arial" w:hAnsi="Arial" w:cs="Arial"/>
                <w:sz w:val="18"/>
                <w:szCs w:val="18"/>
              </w:rPr>
            </w:pPr>
            <w:r>
              <w:rPr>
                <w:rFonts w:ascii="Arial" w:hAnsi="Arial"/>
                <w:sz w:val="18"/>
              </w:rPr>
              <w:t>Automated user warning and protection and automatic train protection</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6F3ED5" w:rsidP="001B7152">
            <w:pPr>
              <w:pStyle w:val="DoNotTranslateExternal3"/>
              <w:rPr>
                <w:sz w:val="13"/>
                <w:szCs w:val="13"/>
              </w:rPr>
            </w:pPr>
          </w:p>
          <w:p w:rsidR="006F3ED5" w:rsidRPr="006A2FC1" w:rsidRDefault="00B65BEC" w:rsidP="001B7152">
            <w:pPr>
              <w:pStyle w:val="DoNotTranslateExternal3"/>
            </w:pPr>
            <w:r>
              <w:t>2</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6F3ED5">
            <w:pPr>
              <w:spacing w:before="7" w:line="120" w:lineRule="exact"/>
              <w:rPr>
                <w:sz w:val="13"/>
                <w:szCs w:val="13"/>
              </w:rPr>
            </w:pPr>
          </w:p>
          <w:p w:rsidR="006F3ED5" w:rsidRPr="006A2FC1" w:rsidRDefault="00B65BEC">
            <w:pPr>
              <w:ind w:left="632" w:right="632"/>
              <w:jc w:val="center"/>
              <w:rPr>
                <w:rFonts w:ascii="Arial" w:eastAsia="Arial" w:hAnsi="Arial" w:cs="Arial"/>
                <w:sz w:val="18"/>
                <w:szCs w:val="18"/>
              </w:rPr>
            </w:pPr>
            <w:r>
              <w:rPr>
                <w:rFonts w:ascii="Arial" w:hAnsi="Arial"/>
                <w:b/>
                <w:i/>
                <w:sz w:val="18"/>
              </w:rPr>
              <w:t>0.05</w:t>
            </w:r>
          </w:p>
        </w:tc>
      </w:tr>
      <w:tr w:rsidR="006F3ED5" w:rsidRPr="006A2FC1" w:rsidTr="001B7152">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Manual user warning</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4</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636" w:right="636"/>
              <w:jc w:val="center"/>
              <w:rPr>
                <w:rFonts w:ascii="Arial" w:eastAsia="Arial" w:hAnsi="Arial" w:cs="Arial"/>
                <w:sz w:val="18"/>
                <w:szCs w:val="18"/>
              </w:rPr>
            </w:pPr>
            <w:r>
              <w:rPr>
                <w:rFonts w:ascii="Arial" w:hAnsi="Arial"/>
                <w:b/>
                <w:i/>
                <w:sz w:val="18"/>
              </w:rPr>
              <w:t>0.11</w:t>
            </w:r>
          </w:p>
        </w:tc>
      </w:tr>
      <w:tr w:rsidR="006F3ED5" w:rsidRPr="006A2FC1" w:rsidTr="001B7152">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Manual user protection</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31</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636" w:right="636"/>
              <w:jc w:val="center"/>
              <w:rPr>
                <w:rFonts w:ascii="Arial" w:eastAsia="Arial" w:hAnsi="Arial" w:cs="Arial"/>
                <w:sz w:val="18"/>
                <w:szCs w:val="18"/>
              </w:rPr>
            </w:pPr>
            <w:r>
              <w:rPr>
                <w:rFonts w:ascii="Arial" w:hAnsi="Arial"/>
                <w:b/>
                <w:i/>
                <w:sz w:val="18"/>
              </w:rPr>
              <w:t>0.85</w:t>
            </w:r>
          </w:p>
        </w:tc>
      </w:tr>
      <w:tr w:rsidR="006F3ED5" w:rsidRPr="006A2FC1" w:rsidTr="001B7152">
        <w:trPr>
          <w:trHeight w:val="20"/>
        </w:trPr>
        <w:tc>
          <w:tcPr>
            <w:tcW w:w="6228"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Manual user warning and protection</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10</w:t>
            </w:r>
          </w:p>
        </w:tc>
        <w:tc>
          <w:tcPr>
            <w:tcW w:w="1709"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636" w:right="636"/>
              <w:jc w:val="center"/>
              <w:rPr>
                <w:rFonts w:ascii="Arial" w:eastAsia="Arial" w:hAnsi="Arial" w:cs="Arial"/>
                <w:sz w:val="18"/>
                <w:szCs w:val="18"/>
              </w:rPr>
            </w:pPr>
            <w:r>
              <w:rPr>
                <w:rFonts w:ascii="Arial" w:hAnsi="Arial"/>
                <w:b/>
                <w:i/>
                <w:sz w:val="18"/>
              </w:rPr>
              <w:t>0.27</w:t>
            </w:r>
          </w:p>
        </w:tc>
      </w:tr>
    </w:tbl>
    <w:p w:rsidR="006F3ED5" w:rsidRPr="006A2FC1" w:rsidRDefault="006F3ED5">
      <w:pPr>
        <w:spacing w:before="4" w:line="100" w:lineRule="exact"/>
        <w:rPr>
          <w:sz w:val="10"/>
          <w:szCs w:val="10"/>
        </w:rPr>
      </w:pPr>
    </w:p>
    <w:p w:rsidR="006F3ED5" w:rsidRPr="006A2FC1" w:rsidRDefault="006F3ED5">
      <w:pPr>
        <w:spacing w:line="200" w:lineRule="exact"/>
      </w:pPr>
    </w:p>
    <w:tbl>
      <w:tblPr>
        <w:tblW w:w="0" w:type="auto"/>
        <w:tblInd w:w="116" w:type="dxa"/>
        <w:tblLayout w:type="fixed"/>
        <w:tblCellMar>
          <w:left w:w="0" w:type="dxa"/>
          <w:right w:w="0" w:type="dxa"/>
        </w:tblCellMar>
        <w:tblLook w:val="01E0" w:firstRow="1" w:lastRow="1" w:firstColumn="1" w:lastColumn="1" w:noHBand="0" w:noVBand="0"/>
      </w:tblPr>
      <w:tblGrid>
        <w:gridCol w:w="6228"/>
        <w:gridCol w:w="1700"/>
        <w:gridCol w:w="1710"/>
      </w:tblGrid>
      <w:tr w:rsidR="006F3ED5" w:rsidRPr="006A2FC1" w:rsidTr="001B7152">
        <w:trPr>
          <w:trHeight w:val="20"/>
        </w:trPr>
        <w:tc>
          <w:tcPr>
            <w:tcW w:w="9638" w:type="dxa"/>
            <w:gridSpan w:val="3"/>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Number of passive LCs</w:t>
            </w:r>
          </w:p>
        </w:tc>
      </w:tr>
      <w:tr w:rsidR="006F3ED5" w:rsidRPr="006A2FC1" w:rsidTr="001B7152">
        <w:trPr>
          <w:trHeight w:val="20"/>
        </w:trPr>
        <w:tc>
          <w:tcPr>
            <w:tcW w:w="6228"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1"/>
              <w:ind w:left="23"/>
              <w:rPr>
                <w:rFonts w:ascii="Arial" w:eastAsia="Arial" w:hAnsi="Arial" w:cs="Arial"/>
                <w:sz w:val="18"/>
                <w:szCs w:val="18"/>
              </w:rPr>
            </w:pPr>
            <w:r>
              <w:rPr>
                <w:rFonts w:ascii="Arial" w:hAnsi="Arial"/>
                <w:sz w:val="18"/>
              </w:rPr>
              <w:t>Total of all passive LCs</w:t>
            </w:r>
          </w:p>
        </w:tc>
        <w:tc>
          <w:tcPr>
            <w:tcW w:w="170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398</w:t>
            </w:r>
          </w:p>
        </w:tc>
        <w:tc>
          <w:tcPr>
            <w:tcW w:w="1709"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37"/>
              <w:ind w:left="588" w:right="583"/>
              <w:jc w:val="center"/>
              <w:rPr>
                <w:rFonts w:ascii="Arial" w:eastAsia="Arial" w:hAnsi="Arial" w:cs="Arial"/>
                <w:sz w:val="18"/>
                <w:szCs w:val="18"/>
              </w:rPr>
            </w:pPr>
            <w:r>
              <w:rPr>
                <w:rFonts w:ascii="Arial" w:hAnsi="Arial"/>
                <w:b/>
                <w:i/>
                <w:sz w:val="18"/>
              </w:rPr>
              <w:t>10.94</w:t>
            </w:r>
          </w:p>
        </w:tc>
      </w:tr>
    </w:tbl>
    <w:p w:rsidR="006F3ED5" w:rsidRPr="006A2FC1" w:rsidRDefault="006F3ED5">
      <w:pPr>
        <w:spacing w:before="4" w:line="100" w:lineRule="exact"/>
        <w:rPr>
          <w:sz w:val="10"/>
          <w:szCs w:val="10"/>
        </w:rPr>
      </w:pPr>
    </w:p>
    <w:p w:rsidR="006F3ED5" w:rsidRPr="006A2FC1" w:rsidRDefault="006F3ED5">
      <w:pPr>
        <w:spacing w:line="200" w:lineRule="exact"/>
      </w:pPr>
    </w:p>
    <w:tbl>
      <w:tblPr>
        <w:tblW w:w="0" w:type="auto"/>
        <w:tblInd w:w="154" w:type="dxa"/>
        <w:tblLayout w:type="fixed"/>
        <w:tblCellMar>
          <w:left w:w="0" w:type="dxa"/>
          <w:right w:w="0" w:type="dxa"/>
        </w:tblCellMar>
        <w:tblLook w:val="01E0" w:firstRow="1" w:lastRow="1" w:firstColumn="1" w:lastColumn="1" w:noHBand="0" w:noVBand="0"/>
      </w:tblPr>
      <w:tblGrid>
        <w:gridCol w:w="7861"/>
        <w:gridCol w:w="1700"/>
      </w:tblGrid>
      <w:tr w:rsidR="006F3ED5" w:rsidRPr="00B63285" w:rsidTr="001B7152">
        <w:trPr>
          <w:trHeight w:val="20"/>
        </w:trPr>
        <w:tc>
          <w:tcPr>
            <w:tcW w:w="9561" w:type="dxa"/>
            <w:gridSpan w:val="2"/>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7. Safety management indicators</w:t>
            </w:r>
          </w:p>
        </w:tc>
      </w:tr>
      <w:tr w:rsidR="006F3ED5" w:rsidRPr="006A2FC1" w:rsidTr="001B7152">
        <w:trPr>
          <w:trHeight w:val="20"/>
        </w:trPr>
        <w:tc>
          <w:tcPr>
            <w:tcW w:w="7861"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66"/>
              <w:ind w:left="23"/>
              <w:rPr>
                <w:rFonts w:ascii="Arial" w:eastAsia="Arial" w:hAnsi="Arial" w:cs="Arial"/>
                <w:sz w:val="18"/>
                <w:szCs w:val="18"/>
              </w:rPr>
            </w:pPr>
            <w:r>
              <w:rPr>
                <w:rFonts w:ascii="Arial" w:hAnsi="Arial"/>
                <w:sz w:val="18"/>
              </w:rPr>
              <w:t>Total number of internal audits carried out</w:t>
            </w:r>
          </w:p>
        </w:tc>
        <w:tc>
          <w:tcPr>
            <w:tcW w:w="170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18</w:t>
            </w:r>
          </w:p>
        </w:tc>
      </w:tr>
      <w:tr w:rsidR="006F3ED5" w:rsidRPr="006A2FC1" w:rsidTr="001B7152">
        <w:trPr>
          <w:trHeight w:val="20"/>
        </w:trPr>
        <w:tc>
          <w:tcPr>
            <w:tcW w:w="7861"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 of audits carried out in relation to the number required or planned</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633" w:right="625"/>
              <w:jc w:val="center"/>
              <w:rPr>
                <w:rFonts w:ascii="Arial" w:eastAsia="Arial" w:hAnsi="Arial" w:cs="Arial"/>
                <w:sz w:val="18"/>
                <w:szCs w:val="18"/>
              </w:rPr>
            </w:pPr>
            <w:r>
              <w:rPr>
                <w:rFonts w:ascii="Arial" w:hAnsi="Arial"/>
                <w:b/>
                <w:i/>
                <w:sz w:val="18"/>
              </w:rPr>
              <w:t>86%</w:t>
            </w:r>
          </w:p>
        </w:tc>
      </w:tr>
    </w:tbl>
    <w:p w:rsidR="006F3ED5" w:rsidRPr="006A2FC1" w:rsidRDefault="006F3ED5">
      <w:pPr>
        <w:spacing w:before="4" w:line="100" w:lineRule="exact"/>
        <w:rPr>
          <w:sz w:val="10"/>
          <w:szCs w:val="10"/>
        </w:rPr>
      </w:pPr>
    </w:p>
    <w:p w:rsidR="006F3ED5" w:rsidRPr="006A2FC1" w:rsidRDefault="006F3ED5">
      <w:pPr>
        <w:spacing w:line="200" w:lineRule="exact"/>
      </w:pPr>
    </w:p>
    <w:tbl>
      <w:tblPr>
        <w:tblW w:w="0" w:type="auto"/>
        <w:tblInd w:w="154" w:type="dxa"/>
        <w:tblLayout w:type="fixed"/>
        <w:tblCellMar>
          <w:left w:w="0" w:type="dxa"/>
          <w:right w:w="0" w:type="dxa"/>
        </w:tblCellMar>
        <w:tblLook w:val="01E0" w:firstRow="1" w:lastRow="1" w:firstColumn="1" w:lastColumn="1" w:noHBand="0" w:noVBand="0"/>
      </w:tblPr>
      <w:tblGrid>
        <w:gridCol w:w="7861"/>
        <w:gridCol w:w="1700"/>
      </w:tblGrid>
      <w:tr w:rsidR="006F3ED5" w:rsidRPr="00B63285" w:rsidTr="001B7152">
        <w:trPr>
          <w:trHeight w:val="20"/>
        </w:trPr>
        <w:tc>
          <w:tcPr>
            <w:tcW w:w="9561" w:type="dxa"/>
            <w:gridSpan w:val="2"/>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8. Reference data for traffic and infrastructure</w:t>
            </w:r>
          </w:p>
        </w:tc>
      </w:tr>
      <w:tr w:rsidR="006F3ED5" w:rsidRPr="006A2FC1" w:rsidTr="001B7152">
        <w:trPr>
          <w:trHeight w:val="20"/>
        </w:trPr>
        <w:tc>
          <w:tcPr>
            <w:tcW w:w="7861"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13"/>
              <w:ind w:left="23"/>
              <w:rPr>
                <w:rFonts w:ascii="Arial" w:eastAsia="Arial" w:hAnsi="Arial" w:cs="Arial"/>
                <w:sz w:val="18"/>
                <w:szCs w:val="18"/>
              </w:rPr>
            </w:pPr>
            <w:r>
              <w:rPr>
                <w:rFonts w:ascii="Arial" w:hAnsi="Arial"/>
                <w:sz w:val="18"/>
              </w:rPr>
              <w:t>Number of train-kilometres</w:t>
            </w:r>
          </w:p>
        </w:tc>
        <w:tc>
          <w:tcPr>
            <w:tcW w:w="1700"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13"/>
              <w:ind w:left="570"/>
              <w:rPr>
                <w:rFonts w:ascii="Arial" w:eastAsia="Arial" w:hAnsi="Arial" w:cs="Arial"/>
                <w:sz w:val="18"/>
                <w:szCs w:val="18"/>
              </w:rPr>
            </w:pPr>
            <w:r>
              <w:rPr>
                <w:rFonts w:ascii="Arial" w:hAnsi="Arial"/>
                <w:b/>
                <w:i/>
                <w:sz w:val="18"/>
              </w:rPr>
              <w:t>36.536</w:t>
            </w:r>
          </w:p>
        </w:tc>
      </w:tr>
      <w:tr w:rsidR="006F3ED5" w:rsidRPr="006A2FC1" w:rsidTr="001B7152">
        <w:trPr>
          <w:trHeight w:val="20"/>
        </w:trPr>
        <w:tc>
          <w:tcPr>
            <w:tcW w:w="7861"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Number of passenger-kilometres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445"/>
              <w:rPr>
                <w:rFonts w:ascii="Arial" w:eastAsia="Arial" w:hAnsi="Arial" w:cs="Arial"/>
                <w:sz w:val="18"/>
                <w:szCs w:val="18"/>
              </w:rPr>
            </w:pPr>
            <w:r>
              <w:rPr>
                <w:rFonts w:ascii="Arial" w:hAnsi="Arial"/>
                <w:b/>
                <w:i/>
                <w:sz w:val="18"/>
              </w:rPr>
              <w:t>3 851.523</w:t>
            </w:r>
          </w:p>
        </w:tc>
      </w:tr>
      <w:tr w:rsidR="006F3ED5" w:rsidRPr="006A2FC1" w:rsidTr="001B7152">
        <w:trPr>
          <w:trHeight w:val="20"/>
        </w:trPr>
        <w:tc>
          <w:tcPr>
            <w:tcW w:w="7861"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3"/>
              <w:ind w:left="23"/>
              <w:rPr>
                <w:rFonts w:ascii="Arial" w:eastAsia="Arial" w:hAnsi="Arial" w:cs="Arial"/>
                <w:sz w:val="18"/>
                <w:szCs w:val="18"/>
              </w:rPr>
            </w:pPr>
            <w:r>
              <w:rPr>
                <w:rFonts w:ascii="Arial" w:hAnsi="Arial"/>
                <w:sz w:val="18"/>
              </w:rPr>
              <w:t>Number of trains x passenger-kilometres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570"/>
              <w:rPr>
                <w:rFonts w:ascii="Arial" w:eastAsia="Arial" w:hAnsi="Arial" w:cs="Arial"/>
                <w:sz w:val="18"/>
                <w:szCs w:val="18"/>
              </w:rPr>
            </w:pPr>
            <w:r>
              <w:rPr>
                <w:rFonts w:ascii="Arial" w:hAnsi="Arial"/>
                <w:b/>
                <w:i/>
                <w:sz w:val="18"/>
              </w:rPr>
              <w:t>29.976</w:t>
            </w:r>
          </w:p>
        </w:tc>
      </w:tr>
      <w:tr w:rsidR="006F3ED5" w:rsidRPr="006A2FC1" w:rsidTr="001B7152">
        <w:trPr>
          <w:trHeight w:val="20"/>
        </w:trPr>
        <w:tc>
          <w:tcPr>
            <w:tcW w:w="7861"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Number of trains x freight-kilometres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585" w:right="580"/>
              <w:jc w:val="center"/>
              <w:rPr>
                <w:rFonts w:ascii="Arial" w:eastAsia="Arial" w:hAnsi="Arial" w:cs="Arial"/>
                <w:sz w:val="18"/>
                <w:szCs w:val="18"/>
              </w:rPr>
            </w:pPr>
            <w:r>
              <w:rPr>
                <w:rFonts w:ascii="Arial" w:hAnsi="Arial"/>
                <w:b/>
                <w:i/>
                <w:sz w:val="18"/>
              </w:rPr>
              <w:t>6.268</w:t>
            </w:r>
          </w:p>
        </w:tc>
      </w:tr>
      <w:tr w:rsidR="006F3ED5" w:rsidRPr="006A2FC1" w:rsidTr="001B7152">
        <w:trPr>
          <w:trHeight w:val="20"/>
        </w:trPr>
        <w:tc>
          <w:tcPr>
            <w:tcW w:w="7861"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Number of trains x kilometres (other)</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585" w:right="580"/>
              <w:jc w:val="center"/>
              <w:rPr>
                <w:rFonts w:ascii="Arial" w:eastAsia="Arial" w:hAnsi="Arial" w:cs="Arial"/>
                <w:sz w:val="18"/>
                <w:szCs w:val="18"/>
              </w:rPr>
            </w:pPr>
            <w:r>
              <w:rPr>
                <w:rFonts w:ascii="Arial" w:hAnsi="Arial"/>
                <w:b/>
                <w:i/>
                <w:sz w:val="18"/>
              </w:rPr>
              <w:t>0.292</w:t>
            </w:r>
          </w:p>
        </w:tc>
      </w:tr>
      <w:tr w:rsidR="006F3ED5" w:rsidRPr="006A2FC1" w:rsidTr="001B7152">
        <w:trPr>
          <w:trHeight w:val="20"/>
        </w:trPr>
        <w:tc>
          <w:tcPr>
            <w:tcW w:w="7861"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7"/>
              <w:ind w:left="23"/>
              <w:rPr>
                <w:rFonts w:ascii="Arial" w:eastAsia="Arial" w:hAnsi="Arial" w:cs="Arial"/>
                <w:sz w:val="18"/>
                <w:szCs w:val="18"/>
              </w:rPr>
            </w:pPr>
            <w:r>
              <w:rPr>
                <w:rFonts w:ascii="Arial" w:hAnsi="Arial"/>
                <w:sz w:val="18"/>
              </w:rPr>
              <w:t>Number of tonnes x kilometres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line="200" w:lineRule="exact"/>
              <w:ind w:left="445"/>
              <w:rPr>
                <w:rFonts w:ascii="Arial" w:eastAsia="Arial" w:hAnsi="Arial" w:cs="Arial"/>
                <w:sz w:val="18"/>
                <w:szCs w:val="18"/>
              </w:rPr>
            </w:pPr>
            <w:r>
              <w:rPr>
                <w:rFonts w:ascii="Arial" w:hAnsi="Arial"/>
                <w:b/>
                <w:i/>
                <w:sz w:val="18"/>
              </w:rPr>
              <w:t>2 438.443</w:t>
            </w:r>
          </w:p>
        </w:tc>
      </w:tr>
      <w:tr w:rsidR="006F3ED5" w:rsidRPr="006A2FC1" w:rsidTr="001B7152">
        <w:trPr>
          <w:trHeight w:val="20"/>
        </w:trPr>
        <w:tc>
          <w:tcPr>
            <w:tcW w:w="7861"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8"/>
                <w:szCs w:val="18"/>
              </w:rPr>
            </w:pPr>
            <w:r>
              <w:rPr>
                <w:rFonts w:ascii="Arial" w:hAnsi="Arial"/>
                <w:sz w:val="18"/>
              </w:rPr>
              <w:t>Number of km of line</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445"/>
              <w:rPr>
                <w:rFonts w:ascii="Arial" w:eastAsia="Arial" w:hAnsi="Arial" w:cs="Arial"/>
                <w:sz w:val="18"/>
                <w:szCs w:val="18"/>
              </w:rPr>
            </w:pPr>
            <w:r>
              <w:rPr>
                <w:rFonts w:ascii="Arial" w:hAnsi="Arial"/>
                <w:b/>
                <w:i/>
                <w:sz w:val="18"/>
              </w:rPr>
              <w:t>2 545.960</w:t>
            </w:r>
          </w:p>
        </w:tc>
      </w:tr>
      <w:tr w:rsidR="006F3ED5" w:rsidRPr="006A2FC1" w:rsidTr="001B7152">
        <w:trPr>
          <w:trHeight w:val="20"/>
        </w:trPr>
        <w:tc>
          <w:tcPr>
            <w:tcW w:w="7861"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8"/>
                <w:szCs w:val="18"/>
              </w:rPr>
            </w:pPr>
            <w:r>
              <w:rPr>
                <w:rFonts w:ascii="Arial" w:hAnsi="Arial"/>
                <w:sz w:val="18"/>
              </w:rPr>
              <w:t>Total number of km of track (sum of km of line x number of respective tracks)</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445"/>
              <w:rPr>
                <w:rFonts w:ascii="Arial" w:eastAsia="Arial" w:hAnsi="Arial" w:cs="Arial"/>
                <w:sz w:val="18"/>
                <w:szCs w:val="18"/>
              </w:rPr>
            </w:pPr>
            <w:r>
              <w:rPr>
                <w:rFonts w:ascii="Arial" w:hAnsi="Arial"/>
                <w:b/>
                <w:i/>
                <w:sz w:val="18"/>
              </w:rPr>
              <w:t>3 244.072</w:t>
            </w:r>
          </w:p>
        </w:tc>
      </w:tr>
      <w:tr w:rsidR="006F3ED5" w:rsidRPr="006A2FC1" w:rsidTr="001B7152">
        <w:trPr>
          <w:trHeight w:val="20"/>
        </w:trPr>
        <w:tc>
          <w:tcPr>
            <w:tcW w:w="7861"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3"/>
              <w:ind w:left="23"/>
              <w:rPr>
                <w:rFonts w:ascii="Arial" w:eastAsia="Arial" w:hAnsi="Arial" w:cs="Arial"/>
                <w:sz w:val="18"/>
                <w:szCs w:val="18"/>
              </w:rPr>
            </w:pPr>
            <w:r>
              <w:rPr>
                <w:rFonts w:ascii="Arial" w:hAnsi="Arial"/>
                <w:sz w:val="18"/>
              </w:rPr>
              <w:t>Total number of hours worked</w:t>
            </w:r>
          </w:p>
        </w:tc>
        <w:tc>
          <w:tcPr>
            <w:tcW w:w="1700"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445"/>
              <w:rPr>
                <w:rFonts w:ascii="Arial" w:eastAsia="Arial" w:hAnsi="Arial" w:cs="Arial"/>
                <w:sz w:val="18"/>
                <w:szCs w:val="18"/>
              </w:rPr>
            </w:pPr>
            <w:r>
              <w:rPr>
                <w:rFonts w:ascii="Arial" w:hAnsi="Arial"/>
                <w:b/>
                <w:i/>
                <w:sz w:val="18"/>
              </w:rPr>
              <w:t>6 584 765</w:t>
            </w:r>
          </w:p>
        </w:tc>
      </w:tr>
    </w:tbl>
    <w:p w:rsidR="006F3ED5" w:rsidRPr="006A2FC1" w:rsidRDefault="006F3ED5">
      <w:pPr>
        <w:spacing w:before="4" w:line="100" w:lineRule="exact"/>
        <w:rPr>
          <w:sz w:val="10"/>
          <w:szCs w:val="10"/>
        </w:rPr>
      </w:pPr>
    </w:p>
    <w:p w:rsidR="006F3ED5" w:rsidRPr="006A2FC1" w:rsidRDefault="006F3ED5">
      <w:pPr>
        <w:spacing w:line="200" w:lineRule="exact"/>
      </w:pPr>
    </w:p>
    <w:tbl>
      <w:tblPr>
        <w:tblW w:w="0" w:type="auto"/>
        <w:tblInd w:w="135" w:type="dxa"/>
        <w:tblLayout w:type="fixed"/>
        <w:tblCellMar>
          <w:left w:w="0" w:type="dxa"/>
          <w:right w:w="0" w:type="dxa"/>
        </w:tblCellMar>
        <w:tblLook w:val="01E0" w:firstRow="1" w:lastRow="1" w:firstColumn="1" w:lastColumn="1" w:noHBand="0" w:noVBand="0"/>
      </w:tblPr>
      <w:tblGrid>
        <w:gridCol w:w="7837"/>
        <w:gridCol w:w="1762"/>
      </w:tblGrid>
      <w:tr w:rsidR="006F3ED5" w:rsidRPr="00B63285" w:rsidTr="001B7152">
        <w:trPr>
          <w:trHeight w:val="20"/>
        </w:trPr>
        <w:tc>
          <w:tcPr>
            <w:tcW w:w="9599" w:type="dxa"/>
            <w:gridSpan w:val="2"/>
            <w:tcBorders>
              <w:top w:val="single" w:sz="21" w:space="0" w:color="FF9900"/>
              <w:left w:val="single" w:sz="5" w:space="0" w:color="000000"/>
              <w:bottom w:val="single" w:sz="21" w:space="0" w:color="FF9900"/>
              <w:right w:val="single" w:sz="5" w:space="0" w:color="000000"/>
            </w:tcBorders>
            <w:shd w:val="clear" w:color="auto" w:fill="FF9900"/>
          </w:tcPr>
          <w:p w:rsidR="006F3ED5" w:rsidRPr="006A2FC1" w:rsidRDefault="00B65BEC">
            <w:pPr>
              <w:spacing w:line="200" w:lineRule="exact"/>
              <w:ind w:left="23"/>
              <w:rPr>
                <w:rFonts w:ascii="Arial" w:eastAsia="Arial" w:hAnsi="Arial" w:cs="Arial"/>
                <w:sz w:val="18"/>
                <w:szCs w:val="18"/>
              </w:rPr>
            </w:pPr>
            <w:r>
              <w:rPr>
                <w:rFonts w:ascii="Arial" w:hAnsi="Arial"/>
                <w:b/>
                <w:sz w:val="18"/>
              </w:rPr>
              <w:t>9. Reference data for economic indicators</w:t>
            </w:r>
          </w:p>
        </w:tc>
      </w:tr>
      <w:tr w:rsidR="006F3ED5" w:rsidRPr="006A2FC1" w:rsidTr="001B7152">
        <w:trPr>
          <w:trHeight w:val="20"/>
        </w:trPr>
        <w:tc>
          <w:tcPr>
            <w:tcW w:w="7837" w:type="dxa"/>
            <w:tcBorders>
              <w:top w:val="single" w:sz="21" w:space="0" w:color="FF9900"/>
              <w:left w:val="single" w:sz="5" w:space="0" w:color="000000"/>
              <w:bottom w:val="single" w:sz="5" w:space="0" w:color="000000"/>
              <w:right w:val="single" w:sz="5" w:space="0" w:color="000000"/>
            </w:tcBorders>
          </w:tcPr>
          <w:p w:rsidR="006F3ED5" w:rsidRPr="006A2FC1" w:rsidRDefault="00B65BEC">
            <w:pPr>
              <w:spacing w:before="13"/>
              <w:ind w:left="76"/>
              <w:rPr>
                <w:rFonts w:ascii="Arial" w:eastAsia="Arial" w:hAnsi="Arial" w:cs="Arial"/>
                <w:sz w:val="18"/>
                <w:szCs w:val="18"/>
              </w:rPr>
            </w:pPr>
            <w:r>
              <w:rPr>
                <w:rFonts w:ascii="Arial" w:hAnsi="Arial"/>
                <w:sz w:val="18"/>
              </w:rPr>
              <w:t>Average % of passengers on business trips</w:t>
            </w:r>
          </w:p>
        </w:tc>
        <w:tc>
          <w:tcPr>
            <w:tcW w:w="1762" w:type="dxa"/>
            <w:tcBorders>
              <w:top w:val="single" w:sz="21" w:space="0" w:color="FF9900"/>
              <w:left w:val="single" w:sz="5" w:space="0" w:color="000000"/>
              <w:bottom w:val="single" w:sz="12" w:space="0" w:color="C2D59A"/>
              <w:right w:val="single" w:sz="5" w:space="0" w:color="000000"/>
            </w:tcBorders>
            <w:shd w:val="clear" w:color="auto" w:fill="C2D59A"/>
          </w:tcPr>
          <w:p w:rsidR="006F3ED5" w:rsidRPr="006A2FC1" w:rsidRDefault="00B65BEC">
            <w:pPr>
              <w:spacing w:before="13"/>
              <w:ind w:left="714" w:right="707"/>
              <w:jc w:val="center"/>
              <w:rPr>
                <w:rFonts w:ascii="Arial" w:eastAsia="Arial" w:hAnsi="Arial" w:cs="Arial"/>
                <w:sz w:val="18"/>
                <w:szCs w:val="18"/>
              </w:rPr>
            </w:pPr>
            <w:r>
              <w:rPr>
                <w:rFonts w:ascii="Arial" w:hAnsi="Arial"/>
                <w:b/>
                <w:i/>
                <w:sz w:val="18"/>
              </w:rPr>
              <w:t>5%</w:t>
            </w:r>
          </w:p>
        </w:tc>
      </w:tr>
      <w:tr w:rsidR="006F3ED5" w:rsidRPr="006A2FC1" w:rsidTr="001B7152">
        <w:trPr>
          <w:trHeight w:val="20"/>
        </w:trPr>
        <w:tc>
          <w:tcPr>
            <w:tcW w:w="783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76"/>
              <w:rPr>
                <w:rFonts w:ascii="Arial" w:eastAsia="Arial" w:hAnsi="Arial" w:cs="Arial"/>
                <w:sz w:val="18"/>
                <w:szCs w:val="18"/>
              </w:rPr>
            </w:pPr>
            <w:r>
              <w:rPr>
                <w:rFonts w:ascii="Arial" w:hAnsi="Arial"/>
                <w:sz w:val="18"/>
              </w:rPr>
              <w:t>Average % of passengers on non-business trips</w:t>
            </w:r>
          </w:p>
        </w:tc>
        <w:tc>
          <w:tcPr>
            <w:tcW w:w="1762"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3"/>
              <w:ind w:left="661" w:right="659"/>
              <w:jc w:val="center"/>
              <w:rPr>
                <w:rFonts w:ascii="Arial" w:eastAsia="Arial" w:hAnsi="Arial" w:cs="Arial"/>
                <w:sz w:val="18"/>
                <w:szCs w:val="18"/>
              </w:rPr>
            </w:pPr>
            <w:r>
              <w:rPr>
                <w:rFonts w:ascii="Arial" w:hAnsi="Arial"/>
                <w:b/>
                <w:i/>
                <w:sz w:val="18"/>
              </w:rPr>
              <w:t>95%</w:t>
            </w:r>
          </w:p>
        </w:tc>
      </w:tr>
      <w:tr w:rsidR="006F3ED5" w:rsidRPr="006A2FC1" w:rsidTr="001B7152">
        <w:trPr>
          <w:trHeight w:val="20"/>
        </w:trPr>
        <w:tc>
          <w:tcPr>
            <w:tcW w:w="783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0"/>
              <w:ind w:left="23"/>
              <w:rPr>
                <w:rFonts w:ascii="Arial" w:eastAsia="Arial" w:hAnsi="Arial" w:cs="Arial"/>
                <w:sz w:val="14"/>
                <w:szCs w:val="14"/>
              </w:rPr>
            </w:pPr>
            <w:r>
              <w:rPr>
                <w:rFonts w:ascii="Arial" w:hAnsi="Arial"/>
                <w:sz w:val="18"/>
              </w:rPr>
              <w:t xml:space="preserve">Value of the prevention of 1 fatality </w:t>
            </w:r>
            <w:r>
              <w:rPr>
                <w:rFonts w:ascii="Arial" w:hAnsi="Arial"/>
                <w:sz w:val="14"/>
              </w:rPr>
              <w:t>(2014)</w:t>
            </w:r>
          </w:p>
        </w:tc>
        <w:tc>
          <w:tcPr>
            <w:tcW w:w="1762"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503"/>
              <w:rPr>
                <w:rFonts w:ascii="Arial" w:eastAsia="Arial" w:hAnsi="Arial" w:cs="Arial"/>
                <w:sz w:val="18"/>
                <w:szCs w:val="18"/>
              </w:rPr>
            </w:pPr>
            <w:r>
              <w:rPr>
                <w:rFonts w:ascii="Arial" w:hAnsi="Arial"/>
                <w:b/>
                <w:i/>
                <w:sz w:val="18"/>
              </w:rPr>
              <w:t>€932 897</w:t>
            </w:r>
          </w:p>
        </w:tc>
      </w:tr>
      <w:tr w:rsidR="006F3ED5" w:rsidRPr="006A2FC1" w:rsidTr="001B7152">
        <w:trPr>
          <w:trHeight w:val="20"/>
        </w:trPr>
        <w:tc>
          <w:tcPr>
            <w:tcW w:w="783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61"/>
              <w:ind w:left="23"/>
              <w:rPr>
                <w:rFonts w:ascii="Arial" w:eastAsia="Arial" w:hAnsi="Arial" w:cs="Arial"/>
                <w:sz w:val="14"/>
                <w:szCs w:val="14"/>
              </w:rPr>
            </w:pPr>
            <w:r>
              <w:rPr>
                <w:rFonts w:ascii="Arial" w:hAnsi="Arial"/>
                <w:sz w:val="18"/>
              </w:rPr>
              <w:t xml:space="preserve">Value of the prevention of 1 serious injury </w:t>
            </w:r>
            <w:r>
              <w:rPr>
                <w:rFonts w:ascii="Arial" w:hAnsi="Arial"/>
                <w:sz w:val="14"/>
              </w:rPr>
              <w:t>(2014)</w:t>
            </w:r>
          </w:p>
        </w:tc>
        <w:tc>
          <w:tcPr>
            <w:tcW w:w="1762"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pPr>
              <w:spacing w:before="27"/>
              <w:ind w:left="503"/>
              <w:rPr>
                <w:rFonts w:ascii="Arial" w:eastAsia="Arial" w:hAnsi="Arial" w:cs="Arial"/>
                <w:sz w:val="18"/>
                <w:szCs w:val="18"/>
              </w:rPr>
            </w:pPr>
            <w:r>
              <w:rPr>
                <w:rFonts w:ascii="Arial" w:hAnsi="Arial"/>
                <w:b/>
                <w:i/>
                <w:sz w:val="18"/>
              </w:rPr>
              <w:t>€124 774</w:t>
            </w:r>
          </w:p>
        </w:tc>
      </w:tr>
      <w:tr w:rsidR="006F3ED5" w:rsidRPr="006A2FC1" w:rsidTr="001B7152">
        <w:trPr>
          <w:trHeight w:val="20"/>
        </w:trPr>
        <w:tc>
          <w:tcPr>
            <w:tcW w:w="783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4"/>
                <w:szCs w:val="14"/>
              </w:rPr>
            </w:pPr>
            <w:r>
              <w:rPr>
                <w:rFonts w:ascii="Arial" w:hAnsi="Arial"/>
                <w:sz w:val="18"/>
              </w:rPr>
              <w:lastRenderedPageBreak/>
              <w:t xml:space="preserve">Value of time spent on business travel per hour </w:t>
            </w:r>
            <w:r>
              <w:rPr>
                <w:rFonts w:ascii="Arial" w:hAnsi="Arial"/>
                <w:sz w:val="14"/>
              </w:rPr>
              <w:t>(2014)</w:t>
            </w:r>
          </w:p>
        </w:tc>
        <w:tc>
          <w:tcPr>
            <w:tcW w:w="1762"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22</w:t>
            </w:r>
          </w:p>
        </w:tc>
      </w:tr>
      <w:tr w:rsidR="006F3ED5" w:rsidRPr="006A2FC1" w:rsidTr="001B7152">
        <w:trPr>
          <w:trHeight w:val="20"/>
        </w:trPr>
        <w:tc>
          <w:tcPr>
            <w:tcW w:w="783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7"/>
              <w:ind w:left="23"/>
              <w:rPr>
                <w:rFonts w:ascii="Arial" w:eastAsia="Arial" w:hAnsi="Arial" w:cs="Arial"/>
                <w:sz w:val="14"/>
                <w:szCs w:val="14"/>
              </w:rPr>
            </w:pPr>
            <w:r>
              <w:rPr>
                <w:rFonts w:ascii="Arial" w:hAnsi="Arial"/>
                <w:sz w:val="18"/>
              </w:rPr>
              <w:t xml:space="preserve">Value of time spent on non-business travel per hour </w:t>
            </w:r>
            <w:r>
              <w:rPr>
                <w:rFonts w:ascii="Arial" w:hAnsi="Arial"/>
                <w:sz w:val="14"/>
              </w:rPr>
              <w:t>(2014)</w:t>
            </w:r>
          </w:p>
        </w:tc>
        <w:tc>
          <w:tcPr>
            <w:tcW w:w="1762"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7</w:t>
            </w:r>
          </w:p>
        </w:tc>
      </w:tr>
      <w:tr w:rsidR="006F3ED5" w:rsidRPr="006A2FC1" w:rsidTr="001B7152">
        <w:trPr>
          <w:trHeight w:val="20"/>
        </w:trPr>
        <w:tc>
          <w:tcPr>
            <w:tcW w:w="7837" w:type="dxa"/>
            <w:tcBorders>
              <w:top w:val="single" w:sz="5" w:space="0" w:color="000000"/>
              <w:left w:val="single" w:sz="5" w:space="0" w:color="000000"/>
              <w:bottom w:val="single" w:sz="5" w:space="0" w:color="000000"/>
              <w:right w:val="single" w:sz="5" w:space="0" w:color="000000"/>
            </w:tcBorders>
          </w:tcPr>
          <w:p w:rsidR="006F3ED5" w:rsidRPr="006A2FC1" w:rsidRDefault="00B65BEC">
            <w:pPr>
              <w:spacing w:before="12"/>
              <w:ind w:left="23"/>
              <w:rPr>
                <w:rFonts w:ascii="Arial" w:eastAsia="Arial" w:hAnsi="Arial" w:cs="Arial"/>
                <w:sz w:val="14"/>
                <w:szCs w:val="14"/>
              </w:rPr>
            </w:pPr>
            <w:r>
              <w:rPr>
                <w:rFonts w:ascii="Arial" w:hAnsi="Arial"/>
                <w:sz w:val="18"/>
              </w:rPr>
              <w:t xml:space="preserve">Value of time for goods trains per hour </w:t>
            </w:r>
            <w:r>
              <w:rPr>
                <w:rFonts w:ascii="Arial" w:hAnsi="Arial"/>
                <w:sz w:val="14"/>
              </w:rPr>
              <w:t>(2014)</w:t>
            </w:r>
          </w:p>
        </w:tc>
        <w:tc>
          <w:tcPr>
            <w:tcW w:w="1762" w:type="dxa"/>
            <w:tcBorders>
              <w:top w:val="single" w:sz="12" w:space="0" w:color="C2D59A"/>
              <w:left w:val="single" w:sz="5" w:space="0" w:color="000000"/>
              <w:bottom w:val="single" w:sz="12" w:space="0" w:color="C2D59A"/>
              <w:right w:val="single" w:sz="5" w:space="0" w:color="000000"/>
            </w:tcBorders>
            <w:shd w:val="clear" w:color="auto" w:fill="C2D59A"/>
          </w:tcPr>
          <w:p w:rsidR="006F3ED5" w:rsidRPr="006A2FC1" w:rsidRDefault="00B65BEC" w:rsidP="001B7152">
            <w:pPr>
              <w:pStyle w:val="DoNotTranslateExternal3"/>
            </w:pPr>
            <w:r>
              <w:t>1</w:t>
            </w:r>
          </w:p>
        </w:tc>
      </w:tr>
    </w:tbl>
    <w:p w:rsidR="006F3ED5" w:rsidRPr="006A2FC1" w:rsidRDefault="006F3ED5">
      <w:pPr>
        <w:spacing w:line="200" w:lineRule="exact"/>
      </w:pPr>
    </w:p>
    <w:p w:rsidR="006F3ED5" w:rsidRPr="006A2FC1" w:rsidRDefault="006F3ED5">
      <w:pPr>
        <w:spacing w:before="4" w:line="220" w:lineRule="exact"/>
        <w:rPr>
          <w:sz w:val="22"/>
          <w:szCs w:val="22"/>
        </w:rPr>
      </w:pPr>
    </w:p>
    <w:p w:rsidR="006F3ED5" w:rsidRPr="006A2FC1" w:rsidRDefault="00B65BEC" w:rsidP="001B7152">
      <w:pPr>
        <w:pStyle w:val="paragraphe1"/>
      </w:pPr>
      <w:r>
        <w:t>Note: The definitions used in the Common Safety Indicators and the common method for calculating the economic impact of the cost of accidents can be found in Decree Law 62/2010 of 9 June, which transposes Directive</w:t>
      </w:r>
    </w:p>
    <w:p w:rsidR="006F3ED5" w:rsidRPr="006A2FC1" w:rsidRDefault="00B65BEC">
      <w:pPr>
        <w:spacing w:line="200" w:lineRule="exact"/>
      </w:pPr>
      <w:r>
        <w:rPr>
          <w:rFonts w:ascii="Arial" w:hAnsi="Arial"/>
        </w:rPr>
        <w:t>2009/149/EC of 27 November.</w:t>
      </w:r>
    </w:p>
    <w:p w:rsidR="001B7152" w:rsidRDefault="001B7152">
      <w:r>
        <w:br w:type="page"/>
      </w:r>
    </w:p>
    <w:p w:rsidR="006F3ED5" w:rsidRPr="006A2FC1" w:rsidRDefault="006F3ED5">
      <w:pPr>
        <w:spacing w:line="200" w:lineRule="exact"/>
      </w:pPr>
    </w:p>
    <w:p w:rsidR="006F3ED5" w:rsidRPr="006A2FC1" w:rsidRDefault="006F3ED5">
      <w:pPr>
        <w:spacing w:line="200" w:lineRule="exact"/>
      </w:pPr>
    </w:p>
    <w:p w:rsidR="006F3ED5" w:rsidRPr="001B7152" w:rsidRDefault="00B65BEC" w:rsidP="001B7152">
      <w:pPr>
        <w:pStyle w:val="ANNEXE"/>
        <w:spacing w:line="300" w:lineRule="exact"/>
        <w:ind w:left="1560" w:hanging="1560"/>
      </w:pPr>
      <w:bookmarkStart w:id="87" w:name="_Toc435689609"/>
      <w:bookmarkStart w:id="88" w:name="_Toc442177375"/>
      <w:r>
        <w:t>AMENDMENTS TO LAWS AND REGULATIONS 2014</w:t>
      </w:r>
      <w:bookmarkEnd w:id="87"/>
      <w:bookmarkEnd w:id="88"/>
    </w:p>
    <w:p w:rsidR="006F3ED5" w:rsidRPr="006A2FC1" w:rsidRDefault="006F3ED5">
      <w:pPr>
        <w:spacing w:before="2" w:line="180" w:lineRule="exact"/>
        <w:rPr>
          <w:sz w:val="19"/>
          <w:szCs w:val="19"/>
        </w:rPr>
      </w:pPr>
    </w:p>
    <w:tbl>
      <w:tblPr>
        <w:tblStyle w:val="TableGrid"/>
        <w:tblW w:w="0" w:type="auto"/>
        <w:tblInd w:w="120" w:type="dxa"/>
        <w:tblLook w:val="04A0" w:firstRow="1" w:lastRow="0" w:firstColumn="1" w:lastColumn="0" w:noHBand="0" w:noVBand="1"/>
      </w:tblPr>
      <w:tblGrid>
        <w:gridCol w:w="2377"/>
        <w:gridCol w:w="2375"/>
        <w:gridCol w:w="2375"/>
        <w:gridCol w:w="2382"/>
      </w:tblGrid>
      <w:tr w:rsidR="001B7152" w:rsidRPr="00B63285" w:rsidTr="001B7152">
        <w:tc>
          <w:tcPr>
            <w:tcW w:w="2388" w:type="dxa"/>
          </w:tcPr>
          <w:p w:rsidR="001B7152" w:rsidRPr="001B7152" w:rsidRDefault="001B7152" w:rsidP="001B7152">
            <w:pPr>
              <w:rPr>
                <w:rFonts w:ascii="Arial" w:eastAsia="Arial" w:hAnsi="Arial" w:cs="Arial"/>
                <w:b/>
                <w:sz w:val="18"/>
                <w:szCs w:val="18"/>
              </w:rPr>
            </w:pPr>
            <w:r>
              <w:rPr>
                <w:rFonts w:ascii="Arial" w:hAnsi="Arial"/>
                <w:b/>
                <w:sz w:val="18"/>
              </w:rPr>
              <w:t>Amendments to the Safety Directive</w:t>
            </w:r>
          </w:p>
        </w:tc>
        <w:tc>
          <w:tcPr>
            <w:tcW w:w="2388" w:type="dxa"/>
          </w:tcPr>
          <w:p w:rsidR="001B7152" w:rsidRPr="001B7152" w:rsidRDefault="001B7152" w:rsidP="001B7152">
            <w:pPr>
              <w:rPr>
                <w:rFonts w:ascii="Arial" w:eastAsia="Arial" w:hAnsi="Arial" w:cs="Arial"/>
                <w:b/>
                <w:sz w:val="18"/>
                <w:szCs w:val="18"/>
              </w:rPr>
            </w:pPr>
            <w:r>
              <w:rPr>
                <w:rFonts w:ascii="Arial" w:hAnsi="Arial"/>
                <w:b/>
                <w:sz w:val="18"/>
              </w:rPr>
              <w:t xml:space="preserve">Transposed </w:t>
            </w:r>
          </w:p>
        </w:tc>
        <w:tc>
          <w:tcPr>
            <w:tcW w:w="2388" w:type="dxa"/>
          </w:tcPr>
          <w:p w:rsidR="001B7152" w:rsidRPr="001B7152" w:rsidRDefault="001B7152" w:rsidP="001B7152">
            <w:pPr>
              <w:rPr>
                <w:rFonts w:ascii="Arial" w:eastAsia="Arial" w:hAnsi="Arial" w:cs="Arial"/>
                <w:b/>
                <w:sz w:val="18"/>
                <w:szCs w:val="18"/>
              </w:rPr>
            </w:pPr>
            <w:r>
              <w:rPr>
                <w:rFonts w:ascii="Arial" w:hAnsi="Arial"/>
                <w:b/>
                <w:sz w:val="18"/>
              </w:rPr>
              <w:t xml:space="preserve">Legal reference </w:t>
            </w:r>
          </w:p>
        </w:tc>
        <w:tc>
          <w:tcPr>
            <w:tcW w:w="2389" w:type="dxa"/>
          </w:tcPr>
          <w:p w:rsidR="001B7152" w:rsidRPr="001B7152" w:rsidRDefault="001B7152" w:rsidP="001B7152">
            <w:pPr>
              <w:rPr>
                <w:rFonts w:ascii="Arial" w:eastAsia="Arial" w:hAnsi="Arial" w:cs="Arial"/>
                <w:b/>
                <w:sz w:val="18"/>
                <w:szCs w:val="18"/>
              </w:rPr>
            </w:pPr>
            <w:r>
              <w:rPr>
                <w:rFonts w:ascii="Arial" w:hAnsi="Arial"/>
                <w:b/>
                <w:sz w:val="18"/>
              </w:rPr>
              <w:t>Date of entry into force</w:t>
            </w:r>
          </w:p>
        </w:tc>
      </w:tr>
      <w:tr w:rsidR="001B7152" w:rsidRPr="001B7152" w:rsidTr="001B7152">
        <w:tc>
          <w:tcPr>
            <w:tcW w:w="2388" w:type="dxa"/>
          </w:tcPr>
          <w:p w:rsidR="001B7152" w:rsidRPr="001B7152" w:rsidRDefault="001B7152" w:rsidP="001B7152">
            <w:pPr>
              <w:rPr>
                <w:rFonts w:ascii="Arial" w:eastAsia="Arial" w:hAnsi="Arial" w:cs="Arial"/>
                <w:b/>
                <w:sz w:val="18"/>
                <w:szCs w:val="18"/>
              </w:rPr>
            </w:pPr>
            <w:r>
              <w:rPr>
                <w:rFonts w:ascii="Arial" w:hAnsi="Arial"/>
                <w:b/>
                <w:sz w:val="18"/>
              </w:rPr>
              <w:t xml:space="preserve">Directive 2013/9/EU </w:t>
            </w:r>
          </w:p>
        </w:tc>
        <w:tc>
          <w:tcPr>
            <w:tcW w:w="2388" w:type="dxa"/>
          </w:tcPr>
          <w:p w:rsidR="001B7152" w:rsidRPr="001B7152" w:rsidRDefault="001B7152" w:rsidP="001B7152">
            <w:pPr>
              <w:rPr>
                <w:rFonts w:ascii="Arial" w:eastAsia="Arial" w:hAnsi="Arial" w:cs="Arial"/>
                <w:sz w:val="18"/>
                <w:szCs w:val="18"/>
              </w:rPr>
            </w:pPr>
            <w:r>
              <w:rPr>
                <w:rFonts w:ascii="Arial" w:hAnsi="Arial"/>
                <w:sz w:val="18"/>
              </w:rPr>
              <w:t xml:space="preserve">Yes </w:t>
            </w:r>
          </w:p>
        </w:tc>
        <w:tc>
          <w:tcPr>
            <w:tcW w:w="2388" w:type="dxa"/>
          </w:tcPr>
          <w:p w:rsidR="001B7152" w:rsidRPr="001B7152" w:rsidRDefault="001B7152" w:rsidP="001B7152">
            <w:pPr>
              <w:rPr>
                <w:rFonts w:ascii="Arial" w:eastAsia="Arial" w:hAnsi="Arial" w:cs="Arial"/>
                <w:sz w:val="18"/>
                <w:szCs w:val="18"/>
              </w:rPr>
            </w:pPr>
            <w:r>
              <w:rPr>
                <w:rFonts w:ascii="Arial" w:hAnsi="Arial"/>
                <w:sz w:val="18"/>
              </w:rPr>
              <w:t>Decree Law No 41/2014 of 18 March</w:t>
            </w:r>
          </w:p>
        </w:tc>
        <w:tc>
          <w:tcPr>
            <w:tcW w:w="2389" w:type="dxa"/>
          </w:tcPr>
          <w:p w:rsidR="001B7152" w:rsidRPr="001B7152" w:rsidRDefault="001B7152" w:rsidP="001B7152">
            <w:pPr>
              <w:rPr>
                <w:rFonts w:ascii="Arial" w:eastAsia="Arial" w:hAnsi="Arial" w:cs="Arial"/>
                <w:sz w:val="18"/>
                <w:szCs w:val="18"/>
              </w:rPr>
            </w:pPr>
            <w:r>
              <w:rPr>
                <w:rFonts w:ascii="Arial" w:hAnsi="Arial"/>
                <w:sz w:val="18"/>
              </w:rPr>
              <w:t>19 March 2014</w:t>
            </w:r>
          </w:p>
        </w:tc>
      </w:tr>
      <w:tr w:rsidR="001B7152" w:rsidRPr="001B7152" w:rsidTr="001B7152">
        <w:tc>
          <w:tcPr>
            <w:tcW w:w="2388" w:type="dxa"/>
          </w:tcPr>
          <w:p w:rsidR="001B7152" w:rsidRPr="001B7152" w:rsidRDefault="001B7152" w:rsidP="001B7152">
            <w:pPr>
              <w:rPr>
                <w:rFonts w:ascii="Arial" w:eastAsia="Arial" w:hAnsi="Arial" w:cs="Arial"/>
                <w:b/>
                <w:sz w:val="18"/>
                <w:szCs w:val="18"/>
              </w:rPr>
            </w:pPr>
            <w:r>
              <w:rPr>
                <w:rFonts w:ascii="Arial" w:hAnsi="Arial"/>
                <w:b/>
                <w:sz w:val="18"/>
              </w:rPr>
              <w:t>Directive No 2014/38/EU</w:t>
            </w:r>
          </w:p>
        </w:tc>
        <w:tc>
          <w:tcPr>
            <w:tcW w:w="2388" w:type="dxa"/>
          </w:tcPr>
          <w:p w:rsidR="001B7152" w:rsidRPr="001B7152" w:rsidRDefault="001B7152" w:rsidP="001B7152">
            <w:pPr>
              <w:rPr>
                <w:rFonts w:ascii="Arial" w:eastAsia="Arial" w:hAnsi="Arial" w:cs="Arial"/>
                <w:sz w:val="18"/>
                <w:szCs w:val="18"/>
              </w:rPr>
            </w:pPr>
            <w:r>
              <w:rPr>
                <w:rFonts w:ascii="Arial" w:hAnsi="Arial"/>
                <w:sz w:val="18"/>
              </w:rPr>
              <w:t xml:space="preserve">Yes </w:t>
            </w:r>
          </w:p>
        </w:tc>
        <w:tc>
          <w:tcPr>
            <w:tcW w:w="2388" w:type="dxa"/>
          </w:tcPr>
          <w:p w:rsidR="001B7152" w:rsidRPr="001B7152" w:rsidRDefault="001B7152" w:rsidP="001B7152">
            <w:pPr>
              <w:rPr>
                <w:rFonts w:ascii="Arial" w:eastAsia="Arial" w:hAnsi="Arial" w:cs="Arial"/>
                <w:sz w:val="18"/>
                <w:szCs w:val="18"/>
              </w:rPr>
            </w:pPr>
            <w:r>
              <w:rPr>
                <w:rFonts w:ascii="Arial" w:hAnsi="Arial"/>
                <w:sz w:val="18"/>
              </w:rPr>
              <w:t>Decree Law No 179/2014 of 18 December</w:t>
            </w:r>
          </w:p>
        </w:tc>
        <w:tc>
          <w:tcPr>
            <w:tcW w:w="2389" w:type="dxa"/>
          </w:tcPr>
          <w:p w:rsidR="001B7152" w:rsidRPr="001B7152" w:rsidRDefault="001B7152" w:rsidP="001B7152">
            <w:pPr>
              <w:rPr>
                <w:sz w:val="13"/>
                <w:szCs w:val="13"/>
              </w:rPr>
            </w:pPr>
            <w:r>
              <w:rPr>
                <w:rFonts w:ascii="Arial" w:hAnsi="Arial"/>
                <w:sz w:val="18"/>
              </w:rPr>
              <w:t>19 December 2014</w:t>
            </w:r>
          </w:p>
        </w:tc>
      </w:tr>
    </w:tbl>
    <w:p w:rsidR="001B7152" w:rsidRDefault="001B7152" w:rsidP="001B7152">
      <w:pPr>
        <w:spacing w:before="39"/>
        <w:ind w:left="120"/>
        <w:rPr>
          <w:rFonts w:ascii="Arial" w:eastAsia="Arial" w:hAnsi="Arial" w:cs="Arial"/>
          <w:b/>
          <w:sz w:val="18"/>
          <w:szCs w:val="18"/>
        </w:rPr>
      </w:pPr>
    </w:p>
    <w:tbl>
      <w:tblPr>
        <w:tblStyle w:val="TableGrid"/>
        <w:tblW w:w="0" w:type="auto"/>
        <w:tblInd w:w="120" w:type="dxa"/>
        <w:tblLook w:val="04A0" w:firstRow="1" w:lastRow="0" w:firstColumn="1" w:lastColumn="0" w:noHBand="0" w:noVBand="1"/>
      </w:tblPr>
      <w:tblGrid>
        <w:gridCol w:w="2375"/>
        <w:gridCol w:w="2381"/>
        <w:gridCol w:w="2377"/>
        <w:gridCol w:w="2376"/>
      </w:tblGrid>
      <w:tr w:rsidR="001B7152" w:rsidRPr="001B7152" w:rsidTr="001B7152">
        <w:tc>
          <w:tcPr>
            <w:tcW w:w="2388" w:type="dxa"/>
          </w:tcPr>
          <w:p w:rsidR="001B7152" w:rsidRPr="001B7152" w:rsidRDefault="001B7152" w:rsidP="001B7152">
            <w:pPr>
              <w:rPr>
                <w:rFonts w:ascii="Arial" w:eastAsia="Arial" w:hAnsi="Arial" w:cs="Arial"/>
                <w:b/>
                <w:sz w:val="18"/>
                <w:szCs w:val="18"/>
              </w:rPr>
            </w:pPr>
            <w:r>
              <w:rPr>
                <w:rFonts w:ascii="Arial" w:hAnsi="Arial"/>
                <w:b/>
                <w:sz w:val="18"/>
              </w:rPr>
              <w:t>National legislation and regulations</w:t>
            </w:r>
          </w:p>
        </w:tc>
        <w:tc>
          <w:tcPr>
            <w:tcW w:w="2388" w:type="dxa"/>
          </w:tcPr>
          <w:p w:rsidR="001B7152" w:rsidRPr="001B7152" w:rsidRDefault="001B7152" w:rsidP="001B7152">
            <w:pPr>
              <w:rPr>
                <w:rFonts w:ascii="Arial" w:eastAsia="Arial" w:hAnsi="Arial" w:cs="Arial"/>
                <w:b/>
                <w:sz w:val="18"/>
                <w:szCs w:val="18"/>
              </w:rPr>
            </w:pPr>
            <w:r>
              <w:rPr>
                <w:rFonts w:ascii="Arial" w:hAnsi="Arial"/>
                <w:b/>
                <w:sz w:val="18"/>
              </w:rPr>
              <w:t>Date of entry into force</w:t>
            </w:r>
          </w:p>
        </w:tc>
        <w:tc>
          <w:tcPr>
            <w:tcW w:w="2388" w:type="dxa"/>
          </w:tcPr>
          <w:p w:rsidR="001B7152" w:rsidRPr="001B7152" w:rsidRDefault="001B7152" w:rsidP="001B7152">
            <w:pPr>
              <w:rPr>
                <w:rFonts w:ascii="Arial" w:eastAsia="Arial" w:hAnsi="Arial" w:cs="Arial"/>
                <w:b/>
                <w:sz w:val="18"/>
                <w:szCs w:val="18"/>
              </w:rPr>
            </w:pPr>
            <w:r>
              <w:rPr>
                <w:rFonts w:ascii="Arial" w:hAnsi="Arial"/>
                <w:b/>
                <w:sz w:val="18"/>
              </w:rPr>
              <w:t xml:space="preserve">Description of the amendment </w:t>
            </w:r>
          </w:p>
        </w:tc>
        <w:tc>
          <w:tcPr>
            <w:tcW w:w="2389" w:type="dxa"/>
          </w:tcPr>
          <w:p w:rsidR="001B7152" w:rsidRPr="001B7152" w:rsidRDefault="001B7152" w:rsidP="001B7152">
            <w:pPr>
              <w:rPr>
                <w:rFonts w:ascii="Arial" w:eastAsia="Arial" w:hAnsi="Arial" w:cs="Arial"/>
                <w:b/>
                <w:sz w:val="18"/>
                <w:szCs w:val="18"/>
              </w:rPr>
            </w:pPr>
            <w:r>
              <w:rPr>
                <w:rFonts w:ascii="Arial" w:hAnsi="Arial"/>
                <w:b/>
                <w:sz w:val="18"/>
              </w:rPr>
              <w:t>Reasons for the change</w:t>
            </w:r>
          </w:p>
        </w:tc>
      </w:tr>
      <w:tr w:rsidR="001B7152" w:rsidRPr="00B63285" w:rsidTr="001B7152">
        <w:tc>
          <w:tcPr>
            <w:tcW w:w="2388" w:type="dxa"/>
          </w:tcPr>
          <w:p w:rsidR="001B7152" w:rsidRPr="001B7152" w:rsidRDefault="001B7152" w:rsidP="001B7152">
            <w:pPr>
              <w:rPr>
                <w:rFonts w:ascii="Arial" w:eastAsia="Arial" w:hAnsi="Arial" w:cs="Arial"/>
                <w:b/>
                <w:sz w:val="18"/>
                <w:szCs w:val="18"/>
              </w:rPr>
            </w:pPr>
            <w:r>
              <w:rPr>
                <w:rFonts w:ascii="Arial" w:hAnsi="Arial"/>
                <w:b/>
                <w:sz w:val="18"/>
              </w:rPr>
              <w:t>Decree Law No 151/2014 of 13 October</w:t>
            </w:r>
          </w:p>
        </w:tc>
        <w:tc>
          <w:tcPr>
            <w:tcW w:w="2388" w:type="dxa"/>
          </w:tcPr>
          <w:p w:rsidR="001B7152" w:rsidRPr="001B7152" w:rsidRDefault="001B7152" w:rsidP="001B7152">
            <w:pPr>
              <w:rPr>
                <w:rFonts w:ascii="Arial" w:eastAsia="Arial" w:hAnsi="Arial" w:cs="Arial"/>
                <w:sz w:val="18"/>
                <w:szCs w:val="18"/>
              </w:rPr>
            </w:pPr>
            <w:r>
              <w:rPr>
                <w:rFonts w:ascii="Arial" w:hAnsi="Arial"/>
                <w:sz w:val="18"/>
              </w:rPr>
              <w:t>12 November 2014</w:t>
            </w:r>
          </w:p>
        </w:tc>
        <w:tc>
          <w:tcPr>
            <w:tcW w:w="2388" w:type="dxa"/>
          </w:tcPr>
          <w:p w:rsidR="001B7152" w:rsidRPr="001B7152" w:rsidRDefault="001B7152" w:rsidP="001B7152">
            <w:pPr>
              <w:rPr>
                <w:rFonts w:ascii="Arial" w:eastAsia="Arial" w:hAnsi="Arial" w:cs="Arial"/>
                <w:b/>
                <w:sz w:val="18"/>
                <w:szCs w:val="18"/>
              </w:rPr>
            </w:pPr>
            <w:r>
              <w:rPr>
                <w:rFonts w:ascii="Arial" w:hAnsi="Arial"/>
                <w:b/>
                <w:sz w:val="18"/>
              </w:rPr>
              <w:t>Amendment to Decree Law No 270/2003 of 28 October, Decree Law No 394/2007 of 31 December, and Decree Law No 70/2012 of 21 March, relating to rail transport, that implements the transposition of Directive No 2004/49/CE</w:t>
            </w:r>
          </w:p>
        </w:tc>
        <w:tc>
          <w:tcPr>
            <w:tcW w:w="2389" w:type="dxa"/>
          </w:tcPr>
          <w:p w:rsidR="001B7152" w:rsidRPr="001B7152" w:rsidRDefault="001B7152" w:rsidP="001B7152">
            <w:pPr>
              <w:rPr>
                <w:sz w:val="18"/>
                <w:szCs w:val="18"/>
              </w:rPr>
            </w:pPr>
            <w:r>
              <w:rPr>
                <w:rFonts w:ascii="Arial" w:hAnsi="Arial"/>
                <w:sz w:val="18"/>
              </w:rPr>
              <w:t>Adjustments to provisions relative to common safety methods for the evaluation and approval of safety management systems, as well as to the system of sanctions that applies to the companies and railway staff.</w:t>
            </w:r>
          </w:p>
        </w:tc>
      </w:tr>
    </w:tbl>
    <w:p w:rsidR="001B7152" w:rsidRDefault="001B7152">
      <w:pPr>
        <w:spacing w:before="9" w:line="220" w:lineRule="exact"/>
      </w:pPr>
    </w:p>
    <w:p w:rsidR="001B7152" w:rsidRDefault="001B7152">
      <w:r>
        <w:br w:type="page"/>
      </w:r>
    </w:p>
    <w:p w:rsidR="006F3ED5" w:rsidRPr="006A2FC1" w:rsidRDefault="00B65BEC" w:rsidP="001B7152">
      <w:pPr>
        <w:pStyle w:val="ANNEXE"/>
      </w:pPr>
      <w:bookmarkStart w:id="89" w:name="_Toc435689610"/>
      <w:bookmarkStart w:id="90" w:name="_Toc442177376"/>
      <w:r>
        <w:lastRenderedPageBreak/>
        <w:t>SIGNIFICANT ACCIDENTS 2014</w:t>
      </w:r>
      <w:bookmarkEnd w:id="89"/>
      <w:bookmarkEnd w:id="90"/>
    </w:p>
    <w:p w:rsidR="006F3ED5" w:rsidRPr="006A2FC1" w:rsidRDefault="006F3ED5">
      <w:pPr>
        <w:spacing w:line="200" w:lineRule="exact"/>
      </w:pPr>
    </w:p>
    <w:p w:rsidR="006F3ED5" w:rsidRPr="006A2FC1" w:rsidRDefault="006F3ED5">
      <w:pPr>
        <w:spacing w:line="200" w:lineRule="exact"/>
      </w:pPr>
    </w:p>
    <w:p w:rsidR="006F3ED5" w:rsidRPr="006A2FC1" w:rsidRDefault="006F3ED5">
      <w:pPr>
        <w:spacing w:before="18" w:line="220" w:lineRule="exact"/>
        <w:rPr>
          <w:sz w:val="22"/>
          <w:szCs w:val="22"/>
        </w:rPr>
      </w:pPr>
    </w:p>
    <w:tbl>
      <w:tblPr>
        <w:tblW w:w="0" w:type="auto"/>
        <w:tblInd w:w="109" w:type="dxa"/>
        <w:tblLayout w:type="fixed"/>
        <w:tblCellMar>
          <w:left w:w="0" w:type="dxa"/>
          <w:right w:w="0" w:type="dxa"/>
        </w:tblCellMar>
        <w:tblLook w:val="01E0" w:firstRow="1" w:lastRow="1" w:firstColumn="1" w:lastColumn="1" w:noHBand="0" w:noVBand="0"/>
      </w:tblPr>
      <w:tblGrid>
        <w:gridCol w:w="1980"/>
        <w:gridCol w:w="1415"/>
        <w:gridCol w:w="1851"/>
        <w:gridCol w:w="1578"/>
        <w:gridCol w:w="1460"/>
        <w:gridCol w:w="1239"/>
      </w:tblGrid>
      <w:tr w:rsidR="006F3ED5" w:rsidRPr="008D1E56" w:rsidTr="001B7152">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51"/>
              <w:ind w:left="7"/>
              <w:rPr>
                <w:rFonts w:ascii="Arial" w:eastAsia="Arial" w:hAnsi="Arial" w:cs="Arial"/>
                <w:sz w:val="18"/>
                <w:szCs w:val="18"/>
              </w:rPr>
            </w:pPr>
            <w:r>
              <w:rPr>
                <w:rFonts w:ascii="Arial" w:hAnsi="Arial"/>
                <w:b/>
                <w:sz w:val="18"/>
              </w:rPr>
              <w:t>eGOC No 166487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pPr>
              <w:spacing w:before="55" w:line="200" w:lineRule="exact"/>
              <w:ind w:left="9" w:right="567"/>
              <w:rPr>
                <w:rFonts w:ascii="Arial" w:eastAsia="Arial" w:hAnsi="Arial" w:cs="Arial"/>
                <w:sz w:val="18"/>
                <w:szCs w:val="18"/>
              </w:rPr>
            </w:pPr>
            <w:r>
              <w:rPr>
                <w:rFonts w:ascii="Arial" w:hAnsi="Arial"/>
                <w:b/>
                <w:sz w:val="18"/>
              </w:rPr>
              <w:t>Date/Time: 02- Jan/17:46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51"/>
              <w:ind w:left="7"/>
              <w:rPr>
                <w:rFonts w:ascii="Arial" w:eastAsia="Arial" w:hAnsi="Arial" w:cs="Arial"/>
                <w:sz w:val="18"/>
                <w:szCs w:val="18"/>
              </w:rPr>
            </w:pPr>
            <w:r>
              <w:rPr>
                <w:rFonts w:ascii="Arial" w:hAnsi="Arial"/>
                <w:b/>
                <w:sz w:val="18"/>
              </w:rPr>
              <w:t>Train No  15235</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Km 023.100</w:t>
            </w:r>
          </w:p>
        </w:tc>
      </w:tr>
      <w:tr w:rsidR="006F3ED5" w:rsidRPr="00B63285" w:rsidTr="001B7152">
        <w:trPr>
          <w:trHeight w:val="20"/>
        </w:trPr>
        <w:tc>
          <w:tcPr>
            <w:tcW w:w="9522"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pPr>
              <w:spacing w:before="3" w:line="200" w:lineRule="exact"/>
              <w:ind w:left="9" w:right="516"/>
              <w:rPr>
                <w:rFonts w:ascii="Arial" w:eastAsia="Arial" w:hAnsi="Arial" w:cs="Arial"/>
                <w:sz w:val="18"/>
                <w:szCs w:val="18"/>
              </w:rPr>
            </w:pPr>
            <w:r>
              <w:rPr>
                <w:rFonts w:ascii="Arial" w:hAnsi="Arial"/>
                <w:sz w:val="18"/>
              </w:rPr>
              <w:t>The train stopped at km 23.100 due to having collided with a man. According to the train driver, the pedestrian was walking along the line towards the train. The body occupied the down line. A temporary single-track was established on the up line between Lousado and Trofa, with reversible block signalling. A category C emergency plan was initiated and a local emergency manager appointed, arriving on site at 18:40. Train 15240 was kept in place temporarily so that the authorities could check that the up line was clear. Train 15235 restarted its journey at 18:55. The body was removed and the line was declared clear without restrictions at 19:32. The victim had been trespassing on the track, in violation of the regulations laid out in Decree Law No 276/2003 of 04 November, specifically articles 19 and 34. The top speed for trains along that stretch of line is 120 km/h.</w:t>
            </w:r>
          </w:p>
        </w:tc>
      </w:tr>
      <w:tr w:rsidR="006F3ED5" w:rsidRPr="008D1E56" w:rsidTr="001B7152">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70"/>
              <w:ind w:left="7"/>
              <w:rPr>
                <w:rFonts w:ascii="Arial" w:eastAsia="Arial" w:hAnsi="Arial" w:cs="Arial"/>
                <w:sz w:val="18"/>
                <w:szCs w:val="18"/>
              </w:rPr>
            </w:pPr>
            <w:r>
              <w:rPr>
                <w:rFonts w:ascii="Arial" w:hAnsi="Arial"/>
                <w:b/>
                <w:sz w:val="18"/>
              </w:rPr>
              <w:t>eGOC No 166561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pPr>
              <w:spacing w:before="74" w:line="200" w:lineRule="exact"/>
              <w:ind w:left="9" w:right="567"/>
              <w:rPr>
                <w:rFonts w:ascii="Arial" w:eastAsia="Arial" w:hAnsi="Arial" w:cs="Arial"/>
                <w:sz w:val="18"/>
                <w:szCs w:val="18"/>
              </w:rPr>
            </w:pPr>
            <w:r>
              <w:rPr>
                <w:rFonts w:ascii="Arial" w:hAnsi="Arial"/>
                <w:b/>
                <w:sz w:val="18"/>
              </w:rPr>
              <w:t>Date/Time: 03- Jan/18:35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7"/>
              <w:rPr>
                <w:rFonts w:ascii="Arial" w:eastAsia="Arial" w:hAnsi="Arial" w:cs="Arial"/>
                <w:sz w:val="18"/>
                <w:szCs w:val="18"/>
              </w:rPr>
            </w:pPr>
            <w:r>
              <w:rPr>
                <w:rFonts w:ascii="Arial" w:hAnsi="Arial"/>
                <w:sz w:val="18"/>
              </w:rPr>
              <w:t xml:space="preserve"> </w:t>
            </w:r>
            <w:r>
              <w:rPr>
                <w:rFonts w:ascii="Arial" w:hAnsi="Arial"/>
                <w:b/>
                <w:sz w:val="18"/>
              </w:rPr>
              <w:t>Train No 527</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Km 311.900</w:t>
            </w:r>
          </w:p>
        </w:tc>
      </w:tr>
      <w:tr w:rsidR="006F3ED5" w:rsidRPr="008D1E56" w:rsidTr="001B7152">
        <w:trPr>
          <w:trHeight w:val="20"/>
        </w:trPr>
        <w:tc>
          <w:tcPr>
            <w:tcW w:w="9522"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pPr>
              <w:spacing w:line="200" w:lineRule="exact"/>
              <w:ind w:left="9"/>
              <w:rPr>
                <w:rFonts w:ascii="Arial" w:eastAsia="Arial" w:hAnsi="Arial" w:cs="Arial"/>
                <w:sz w:val="18"/>
                <w:szCs w:val="18"/>
              </w:rPr>
            </w:pPr>
            <w:r>
              <w:rPr>
                <w:rFonts w:ascii="Arial" w:hAnsi="Arial"/>
                <w:sz w:val="18"/>
              </w:rPr>
              <w:t>When train 527 was approaching Esmoriz station, a person who was on the down line platform moved onto the track at the passenger crossing point. Although the train driver sounded the horn, the person did not move out of the way and was fatally struck by the train, which came to a stop close to the station exit. A category C emergency plan was initiated, and a local emergency manager appointed, who arrived at the site at 18:55. The Esmoriz National Republican Guard (GNR) authorized the removal of the body at 19:20, which was completed at 19:35. The train restarted its journey at 19:40. After being inspected, the line was declared clear without restriction at 19:45.</w:t>
            </w:r>
          </w:p>
        </w:tc>
      </w:tr>
      <w:tr w:rsidR="006F3ED5" w:rsidRPr="008D1E56" w:rsidTr="001B7152">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70"/>
              <w:ind w:left="7"/>
              <w:rPr>
                <w:rFonts w:ascii="Arial" w:eastAsia="Arial" w:hAnsi="Arial" w:cs="Arial"/>
                <w:sz w:val="18"/>
                <w:szCs w:val="18"/>
              </w:rPr>
            </w:pPr>
            <w:r>
              <w:rPr>
                <w:rFonts w:ascii="Arial" w:hAnsi="Arial"/>
                <w:b/>
                <w:sz w:val="18"/>
              </w:rPr>
              <w:t>eGOC No 166990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pPr>
              <w:spacing w:before="70"/>
              <w:ind w:left="9" w:right="567"/>
              <w:rPr>
                <w:rFonts w:ascii="Arial" w:eastAsia="Arial" w:hAnsi="Arial" w:cs="Arial"/>
                <w:sz w:val="18"/>
                <w:szCs w:val="18"/>
              </w:rPr>
            </w:pPr>
            <w:r>
              <w:rPr>
                <w:rFonts w:ascii="Arial" w:hAnsi="Arial"/>
                <w:b/>
                <w:sz w:val="18"/>
              </w:rPr>
              <w:t>Date/Time: 10- Jan/10:50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70"/>
              <w:ind w:left="7"/>
              <w:rPr>
                <w:rFonts w:ascii="Arial" w:eastAsia="Arial" w:hAnsi="Arial" w:cs="Arial"/>
                <w:sz w:val="18"/>
                <w:szCs w:val="18"/>
              </w:rPr>
            </w:pPr>
            <w:r>
              <w:rPr>
                <w:rFonts w:ascii="Arial" w:hAnsi="Arial"/>
                <w:b/>
                <w:sz w:val="18"/>
              </w:rPr>
              <w:t>Train No 27910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70"/>
              <w:ind w:left="9"/>
              <w:rPr>
                <w:rFonts w:ascii="Arial" w:eastAsia="Arial" w:hAnsi="Arial" w:cs="Arial"/>
                <w:sz w:val="18"/>
                <w:szCs w:val="18"/>
              </w:rPr>
            </w:pPr>
            <w:r>
              <w:rPr>
                <w:rFonts w:ascii="Arial" w:hAnsi="Arial"/>
                <w:b/>
                <w:sz w:val="18"/>
              </w:rPr>
              <w:t>Cascais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Km 021.900</w:t>
            </w:r>
          </w:p>
        </w:tc>
      </w:tr>
      <w:tr w:rsidR="006F3ED5" w:rsidRPr="00B63285" w:rsidTr="001B7152">
        <w:trPr>
          <w:trHeight w:val="20"/>
        </w:trPr>
        <w:tc>
          <w:tcPr>
            <w:tcW w:w="9522"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1B7152">
            <w:pPr>
              <w:spacing w:line="200" w:lineRule="exact"/>
              <w:ind w:left="9" w:right="404"/>
              <w:jc w:val="both"/>
              <w:rPr>
                <w:rFonts w:ascii="Arial" w:eastAsia="Arial" w:hAnsi="Arial" w:cs="Arial"/>
                <w:sz w:val="18"/>
                <w:szCs w:val="18"/>
              </w:rPr>
            </w:pPr>
            <w:r>
              <w:rPr>
                <w:rFonts w:ascii="Arial" w:hAnsi="Arial"/>
                <w:sz w:val="18"/>
              </w:rPr>
              <w:t>The Oeiras police (PSP) informed the Lisbon Operational Command Centre (CCO) that there was a body next to the up line between S. João and S. Pedro do Estoril, which resulted from the victim having crossed the track at the wrong location. Traffic movement was suspended on the up line between Oeiras and Cascais between 11:03 and 11:21, and on both tracks between 11:21 and 11:30. A local emergency manager was appointed and a category C emergency plan initiated.</w:t>
            </w:r>
          </w:p>
        </w:tc>
      </w:tr>
      <w:tr w:rsidR="006F3ED5" w:rsidRPr="008D1E56" w:rsidTr="001B7152">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70"/>
              <w:ind w:left="7"/>
              <w:rPr>
                <w:rFonts w:ascii="Arial" w:eastAsia="Arial" w:hAnsi="Arial" w:cs="Arial"/>
                <w:sz w:val="18"/>
                <w:szCs w:val="18"/>
              </w:rPr>
            </w:pPr>
            <w:r>
              <w:rPr>
                <w:rFonts w:ascii="Arial" w:hAnsi="Arial"/>
                <w:b/>
                <w:sz w:val="18"/>
              </w:rPr>
              <w:t>eGOC No 167249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pPr>
              <w:spacing w:before="74" w:line="200" w:lineRule="exact"/>
              <w:ind w:left="9" w:right="567"/>
              <w:rPr>
                <w:rFonts w:ascii="Arial" w:eastAsia="Arial" w:hAnsi="Arial" w:cs="Arial"/>
                <w:sz w:val="18"/>
                <w:szCs w:val="18"/>
              </w:rPr>
            </w:pPr>
            <w:r>
              <w:rPr>
                <w:rFonts w:ascii="Arial" w:hAnsi="Arial"/>
                <w:b/>
                <w:sz w:val="18"/>
              </w:rPr>
              <w:t>Date/Time: 15- Jan/22:14</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70"/>
              <w:ind w:left="7"/>
              <w:rPr>
                <w:rFonts w:ascii="Arial" w:eastAsia="Arial" w:hAnsi="Arial" w:cs="Arial"/>
                <w:sz w:val="18"/>
                <w:szCs w:val="18"/>
              </w:rPr>
            </w:pPr>
            <w:r>
              <w:rPr>
                <w:rFonts w:ascii="Arial" w:hAnsi="Arial"/>
                <w:b/>
                <w:sz w:val="18"/>
              </w:rPr>
              <w:t>Train No 18830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Sintra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Km 024.080</w:t>
            </w:r>
          </w:p>
        </w:tc>
      </w:tr>
      <w:tr w:rsidR="006F3ED5" w:rsidRPr="00B63285" w:rsidTr="001B7152">
        <w:trPr>
          <w:trHeight w:val="20"/>
        </w:trPr>
        <w:tc>
          <w:tcPr>
            <w:tcW w:w="9522"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1B7152">
            <w:pPr>
              <w:spacing w:line="200" w:lineRule="exact"/>
              <w:ind w:left="9"/>
              <w:rPr>
                <w:rFonts w:ascii="Arial" w:eastAsia="Arial" w:hAnsi="Arial" w:cs="Arial"/>
                <w:sz w:val="18"/>
                <w:szCs w:val="18"/>
              </w:rPr>
            </w:pPr>
            <w:r>
              <w:rPr>
                <w:rFonts w:ascii="Arial" w:hAnsi="Arial"/>
                <w:sz w:val="18"/>
              </w:rPr>
              <w:t>The train driver informed the Lisbon Operational Command Centre (CCO) that they had fatally struck a person who had been crossing the track at the indicated km. Traffic movement on both tracks was suspended between Mercês and Sintra. A local emergency manager could not be appointed immediately; however, a representative of the Lisbon maintenance depot (CML-MN) track unit appeared at the scene, and the Lisbon Civil Protection Authority (CDOS) was informed.</w:t>
            </w:r>
          </w:p>
        </w:tc>
      </w:tr>
      <w:tr w:rsidR="006F3ED5" w:rsidRPr="008D1E56" w:rsidTr="001B7152">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Collision between trains</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65"/>
              <w:ind w:left="7"/>
              <w:rPr>
                <w:rFonts w:ascii="Arial" w:eastAsia="Arial" w:hAnsi="Arial" w:cs="Arial"/>
                <w:sz w:val="18"/>
                <w:szCs w:val="18"/>
              </w:rPr>
            </w:pPr>
            <w:r>
              <w:rPr>
                <w:rFonts w:ascii="Arial" w:hAnsi="Arial"/>
                <w:b/>
                <w:sz w:val="18"/>
              </w:rPr>
              <w:t>eGOC No 167256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pPr>
              <w:spacing w:before="69" w:line="200" w:lineRule="exact"/>
              <w:ind w:left="9" w:right="567"/>
              <w:rPr>
                <w:rFonts w:ascii="Arial" w:eastAsia="Arial" w:hAnsi="Arial" w:cs="Arial"/>
                <w:sz w:val="18"/>
                <w:szCs w:val="18"/>
              </w:rPr>
            </w:pPr>
            <w:r>
              <w:rPr>
                <w:rFonts w:ascii="Arial" w:hAnsi="Arial"/>
                <w:b/>
                <w:sz w:val="18"/>
              </w:rPr>
              <w:t>Date/Time: 16- Jan/05:20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65"/>
              <w:ind w:left="7"/>
              <w:rPr>
                <w:rFonts w:ascii="Arial" w:eastAsia="Arial" w:hAnsi="Arial" w:cs="Arial"/>
                <w:sz w:val="18"/>
                <w:szCs w:val="18"/>
              </w:rPr>
            </w:pPr>
            <w:r>
              <w:rPr>
                <w:rFonts w:ascii="Arial" w:hAnsi="Arial"/>
                <w:b/>
                <w:sz w:val="18"/>
              </w:rPr>
              <w:t>Train No 92219</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Douro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Km 064.100</w:t>
            </w:r>
          </w:p>
        </w:tc>
      </w:tr>
      <w:tr w:rsidR="006F3ED5" w:rsidRPr="00B63285" w:rsidTr="001B7152">
        <w:trPr>
          <w:trHeight w:val="20"/>
        </w:trPr>
        <w:tc>
          <w:tcPr>
            <w:tcW w:w="9522"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1B7152">
            <w:pPr>
              <w:spacing w:line="200" w:lineRule="exact"/>
              <w:ind w:left="9"/>
              <w:rPr>
                <w:rFonts w:ascii="Arial" w:eastAsia="Arial" w:hAnsi="Arial" w:cs="Arial"/>
                <w:sz w:val="18"/>
                <w:szCs w:val="18"/>
              </w:rPr>
            </w:pPr>
            <w:r>
              <w:rPr>
                <w:rFonts w:ascii="Arial" w:hAnsi="Arial"/>
                <w:sz w:val="18"/>
              </w:rPr>
              <w:t>Derailment of the railway inspection trolley that was returning from work on service order No 138, caused by a barrier having fallen onto the track at the indicated km. The accident resulted in 4 injured persons, who were taken to the Vale do Sousa hospital by the Marco de Canaveses Volunteer Fire Brigade. A local emergency manager was appointed and a category B emergency plan was initiated. The Porto Civil Protection Authority (CDOS) was informed. The crew of the railway inspection trolley called the assistance train to carry out the needed re-railing. The assistance train was released after arriving at the site by a Porto maintenance depot (CMP-MN) manager, as it was believed the re-railing could be done using the resources that had already arrived at the site (2 Fergrupo rail-route vehicles).</w:t>
            </w:r>
          </w:p>
        </w:tc>
      </w:tr>
      <w:tr w:rsidR="006F3ED5" w:rsidRPr="008D1E56" w:rsidTr="001B7152">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70"/>
              <w:ind w:left="7"/>
              <w:rPr>
                <w:rFonts w:ascii="Arial" w:eastAsia="Arial" w:hAnsi="Arial" w:cs="Arial"/>
                <w:sz w:val="18"/>
                <w:szCs w:val="18"/>
              </w:rPr>
            </w:pPr>
            <w:r>
              <w:rPr>
                <w:rFonts w:ascii="Arial" w:hAnsi="Arial"/>
                <w:b/>
                <w:sz w:val="18"/>
              </w:rPr>
              <w:t>eGOC No 167330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pPr>
              <w:spacing w:before="74" w:line="200" w:lineRule="exact"/>
              <w:ind w:left="9" w:right="567"/>
              <w:rPr>
                <w:rFonts w:ascii="Arial" w:eastAsia="Arial" w:hAnsi="Arial" w:cs="Arial"/>
                <w:sz w:val="18"/>
                <w:szCs w:val="18"/>
              </w:rPr>
            </w:pPr>
            <w:r>
              <w:rPr>
                <w:rFonts w:ascii="Arial" w:hAnsi="Arial"/>
                <w:b/>
                <w:sz w:val="18"/>
              </w:rPr>
              <w:t>Date/Time: 17- Jan/07:23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70"/>
              <w:ind w:left="7"/>
              <w:rPr>
                <w:rFonts w:ascii="Arial" w:eastAsia="Arial" w:hAnsi="Arial" w:cs="Arial"/>
                <w:sz w:val="18"/>
                <w:szCs w:val="18"/>
              </w:rPr>
            </w:pPr>
            <w:r>
              <w:rPr>
                <w:rFonts w:ascii="Arial" w:hAnsi="Arial"/>
                <w:b/>
                <w:sz w:val="18"/>
              </w:rPr>
              <w:t>Train No 18713</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Sintra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Km 019.500</w:t>
            </w:r>
          </w:p>
        </w:tc>
      </w:tr>
      <w:tr w:rsidR="006F3ED5" w:rsidRPr="00B63285" w:rsidTr="001B7152">
        <w:trPr>
          <w:trHeight w:val="20"/>
        </w:trPr>
        <w:tc>
          <w:tcPr>
            <w:tcW w:w="9522"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1B7152">
            <w:pPr>
              <w:spacing w:line="200" w:lineRule="exact"/>
              <w:ind w:left="9"/>
              <w:rPr>
                <w:rFonts w:ascii="Arial" w:eastAsia="Arial" w:hAnsi="Arial" w:cs="Arial"/>
                <w:sz w:val="18"/>
                <w:szCs w:val="18"/>
              </w:rPr>
            </w:pPr>
            <w:r>
              <w:rPr>
                <w:rFonts w:ascii="Arial" w:hAnsi="Arial"/>
                <w:sz w:val="18"/>
              </w:rPr>
              <w:t>The train driver informed the Lisbon Operational Command Centre (CCO) that they had fatally struck a person who was on the down line at the indicated km. Traffic movement was suspended on the down line between Agualva-Cacém and Mercês, and proceed on sight was established at the location for all trains in service on the up line. A local emergency manager was appointed and a category C emergency plan was initiated. The Lisbon Civil Protection Authority (CDOS) was informed, as were the railway police at Monte Abraão.</w:t>
            </w:r>
          </w:p>
        </w:tc>
      </w:tr>
      <w:tr w:rsidR="006F3ED5" w:rsidRPr="008D1E56" w:rsidTr="001B7152">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1B7152">
            <w:pPr>
              <w:spacing w:before="70"/>
              <w:ind w:left="7"/>
              <w:rPr>
                <w:rFonts w:ascii="Arial" w:eastAsia="Arial" w:hAnsi="Arial" w:cs="Arial"/>
                <w:sz w:val="18"/>
                <w:szCs w:val="18"/>
              </w:rPr>
            </w:pPr>
            <w:r>
              <w:rPr>
                <w:rFonts w:ascii="Arial" w:hAnsi="Arial"/>
                <w:b/>
                <w:sz w:val="18"/>
              </w:rPr>
              <w:t>eGOC No  167833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pPr>
              <w:spacing w:before="74" w:line="200" w:lineRule="exact"/>
              <w:ind w:left="9" w:right="567"/>
              <w:rPr>
                <w:rFonts w:ascii="Arial" w:eastAsia="Arial" w:hAnsi="Arial" w:cs="Arial"/>
                <w:sz w:val="18"/>
                <w:szCs w:val="18"/>
              </w:rPr>
            </w:pPr>
            <w:r>
              <w:rPr>
                <w:rFonts w:ascii="Arial" w:hAnsi="Arial"/>
                <w:b/>
                <w:sz w:val="18"/>
              </w:rPr>
              <w:t>Date/Time: 27- Jan/15:25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7"/>
              <w:rPr>
                <w:rFonts w:ascii="Arial" w:eastAsia="Arial" w:hAnsi="Arial" w:cs="Arial"/>
                <w:sz w:val="18"/>
                <w:szCs w:val="18"/>
              </w:rPr>
            </w:pPr>
            <w:r>
              <w:rPr>
                <w:rFonts w:ascii="Arial" w:hAnsi="Arial"/>
                <w:sz w:val="18"/>
              </w:rPr>
              <w:t xml:space="preserve"> </w:t>
            </w:r>
            <w:r>
              <w:rPr>
                <w:rFonts w:ascii="Arial" w:hAnsi="Arial"/>
                <w:b/>
                <w:sz w:val="18"/>
              </w:rPr>
              <w:t>Train No  5715</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pPr>
              <w:spacing w:line="200" w:lineRule="exact"/>
              <w:ind w:left="9"/>
              <w:rPr>
                <w:rFonts w:ascii="Arial" w:eastAsia="Arial" w:hAnsi="Arial" w:cs="Arial"/>
                <w:sz w:val="18"/>
                <w:szCs w:val="18"/>
              </w:rPr>
            </w:pPr>
            <w:r>
              <w:rPr>
                <w:rFonts w:ascii="Arial" w:hAnsi="Arial"/>
                <w:b/>
                <w:sz w:val="18"/>
              </w:rPr>
              <w:t>Algarve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Km 348.800</w:t>
            </w:r>
          </w:p>
        </w:tc>
      </w:tr>
      <w:tr w:rsidR="006F3ED5" w:rsidRPr="00B63285" w:rsidTr="001B7152">
        <w:trPr>
          <w:trHeight w:val="20"/>
        </w:trPr>
        <w:tc>
          <w:tcPr>
            <w:tcW w:w="9522"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1B7152">
            <w:pPr>
              <w:spacing w:line="200" w:lineRule="exact"/>
              <w:ind w:left="9"/>
              <w:rPr>
                <w:rFonts w:ascii="Arial" w:eastAsia="Arial" w:hAnsi="Arial" w:cs="Arial"/>
                <w:sz w:val="18"/>
                <w:szCs w:val="18"/>
              </w:rPr>
            </w:pPr>
            <w:r>
              <w:rPr>
                <w:rFonts w:ascii="Arial" w:hAnsi="Arial"/>
                <w:sz w:val="18"/>
              </w:rPr>
              <w:t>The Faro Civil Protection Authority informed the Faro command centre that at the indicated km assistance was being provided to a person who must have fallen from the door of the baggage car without the ticket inspector having noticed. Traffic movement was suspended between the stations of Faro and Olhão. A local emergency manager was appointed and a category C emergency plan was initiated.</w:t>
            </w:r>
          </w:p>
        </w:tc>
      </w:tr>
      <w:tr w:rsidR="006F3ED5" w:rsidRPr="008D1E56" w:rsidTr="001B7152">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Accident at a LC</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1B7152">
            <w:pPr>
              <w:spacing w:before="70"/>
              <w:ind w:left="7"/>
              <w:rPr>
                <w:rFonts w:ascii="Arial" w:eastAsia="Arial" w:hAnsi="Arial" w:cs="Arial"/>
                <w:sz w:val="18"/>
                <w:szCs w:val="18"/>
              </w:rPr>
            </w:pPr>
            <w:r>
              <w:rPr>
                <w:rFonts w:ascii="Arial" w:hAnsi="Arial"/>
                <w:b/>
                <w:sz w:val="18"/>
              </w:rPr>
              <w:t>eGOC No  167805</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pPr>
              <w:spacing w:before="74" w:line="200" w:lineRule="exact"/>
              <w:ind w:left="9" w:right="567"/>
              <w:rPr>
                <w:rFonts w:ascii="Arial" w:eastAsia="Arial" w:hAnsi="Arial" w:cs="Arial"/>
                <w:sz w:val="18"/>
                <w:szCs w:val="18"/>
              </w:rPr>
            </w:pPr>
            <w:r>
              <w:rPr>
                <w:rFonts w:ascii="Arial" w:hAnsi="Arial"/>
                <w:b/>
                <w:sz w:val="18"/>
              </w:rPr>
              <w:t>Date/Time: 27- Jan/06:45</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1B7152">
            <w:pPr>
              <w:spacing w:before="70"/>
              <w:ind w:left="7"/>
              <w:rPr>
                <w:rFonts w:ascii="Arial" w:eastAsia="Arial" w:hAnsi="Arial" w:cs="Arial"/>
                <w:sz w:val="18"/>
                <w:szCs w:val="18"/>
              </w:rPr>
            </w:pPr>
            <w:r>
              <w:rPr>
                <w:rFonts w:ascii="Arial" w:hAnsi="Arial"/>
                <w:b/>
                <w:sz w:val="18"/>
              </w:rPr>
              <w:t>Train No  47837</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pPr>
              <w:ind w:left="9"/>
              <w:rPr>
                <w:rFonts w:ascii="Arial" w:eastAsia="Arial" w:hAnsi="Arial" w:cs="Arial"/>
                <w:sz w:val="18"/>
                <w:szCs w:val="18"/>
              </w:rPr>
            </w:pPr>
            <w:r>
              <w:rPr>
                <w:rFonts w:ascii="Arial" w:hAnsi="Arial"/>
                <w:sz w:val="18"/>
              </w:rPr>
              <w:t xml:space="preserve"> </w:t>
            </w:r>
            <w:r>
              <w:rPr>
                <w:rFonts w:ascii="Arial" w:hAnsi="Arial"/>
                <w:b/>
                <w:sz w:val="18"/>
              </w:rPr>
              <w:t>Km 100.853</w:t>
            </w:r>
          </w:p>
        </w:tc>
      </w:tr>
    </w:tbl>
    <w:p w:rsidR="006F3ED5" w:rsidRPr="006A2FC1" w:rsidRDefault="006F3ED5">
      <w:pPr>
        <w:spacing w:before="3" w:line="100" w:lineRule="exact"/>
        <w:rPr>
          <w:sz w:val="10"/>
          <w:szCs w:val="10"/>
        </w:rPr>
      </w:pPr>
    </w:p>
    <w:p w:rsidR="006F3ED5" w:rsidRPr="006A2FC1" w:rsidRDefault="006F3ED5">
      <w:pPr>
        <w:spacing w:line="200" w:lineRule="exact"/>
      </w:pPr>
    </w:p>
    <w:p w:rsidR="006F3ED5" w:rsidRPr="006A2FC1" w:rsidRDefault="006F3ED5">
      <w:pPr>
        <w:spacing w:line="200" w:lineRule="exact"/>
      </w:pPr>
    </w:p>
    <w:p w:rsidR="006F3ED5" w:rsidRPr="006A2FC1" w:rsidRDefault="006F3ED5">
      <w:pPr>
        <w:spacing w:line="200" w:lineRule="exact"/>
      </w:pPr>
    </w:p>
    <w:tbl>
      <w:tblPr>
        <w:tblW w:w="9523" w:type="dxa"/>
        <w:tblInd w:w="109" w:type="dxa"/>
        <w:tblLayout w:type="fixed"/>
        <w:tblCellMar>
          <w:left w:w="0" w:type="dxa"/>
          <w:right w:w="0" w:type="dxa"/>
        </w:tblCellMar>
        <w:tblLook w:val="01E0" w:firstRow="1" w:lastRow="1" w:firstColumn="1" w:lastColumn="1" w:noHBand="0" w:noVBand="0"/>
      </w:tblPr>
      <w:tblGrid>
        <w:gridCol w:w="1980"/>
        <w:gridCol w:w="1415"/>
        <w:gridCol w:w="1851"/>
        <w:gridCol w:w="1578"/>
        <w:gridCol w:w="1460"/>
        <w:gridCol w:w="1239"/>
      </w:tblGrid>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train driver informed the Porto Operational Command Centre (CCO) that they had hit an obstacle when passing through the Moledo do Minho halt/alighting point. This was later found to be a person, who was fatally injured. Trains 3200, 851 and 850 were instructed to proceed on sight at the location until it could be inspected. After the Civil Protection Authority (CDOS) had been notified, a local emergency manager was appointed and a category C emergency plan initiated.</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Collision between trains</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  168353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04- Feb/17:25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Train No  878</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Douro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073.270</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Porto Operational Command Centre (CCO) was informed by the crew that the train had run into a landslide on the track. This derailed the front bogie at the km indicated, and required the assistance train being called to the site. Trains were suspended between the stations of Mosteirô and Aregos. A local emergency manager was appointed and a category B emergency was declared. Re-railing work was completed between 21:25 and 00:55, with traffic movement remaining suspended until the Porto maintenance depot (CMP-MN) track unit finished track repair work at 05:10, setting a speed limit of 30 km/h between km 73.190 and km 73.290. The speed limit at the site is 80 km/h.</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Accident at a LC</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  168572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07- Feb/13:35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Train No  81832</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166.331</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train driver informed the Setúbal Operational Command Centre (CCO) that they had collided with a light vehicle belonging to the Santiago de Cacém municipal Fire Brigade at the type D level crossing at mileage point 166.331. The vehicle was crossing the track from the left to the right hand side in relation to the train's direction of travel and was left outside the track area. The locomotive suffered damage to its snow plough. A type C emergency plan was initiated. A local emergency manager was appointed at 13:40 and arrived at the site at 14:35. The Santiago de Cacém National Republican Guard (GNR) took charge of the incident. As the train driver was not sure that the locomotive was in safe condition after removing the snow plough, an assistant train was requested from the front. This was cancelled, as authorisation had been requested to retreat to Raquete station to enable the locomotive to be inspected by agents of the Rail Equipment Maintenance Company (EMEF). The speed limit at the site is 90 km/h.</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  169630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21- Feb/16:00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Train No  16442</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006.480</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train driver informed the Lisbon Operational Command Centre (CCO) that when the train was entering line V at Lisboa-Oriente station it hit a person who had fallen from the passenger platform onto the track. The person was promptly lifted back up to the platform and helped by the passengers who happened to be on the platform at the time, where they waited for the ambulance service (INEM). When it arrived the passenger was given assistance at the site and then taken to the Hospital de S. José. The police at the Gare Intermodal de Lisboa station took note of the incident.</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  170850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13- Mar/12:05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Train No  122</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093.654</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train driver informed the Lisbon Operational Command Centre (CCO) that they had hit a person who was walking on the crossing toward the up line passenger platform at the Mato de Miranda station, after having disembarked from train 4413. The person was seriously injured and was assisted by the Golegã Volunteer Fire Brigade, who took them to Abrantes hospital. Traffic movement was suspended on both tracks between the stations of Santarém and Entroncamento. The Golegã National Republican Guard (GNR) took charge of the incident.</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  170919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14- Mar/22:50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Train No  531</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139.011</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Lisbon Operational Command Centre (CCO) was informed that a passenger had fallen onto the down line after disembarking from the train at Caxarias station. Proceed on sight was ordered at that location for train 69160 which was travelling on the up line. The train driver reported that the Fire Brigade had already arrived at the passenger platform on line I to assist the person in question.</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Collision between trains</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  171472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24- Mar/23:53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Train No  68030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290.920</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CP Carga support operator informed the Porto Operational Command Centre (CCO) that on shunting from line G2 to line IIIA at Estarreja station on the Amoníaco branch line, the driver passed signal M12 and block C2 at danger, which led to the total derailment of the locomotive and two tanker wagons, as well as the derailment of a bogie on a third tanker wagon. The two derailed wagons – used for transporting ammonia – were empty, and no leaks or spills were found. The accident resulted in damage to the overhead line, track and signalling equipment. A local emergency manager was appointed and a category B emergency plan was initiated. The Porto Operational Command Centre (CCO) asked the Aveiro Civil Protection Authority (CDOS) to send a fire prevention team. An assistance train was requested for the re-railing of the derailed vehicles, arriving at the site at 02:22. Track possession was in place at 00:20 on the up line between Válega and Estarreja (including line II up to signal S20). A speed limit of 30 km/hour was established on the down line between km 290.900 and 291.100 (which is not signalled and has no CONVEL/ATP), to protect the re-railing work. Traffic movement was later forbidden on the down line between Aveiro and Estarreja to enable the passage of a Fergrupo vehicle to assist with the work.</w:t>
            </w:r>
          </w:p>
        </w:tc>
      </w:tr>
      <w:tr w:rsidR="006F3ED5" w:rsidRPr="001B7152" w:rsidTr="00292DF0">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Collision between trains</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  171992</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02- Apr/08:20</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Train No  862</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Douro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122.050</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 xml:space="preserve">The crew informed the Porto Operational Command Centre (CCO) that the front bogie on the train had derailed after hitting some rocks at the indicated km, with damage to the equipment. Train movement was suspended between </w:t>
            </w:r>
            <w:r>
              <w:rPr>
                <w:rFonts w:ascii="Arial" w:hAnsi="Arial"/>
                <w:sz w:val="18"/>
              </w:rPr>
              <w:lastRenderedPageBreak/>
              <w:t>Régua and Pocinho. The Rail Equipment Maintenance Company (EMEF) was asked to send the assistance train, which arrived at the site at 12:50 in journey number 92233/35. Re-railing commenced at 13:00 and was completed at 16:20. A local emergency manager was appointed and a category B emergency was ordered. An inspection was carried out by the track unit from the Porto maintenance depot (CMP-MN), which declared a line clear with speed restricted to 10 km/hour between km 121.975 and km 122.050 (max. speed: 80 km/hour).</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lastRenderedPageBreak/>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 </w:t>
            </w:r>
            <w:r>
              <w:rPr>
                <w:rFonts w:ascii="Arial" w:hAnsi="Arial"/>
                <w:sz w:val="18"/>
              </w:rPr>
              <w:t xml:space="preserve"> </w:t>
            </w:r>
            <w:r>
              <w:rPr>
                <w:rFonts w:ascii="Arial" w:hAnsi="Arial"/>
                <w:b/>
                <w:sz w:val="18"/>
              </w:rPr>
              <w:t>172390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08- Apr/09:07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15412</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Douro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037.990</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Ambulance Service (INEM) was called to provide assistance to a passenger who had fallen when entering the train, which was stopped at line III. As instructed by CP and because Ecosaúde had confirmed that the injury was serious, necessitating hospitalization of more than 24 hours, this was considered a significant accident.</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173018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17- Apr/09:28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18424</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'Ring'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009.100</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driver of the indicated train reported to the Lisbon Operational Command Centre (CCO) that there was an injured person who had fallen next to the down line and who said that they had been hit by a train. The Lisbon Operational Command Centre (CCO) questioned the driver of train 16414/5, who reported that nobody had been seen on the line. A local emergency manager was appointed and a category C emergency was declared. Proceed on sight was initiated for all transit on both tracks between Chelas and Marvila. Traffic movement on both tracks was suspended between 10:05 and 10:15 so that the Beato Volunteer Fire Brigade could remove the injured person and take them to Hospital de S. José. The PSP police/CP at the Gare Intermodal de Lisboa (GIL) station took charge of the incident.</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173202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21- Apr/06:42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17204</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Alentejo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003.629</w:t>
            </w:r>
          </w:p>
        </w:tc>
      </w:tr>
      <w:tr w:rsidR="006F3ED5" w:rsidRPr="00B63285" w:rsidTr="00292DF0">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Ambulance Service (INEM) was called to assist a passenger who had fallen when getting onto the train. CP confirmed that the injury was serious, necessitating hospitalization of more than 24 hours, and this occurrence was therefore treated as a significant accident.</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173568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27- Apr/15:00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19058</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Cascais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000.947</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train driver informed the Lisbon Operational Command Centre (CCO) that the train had fatally struck a person who was crossing the track on a bicycle, on the pedestrian crossing at the place indicated. Traffic movement was suspended on the up line between Alcântara-Mar and Cais do Sodré between 15:00 and 16:12, and on the down line between 15:50 and 16:05. A local emergency manager was appointed and a category C emergency plan was initiated.</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Derailment of train</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174749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15- May/12:25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49802</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066.050</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train driver informed the Lisbon Operational Command Centre (CCO) that the train was stopped at km 58.700 due to the derailment of a bogie from a wagon in the middle of the train set. Train circulation was suspended at 15:30 between Pampilhosa and Mortágua. The Rail Equipment Maintenance Company (EMEF) was asked to send out the assistance train, which left Entroncamento on special operation 95243 at 15:12, arriving at the site at 17:28. Re-railing commenced at 17:35 and was completed at 21:00. A local emergency manager was appointed and a category A emergency was declared. The Takargo goods train (1310 tonnes, 500 metres) was scheduled to transport paper between Fuentes de Oñoro (Spain) and Entroncamento. The representative of the track unit from the Coimbra maintenance depot (CMC-MN) reported damage to the railway infrastructure between km 65.050 and km 59.000.</w:t>
            </w:r>
          </w:p>
        </w:tc>
      </w:tr>
      <w:tr w:rsidR="006F3ED5" w:rsidRPr="001B7152"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Derailment of train</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175583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28- May/16:35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89438</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063.050</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1B7152" w:rsidRDefault="00B65BEC" w:rsidP="001B7152">
            <w:pPr>
              <w:rPr>
                <w:rFonts w:ascii="Arial" w:eastAsia="Arial" w:hAnsi="Arial" w:cs="Arial"/>
                <w:sz w:val="18"/>
                <w:szCs w:val="18"/>
              </w:rPr>
            </w:pPr>
            <w:r>
              <w:rPr>
                <w:rFonts w:ascii="Arial" w:hAnsi="Arial"/>
                <w:sz w:val="18"/>
              </w:rPr>
              <w:t>The train remained at mileage point 63.050 due to the derailment of the axle on the north side of wagon 43784720 and two axles on the south side of wagon 43780280, in 7th and 8th place respectively. The train consisted of 11 vehicles, measuring 346.28 metres and weighing 605.23 tonnes. Assistance request number 28974 was made at 17:12. A category A emergency plan was initiated. A local emergency manager was appointed, arriving at the site at 18:30. The train restarted its journey at 19:37, reaching Pampilhosa at 19:51. The two derailed wagons remained at mileage point 63.250. The three end wagons were removed by locomotive 6002, provided by Takargo, which was sent to the site under operation 98204, returning to Mortágua under operation 98207, where it arrived at 21:50. The assistance train was called, leaving Entroncamento under operation 95235 at 19:04, arriving in Pampilhosa at 20:52. Circulation between Pampilhosa and Mortágua was suspended at 21:51. The assistance train left Pampilhosa at 21:59 and arrived at the site at 22:55. Re-railing commenced at 23:10. Urgent Line Closure Requisition (Pedido Antecipado de Trabalho Extraordinário, PATE) No 40/2014 was issued for protection during re-railing, starting at 22:50. PATE No 41/2014 was issued to cover the continuation of the work, starting at 08:00. This PATE cancelled and replaced PATE No 40/2014. Re-railing was completed at 06:05, with track possession remaining in place to enable repair of the infrastructure.</w:t>
            </w:r>
          </w:p>
        </w:tc>
      </w:tr>
      <w:tr w:rsidR="006F3ED5" w:rsidRPr="001B7152" w:rsidTr="00292DF0">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eGOC No (Reg. no.)</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B65BEC" w:rsidP="001B7152">
            <w:pPr>
              <w:rPr>
                <w:rFonts w:ascii="Arial" w:eastAsia="Arial" w:hAnsi="Arial" w:cs="Arial"/>
                <w:sz w:val="18"/>
                <w:szCs w:val="18"/>
              </w:rPr>
            </w:pPr>
            <w:r>
              <w:rPr>
                <w:rFonts w:ascii="Arial" w:hAnsi="Arial"/>
                <w:b/>
                <w:sz w:val="18"/>
              </w:rPr>
              <w:t>Date/Time: 31- May/15:30</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Train No 870</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1B7152" w:rsidRDefault="008D1E56" w:rsidP="001B7152">
            <w:pPr>
              <w:rPr>
                <w:rFonts w:ascii="Arial" w:eastAsia="Arial" w:hAnsi="Arial" w:cs="Arial"/>
                <w:sz w:val="18"/>
                <w:szCs w:val="18"/>
              </w:rPr>
            </w:pPr>
            <w:r>
              <w:rPr>
                <w:rFonts w:ascii="Arial" w:hAnsi="Arial"/>
                <w:sz w:val="18"/>
              </w:rPr>
              <w:t xml:space="preserve"> </w:t>
            </w:r>
            <w:r>
              <w:rPr>
                <w:rFonts w:ascii="Arial" w:hAnsi="Arial"/>
                <w:b/>
                <w:sz w:val="18"/>
              </w:rPr>
              <w:t>Km 000.000</w:t>
            </w:r>
          </w:p>
        </w:tc>
      </w:tr>
      <w:tr w:rsidR="006F3ED5" w:rsidRPr="006A2FC1"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1B7152">
            <w:pPr>
              <w:spacing w:line="200" w:lineRule="exact"/>
              <w:ind w:left="9"/>
              <w:rPr>
                <w:rFonts w:ascii="Arial" w:eastAsia="Arial" w:hAnsi="Arial" w:cs="Arial"/>
                <w:sz w:val="18"/>
                <w:szCs w:val="18"/>
              </w:rPr>
            </w:pPr>
            <w:r>
              <w:rPr>
                <w:rFonts w:ascii="Arial" w:hAnsi="Arial"/>
                <w:sz w:val="18"/>
              </w:rPr>
              <w:t>This entry relates to a fall when embarking/disembarking from train No 870 at Porto Campanhã station. Hospitalization of more than 24 hours was confirmed. The victim suffered several broken ribs as a result of the fall. The time of the occurrence recorded is an estimate. Reported by CP on 06-06-2014.</w:t>
            </w:r>
          </w:p>
        </w:tc>
      </w:tr>
      <w:tr w:rsidR="006F3ED5" w:rsidRPr="006A2FC1"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1B7152">
            <w:pPr>
              <w:spacing w:before="65"/>
              <w:ind w:left="7"/>
              <w:rPr>
                <w:rFonts w:ascii="Arial" w:eastAsia="Arial" w:hAnsi="Arial" w:cs="Arial"/>
                <w:sz w:val="18"/>
                <w:szCs w:val="18"/>
              </w:rPr>
            </w:pPr>
            <w:r>
              <w:rPr>
                <w:rFonts w:ascii="Arial" w:hAnsi="Arial"/>
                <w:b/>
                <w:sz w:val="18"/>
              </w:rPr>
              <w:t>eGOC No 176583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line="244" w:lineRule="auto"/>
              <w:ind w:left="9" w:right="567"/>
              <w:rPr>
                <w:rFonts w:ascii="Arial" w:eastAsia="Arial" w:hAnsi="Arial" w:cs="Arial"/>
                <w:sz w:val="18"/>
                <w:szCs w:val="18"/>
              </w:rPr>
            </w:pPr>
            <w:r>
              <w:rPr>
                <w:rFonts w:ascii="Arial" w:hAnsi="Arial"/>
                <w:b/>
                <w:sz w:val="18"/>
              </w:rPr>
              <w:t>Date/Time: 13- Jun/10:09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7"/>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17218</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9"/>
              <w:rPr>
                <w:rFonts w:ascii="Arial" w:eastAsia="Arial" w:hAnsi="Arial" w:cs="Arial"/>
                <w:sz w:val="18"/>
                <w:szCs w:val="18"/>
              </w:rPr>
            </w:pPr>
            <w:r>
              <w:rPr>
                <w:rFonts w:ascii="Arial" w:hAnsi="Arial"/>
                <w:b/>
                <w:sz w:val="18"/>
              </w:rPr>
              <w:t>Alentejo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006.500</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1B7152">
            <w:pPr>
              <w:spacing w:line="200" w:lineRule="exact"/>
              <w:ind w:left="9"/>
              <w:rPr>
                <w:rFonts w:ascii="Arial" w:eastAsia="Arial" w:hAnsi="Arial" w:cs="Arial"/>
                <w:sz w:val="18"/>
                <w:szCs w:val="18"/>
              </w:rPr>
            </w:pPr>
            <w:r>
              <w:rPr>
                <w:rFonts w:ascii="Arial" w:hAnsi="Arial"/>
                <w:sz w:val="18"/>
              </w:rPr>
              <w:t xml:space="preserve">The train driver reported to the Lisbon Operational Command Centre (CCO) that at the indicated km they collided with a person who was crossing the track at a place where crossing is forbidden, and who then remained at the trackside. </w:t>
            </w:r>
            <w:r>
              <w:rPr>
                <w:rFonts w:ascii="Arial" w:hAnsi="Arial"/>
                <w:sz w:val="18"/>
              </w:rPr>
              <w:lastRenderedPageBreak/>
              <w:t>The train crew contacted the Ambulance Service (INEM) and the Moita National Republican Guard (GNR), who took charge of the incident. The person was assisted on site and then taken to Barreiro hospital by the Ambulance Service (INEM). The train remained at the site until the arrival of the authorities.</w:t>
            </w:r>
          </w:p>
        </w:tc>
      </w:tr>
      <w:tr w:rsidR="006F3ED5" w:rsidRPr="006A2FC1"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lastRenderedPageBreak/>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1B7152">
            <w:pPr>
              <w:spacing w:before="70"/>
              <w:ind w:left="7"/>
              <w:rPr>
                <w:rFonts w:ascii="Arial" w:eastAsia="Arial" w:hAnsi="Arial" w:cs="Arial"/>
                <w:sz w:val="18"/>
                <w:szCs w:val="18"/>
              </w:rPr>
            </w:pPr>
            <w:r>
              <w:rPr>
                <w:rFonts w:ascii="Arial" w:hAnsi="Arial"/>
                <w:b/>
                <w:sz w:val="18"/>
              </w:rPr>
              <w:t>eGOC No 176766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15- Jun/17:36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527</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220.490</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1B7152">
            <w:pPr>
              <w:spacing w:line="200" w:lineRule="exact"/>
              <w:ind w:left="9"/>
              <w:rPr>
                <w:rFonts w:ascii="Arial" w:eastAsia="Arial" w:hAnsi="Arial" w:cs="Arial"/>
                <w:sz w:val="18"/>
                <w:szCs w:val="18"/>
              </w:rPr>
            </w:pPr>
            <w:r>
              <w:rPr>
                <w:rFonts w:ascii="Arial" w:hAnsi="Arial"/>
                <w:sz w:val="18"/>
              </w:rPr>
              <w:t>The train hit and fatally injured a person on the crossing between the passenger platforms at the Adémia halt/alighting point. Traffic movement between Coimbra-B and Souselas was suspended on both tracks until 17:54, when traffic movement was re-established on the up line with proceed on sight at the location in question. A local emergency manager was appointed, who requested the speed limit at the site be set to 30 km/hour until the body could be removed at 19:40, and a category C emergency plan was put into effect. The Coimbra Civil Protection Authority (CDOS) was informed. At 18:14, the authorities authorised train 527 to proceed on sight, with normal train traffic being re-established on double-track line, with the first train on the down line at that location travelling under proceed on sight orders.</w:t>
            </w:r>
          </w:p>
        </w:tc>
      </w:tr>
      <w:tr w:rsidR="006F3ED5" w:rsidRPr="006A2FC1"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 at a LC</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176838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16- Jun/11:25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180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9"/>
              <w:rPr>
                <w:rFonts w:ascii="Arial" w:eastAsia="Arial" w:hAnsi="Arial" w:cs="Arial"/>
                <w:sz w:val="18"/>
                <w:szCs w:val="18"/>
              </w:rPr>
            </w:pPr>
            <w:r>
              <w:rPr>
                <w:rFonts w:ascii="Arial" w:hAnsi="Arial"/>
                <w:b/>
                <w:sz w:val="18"/>
              </w:rPr>
              <w:t>Algarve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338.043</w:t>
            </w:r>
          </w:p>
        </w:tc>
      </w:tr>
      <w:tr w:rsidR="006F3ED5" w:rsidRPr="006A2FC1"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1B7152">
            <w:pPr>
              <w:spacing w:line="200" w:lineRule="exact"/>
              <w:ind w:left="9"/>
              <w:rPr>
                <w:rFonts w:ascii="Arial" w:eastAsia="Arial" w:hAnsi="Arial" w:cs="Arial"/>
                <w:sz w:val="18"/>
                <w:szCs w:val="18"/>
              </w:rPr>
            </w:pPr>
            <w:r>
              <w:rPr>
                <w:rFonts w:ascii="Arial" w:hAnsi="Arial"/>
                <w:sz w:val="18"/>
              </w:rPr>
              <w:t>The train driver reported to the Faro Command Centre that the train had fatally struct a cyclist at the automatic level crossing with half barriers, at the indicated km, and that the cyclist was thrown away from the track. Traffic movement was suspended between the stations of Parque das Cidades and Faro between 11:25 and 12:05. A local emergency manager was appointed and a category C emergency plan was initiated. The Faro National Republican Guard (GNR) was informed, as was the Ambulance Service (INEM), who confirmed the death. The LC was working normally.</w:t>
            </w:r>
          </w:p>
        </w:tc>
      </w:tr>
      <w:tr w:rsidR="006F3ED5" w:rsidRPr="006A2FC1"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177057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line="244" w:lineRule="auto"/>
              <w:ind w:left="9" w:right="567"/>
              <w:rPr>
                <w:rFonts w:ascii="Arial" w:eastAsia="Arial" w:hAnsi="Arial" w:cs="Arial"/>
                <w:sz w:val="18"/>
                <w:szCs w:val="18"/>
              </w:rPr>
            </w:pPr>
            <w:r>
              <w:rPr>
                <w:rFonts w:ascii="Arial" w:hAnsi="Arial"/>
                <w:b/>
                <w:sz w:val="18"/>
              </w:rPr>
              <w:t>Date/Time: 19- Jun/06:47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7"/>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15151</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015.425</w:t>
            </w:r>
          </w:p>
        </w:tc>
      </w:tr>
      <w:tr w:rsidR="006F3ED5" w:rsidRPr="006A2FC1" w:rsidTr="00292DF0">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6A2FC1" w:rsidRDefault="00B65BEC">
            <w:pPr>
              <w:spacing w:before="61" w:line="244" w:lineRule="auto"/>
              <w:ind w:left="9" w:right="53"/>
              <w:rPr>
                <w:rFonts w:ascii="Arial" w:eastAsia="Arial" w:hAnsi="Arial" w:cs="Arial"/>
                <w:sz w:val="18"/>
                <w:szCs w:val="18"/>
              </w:rPr>
            </w:pPr>
            <w:r>
              <w:rPr>
                <w:rFonts w:ascii="Arial" w:hAnsi="Arial"/>
                <w:sz w:val="18"/>
              </w:rPr>
              <w:t>The train driver informed the Porto Operational Command Centre (CCO) that on leaving S. Romão station they had collided with a person, who was seriously injured. The Porto Civil Protection Authority (CDOS) was informed.</w:t>
            </w:r>
          </w:p>
        </w:tc>
      </w:tr>
      <w:tr w:rsidR="006F3ED5" w:rsidRPr="006A2FC1"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177181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9" w:line="200" w:lineRule="exact"/>
              <w:ind w:left="9" w:right="567"/>
              <w:rPr>
                <w:rFonts w:ascii="Arial" w:eastAsia="Arial" w:hAnsi="Arial" w:cs="Arial"/>
                <w:sz w:val="18"/>
                <w:szCs w:val="18"/>
              </w:rPr>
            </w:pPr>
            <w:r>
              <w:rPr>
                <w:rFonts w:ascii="Arial" w:hAnsi="Arial"/>
                <w:b/>
                <w:sz w:val="18"/>
              </w:rPr>
              <w:t>Date/Time: 20- Jun/15:38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17108</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9"/>
              <w:rPr>
                <w:rFonts w:ascii="Arial" w:eastAsia="Arial" w:hAnsi="Arial" w:cs="Arial"/>
                <w:sz w:val="18"/>
                <w:szCs w:val="18"/>
              </w:rPr>
            </w:pPr>
            <w:r>
              <w:rPr>
                <w:rFonts w:ascii="Arial" w:hAnsi="Arial"/>
                <w:b/>
                <w:sz w:val="18"/>
              </w:rPr>
              <w:t>Alentejo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007.764</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1B7152">
            <w:pPr>
              <w:spacing w:line="200" w:lineRule="exact"/>
              <w:ind w:left="9"/>
              <w:rPr>
                <w:rFonts w:ascii="Arial" w:eastAsia="Arial" w:hAnsi="Arial" w:cs="Arial"/>
                <w:sz w:val="18"/>
                <w:szCs w:val="18"/>
              </w:rPr>
            </w:pPr>
            <w:r>
              <w:rPr>
                <w:rFonts w:ascii="Arial" w:hAnsi="Arial"/>
                <w:sz w:val="18"/>
              </w:rPr>
              <w:t>The train driver informed the Lisbon Operational Command Centre (CCO) that there was a body off the trackside next to the 1I/1II diagonal at Moita station. A train was sent by special operation 91255 from Barreiro by the Rail Equipment Maintenance Company (EMEF) and stopped at the site. The Permanent Infrastructure Manager (PGI) at the Setúbal Operational Command Centre (CCO), the Central Command Post (PCC), the Circulation Zone Inspector, CP Production Support, and the National Republican Guard (GNR) and Fire Brigade from Moita were all informed, with the last two organisations taking charge of the incident. When questioned by the CP Operational Traffic Movement Command, the drivers of trains 17230 and 17113 reported that they had not detected any anomaly. It was later established that the victim had been travelling by hanging on to the outside of a train and had fallen and been thrown against an overhead line post.</w:t>
            </w:r>
          </w:p>
        </w:tc>
      </w:tr>
      <w:tr w:rsidR="006F3ED5" w:rsidRPr="006A2FC1"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245"/>
              <w:rPr>
                <w:rFonts w:ascii="Arial" w:eastAsia="Arial" w:hAnsi="Arial" w:cs="Arial"/>
                <w:sz w:val="18"/>
                <w:szCs w:val="18"/>
              </w:rPr>
            </w:pPr>
            <w:r>
              <w:rPr>
                <w:rFonts w:ascii="Arial" w:hAnsi="Arial"/>
                <w:b/>
                <w:sz w:val="18"/>
              </w:rPr>
              <w:t>Derailment of train</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177982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02- Jul/22:20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49817</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159.000</w:t>
            </w:r>
          </w:p>
        </w:tc>
      </w:tr>
      <w:tr w:rsidR="006F3ED5" w:rsidRPr="00B63285" w:rsidTr="00292DF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1B7152">
            <w:pPr>
              <w:spacing w:line="200" w:lineRule="exact"/>
              <w:ind w:left="9"/>
              <w:rPr>
                <w:rFonts w:ascii="Arial" w:eastAsia="Arial" w:hAnsi="Arial" w:cs="Arial"/>
                <w:sz w:val="18"/>
                <w:szCs w:val="18"/>
              </w:rPr>
            </w:pPr>
            <w:r>
              <w:rPr>
                <w:rFonts w:ascii="Arial" w:hAnsi="Arial"/>
                <w:sz w:val="18"/>
              </w:rPr>
              <w:t>The train driver reported to the Lisbon Operational Command Centre (CCO) that the train was stopped at km 167.200. This was later found to be due to the derailment of an axle on a wagon from the middle of the train set, which consisted of 21 vehicles weighing 1135 tonnes and measuring 466 metres, at km 159.000. The assistance train was requested from Rail Equipment Maintenance Company (EMEF), which left Entroncamento in special operation train 95225 at 01:00 arriving at the site at 10:30, with re-railing starting at 10:35 and completion expected for 16:00. A local emergency manager was appointed and a category A emergency was declared. The railed part of the train on the Muxagata side was taken back to that station at 09:36, towed by locomotive 1466. The goods train (1310 tonnes, 500 metres) was scheduled to transport paper between Entroncamento and Fuentes de Oñoro (Spain).</w:t>
            </w:r>
          </w:p>
        </w:tc>
      </w:tr>
      <w:tr w:rsidR="006F3ED5" w:rsidRPr="006A2FC1" w:rsidTr="00292DF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 at a LC</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178289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07- Jul/21:00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806</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Western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107.504</w:t>
            </w:r>
          </w:p>
        </w:tc>
      </w:tr>
      <w:tr w:rsidR="006F3ED5" w:rsidRPr="00B63285" w:rsidTr="00292DF0">
        <w:trPr>
          <w:trHeight w:val="20"/>
        </w:trPr>
        <w:tc>
          <w:tcPr>
            <w:tcW w:w="9523" w:type="dxa"/>
            <w:gridSpan w:val="6"/>
            <w:tcBorders>
              <w:top w:val="single" w:sz="8" w:space="0" w:color="A7BEDE"/>
              <w:left w:val="single" w:sz="8" w:space="0" w:color="7A9FCD"/>
              <w:bottom w:val="single" w:sz="8" w:space="0" w:color="7A9FCD"/>
              <w:right w:val="single" w:sz="8" w:space="0" w:color="7A9FCD"/>
            </w:tcBorders>
            <w:shd w:val="clear" w:color="auto" w:fill="A7BEDE"/>
          </w:tcPr>
          <w:p w:rsidR="006F3ED5" w:rsidRPr="006A2FC1" w:rsidRDefault="00B65BEC" w:rsidP="001B7152">
            <w:pPr>
              <w:spacing w:line="200" w:lineRule="exact"/>
              <w:ind w:left="9"/>
              <w:rPr>
                <w:rFonts w:ascii="Arial" w:eastAsia="Arial" w:hAnsi="Arial" w:cs="Arial"/>
                <w:sz w:val="18"/>
                <w:szCs w:val="18"/>
              </w:rPr>
            </w:pPr>
            <w:r>
              <w:rPr>
                <w:rFonts w:ascii="Arial" w:hAnsi="Arial"/>
                <w:sz w:val="18"/>
              </w:rPr>
              <w:t>CP reported to the Lisbon Operational Command Centre (CCO) that on passing through the LC (signed by railroad crossing sign and a STOP sign at the indicated km), the train collided with an automobile that came from the left-hand-side to the train's direction of travel. The train crew contacted the Ambulance Service (INEM) who provided assistance to the vehicle driver. The driver was seriously injured and was taken to Caldas da Rainha hospital. A local emergency manager was appointed and a category C emergency plan was initiated. The Caldas da Rainha track unit from the Lisbon maintenance depot (CML-MN) was informed. The train restarted its journey at 21:50 after receiving authorisation from the National Republican Guard (GNR), and the track was clear at 22:50. The maximum speed for this stretch of line is 120 km/hour.</w:t>
            </w:r>
          </w:p>
        </w:tc>
      </w:tr>
    </w:tbl>
    <w:p w:rsidR="001B7152" w:rsidRPr="00B46B17" w:rsidRDefault="001B7152">
      <w:r>
        <w:br w:type="page"/>
      </w:r>
    </w:p>
    <w:tbl>
      <w:tblPr>
        <w:tblW w:w="9682" w:type="dxa"/>
        <w:tblInd w:w="109" w:type="dxa"/>
        <w:tblLayout w:type="fixed"/>
        <w:tblCellMar>
          <w:left w:w="0" w:type="dxa"/>
          <w:right w:w="0" w:type="dxa"/>
        </w:tblCellMar>
        <w:tblLook w:val="01E0" w:firstRow="1" w:lastRow="1" w:firstColumn="1" w:lastColumn="1" w:noHBand="0" w:noVBand="0"/>
      </w:tblPr>
      <w:tblGrid>
        <w:gridCol w:w="1980"/>
        <w:gridCol w:w="1415"/>
        <w:gridCol w:w="1851"/>
        <w:gridCol w:w="1578"/>
        <w:gridCol w:w="1460"/>
        <w:gridCol w:w="1398"/>
      </w:tblGrid>
      <w:tr w:rsidR="006F3ED5" w:rsidRPr="006A2FC1" w:rsidTr="005A6B7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6"/>
              </w:rPr>
              <w:lastRenderedPageBreak/>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1B7152">
            <w:pPr>
              <w:spacing w:before="55"/>
              <w:ind w:left="7"/>
              <w:rPr>
                <w:rFonts w:ascii="Arial" w:eastAsia="Arial" w:hAnsi="Arial" w:cs="Arial"/>
                <w:sz w:val="18"/>
                <w:szCs w:val="18"/>
              </w:rPr>
            </w:pPr>
            <w:r>
              <w:rPr>
                <w:rFonts w:ascii="Arial" w:hAnsi="Arial"/>
                <w:b/>
                <w:sz w:val="18"/>
              </w:rPr>
              <w:t>eGOC No 178658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55" w:line="245" w:lineRule="auto"/>
              <w:ind w:left="9" w:right="567"/>
              <w:rPr>
                <w:rFonts w:ascii="Arial" w:eastAsia="Arial" w:hAnsi="Arial" w:cs="Arial"/>
                <w:sz w:val="18"/>
                <w:szCs w:val="18"/>
              </w:rPr>
            </w:pPr>
            <w:r>
              <w:rPr>
                <w:rFonts w:ascii="Arial" w:hAnsi="Arial"/>
                <w:b/>
                <w:sz w:val="18"/>
              </w:rPr>
              <w:t>Date/Time: 12- Jul/08:17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5"/>
              <w:ind w:left="7"/>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15609</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6"/>
              </w:rPr>
              <w:t xml:space="preserve"> </w:t>
            </w:r>
            <w:r>
              <w:rPr>
                <w:rFonts w:ascii="Arial" w:hAnsi="Arial"/>
                <w:b/>
                <w:sz w:val="18"/>
              </w:rPr>
              <w:t>Northern Line</w:t>
            </w:r>
          </w:p>
        </w:tc>
        <w:tc>
          <w:tcPr>
            <w:tcW w:w="139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6"/>
              </w:rPr>
              <w:t xml:space="preserve"> </w:t>
            </w:r>
            <w:r>
              <w:rPr>
                <w:rFonts w:ascii="Arial" w:hAnsi="Arial"/>
                <w:b/>
                <w:sz w:val="18"/>
              </w:rPr>
              <w:t>Km 333.900</w:t>
            </w:r>
          </w:p>
        </w:tc>
      </w:tr>
      <w:tr w:rsidR="006F3ED5" w:rsidRPr="00B63285" w:rsidTr="005A6B70">
        <w:trPr>
          <w:trHeight w:val="20"/>
        </w:trPr>
        <w:tc>
          <w:tcPr>
            <w:tcW w:w="9682"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1B7152">
            <w:pPr>
              <w:spacing w:line="200" w:lineRule="exact"/>
              <w:ind w:left="9"/>
              <w:rPr>
                <w:rFonts w:ascii="Arial" w:eastAsia="Arial" w:hAnsi="Arial" w:cs="Arial"/>
                <w:sz w:val="18"/>
                <w:szCs w:val="18"/>
              </w:rPr>
            </w:pPr>
            <w:r>
              <w:rPr>
                <w:rFonts w:ascii="Arial" w:hAnsi="Arial"/>
                <w:sz w:val="18"/>
              </w:rPr>
              <w:t>The train driver activated the ground-to-train radio alarm to report that they had seen a body at the indicated location when coming out of the tunnel on the down line. Temporary single-track circulation was established on the up line between Gaia and Porto-Campanhã, with reversible block signalling between 08:22 and 10:10. A local emergency manager was appointed and a category C emergency plan was initiated, with the Porto Civil Protection Authority (CDOS) being notified. The driver of the last train to travel on the down line (train 15609) reported that they had not noticed anything abnormal on the track or on the train. Circulation on the down line was re-established at 10:10 without restriction after removal of the body.</w:t>
            </w:r>
          </w:p>
        </w:tc>
      </w:tr>
      <w:tr w:rsidR="006F3ED5" w:rsidRPr="006A2FC1" w:rsidTr="005A6B7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Collision between trains</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1B7152">
            <w:pPr>
              <w:spacing w:before="70"/>
              <w:ind w:left="7"/>
              <w:rPr>
                <w:rFonts w:ascii="Arial" w:eastAsia="Arial" w:hAnsi="Arial" w:cs="Arial"/>
                <w:sz w:val="18"/>
                <w:szCs w:val="18"/>
              </w:rPr>
            </w:pPr>
            <w:r>
              <w:rPr>
                <w:rFonts w:ascii="Arial" w:hAnsi="Arial"/>
                <w:b/>
                <w:sz w:val="18"/>
              </w:rPr>
              <w:t>eGOC No 179093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19- Jul/05:15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3100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Minho Line</w:t>
            </w:r>
          </w:p>
        </w:tc>
        <w:tc>
          <w:tcPr>
            <w:tcW w:w="139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080.800</w:t>
            </w:r>
          </w:p>
        </w:tc>
      </w:tr>
      <w:tr w:rsidR="006F3ED5" w:rsidRPr="00B63285" w:rsidTr="005A6B70">
        <w:trPr>
          <w:trHeight w:val="20"/>
        </w:trPr>
        <w:tc>
          <w:tcPr>
            <w:tcW w:w="9682"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1B7152">
            <w:pPr>
              <w:spacing w:line="200" w:lineRule="exact"/>
              <w:ind w:left="9"/>
              <w:rPr>
                <w:rFonts w:ascii="Arial" w:eastAsia="Arial" w:hAnsi="Arial" w:cs="Arial"/>
                <w:sz w:val="18"/>
                <w:szCs w:val="18"/>
              </w:rPr>
            </w:pPr>
            <w:r>
              <w:rPr>
                <w:rFonts w:ascii="Arial" w:hAnsi="Arial"/>
                <w:sz w:val="18"/>
              </w:rPr>
              <w:t>The train crew reported to the Porto Operational Command Centre (CCO) that they had stopped at the indicated km as they had collided with the oversized cargo of a heavy goods vehicle which was next to the track, inside the clearance gauge, resulting in damage to the triple diesel unit UTD 592059, requiring the assistance train to be called to the site of the accident. After receiving authorisation from the Porto Operational Command Centre (CCO), the train retreated to Viana do Castelo where it arrived at 06:06, and after providing backup for the damaged triple diesel unit, the rest of the train set restarted its journey to its destination at 06:41. The track was clear at 05:55. The Viana do Castelo police who were accompanying the cargo transport took charge of the incident. The speed limit for this stretch of line is 60 km/hour.</w:t>
            </w:r>
          </w:p>
        </w:tc>
      </w:tr>
      <w:tr w:rsidR="006F3ED5" w:rsidRPr="006A2FC1" w:rsidTr="005A6B7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9" w:line="200" w:lineRule="exact"/>
              <w:ind w:left="7" w:right="562"/>
              <w:rPr>
                <w:rFonts w:ascii="Arial" w:eastAsia="Arial" w:hAnsi="Arial" w:cs="Arial"/>
                <w:sz w:val="18"/>
                <w:szCs w:val="18"/>
              </w:rPr>
            </w:pPr>
            <w:r>
              <w:rPr>
                <w:rFonts w:ascii="Arial" w:hAnsi="Arial"/>
                <w:b/>
                <w:sz w:val="18"/>
              </w:rPr>
              <w:t>eGOC No (Reg. no.)</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9" w:line="200" w:lineRule="exact"/>
              <w:ind w:left="9" w:right="567"/>
              <w:rPr>
                <w:rFonts w:ascii="Arial" w:eastAsia="Arial" w:hAnsi="Arial" w:cs="Arial"/>
                <w:sz w:val="18"/>
                <w:szCs w:val="18"/>
              </w:rPr>
            </w:pPr>
            <w:r>
              <w:rPr>
                <w:rFonts w:ascii="Arial" w:hAnsi="Arial"/>
                <w:b/>
                <w:sz w:val="18"/>
              </w:rPr>
              <w:t>Date/Time: 21- Jul/11:02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123</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39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336.079</w:t>
            </w:r>
          </w:p>
        </w:tc>
      </w:tr>
      <w:tr w:rsidR="006F3ED5" w:rsidRPr="00B63285" w:rsidTr="005A6B70">
        <w:trPr>
          <w:trHeight w:val="20"/>
        </w:trPr>
        <w:tc>
          <w:tcPr>
            <w:tcW w:w="9682" w:type="dxa"/>
            <w:gridSpan w:val="6"/>
            <w:tcBorders>
              <w:top w:val="nil"/>
              <w:left w:val="single" w:sz="8" w:space="0" w:color="7A9FCD"/>
              <w:bottom w:val="nil"/>
              <w:right w:val="single" w:sz="8" w:space="0" w:color="7A9FCD"/>
            </w:tcBorders>
            <w:shd w:val="clear" w:color="auto" w:fill="A7BEDE"/>
          </w:tcPr>
          <w:p w:rsidR="006F3ED5" w:rsidRPr="006A2FC1" w:rsidRDefault="00B65BEC">
            <w:pPr>
              <w:spacing w:before="65" w:line="200" w:lineRule="exact"/>
              <w:ind w:left="9" w:right="580"/>
              <w:rPr>
                <w:rFonts w:ascii="Arial" w:eastAsia="Arial" w:hAnsi="Arial" w:cs="Arial"/>
                <w:sz w:val="18"/>
                <w:szCs w:val="18"/>
              </w:rPr>
            </w:pPr>
            <w:r>
              <w:rPr>
                <w:rFonts w:ascii="Arial" w:hAnsi="Arial"/>
                <w:sz w:val="18"/>
              </w:rPr>
              <w:t>This entry relates to a fall that occurred on embarking/disembarking from train 123 at Porto Campanhã station. Hospitalization of more than 24 hours was confirmed. Reported by CP on 01-09-2014.</w:t>
            </w:r>
          </w:p>
        </w:tc>
      </w:tr>
      <w:tr w:rsidR="006F3ED5" w:rsidRPr="006A2FC1" w:rsidTr="005A6B7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179744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ind w:left="9" w:right="567"/>
              <w:rPr>
                <w:rFonts w:ascii="Arial" w:eastAsia="Arial" w:hAnsi="Arial" w:cs="Arial"/>
                <w:sz w:val="18"/>
                <w:szCs w:val="18"/>
              </w:rPr>
            </w:pPr>
            <w:r>
              <w:rPr>
                <w:rFonts w:ascii="Arial" w:hAnsi="Arial"/>
                <w:b/>
                <w:sz w:val="18"/>
              </w:rPr>
              <w:t>Date/Time: 28- Jul/18:43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5915</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ind w:left="9"/>
              <w:rPr>
                <w:rFonts w:ascii="Arial" w:eastAsia="Arial" w:hAnsi="Arial" w:cs="Arial"/>
                <w:sz w:val="18"/>
                <w:szCs w:val="18"/>
              </w:rPr>
            </w:pPr>
            <w:r>
              <w:rPr>
                <w:rFonts w:ascii="Arial" w:hAnsi="Arial"/>
                <w:b/>
                <w:sz w:val="18"/>
              </w:rPr>
              <w:t>Algarve Line</w:t>
            </w:r>
          </w:p>
        </w:tc>
        <w:tc>
          <w:tcPr>
            <w:tcW w:w="139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328.329</w:t>
            </w:r>
          </w:p>
        </w:tc>
      </w:tr>
      <w:tr w:rsidR="006F3ED5" w:rsidRPr="006A2FC1" w:rsidTr="005A6B70">
        <w:trPr>
          <w:trHeight w:val="20"/>
        </w:trPr>
        <w:tc>
          <w:tcPr>
            <w:tcW w:w="9682"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1B7152">
            <w:pPr>
              <w:spacing w:line="200" w:lineRule="exact"/>
              <w:ind w:left="9"/>
              <w:rPr>
                <w:rFonts w:ascii="Arial" w:eastAsia="Arial" w:hAnsi="Arial" w:cs="Arial"/>
                <w:sz w:val="18"/>
                <w:szCs w:val="18"/>
              </w:rPr>
            </w:pPr>
            <w:r>
              <w:rPr>
                <w:rFonts w:ascii="Arial" w:hAnsi="Arial"/>
                <w:sz w:val="18"/>
              </w:rPr>
              <w:t>The train crew reported to the Faro command centre that they had collided with a person who came from the left-hand-side to the train's direction of travel (from the side opposite the Ferragudo halt/alighting point), and that the person was under the train. The Ambulance Service (INEM) helped the person at the site then took them to hospital. No emergency plan was initiated.</w:t>
            </w:r>
          </w:p>
        </w:tc>
      </w:tr>
      <w:tr w:rsidR="006F3ED5" w:rsidRPr="006A2FC1" w:rsidTr="005A6B7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180868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line="244" w:lineRule="auto"/>
              <w:ind w:left="9" w:right="567"/>
              <w:rPr>
                <w:rFonts w:ascii="Arial" w:eastAsia="Arial" w:hAnsi="Arial" w:cs="Arial"/>
                <w:sz w:val="18"/>
                <w:szCs w:val="18"/>
              </w:rPr>
            </w:pPr>
            <w:r>
              <w:rPr>
                <w:rFonts w:ascii="Arial" w:hAnsi="Arial"/>
                <w:b/>
                <w:sz w:val="18"/>
              </w:rPr>
              <w:t>Date/Time: 13- Aug/18:20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674</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9"/>
              <w:rPr>
                <w:rFonts w:ascii="Arial" w:eastAsia="Arial" w:hAnsi="Arial" w:cs="Arial"/>
                <w:sz w:val="18"/>
                <w:szCs w:val="18"/>
              </w:rPr>
            </w:pPr>
            <w:r>
              <w:rPr>
                <w:rFonts w:ascii="Arial" w:hAnsi="Arial"/>
                <w:b/>
                <w:sz w:val="18"/>
              </w:rPr>
              <w:t>Algarve Line</w:t>
            </w:r>
          </w:p>
        </w:tc>
        <w:tc>
          <w:tcPr>
            <w:tcW w:w="139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307.082</w:t>
            </w:r>
          </w:p>
        </w:tc>
      </w:tr>
      <w:tr w:rsidR="006F3ED5" w:rsidRPr="00B63285" w:rsidTr="005A6B70">
        <w:trPr>
          <w:trHeight w:val="20"/>
        </w:trPr>
        <w:tc>
          <w:tcPr>
            <w:tcW w:w="9682"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CP reported to the Faro command centre that there was a fallen person on the down line passenger platform, who fell after disembarking from a moving train. The Ambulance Service (INEM) was contacted, and they provided assistance to the person at the site then took them to the local health centre.</w:t>
            </w:r>
          </w:p>
        </w:tc>
      </w:tr>
      <w:tr w:rsidR="006F3ED5" w:rsidRPr="006A2FC1" w:rsidTr="005A6B7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Collision between trains</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181357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line="244" w:lineRule="auto"/>
              <w:ind w:left="9" w:right="567"/>
              <w:rPr>
                <w:rFonts w:ascii="Arial" w:eastAsia="Arial" w:hAnsi="Arial" w:cs="Arial"/>
                <w:sz w:val="18"/>
                <w:szCs w:val="18"/>
              </w:rPr>
            </w:pPr>
            <w:r>
              <w:rPr>
                <w:rFonts w:ascii="Arial" w:hAnsi="Arial"/>
                <w:b/>
                <w:sz w:val="18"/>
              </w:rPr>
              <w:t>Date/Time: 21- Aug/06:15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7"/>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52182</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line="244" w:lineRule="auto"/>
              <w:ind w:left="9" w:right="437"/>
              <w:rPr>
                <w:rFonts w:ascii="Arial" w:eastAsia="Arial" w:hAnsi="Arial" w:cs="Arial"/>
                <w:sz w:val="18"/>
                <w:szCs w:val="18"/>
              </w:rPr>
            </w:pPr>
            <w:r>
              <w:rPr>
                <w:rFonts w:ascii="Arial" w:hAnsi="Arial"/>
                <w:b/>
                <w:sz w:val="18"/>
              </w:rPr>
              <w:t>Vendas Novas line</w:t>
            </w:r>
          </w:p>
        </w:tc>
        <w:tc>
          <w:tcPr>
            <w:tcW w:w="139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034.096</w:t>
            </w:r>
          </w:p>
        </w:tc>
      </w:tr>
      <w:tr w:rsidR="006F3ED5" w:rsidRPr="00604E94" w:rsidTr="005A6B70">
        <w:trPr>
          <w:trHeight w:val="20"/>
        </w:trPr>
        <w:tc>
          <w:tcPr>
            <w:tcW w:w="9682"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support operator for train 52182/3 informed the Setúbal Operational Command Centre (CCO) that the train had stopped because the driver has noticed strong swaying of the overhead line. After inspection of the locomotives, it was found that the pantographs from both locomotives had broken and fallen down. At the same time there was a trip of the overhead line between the phase separations of Muge and Quinta Grande. The support operator also reported that at the rear of the train the overhead line was damaged (coming off). A local emergency manager was appointed, who arrived on site at 07:10 and confirmed that around 250 metres of the overhead line between mileage point 33.250 and 33.500 was damaged. In order to repair the overhead line, Urgent Line Closure Requisition (PATE) No 17/2014 was put in place, which closed the line between Agolada and Salgueirinha stations, with a power shutoff between 08:09 and 08:35. After shunting, train 52182/3 was ready to resume its journey at 09:55. PATE No 18/2014 was put into effect in order to complete the repair to the overhead line, starting at 10:05 and finishing at 13:17. Train traffic was re-established at 13:18.</w:t>
            </w:r>
          </w:p>
        </w:tc>
      </w:tr>
      <w:tr w:rsidR="006F3ED5" w:rsidRPr="006A2FC1" w:rsidTr="005A6B7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181562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0" w:line="200" w:lineRule="exact"/>
              <w:ind w:left="9" w:right="567"/>
              <w:rPr>
                <w:rFonts w:ascii="Arial" w:eastAsia="Arial" w:hAnsi="Arial" w:cs="Arial"/>
                <w:sz w:val="18"/>
                <w:szCs w:val="18"/>
              </w:rPr>
            </w:pPr>
            <w:r>
              <w:rPr>
                <w:rFonts w:ascii="Arial" w:hAnsi="Arial"/>
                <w:b/>
                <w:sz w:val="18"/>
              </w:rPr>
              <w:t>Date/Time: 24- Aug/16:16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854</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Minho Line</w:t>
            </w:r>
          </w:p>
        </w:tc>
        <w:tc>
          <w:tcPr>
            <w:tcW w:w="139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032.053</w:t>
            </w:r>
          </w:p>
        </w:tc>
      </w:tr>
      <w:tr w:rsidR="006F3ED5" w:rsidRPr="00B63285" w:rsidTr="005A6B70">
        <w:trPr>
          <w:trHeight w:val="20"/>
        </w:trPr>
        <w:tc>
          <w:tcPr>
            <w:tcW w:w="9682"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before="4"/>
              <w:ind w:left="9"/>
              <w:rPr>
                <w:rFonts w:ascii="Arial" w:eastAsia="Arial" w:hAnsi="Arial" w:cs="Arial"/>
                <w:sz w:val="18"/>
                <w:szCs w:val="18"/>
              </w:rPr>
            </w:pPr>
            <w:r>
              <w:rPr>
                <w:rFonts w:ascii="Arial" w:hAnsi="Arial"/>
                <w:sz w:val="18"/>
              </w:rPr>
              <w:t>The train ticket inspector informed the Porto Operational Command Centre (CCO) that on leaving Famalicão station a passenger had unfastened and opened one of the doors and had exited while the train was moving, causing the passenger to fall onto the track. The Braga Civil Protection Authority (CDOS) was notified, and the passenger was assisted by the Famalicão Fire Brigade. Train 854 restarted its journey at 16:55.The passenger was taken to Braga hospital.</w:t>
            </w:r>
          </w:p>
        </w:tc>
      </w:tr>
      <w:tr w:rsidR="006F3ED5" w:rsidRPr="006A2FC1" w:rsidTr="005A6B7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 at a LC</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181799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line="244" w:lineRule="auto"/>
              <w:ind w:left="9" w:right="567"/>
              <w:rPr>
                <w:rFonts w:ascii="Arial" w:eastAsia="Arial" w:hAnsi="Arial" w:cs="Arial"/>
                <w:sz w:val="18"/>
                <w:szCs w:val="18"/>
              </w:rPr>
            </w:pPr>
            <w:r>
              <w:rPr>
                <w:rFonts w:ascii="Arial" w:hAnsi="Arial"/>
                <w:b/>
                <w:sz w:val="18"/>
              </w:rPr>
              <w:t>Date/Time: 27- Aug/17:52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5720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9"/>
              <w:rPr>
                <w:rFonts w:ascii="Arial" w:eastAsia="Arial" w:hAnsi="Arial" w:cs="Arial"/>
                <w:sz w:val="18"/>
                <w:szCs w:val="18"/>
              </w:rPr>
            </w:pPr>
            <w:r>
              <w:rPr>
                <w:rFonts w:ascii="Arial" w:hAnsi="Arial"/>
                <w:b/>
                <w:sz w:val="18"/>
              </w:rPr>
              <w:t>Algarve Line</w:t>
            </w:r>
          </w:p>
        </w:tc>
        <w:tc>
          <w:tcPr>
            <w:tcW w:w="139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340.744</w:t>
            </w:r>
          </w:p>
        </w:tc>
      </w:tr>
      <w:tr w:rsidR="006F3ED5" w:rsidRPr="00B63285" w:rsidTr="005A6B70">
        <w:trPr>
          <w:trHeight w:val="20"/>
        </w:trPr>
        <w:tc>
          <w:tcPr>
            <w:tcW w:w="9682" w:type="dxa"/>
            <w:gridSpan w:val="6"/>
            <w:tcBorders>
              <w:top w:val="single" w:sz="8" w:space="0" w:color="A7BEDE"/>
              <w:left w:val="single" w:sz="8" w:space="0" w:color="7A9FCD"/>
              <w:bottom w:val="single" w:sz="8" w:space="0" w:color="7A9FCD"/>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ticket inspector on train 5720 informed the Setúbal/Faro Operational Command Centre (CCO) that the train had collided with a man on the automatic pedestrian LC. The man was killed instantly. Traffic movement was suspended between the Faro and Olhão stations between 17:52 and 19:00. A category C emergency plan was set in motion. A local emergency manager was appointed at 18:15, arriving at the site of the incident at 18:28. The train restarted its journey at 18:45. The body was removed from the site at 19:00, and the track was declared clear of any restrictions to traffic from that time.</w:t>
            </w:r>
          </w:p>
        </w:tc>
      </w:tr>
    </w:tbl>
    <w:p w:rsidR="006F3ED5" w:rsidRPr="008D1E56" w:rsidRDefault="008D1E56">
      <w:pPr>
        <w:spacing w:before="14" w:line="240" w:lineRule="exact"/>
        <w:rPr>
          <w:sz w:val="24"/>
          <w:szCs w:val="24"/>
        </w:rPr>
      </w:pPr>
      <w:r>
        <w:rPr>
          <w:sz w:val="24"/>
        </w:rPr>
        <w:t xml:space="preserve"> </w:t>
      </w:r>
      <w:r>
        <w:br w:type="page"/>
      </w:r>
      <w:r>
        <w:rPr>
          <w:sz w:val="24"/>
        </w:rPr>
        <w:lastRenderedPageBreak/>
        <w:t xml:space="preserve"> </w:t>
      </w:r>
    </w:p>
    <w:tbl>
      <w:tblPr>
        <w:tblW w:w="9523" w:type="dxa"/>
        <w:tblInd w:w="109" w:type="dxa"/>
        <w:tblLayout w:type="fixed"/>
        <w:tblCellMar>
          <w:left w:w="0" w:type="dxa"/>
          <w:right w:w="0" w:type="dxa"/>
        </w:tblCellMar>
        <w:tblLook w:val="01E0" w:firstRow="1" w:lastRow="1" w:firstColumn="1" w:lastColumn="1" w:noHBand="0" w:noVBand="0"/>
      </w:tblPr>
      <w:tblGrid>
        <w:gridCol w:w="1980"/>
        <w:gridCol w:w="1415"/>
        <w:gridCol w:w="1851"/>
        <w:gridCol w:w="1578"/>
        <w:gridCol w:w="1460"/>
        <w:gridCol w:w="1239"/>
      </w:tblGrid>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6"/>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55"/>
              <w:ind w:left="7"/>
              <w:rPr>
                <w:rFonts w:ascii="Arial" w:eastAsia="Arial" w:hAnsi="Arial" w:cs="Arial"/>
                <w:sz w:val="18"/>
                <w:szCs w:val="18"/>
              </w:rPr>
            </w:pPr>
            <w:r>
              <w:rPr>
                <w:rFonts w:ascii="Arial" w:hAnsi="Arial"/>
                <w:b/>
                <w:sz w:val="18"/>
              </w:rPr>
              <w:t>eGOC No 182276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55" w:line="245" w:lineRule="auto"/>
              <w:ind w:left="9" w:right="567"/>
              <w:rPr>
                <w:rFonts w:ascii="Arial" w:eastAsia="Arial" w:hAnsi="Arial" w:cs="Arial"/>
                <w:sz w:val="18"/>
                <w:szCs w:val="18"/>
              </w:rPr>
            </w:pPr>
            <w:r>
              <w:rPr>
                <w:rFonts w:ascii="Arial" w:hAnsi="Arial"/>
                <w:b/>
                <w:sz w:val="18"/>
              </w:rPr>
              <w:t>Date/Time: 03- Sep/09:37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6"/>
              </w:rPr>
              <w:t xml:space="preserve"> </w:t>
            </w:r>
            <w:r>
              <w:rPr>
                <w:rFonts w:ascii="Arial" w:hAnsi="Arial"/>
                <w:b/>
                <w:sz w:val="18"/>
              </w:rPr>
              <w:t>Train No 130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6"/>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6"/>
              </w:rPr>
              <w:t xml:space="preserve"> </w:t>
            </w:r>
            <w:r>
              <w:rPr>
                <w:rFonts w:ascii="Arial" w:hAnsi="Arial"/>
                <w:b/>
                <w:sz w:val="18"/>
              </w:rPr>
              <w:t>Km 009.625</w:t>
            </w:r>
          </w:p>
        </w:tc>
      </w:tr>
      <w:tr w:rsidR="006F3ED5" w:rsidRPr="00604E94"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driver of train 130 informed the Lisbon Operational Command Centre (CCO) that the train had collided with a person who was crossing the tracks from the side of the high-speed down line (the Via Ascendente Rápida-VAR) to the side of the high-speed up line (Via Descendente Rápida-VDR). The GIL police and the Sacavém Volunteer Fire Brigade took charge of the incident. Traffic movement was suspended on the tracks of the high-speed down and up lines between Lisboa Oriente and Alverca from 10:08 to 12:04 to allow the body to be removed. Power was shut off to clean the tracks in question between 11:29 and 12:03. A local emergency manager was appointed, arriving on site at 10:10. A category B emergency was declared.</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183097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0"/>
              <w:ind w:left="9" w:right="567"/>
              <w:rPr>
                <w:rFonts w:ascii="Arial" w:eastAsia="Arial" w:hAnsi="Arial" w:cs="Arial"/>
                <w:sz w:val="18"/>
                <w:szCs w:val="18"/>
              </w:rPr>
            </w:pPr>
            <w:r>
              <w:rPr>
                <w:rFonts w:ascii="Arial" w:hAnsi="Arial"/>
                <w:b/>
                <w:sz w:val="18"/>
              </w:rPr>
              <w:t>Date/Time: 15- Sep/19:43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721</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009.625</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train driver reported to the Lisbon Operational Command Centre (CCO) that the train had fatally struck a person who was crossing the track at an improper location. Traffic on the high-speed down line and on the high-speed up line was suspended between Lisboa Oriente and Alverca stations. A local emergency manager was appointed and a category C emergency plan was initiated. The Sacavém Volunteer Fire Brigade, the Sacavém police and the police at the Gare Intermodal de Lisboa (GIL) were all notified. The body was removed to a place near the track, allowing traffic movement to be resumed on the VAR and VDR from 22:10. The body was removed at 23:50.</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183632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5" w:line="200" w:lineRule="exact"/>
              <w:ind w:left="9" w:right="567"/>
              <w:rPr>
                <w:rFonts w:ascii="Arial" w:eastAsia="Arial" w:hAnsi="Arial" w:cs="Arial"/>
                <w:sz w:val="18"/>
                <w:szCs w:val="18"/>
              </w:rPr>
            </w:pPr>
            <w:r>
              <w:rPr>
                <w:rFonts w:ascii="Arial" w:hAnsi="Arial"/>
                <w:b/>
                <w:sz w:val="18"/>
              </w:rPr>
              <w:t>Date/Time: 22- Sep/14:15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4419</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030.164</w:t>
            </w:r>
          </w:p>
        </w:tc>
      </w:tr>
      <w:tr w:rsidR="006F3ED5" w:rsidRPr="00604E94"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train driver informed the Lisbon Operational Command Centre (CCO) that they had collided with a woman on entering at Vila Franca de Xira Station. The woman was thrown to the down line platform and was injured. According to the train driver, the woman was crossing at a place where crossing is not allowed. A local emergency manager was appointed and a category C emergency plan was initiated. The Vila Franca de Xira police were notified and came to the scene, as did the Ambulance Service (INEM), who took the woman to hospital. The line was declared clear without restrictions at 15:00.</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 at a LC</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184018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ind w:left="9" w:right="567"/>
              <w:rPr>
                <w:rFonts w:ascii="Arial" w:eastAsia="Arial" w:hAnsi="Arial" w:cs="Arial"/>
                <w:sz w:val="18"/>
                <w:szCs w:val="18"/>
              </w:rPr>
            </w:pPr>
            <w:r>
              <w:rPr>
                <w:rFonts w:ascii="Arial" w:hAnsi="Arial"/>
                <w:b/>
                <w:sz w:val="18"/>
              </w:rPr>
              <w:t>Date/Time: 27- Sep/20:30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621</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322.553</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train driver informed the Porto Operational Command Centre (CCO) that they had fatally struck a person at the km indicated. Temporary single-track circulation was established on the up line between 22:08 and 22:58, with proceed on sight between km 322.500 and km 322.900. A local emergency manager was appointed and a category C emergency plan was initiated. The Porto Civil Protection Authority (CDOS) was notified. The police authorities then interviewed the train driver and authorised removal of the body, releasing the train, which restarted its journey at 21:31. Circulation without restrictions was re-established at 22:58.</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 at a LC</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185446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17- Oct/09:59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122</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323.850</w:t>
            </w:r>
          </w:p>
        </w:tc>
      </w:tr>
      <w:tr w:rsidR="006F3ED5" w:rsidRPr="006A2FC1"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train stopped at km 323.850 as it had side-swiped a male pedestrian who was crossing the Miramar LC from right to left in relation to the train's direction of travel. The man was knocked unconscious and injred but was alive. Assistance was provided by an Ambulance Service (INEM) unit. The Operational Command Centre (CCO) activated the signal-closure lever to protect the LC. The line was declared clear at 10:33.</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185704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0"/>
              <w:ind w:left="9" w:right="567"/>
              <w:rPr>
                <w:rFonts w:ascii="Arial" w:eastAsia="Arial" w:hAnsi="Arial" w:cs="Arial"/>
                <w:sz w:val="18"/>
                <w:szCs w:val="18"/>
              </w:rPr>
            </w:pPr>
            <w:r>
              <w:rPr>
                <w:rFonts w:ascii="Arial" w:hAnsi="Arial"/>
                <w:b/>
                <w:sz w:val="18"/>
              </w:rPr>
              <w:t>Date/Time: 20- Oct/20:00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ind w:left="7"/>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15843</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330.000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train crew informed the Porto Operational Command Centre (CCO) that they struck a glancing blow to a man who was crossing the track from the up line to the down line. The man was thrown onto the trackside and suffered some injuries. The train restarted its journey at 20:40 after the injured man had been taken away by the Ambulance Service (INEM).</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187807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19- Nov/13:32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5714</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9"/>
              <w:rPr>
                <w:rFonts w:ascii="Arial" w:eastAsia="Arial" w:hAnsi="Arial" w:cs="Arial"/>
                <w:sz w:val="18"/>
                <w:szCs w:val="18"/>
              </w:rPr>
            </w:pPr>
            <w:r>
              <w:rPr>
                <w:rFonts w:ascii="Arial" w:hAnsi="Arial"/>
                <w:b/>
                <w:sz w:val="18"/>
              </w:rPr>
              <w:t>Algarve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393.000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train driver informed the Setúbal Operational Command Centre (CCO) that the train was stopped at the indicated km until 13:45, while the train conductor was determining the situation with the authorities, who were providing assistance to a person next to the track. A local emergency manager was appointed and a category C emergency plan was initiated. The Faro Civil Protection Authority (CDOS) was contacted, who at 13:57 reported that the track was clear, as the personnel providing assistance had left the site.</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187822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9" w:line="200" w:lineRule="exact"/>
              <w:ind w:left="9" w:right="567"/>
              <w:rPr>
                <w:rFonts w:ascii="Arial" w:eastAsia="Arial" w:hAnsi="Arial" w:cs="Arial"/>
                <w:sz w:val="18"/>
                <w:szCs w:val="18"/>
              </w:rPr>
            </w:pPr>
            <w:r>
              <w:rPr>
                <w:rFonts w:ascii="Arial" w:hAnsi="Arial"/>
                <w:b/>
                <w:sz w:val="18"/>
              </w:rPr>
              <w:t>Date/Time: 19- Nov/16:48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526</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129.563</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crew informed the Lisbon Operational Command Centre (CCO) that the train had fatally struck a person who was on line II at Chão de Maças station in Fátima. A local emergency manager was appointed and a category C emergency plan was initiated. The Ambulance Service (INEM) and the Tomar National Republican Guard (GNR) were informed. Train traffic in both directions at the station was routed on line III. The train restarted its journey at 18:21, after the body had been removed, and normal traffic movement was re-established at 18:28.</w:t>
            </w:r>
          </w:p>
        </w:tc>
      </w:tr>
      <w:tr w:rsidR="006F3ED5" w:rsidRPr="006A2FC1" w:rsidTr="00970040">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 at a LC</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B65BEC">
            <w:pPr>
              <w:spacing w:before="4"/>
              <w:ind w:left="7"/>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188154</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B65BEC">
            <w:pPr>
              <w:spacing w:before="65" w:line="244" w:lineRule="auto"/>
              <w:ind w:left="9" w:right="567"/>
              <w:rPr>
                <w:rFonts w:ascii="Arial" w:eastAsia="Arial" w:hAnsi="Arial" w:cs="Arial"/>
                <w:sz w:val="18"/>
                <w:szCs w:val="18"/>
              </w:rPr>
            </w:pPr>
            <w:r>
              <w:rPr>
                <w:rFonts w:ascii="Arial" w:hAnsi="Arial"/>
                <w:b/>
                <w:sz w:val="18"/>
              </w:rPr>
              <w:t>Date/Time: 24- Nov/09:50</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131</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004.081</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pPr>
              <w:spacing w:before="9" w:line="200" w:lineRule="exact"/>
              <w:ind w:left="9" w:right="278"/>
              <w:rPr>
                <w:rFonts w:ascii="Arial" w:eastAsia="Arial" w:hAnsi="Arial" w:cs="Arial"/>
                <w:sz w:val="18"/>
                <w:szCs w:val="18"/>
              </w:rPr>
            </w:pPr>
            <w:r>
              <w:rPr>
                <w:rFonts w:ascii="Arial" w:hAnsi="Arial"/>
                <w:sz w:val="18"/>
              </w:rPr>
              <w:lastRenderedPageBreak/>
              <w:t>The train driver informed the Porto Operational Command Centre (CCO) that the train had collided with and seriously injured a person at the automatic pedestrian level crossing at the indicated km. The level crossing was working without any anomalies. A local emergency manager was appointed and a category C emergency plan was initiated. The Porto Civil Protection Authority (CDOS) was informed. The Ambulance Service (INEM) took the person to hospital at 10:14 and the line was declared clear without restriction at that time.</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 at a LC</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189234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10- Dec/23:00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136</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074.552</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train driver informed the Lisbon Operational Command Centre (CCO) that the ground-to-train radio alarm was triggered, causing the train to stop at Santarém station, as they had collided with a person at the automatic level crossing with half-barriers at the indicated km. The person was seriously injured. A local emergency manager was appointed and a category C emergency plan was initiated. The Santarém Ambulance Service (INEM) and police were informed and took charge of the incident. Traffic at the station was suspended while assistance was provided to the injured person and until the Ambulance Service (INEM) took them to Santarém hospital.</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189498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15- Dec/13:13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7"/>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15226</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022.445</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crew informed the Porto Operational Command Centre (CCO) that the train had collided with a person at Trofa station. Traffic movement was suspended on the up line between Lousado and Senhora das Dores, with temporary single-track movement established on the down line with reversible block signalling and proceed on sight between 13:27 and 14:20. A local emergency manager was appointed and a category C emergency plan was initiated. The Porto Civil Protection Authority (CDOS) was informed. The person was removed from the site by the Trofa Volunteer Fire Brigade and taken to Hospital de S. João at 13:45. Normal traffic conditions were re-established after details had been taken by the National Republican Guard (GNR). The remainder of the journey of train 15226 was cancelled due to unavailability of the driver. In order to continue the service, multiple electric drive train UME 3430 was provided for coupling to the train set of train 15164.</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Accidents involving people</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190103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0"/>
              <w:ind w:left="9" w:right="567"/>
              <w:rPr>
                <w:rFonts w:ascii="Arial" w:eastAsia="Arial" w:hAnsi="Arial" w:cs="Arial"/>
                <w:sz w:val="18"/>
                <w:szCs w:val="18"/>
              </w:rPr>
            </w:pPr>
            <w:r>
              <w:rPr>
                <w:rFonts w:ascii="Arial" w:hAnsi="Arial"/>
                <w:b/>
                <w:sz w:val="18"/>
              </w:rPr>
              <w:t>Date/Time: 26- Dec/14:46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132</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221.500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970040" w:rsidRDefault="00B65BEC" w:rsidP="00970040">
            <w:pPr>
              <w:spacing w:line="200" w:lineRule="exact"/>
              <w:ind w:left="9"/>
              <w:rPr>
                <w:rFonts w:ascii="Arial" w:eastAsia="Arial" w:hAnsi="Arial" w:cs="Arial"/>
                <w:sz w:val="18"/>
                <w:szCs w:val="18"/>
              </w:rPr>
            </w:pPr>
            <w:r>
              <w:rPr>
                <w:rFonts w:ascii="Arial" w:hAnsi="Arial"/>
                <w:sz w:val="18"/>
              </w:rPr>
              <w:t>The train driver informed the Lisbon Operational Command Centre (CCO) that the train had collided with a person who was crossing the track at the indicated km. Traffic movement was suspended on the down and up lines. According to the ticket inspector, the body was lying on the up line trackside. A category C emergency was declared. The duty manager in charge of traffic movement at Coimbra-B station arrived at the site at 15:15. Suspension of the down line was lifted at 15:25, with traffic moving in both directions on this track, with proceed on sight at the location in question. The Ambulance Service (INEM) and the Souselas National Republican Guard (GNR) took charge of the incident. Train 132 restarted its journey at 15:50 after receiving authorisation from the National Republican Guard (GNR). The body was removed at 17:30 and the up line was declared clear without restriction at 17:40.</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Collision between trains</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190201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28- Dec/15:29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5622</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427"/>
              <w:rPr>
                <w:rFonts w:ascii="Arial" w:eastAsia="Arial" w:hAnsi="Arial" w:cs="Arial"/>
                <w:sz w:val="18"/>
                <w:szCs w:val="18"/>
              </w:rPr>
            </w:pPr>
            <w:r>
              <w:rPr>
                <w:rFonts w:ascii="Arial" w:hAnsi="Arial"/>
                <w:b/>
                <w:sz w:val="18"/>
              </w:rPr>
              <w:t>Beira Baixa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006.240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970040" w:rsidRDefault="00B65BEC" w:rsidP="00970040">
            <w:pPr>
              <w:spacing w:line="200" w:lineRule="exact"/>
              <w:ind w:left="9"/>
              <w:rPr>
                <w:rFonts w:ascii="Arial" w:eastAsia="Arial" w:hAnsi="Arial" w:cs="Arial"/>
                <w:sz w:val="18"/>
                <w:szCs w:val="18"/>
              </w:rPr>
            </w:pPr>
            <w:r>
              <w:rPr>
                <w:rFonts w:ascii="Arial" w:hAnsi="Arial"/>
                <w:sz w:val="18"/>
              </w:rPr>
              <w:t>The PRT reported a trip in the Abrantes traction substation-Belver phase separation and Pego Terminal sector. At 15:35 the PRT requisitioned the lowering of the pantographs on train 5622 which was at Alferrarede station. The sector was then reconnected but with the track 66 circuit occupied. The train driver later reported that the train did not have a pantograph. Assistance was requested from the front at 15:55, which was provided by a My 2253 in operation 95229. The indicated train left Alferrarede at 17:05 and remained in Abrantes from 17:13 to 17:27 to drop off the damaged unit, as it was causing the overhead line trips. After being inspected by the overhead line unit, part of the pantograph was found on the overhead contact line at km 6.240 with some broken suspension cables and arms up to km 12.010. Track possession was initiated between Abrantes and Mouriscas, with a power cut-off at 17:18 in accordance with Urgent Line Closure Requisition (PATE) No 96/2014. Road transfer was provided between Mouriscas A and Abrantes for trains: 542; 5601; 5624; 5625; 544 and 545.</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001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167066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12- Jan/10:00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9"/>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143.510</w:t>
            </w:r>
          </w:p>
        </w:tc>
      </w:tr>
      <w:tr w:rsidR="006F3ED5" w:rsidRPr="00B63285" w:rsidTr="00970040">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6A2FC1" w:rsidRDefault="008D1E56">
            <w:pPr>
              <w:ind w:left="9"/>
              <w:rPr>
                <w:rFonts w:ascii="Arial" w:eastAsia="Arial" w:hAnsi="Arial" w:cs="Arial"/>
                <w:sz w:val="18"/>
                <w:szCs w:val="18"/>
              </w:rPr>
            </w:pPr>
            <w:r>
              <w:rPr>
                <w:sz w:val="16"/>
              </w:rPr>
              <w:t xml:space="preserve"> </w:t>
            </w:r>
            <w:r>
              <w:rPr>
                <w:rFonts w:ascii="Arial" w:hAnsi="Arial"/>
                <w:sz w:val="18"/>
              </w:rPr>
              <w:t>Broken rail at the indicated km. Proceed on sight was initiated for all traffic movement from 11:25.</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002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167556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22- Jan/06:50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230.379</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ight="304"/>
              <w:jc w:val="both"/>
              <w:rPr>
                <w:rFonts w:ascii="Arial" w:eastAsia="Arial" w:hAnsi="Arial" w:cs="Arial"/>
                <w:sz w:val="18"/>
                <w:szCs w:val="18"/>
              </w:rPr>
            </w:pPr>
            <w:r>
              <w:rPr>
                <w:rFonts w:ascii="Arial" w:hAnsi="Arial"/>
                <w:sz w:val="18"/>
              </w:rPr>
              <w:t>The train driver informed the Porto Operational Command Centre (CCO) that they had hit an object which they were unable to identify at the crossing next to signal S1. The Coimbra maintenance depot (CMC-MN) track unit later reported that there was a broken joint bar on the normal insulated joint (JIN) on the left rail, which caused damage to the snow plough of the triple electric drive train (UTE). Proceed on sight was initiated for all traffic movements until a repair could be effected. When the Coimbra maintenance depot (CMC-MN) track unit had repaired the track, restrictions were immediately lifted. The maximum velocity for this stretch of line is 120 km/hour.</w:t>
            </w:r>
          </w:p>
        </w:tc>
      </w:tr>
      <w:tr w:rsidR="006F3ED5" w:rsidRPr="006A2FC1" w:rsidTr="00970040">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003</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B65BEC" w:rsidP="00970040">
            <w:pPr>
              <w:spacing w:before="65"/>
              <w:ind w:left="7"/>
              <w:rPr>
                <w:rFonts w:ascii="Arial" w:eastAsia="Arial" w:hAnsi="Arial" w:cs="Arial"/>
                <w:sz w:val="18"/>
                <w:szCs w:val="18"/>
              </w:rPr>
            </w:pPr>
            <w:r>
              <w:rPr>
                <w:rFonts w:ascii="Arial" w:hAnsi="Arial"/>
                <w:b/>
                <w:sz w:val="18"/>
              </w:rPr>
              <w:t>eGOC No 168540</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B65BEC">
            <w:pPr>
              <w:spacing w:before="69" w:line="200" w:lineRule="exact"/>
              <w:ind w:left="9" w:right="567"/>
              <w:rPr>
                <w:rFonts w:ascii="Arial" w:eastAsia="Arial" w:hAnsi="Arial" w:cs="Arial"/>
                <w:sz w:val="18"/>
                <w:szCs w:val="18"/>
              </w:rPr>
            </w:pPr>
            <w:r>
              <w:rPr>
                <w:rFonts w:ascii="Arial" w:hAnsi="Arial"/>
                <w:b/>
                <w:sz w:val="18"/>
              </w:rPr>
              <w:t>Date/Time: 07- Feb/04:08</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151.121</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Setúbal Operational Command Centre (CCO) noted that track circuit CV 2 of the indicated station remained occupied after the train had passed, impeding the opening of signals S2, S3 and S5 at S. Bartolomeu da Serra, and signals S20 and STD of Raquete station. According to the Siemens agent at the site this was caused by a broken rail. After repair by the CMT-MN track unit traffic movement was re-established without limitation.</w:t>
            </w:r>
          </w:p>
        </w:tc>
      </w:tr>
      <w:tr w:rsidR="006F3ED5" w:rsidRPr="00970040"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lastRenderedPageBreak/>
              <w:t xml:space="preserve"> </w:t>
            </w:r>
            <w:r>
              <w:rPr>
                <w:rFonts w:ascii="Arial" w:hAnsi="Arial"/>
                <w:b/>
                <w:sz w:val="18"/>
              </w:rPr>
              <w:t xml:space="preserve">Broken Rails _ </w:t>
            </w:r>
            <w:r>
              <w:rPr>
                <w:rFonts w:ascii="Arial" w:hAnsi="Arial"/>
                <w:sz w:val="18"/>
              </w:rPr>
              <w:t>004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970040" w:rsidRDefault="00B65BEC" w:rsidP="00970040">
            <w:pPr>
              <w:spacing w:before="70"/>
              <w:ind w:left="7"/>
              <w:rPr>
                <w:rFonts w:ascii="Arial" w:eastAsia="Arial" w:hAnsi="Arial" w:cs="Arial"/>
                <w:sz w:val="18"/>
                <w:szCs w:val="18"/>
              </w:rPr>
            </w:pPr>
            <w:r>
              <w:rPr>
                <w:rFonts w:ascii="Arial" w:hAnsi="Arial"/>
                <w:b/>
                <w:sz w:val="18"/>
              </w:rPr>
              <w:t>eGOC No 168889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970040" w:rsidRDefault="00B65BEC">
            <w:pPr>
              <w:spacing w:before="74" w:line="200" w:lineRule="exact"/>
              <w:ind w:left="9" w:right="567"/>
              <w:rPr>
                <w:rFonts w:ascii="Arial" w:eastAsia="Arial" w:hAnsi="Arial" w:cs="Arial"/>
                <w:sz w:val="18"/>
                <w:szCs w:val="18"/>
              </w:rPr>
            </w:pPr>
            <w:r>
              <w:rPr>
                <w:rFonts w:ascii="Arial" w:hAnsi="Arial"/>
                <w:b/>
                <w:sz w:val="18"/>
              </w:rPr>
              <w:t>Date/Time: 10- Feb/20:38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970040"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970040"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970040" w:rsidRDefault="008D1E56">
            <w:pPr>
              <w:ind w:left="9"/>
              <w:rPr>
                <w:rFonts w:ascii="Arial" w:eastAsia="Arial" w:hAnsi="Arial" w:cs="Arial"/>
                <w:sz w:val="18"/>
                <w:szCs w:val="18"/>
              </w:rPr>
            </w:pPr>
            <w:r>
              <w:rPr>
                <w:sz w:val="17"/>
              </w:rPr>
              <w:t xml:space="preserve"> </w:t>
            </w:r>
            <w:r>
              <w:rPr>
                <w:rFonts w:ascii="Arial" w:hAnsi="Arial"/>
                <w:b/>
                <w:sz w:val="18"/>
              </w:rPr>
              <w:t>Km 216.180</w:t>
            </w:r>
          </w:p>
        </w:tc>
      </w:tr>
      <w:tr w:rsidR="006F3ED5" w:rsidRPr="006A2FC1"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pPr>
              <w:spacing w:before="4" w:line="200" w:lineRule="exact"/>
              <w:ind w:left="9" w:right="98"/>
              <w:rPr>
                <w:rFonts w:ascii="Arial" w:eastAsia="Arial" w:hAnsi="Arial" w:cs="Arial"/>
                <w:sz w:val="18"/>
                <w:szCs w:val="18"/>
              </w:rPr>
            </w:pPr>
            <w:r>
              <w:rPr>
                <w:rFonts w:ascii="Arial" w:hAnsi="Arial"/>
                <w:sz w:val="18"/>
              </w:rPr>
              <w:t>The driver of train 515 informed the Lisbon Operational Command Centre (CCO) that they had felt a strong impact on the track. Proceed on sight was initiated at that location. This information was confirmed by train 137. The driver of train 16829 reported that the problem was a broken rail at mileage point 216.150. Traffic movement was suspended on the down line between Taveiro and Coimbra-B, with train 4523 moving against the normal direction of travel between Alfarelos and Coimbra-B. A broken rail was confirmed at mileage point 216.180, with a speed limit of 10 km/hour initiated between mileage points 216.150 and 216.200. The repair was carried out by the CMB-CM track unit, with traffic movement suspended on the down line between Taveiro and Coimbra-B from 23:20 to 00:10. A speed limit of 60 km/hour was initiated between mileage points 216.150 and 216.200.</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005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168891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10- Feb/19:32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161.250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970040" w:rsidRDefault="00B65BEC" w:rsidP="00970040">
            <w:pPr>
              <w:spacing w:line="200" w:lineRule="exact"/>
              <w:ind w:left="9"/>
              <w:rPr>
                <w:rFonts w:ascii="Arial" w:eastAsia="Arial" w:hAnsi="Arial" w:cs="Arial"/>
                <w:sz w:val="18"/>
                <w:szCs w:val="18"/>
              </w:rPr>
            </w:pPr>
            <w:r>
              <w:rPr>
                <w:rFonts w:ascii="Arial" w:hAnsi="Arial"/>
                <w:sz w:val="18"/>
              </w:rPr>
              <w:t>The driver of train 80834 informed the Setúbal Operational Command Centre (CCO) that they had felt a strong impact on the track at the indicated km. An on-site inspection by the CMS-CM track unit found a broken weld. A speed limit of 10 km/hour was initiated between mileage points 161.200 and 161.300.</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006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169091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13- Feb/16:10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174.713</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ight="131"/>
              <w:jc w:val="both"/>
              <w:rPr>
                <w:rFonts w:ascii="Arial" w:eastAsia="Arial" w:hAnsi="Arial" w:cs="Arial"/>
                <w:sz w:val="18"/>
                <w:szCs w:val="18"/>
              </w:rPr>
            </w:pPr>
            <w:r>
              <w:rPr>
                <w:rFonts w:ascii="Arial" w:hAnsi="Arial"/>
                <w:sz w:val="18"/>
              </w:rPr>
              <w:t>The Setúbal Operational Command Centre (CCO) indicated that there was unexpected and permanent occupation of track circuit D1. According to the Siemens Rail agent at the site, this was due to a broken weld on the left-hand rail. A speed limit of 10 km/hour was initiated by the CMT-MN track unit between km 174.900 and km 175.000 until it could be repaired. On completion of the repair this was changed to 80 km/hour (max. speed for this stretch of line: 100 km/hour).</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007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169629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5" w:line="200" w:lineRule="exact"/>
              <w:ind w:left="9" w:right="567"/>
              <w:rPr>
                <w:rFonts w:ascii="Arial" w:eastAsia="Arial" w:hAnsi="Arial" w:cs="Arial"/>
                <w:sz w:val="18"/>
                <w:szCs w:val="18"/>
              </w:rPr>
            </w:pPr>
            <w:r>
              <w:rPr>
                <w:rFonts w:ascii="Arial" w:hAnsi="Arial"/>
                <w:b/>
                <w:sz w:val="18"/>
              </w:rPr>
              <w:t>Date/Time: 21- Feb/16:10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217.294</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train driver reported to the Lisbon Operational Command Centre (CCO) that there was a pronounced bump at the entrance and exit to line VII at Coimbra-B station. Proceed on sight was initiated for all traffic movement through that location until it could be inspected by the CMC-MN track unit. On arrival, the track unit found broken joint bars on a normal insulated joint (JIN), which they replaced.</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008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65"/>
              <w:ind w:left="7"/>
              <w:rPr>
                <w:rFonts w:ascii="Arial" w:eastAsia="Arial" w:hAnsi="Arial" w:cs="Arial"/>
                <w:sz w:val="18"/>
                <w:szCs w:val="18"/>
              </w:rPr>
            </w:pPr>
            <w:r>
              <w:rPr>
                <w:rFonts w:ascii="Arial" w:hAnsi="Arial"/>
                <w:b/>
                <w:sz w:val="18"/>
              </w:rPr>
              <w:t>eGOC No 169743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ind w:left="9" w:right="567"/>
              <w:rPr>
                <w:rFonts w:ascii="Arial" w:eastAsia="Arial" w:hAnsi="Arial" w:cs="Arial"/>
                <w:sz w:val="18"/>
                <w:szCs w:val="18"/>
              </w:rPr>
            </w:pPr>
            <w:r>
              <w:rPr>
                <w:rFonts w:ascii="Arial" w:hAnsi="Arial"/>
                <w:b/>
                <w:sz w:val="18"/>
              </w:rPr>
              <w:t>Date/Time: 23- Feb/19:36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ind w:left="9"/>
              <w:rPr>
                <w:rFonts w:ascii="Arial" w:eastAsia="Arial" w:hAnsi="Arial" w:cs="Arial"/>
                <w:sz w:val="18"/>
                <w:szCs w:val="18"/>
              </w:rPr>
            </w:pPr>
            <w:r>
              <w:rPr>
                <w:rFonts w:ascii="Arial" w:hAnsi="Arial"/>
                <w:b/>
                <w:sz w:val="18"/>
              </w:rPr>
              <w:t>Beira Baixa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118.224</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Lisbon Operational Command Centre (CCO) reported unexpected and permanent occupation of the track CV III circuit at Praia do Ribatejo station. According to information provided by the CME-MN signal unit at the site this was caused by a broken rail. Train traffic was moved to line I. The repair by the CME-MN track unit was completed at the indicated time, with no speed limitations. The max. speed for this stretch of line is 100 km/hour.</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009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169846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25- Feb/12:30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Louriçal Branch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006.700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Coimbra maintenance depot (CMC-MN) track unit informed the Lisbon Operational Command Centre (CCO) of track possession on the Soporcel branch line between set of points 5 (excl.) and km 6.800, due to broken joint bars and rotted sleepers at km 6.700. After a provisional repair, train movement was re-established with a speed limit of 10 km/hour between km 6.695 and 6.705. Restrictions were lifted at 16:00.</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22"/>
              </w:rPr>
              <w:t xml:space="preserve"> </w:t>
            </w:r>
            <w:r>
              <w:rPr>
                <w:rFonts w:ascii="Arial" w:hAnsi="Arial"/>
                <w:b/>
                <w:sz w:val="18"/>
              </w:rPr>
              <w:t xml:space="preserve">Broken Rails _ </w:t>
            </w:r>
            <w:r>
              <w:rPr>
                <w:rFonts w:ascii="Arial" w:hAnsi="Arial"/>
                <w:sz w:val="18"/>
              </w:rPr>
              <w:t>010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rsidP="00970040">
            <w:pPr>
              <w:ind w:left="7"/>
              <w:rPr>
                <w:rFonts w:ascii="Arial" w:eastAsia="Arial" w:hAnsi="Arial" w:cs="Arial"/>
                <w:sz w:val="18"/>
                <w:szCs w:val="18"/>
              </w:rPr>
            </w:pPr>
            <w:r>
              <w:rPr>
                <w:sz w:val="12"/>
              </w:rPr>
              <w:t xml:space="preserve"> </w:t>
            </w:r>
            <w:r>
              <w:rPr>
                <w:rFonts w:ascii="Arial" w:hAnsi="Arial"/>
                <w:b/>
                <w:sz w:val="18"/>
              </w:rPr>
              <w:t>eGOC No 170784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spacing w:line="200" w:lineRule="exact"/>
              <w:ind w:left="9" w:right="567"/>
              <w:rPr>
                <w:rFonts w:ascii="Arial" w:eastAsia="Arial" w:hAnsi="Arial" w:cs="Arial"/>
                <w:sz w:val="18"/>
                <w:szCs w:val="18"/>
              </w:rPr>
            </w:pPr>
            <w:r>
              <w:rPr>
                <w:sz w:val="12"/>
              </w:rPr>
              <w:t xml:space="preserve"> </w:t>
            </w:r>
            <w:r>
              <w:rPr>
                <w:rFonts w:ascii="Arial" w:hAnsi="Arial"/>
                <w:b/>
                <w:sz w:val="18"/>
              </w:rPr>
              <w:t>Date/Time: 12- Mar/16:00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22"/>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26" w:line="200" w:lineRule="exact"/>
              <w:ind w:left="9" w:right="124"/>
              <w:rPr>
                <w:rFonts w:ascii="Arial" w:eastAsia="Arial" w:hAnsi="Arial" w:cs="Arial"/>
                <w:sz w:val="18"/>
                <w:szCs w:val="18"/>
              </w:rPr>
            </w:pPr>
            <w:r>
              <w:rPr>
                <w:rFonts w:ascii="Arial" w:hAnsi="Arial"/>
                <w:b/>
                <w:sz w:val="18"/>
              </w:rPr>
              <w:t>Cascais Line, Liscont Branch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22"/>
              </w:rPr>
              <w:t xml:space="preserve"> </w:t>
            </w:r>
            <w:r>
              <w:rPr>
                <w:rFonts w:ascii="Arial" w:hAnsi="Arial"/>
                <w:b/>
                <w:sz w:val="18"/>
              </w:rPr>
              <w:t>Km 000.290</w:t>
            </w:r>
          </w:p>
        </w:tc>
      </w:tr>
      <w:tr w:rsidR="006F3ED5" w:rsidRPr="00B63285" w:rsidTr="00970040">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6A2FC1" w:rsidRDefault="00B65BEC">
            <w:pPr>
              <w:spacing w:before="66" w:line="200" w:lineRule="exact"/>
              <w:ind w:left="9" w:right="-10"/>
              <w:rPr>
                <w:rFonts w:ascii="Arial" w:eastAsia="Arial" w:hAnsi="Arial" w:cs="Arial"/>
                <w:sz w:val="18"/>
                <w:szCs w:val="18"/>
              </w:rPr>
            </w:pPr>
            <w:r>
              <w:rPr>
                <w:rFonts w:ascii="Arial" w:hAnsi="Arial"/>
                <w:sz w:val="18"/>
              </w:rPr>
              <w:t>Due to a broken joint at the Liscont depot, this branch line was closed until further notice. The line was declared clear at 16:00. The problem was a split weld.</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011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171352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22- Mar/18:17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297.900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Track circuit D1 was occupied, causing the closure of signal S2 at Válega. Siemens managers went to the site and reported that the problem was a broken glued insulated joint at km 297.900 on the inside stretch of rail. The maintenance department was notified. A repair was carried out and a speed limit of 30 km/hour was initiated between km 297.920 and 297.850 from 18:00, signalled and controlled by CONVEL/ATP. On arrival at the site, track circuit D1 was found to be occupied due to a broken joint bar on the glued insulated joint. The infrastructure office was informed, work on the track was established and a speed restriction initiated.</w:t>
            </w:r>
          </w:p>
        </w:tc>
      </w:tr>
      <w:tr w:rsidR="006F3ED5" w:rsidRPr="006A2FC1" w:rsidTr="00970040">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012</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171705</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28- Mar/06:35</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032.100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Lisbon Operational Command Centre (CCO) reported unexpected and permanent occupation of track section 321D, due to a broken rail. This was repaired by service provider Mota-Engil and a speed limit of 80 km/hour was established between km 31.810 and 31.800 by the Lisbon maintenance depot (CML-MN) track unit (max. speed for this stretch of line: 140 km/hour).</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013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65"/>
              <w:ind w:left="7"/>
              <w:rPr>
                <w:rFonts w:ascii="Arial" w:eastAsia="Arial" w:hAnsi="Arial" w:cs="Arial"/>
                <w:sz w:val="18"/>
                <w:szCs w:val="18"/>
              </w:rPr>
            </w:pPr>
            <w:r>
              <w:rPr>
                <w:rFonts w:ascii="Arial" w:hAnsi="Arial"/>
                <w:b/>
                <w:sz w:val="18"/>
              </w:rPr>
              <w:t>eGOC No 171798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line="244" w:lineRule="auto"/>
              <w:ind w:left="9" w:right="567"/>
              <w:rPr>
                <w:rFonts w:ascii="Arial" w:eastAsia="Arial" w:hAnsi="Arial" w:cs="Arial"/>
                <w:sz w:val="18"/>
                <w:szCs w:val="18"/>
              </w:rPr>
            </w:pPr>
            <w:r>
              <w:rPr>
                <w:rFonts w:ascii="Arial" w:hAnsi="Arial"/>
                <w:b/>
                <w:sz w:val="18"/>
              </w:rPr>
              <w:t>Date/Time: 29- Mar/12:55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Douro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075.800</w:t>
            </w:r>
          </w:p>
        </w:tc>
      </w:tr>
      <w:tr w:rsidR="006F3ED5" w:rsidRPr="00B63285" w:rsidTr="00970040">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6A2FC1" w:rsidRDefault="00B65BEC">
            <w:pPr>
              <w:spacing w:before="61" w:line="244" w:lineRule="auto"/>
              <w:ind w:left="9" w:right="90"/>
              <w:rPr>
                <w:rFonts w:ascii="Arial" w:eastAsia="Arial" w:hAnsi="Arial" w:cs="Arial"/>
                <w:sz w:val="18"/>
                <w:szCs w:val="18"/>
              </w:rPr>
            </w:pPr>
            <w:r>
              <w:rPr>
                <w:rFonts w:ascii="Arial" w:hAnsi="Arial"/>
                <w:sz w:val="18"/>
              </w:rPr>
              <w:lastRenderedPageBreak/>
              <w:t>The train driver informed the Porto Operational Command Centre (CCO) that there was a broken rail at the indicated km. Traffic movement was restricted to proceed on sight between km 75.850 and km 75.750. Repair was carried out by the Porto maintenance depot (CMP-MN) track unit.</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014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65"/>
              <w:ind w:left="7"/>
              <w:rPr>
                <w:rFonts w:ascii="Arial" w:eastAsia="Arial" w:hAnsi="Arial" w:cs="Arial"/>
                <w:sz w:val="18"/>
                <w:szCs w:val="18"/>
              </w:rPr>
            </w:pPr>
            <w:r>
              <w:rPr>
                <w:rFonts w:ascii="Arial" w:hAnsi="Arial"/>
                <w:b/>
                <w:sz w:val="18"/>
              </w:rPr>
              <w:t>eGOC No 175703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line="244" w:lineRule="auto"/>
              <w:ind w:left="9" w:right="567"/>
              <w:rPr>
                <w:rFonts w:ascii="Arial" w:eastAsia="Arial" w:hAnsi="Arial" w:cs="Arial"/>
                <w:sz w:val="18"/>
                <w:szCs w:val="18"/>
              </w:rPr>
            </w:pPr>
            <w:r>
              <w:rPr>
                <w:rFonts w:ascii="Arial" w:hAnsi="Arial"/>
                <w:b/>
                <w:sz w:val="18"/>
              </w:rPr>
              <w:t>Date/Time: 30- May/14:55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9"/>
              <w:rPr>
                <w:rFonts w:ascii="Arial" w:eastAsia="Arial" w:hAnsi="Arial" w:cs="Arial"/>
                <w:sz w:val="18"/>
                <w:szCs w:val="18"/>
              </w:rPr>
            </w:pPr>
            <w:r>
              <w:rPr>
                <w:rFonts w:ascii="Arial" w:hAnsi="Arial"/>
                <w:b/>
                <w:sz w:val="18"/>
              </w:rPr>
              <w:t>Cascais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008.310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970040" w:rsidRDefault="00B65BEC" w:rsidP="00970040">
            <w:pPr>
              <w:spacing w:line="200" w:lineRule="exact"/>
              <w:ind w:left="9"/>
              <w:rPr>
                <w:rFonts w:ascii="Arial" w:eastAsia="Arial" w:hAnsi="Arial" w:cs="Arial"/>
                <w:sz w:val="18"/>
                <w:szCs w:val="18"/>
              </w:rPr>
            </w:pPr>
            <w:r>
              <w:rPr>
                <w:rFonts w:ascii="Arial" w:hAnsi="Arial"/>
                <w:sz w:val="18"/>
              </w:rPr>
              <w:t>The train driver informed the Lisbon Operational Command Centre (CCO) that a strong track deformation could be felt near where it passed over the points at the entrance to Algés station. Proceed on sight was initiated at that location for all traffic movement until the site could be inspected by the Lisbon maintenance depot (CML-MN) track unit. The unit confirmed the presence of a broken rail at km 8.310. Traffic movement was suspended on the up line between Caxias and Algés from 15:50 and after the deployment of staff to those stations, temporary single-track operation was established on the down line under a "token" system. After the Lisbon maintenance depot (CML-MN) track unit repaired the track, traffic movement was re-established without limitations.</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015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176373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11- Jun/05:00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226.950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REFER duty manager at Pampilhosa station informed the Lisbon Operational Command Centre (CCO) that due to a fractured rail at the indicated km on the down line, the LC at km 227.680 was under a regime of permanent advance warning by telephone. The Coimbra maintenance depot (CMC-MN) track unit completed a temporary repair at 05:18, with a speed limit of 80 km/hour initiated between km 226.940 and km 226.950.</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016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178585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5" w:line="200" w:lineRule="exact"/>
              <w:ind w:left="9" w:right="567"/>
              <w:rPr>
                <w:rFonts w:ascii="Arial" w:eastAsia="Arial" w:hAnsi="Arial" w:cs="Arial"/>
                <w:sz w:val="18"/>
                <w:szCs w:val="18"/>
              </w:rPr>
            </w:pPr>
            <w:r>
              <w:rPr>
                <w:rFonts w:ascii="Arial" w:hAnsi="Arial"/>
                <w:b/>
                <w:sz w:val="18"/>
              </w:rPr>
              <w:t>Date/Time: 11- Jul/11:00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106.675</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 xml:space="preserve">The Entroncamento maintenance depot (CME-MN) </w:t>
            </w:r>
            <w:r>
              <w:rPr>
                <w:rFonts w:ascii="Arial" w:eastAsia="Arial" w:hAnsi="Arial" w:cs="Arial"/>
                <w:sz w:val="18"/>
                <w:szCs w:val="18"/>
              </w:rPr>
              <w:br/>
            </w:r>
            <w:r>
              <w:rPr>
                <w:rFonts w:ascii="Arial" w:hAnsi="Arial"/>
                <w:sz w:val="18"/>
              </w:rPr>
              <w:t>track unit informed the Lisbon Operational Command Centre (CCO) of a fracture on set of points 21 at Entroncamento station. A speed limit of 10 km/hour was initiated between km 106.650 and km 106.700 by the Entroncamento maintenance depot (CME-MN) track unit. The max. speed for this stretch of line is 60 km/hour. The location is not signalled and does not have CONVEL/ATP.</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017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180823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13- Aug/02:34</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026.014</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Lisbon Operational Command Centre (CCO) reported unexpected and permanent occupation of track section CV 2I at Alhandra station. According to the report by the Thales agent at the site, the malfunction was due to a broken rail. A speed limit of 30 km/hour was set between km 26.258 and km 26.248 by the Lisbon maintenance depot (CML-MN) track unit (max. speed for this stretch of line: 140 km/hour).</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018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180846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13- Aug/14:20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line="200" w:lineRule="exact"/>
              <w:ind w:left="9"/>
              <w:rPr>
                <w:rFonts w:ascii="Arial" w:eastAsia="Arial" w:hAnsi="Arial" w:cs="Arial"/>
                <w:sz w:val="18"/>
                <w:szCs w:val="18"/>
              </w:rPr>
            </w:pPr>
            <w:r>
              <w:rPr>
                <w:rFonts w:ascii="Arial" w:hAnsi="Arial"/>
                <w:b/>
                <w:sz w:val="18"/>
              </w:rPr>
              <w:t>Cascais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012.832</w:t>
            </w:r>
          </w:p>
        </w:tc>
      </w:tr>
      <w:tr w:rsidR="006F3ED5" w:rsidRPr="00B63285" w:rsidTr="00970040">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6A2FC1" w:rsidRDefault="00B65BEC">
            <w:pPr>
              <w:spacing w:before="65" w:line="200" w:lineRule="exact"/>
              <w:ind w:left="9" w:right="423"/>
              <w:rPr>
                <w:rFonts w:ascii="Arial" w:eastAsia="Arial" w:hAnsi="Arial" w:cs="Arial"/>
                <w:sz w:val="18"/>
                <w:szCs w:val="18"/>
              </w:rPr>
            </w:pPr>
            <w:r>
              <w:rPr>
                <w:rFonts w:ascii="Arial" w:hAnsi="Arial"/>
                <w:sz w:val="18"/>
              </w:rPr>
              <w:t>A broken rail was detected on the down line at the indicated km. A speed limit of 30 km/hour was set between km 12.822 and km 12.842 by the Lisbon maintenance depot (CML-MN) track unit. The max. speed for this stretch of line is 90 km/hour. the location is not signalled.</w:t>
            </w:r>
          </w:p>
        </w:tc>
      </w:tr>
      <w:tr w:rsidR="006F3ED5" w:rsidRPr="006A2FC1" w:rsidTr="00970040">
        <w:trPr>
          <w:trHeight w:val="20"/>
        </w:trPr>
        <w:tc>
          <w:tcPr>
            <w:tcW w:w="1980" w:type="dxa"/>
            <w:tcBorders>
              <w:top w:val="single" w:sz="9"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019</w:t>
            </w:r>
          </w:p>
        </w:tc>
        <w:tc>
          <w:tcPr>
            <w:tcW w:w="1415" w:type="dxa"/>
            <w:tcBorders>
              <w:top w:val="single" w:sz="9"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181208</w:t>
            </w:r>
          </w:p>
        </w:tc>
        <w:tc>
          <w:tcPr>
            <w:tcW w:w="1851" w:type="dxa"/>
            <w:tcBorders>
              <w:top w:val="single" w:sz="9"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19- Aug/04:45</w:t>
            </w:r>
          </w:p>
        </w:tc>
        <w:tc>
          <w:tcPr>
            <w:tcW w:w="1578" w:type="dxa"/>
            <w:tcBorders>
              <w:top w:val="single" w:sz="9"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9"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Minho Line</w:t>
            </w:r>
          </w:p>
        </w:tc>
        <w:tc>
          <w:tcPr>
            <w:tcW w:w="1239" w:type="dxa"/>
            <w:tcBorders>
              <w:top w:val="single" w:sz="9"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000.605</w:t>
            </w:r>
          </w:p>
        </w:tc>
      </w:tr>
      <w:tr w:rsidR="006F3ED5" w:rsidRPr="00970040"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970040" w:rsidRDefault="00B65BEC" w:rsidP="00970040">
            <w:pPr>
              <w:spacing w:line="200" w:lineRule="exact"/>
              <w:ind w:left="9"/>
              <w:rPr>
                <w:rFonts w:ascii="Arial" w:eastAsia="Arial" w:hAnsi="Arial" w:cs="Arial"/>
                <w:sz w:val="18"/>
                <w:szCs w:val="18"/>
              </w:rPr>
            </w:pPr>
            <w:r>
              <w:rPr>
                <w:rFonts w:ascii="Arial" w:hAnsi="Arial"/>
                <w:sz w:val="18"/>
              </w:rPr>
              <w:t>The project owner service order 2959 informed the Porto Operational Command Centre (CCO) that after conclusion of the work, a speed limit of 30 km/hour was established on the down line between mileage points 0.600 and 0.610 due to the presence of a broken rail. The repair was carried out and normal traffic was re-established without restriction.</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020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183450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20- Sep/08:50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092.300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train driver informed the Setúbal Operational Command Centre (CCO) that the joint bars next to Somincor signal S5/M5 are broken and have a significant gap. The Setúbal maintenance depot (CMS-MN) track unit and CP were informed. The goods train (1110 tonnes, 215 metres) is scheduled to transport sand between Somincor and the Neves Corvo mine.</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021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183938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26- Sep/15:00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332.239</w:t>
            </w:r>
          </w:p>
        </w:tc>
      </w:tr>
      <w:tr w:rsidR="006F3ED5" w:rsidRPr="006A2FC1" w:rsidTr="00970040">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6A2FC1" w:rsidRDefault="00B65BEC">
            <w:pPr>
              <w:spacing w:before="61"/>
              <w:ind w:left="9" w:right="42"/>
              <w:rPr>
                <w:rFonts w:ascii="Arial" w:eastAsia="Arial" w:hAnsi="Arial" w:cs="Arial"/>
                <w:sz w:val="18"/>
                <w:szCs w:val="18"/>
              </w:rPr>
            </w:pPr>
            <w:r>
              <w:rPr>
                <w:rFonts w:ascii="Arial" w:hAnsi="Arial"/>
                <w:sz w:val="18"/>
              </w:rPr>
              <w:t>The duty officer at the indicated station informed the Porto Operational Command Centre (CCO) that there was a broken rail between set of points 4A and signal S9 at Gaia station. The Porto maintenance depot (CMP-MN) track unit made the repair.</w:t>
            </w:r>
          </w:p>
        </w:tc>
      </w:tr>
      <w:tr w:rsidR="006F3ED5" w:rsidRPr="006A2FC1" w:rsidTr="00970040">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022</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184824</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08- Oct/15:45</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B65BEC">
            <w:pPr>
              <w:spacing w:line="200" w:lineRule="exact"/>
              <w:ind w:left="9"/>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051.129</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Unexpected occupation of track circuit 2A-I. The Thales technicians reported that the previously mentioned points were quite damaged, with two broken joint bars and a gap of more than 5 cm. It is awaiting a visit from the track team, and the track was closed to train traffic (the up line between Luso junction and Pampilhosa junction). The repair was completed at 18:44 and the suspension was lifted.</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023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185022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11- Oct/10:20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156.020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lastRenderedPageBreak/>
              <w:t>The train driver informed the Setúbal Operational Command Centre (CCO) that on passing the indicated km they felt a strong deformation on the track, which was confirmed by the driver of train 67981. The Tunes maintenance depot (CMT-MN) inspected the site and detected a broken weld, as well as a broken sleeper. Traffic movement was suspended between São Bartolomeu da Serra and Raquete stations from 12:50 to 14:25 to allow the repair to be carried out. After the Tunes maintenance depot (CMT-MN) track unit repaired the track, traffic movement was re-established with a speed limit of 30 km/hour between km 155.950 and km 156.050 (maximum speed for this stretch of line: 80 km/hour).</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024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70"/>
              <w:ind w:left="7"/>
              <w:rPr>
                <w:rFonts w:ascii="Arial" w:eastAsia="Arial" w:hAnsi="Arial" w:cs="Arial"/>
                <w:sz w:val="18"/>
                <w:szCs w:val="18"/>
              </w:rPr>
            </w:pPr>
            <w:r>
              <w:rPr>
                <w:rFonts w:ascii="Arial" w:hAnsi="Arial"/>
                <w:b/>
                <w:sz w:val="18"/>
              </w:rPr>
              <w:t>eGOC No 185022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74" w:line="200" w:lineRule="exact"/>
              <w:ind w:left="9" w:right="567"/>
              <w:rPr>
                <w:rFonts w:ascii="Arial" w:eastAsia="Arial" w:hAnsi="Arial" w:cs="Arial"/>
                <w:sz w:val="18"/>
                <w:szCs w:val="18"/>
              </w:rPr>
            </w:pPr>
            <w:r>
              <w:rPr>
                <w:rFonts w:ascii="Arial" w:hAnsi="Arial"/>
                <w:b/>
                <w:sz w:val="18"/>
              </w:rPr>
              <w:t>Date/Time: 11- Oct/10:20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156.020</w:t>
            </w:r>
          </w:p>
        </w:tc>
      </w:tr>
      <w:tr w:rsidR="006F3ED5" w:rsidRPr="00B63285" w:rsidTr="00970040">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6A2FC1" w:rsidRDefault="00B65BEC" w:rsidP="00970040">
            <w:pPr>
              <w:spacing w:line="200" w:lineRule="exact"/>
              <w:ind w:left="9"/>
              <w:rPr>
                <w:rFonts w:ascii="Arial" w:eastAsia="Arial" w:hAnsi="Arial" w:cs="Arial"/>
                <w:sz w:val="18"/>
                <w:szCs w:val="18"/>
              </w:rPr>
            </w:pPr>
            <w:r>
              <w:rPr>
                <w:rFonts w:ascii="Arial" w:hAnsi="Arial"/>
                <w:sz w:val="18"/>
              </w:rPr>
              <w:t>The train driver informed the Setúbal Operational Command Centre (CCO) that on passing the indicated km they felt a strong deformation on the track, which was confirmed by the driver of train 67981. The Tunes maintenance depot (CMT-MN) inspected the site and detected a broken weld, as well as a broken sleeper. Traffic movement was suspended between São Bartolomeu da Serra and Raquete stations from 12:50 to 14:25 to allow the repair to be carried out. After the Tunes maintenance depot (CMT-MN) track unit repaired the track, traffic movement was re-established with a speed limit of 30 km/hour between km 155.950 and km 156.050 (maximum speed for this stretch of line: 80 km/hour).</w:t>
            </w:r>
          </w:p>
        </w:tc>
      </w:tr>
      <w:tr w:rsidR="006F3ED5" w:rsidRPr="006A2FC1" w:rsidTr="00970040">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 xml:space="preserve">Broken Rails _ </w:t>
            </w:r>
            <w:r>
              <w:rPr>
                <w:rFonts w:ascii="Arial" w:hAnsi="Arial"/>
                <w:sz w:val="18"/>
              </w:rPr>
              <w:t>025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rsidP="00970040">
            <w:pPr>
              <w:spacing w:before="65"/>
              <w:ind w:left="7"/>
              <w:rPr>
                <w:rFonts w:ascii="Arial" w:eastAsia="Arial" w:hAnsi="Arial" w:cs="Arial"/>
                <w:sz w:val="18"/>
                <w:szCs w:val="18"/>
              </w:rPr>
            </w:pPr>
            <w:r>
              <w:rPr>
                <w:rFonts w:ascii="Arial" w:hAnsi="Arial"/>
                <w:b/>
                <w:sz w:val="18"/>
              </w:rPr>
              <w:t>eGOC No 186499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65" w:line="244" w:lineRule="auto"/>
              <w:ind w:left="9" w:right="567"/>
              <w:rPr>
                <w:rFonts w:ascii="Arial" w:eastAsia="Arial" w:hAnsi="Arial" w:cs="Arial"/>
                <w:sz w:val="18"/>
                <w:szCs w:val="18"/>
              </w:rPr>
            </w:pPr>
            <w:r>
              <w:rPr>
                <w:rFonts w:ascii="Arial" w:hAnsi="Arial"/>
                <w:b/>
                <w:sz w:val="18"/>
              </w:rPr>
              <w:t>Date/Time: 31- Oct/17:40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7"/>
              <w:rPr>
                <w:rFonts w:ascii="Arial" w:eastAsia="Arial" w:hAnsi="Arial" w:cs="Arial"/>
                <w:sz w:val="18"/>
                <w:szCs w:val="18"/>
              </w:rPr>
            </w:pPr>
            <w:r>
              <w:rPr>
                <w:sz w:val="17"/>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B65BEC">
            <w:pPr>
              <w:spacing w:before="4"/>
              <w:ind w:left="9"/>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6A2FC1" w:rsidRDefault="008D1E56">
            <w:pPr>
              <w:ind w:left="9"/>
              <w:rPr>
                <w:rFonts w:ascii="Arial" w:eastAsia="Arial" w:hAnsi="Arial" w:cs="Arial"/>
                <w:sz w:val="18"/>
                <w:szCs w:val="18"/>
              </w:rPr>
            </w:pPr>
            <w:r>
              <w:rPr>
                <w:sz w:val="17"/>
              </w:rPr>
              <w:t xml:space="preserve"> </w:t>
            </w:r>
            <w:r>
              <w:rPr>
                <w:rFonts w:ascii="Arial" w:hAnsi="Arial"/>
                <w:b/>
                <w:sz w:val="18"/>
              </w:rPr>
              <w:t>Km 246.850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5426 informed the Lisbon Operational Command Centre (CCO) that they had felt a strong impact on the track between km 246.800 and 246.900. The driver of train 95227 was asked to proceed on sight at that location and to report on the conditions found. The driver reported that the problem was a broken rail. Proceed on sight was initiated between the km in question until the site could be inspected by the Coimbra maintenance depot (CMC-MN) track unit. The Coimbra maintenance depot (CMC-MN) made the repair, and a speed limit of 30km/hour was put in place between km 246.650 and km 246.700.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026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186757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04- Nov/07:47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203.250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16803 reported that at the entrance to the platform at the Pereira halt/alighting point, probably at mileage point 203.250, there was a broken rail on the down line on the left-hand stretch of rail. The driver of train 801 was notified and instructed to proceed on sight at that location. The driver confirmed the damage, and proceed on sight was maintained until further notice. The damage was provisionally repaired at 11:00, when a speed limit of 80 km/hour was initiated between mileage points 203.245 and 203.255, to be maintained until a final repair can be carried out.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027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186836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05- Nov/05:38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029.460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Lisbon Operational Command Centre (CCO) reported unexpected and permanent occupation of track circuit 298D after train 3400 had passed through, with signal 301D being closed. According to the Thales agent on site, the malfunction was caused by a broken joint bar. The Lisbon maintenance depot (CML-MN) track unit established a speed limit of 80 km/hour between km 29.470 and km 29.450 after a provisional repair was carried out. The maximum speed limit for this stretch of line is 140 km/hour.</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028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186839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05- Nov/06:12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327.335</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train driver informed the Porto Operational Command Centre (CCO) that signal 3273 A was at danger due to a broken rail at the indicated km. Proceed on sight was initiated for all traffic movement until the damage could be inspected by the Porto maintenance depot (CMP-MN) track unit. A speed limit of 80 km/hour was established between km 327.330 and km 327.340 by the Porto maintenance depot (CMP-MN) track unit after a provisional repair was carried out. The maximum speed for this stretch of line is 140 km/hour.</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029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187457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Nov/11:14</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001.200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driver shunting at the indicated station informed the signal tower that there was a broken rail joint at the indicated km. A speed limit of 30 km/hour was initiated at the site for all traffic until the Lisbon maintenance depot (CML-MN) track unit could complete the repair. The max. speed for this stretch of line is 80 km/hour.</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030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187511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16- Nov/06:55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007.520</w:t>
            </w:r>
          </w:p>
        </w:tc>
      </w:tr>
      <w:tr w:rsidR="006F3ED5" w:rsidRPr="00B63285" w:rsidTr="008D1E56">
        <w:trPr>
          <w:trHeight w:val="20"/>
        </w:trPr>
        <w:tc>
          <w:tcPr>
            <w:tcW w:w="9523" w:type="dxa"/>
            <w:gridSpan w:val="6"/>
            <w:tcBorders>
              <w:top w:val="single" w:sz="8" w:space="0" w:color="A7BEDE"/>
              <w:left w:val="single" w:sz="8" w:space="0" w:color="7A9FCD"/>
              <w:bottom w:val="single" w:sz="8" w:space="0" w:color="7A9FCD"/>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Setúbal Operational Command Centre (CCO) Indicated that there was unexpected and permanent occupation of track circuit 71 after train 81380/1 had passed through. The Siemens agent at the site stated that the malfunction was caused by a broken rail at km 7.520, which was repaired by the Vendas Novas track unit of the Setúbal maintenance depot (CMS-MN).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031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187740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18- Nov/14:55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140.730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Coimbra maintenance depot (CMC-MN) track unit informed the Lisbon Operational Command Centre (CCO) that there was a broken weld at the indicated km, and initiated a speed limit of 10 km/hour at the site (max. speed for this stretch of line: 140 km/hour).</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032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187808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19- Nov/13:37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203.500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lastRenderedPageBreak/>
              <w:t>The train driver informed the Lisbon Operational Command Centre (CCO) that a strong track deformation was felt on passing through the indicated km. This was confirmed by the driver of train 16815. The Coimbra maintenance depot (CMC-MN) track unit confirmed that the problem was a broken rail, and a speed limit of 30 km/hour was initiated between km 203.450 and km 203.470 (maximum speed for this stretch of line: 140 km/hour) until a provisional repair was made, after which the speed limit was raised to 80 km/hour. The location is not signalled and has no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033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188003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21- Nov/14:40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Sintra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010.640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informed the Lisbon Operational Command Centre (CCO) that after passing through the Amadora substation phase separation a strong deformation was felt on the track. Proceed on sight was initiated at that location for all traffic movement until the Lisbon maintenance depot (CML-MN) track unit could conduct an inspection. The driver of train 18774 confirmed the report. The Lisbon maintenance depot (CML-MN) track unit went to the site and reported that there was a broken rail at the indicated km. Traffic movement was suspended on the external up line between the stations of Monte Abraão and Amadora until the repair could be completed.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034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188254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25- Nov/23:18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057.400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Setúbal Operational Command Centre (CCO) reported the unexpected and permanent occupation of track circuits CV I and CV 1 at Canha station. According to the Siemens agent at the site, the malfunction was caused by two broken joint bars at km 57.400. The Setúbal maintenance depot (CMS-MN) track unit was advised and train 67590 was instructed to proceed on sight at the location.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035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188471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28- Nov/19:10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317.294</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jc w:val="both"/>
              <w:rPr>
                <w:rFonts w:ascii="Arial" w:eastAsia="Arial" w:hAnsi="Arial" w:cs="Arial"/>
                <w:sz w:val="18"/>
                <w:szCs w:val="18"/>
              </w:rPr>
            </w:pPr>
            <w:r>
              <w:rPr>
                <w:rFonts w:ascii="Arial" w:hAnsi="Arial"/>
                <w:sz w:val="18"/>
              </w:rPr>
              <w:t>The train driver informed the Lisbon Operational Command Centre (CCO) that when passing between signal S18/M18 and set of points 19, a strong track deformation was felt. Train traffic was suspended at 10:35 on line VII until the Coimbra maintenance depot (CMC-MN) track unit could carry out an inspection. On arriving at the site, the track unit found a fractured rail, which they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036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188486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29- Nov/04:36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072.850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Lisbon Operational Command Centre (CCO) reported unexpected and permanent occupation of track circuit A2 at Mortágua station. A speed limit of 60 km/hour was initiated between km 72.825 and km 72.875 (max. speed for this stretch of line: 120 km/hour) by the Coimbra maintenance depot (CMC-MN) track unit. The location is signalled and equipped with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037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188508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29- Nov/16:35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Algarve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340.008</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broken rail was found on line G5 at Faro station. Train traffic on that line was suspended at 16:40 by the Tunes maintenance depot (CMT-MN) track unit.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038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188548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30- Nov/14:50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193.915</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informed the Operational Command Centre (CCO) that on passing through the indicated km, a strong deformation was felt on the track. The Coimbra maintenance depot (CMC-MN) track unit found a fractured rail at the indicated km, which they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039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188578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01- Dec/05:09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057.630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Setúbal Operational Command Centre (CCO) reported unexpected and permanent occupancy of track circuits CV I and CV 1. According to the Setúbal maintenance depot (CMS-MN) track unit at the site, the malfunction was due to two broken joint bars next to signal S4. Train traffic was suspended on line I by the Setúbal maintenance depot (CMS-MN) track unit.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040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189193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10- Dec/12:15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036.480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jc w:val="both"/>
              <w:rPr>
                <w:rFonts w:ascii="Arial" w:eastAsia="Arial" w:hAnsi="Arial" w:cs="Arial"/>
                <w:sz w:val="18"/>
                <w:szCs w:val="18"/>
              </w:rPr>
            </w:pPr>
            <w:r>
              <w:rPr>
                <w:rFonts w:ascii="Arial" w:hAnsi="Arial"/>
                <w:sz w:val="18"/>
              </w:rPr>
              <w:t>A speed limit of 10 km/hour was set between km 34.475 and km 36.490 120 km/hour) by the Setúbal maintenance depot (CMS-MN) track unit, due to a broken glued insulated joint and damaged sleepers at the indicated km. Traffic was suspended between Vale da Rosa and Águas de Moura from 13:20 to 14:27 for provisional repair of the joint bars, and between 16:00 and 16:40 for replacement of the sleepers.</w:t>
            </w:r>
          </w:p>
        </w:tc>
      </w:tr>
      <w:tr w:rsidR="006F3ED5" w:rsidRPr="006A2FC1" w:rsidTr="008D1E56">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041</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189281</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11- Dec/16:15</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Cascais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021.245</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speed limit of 10 km/hour (signalled from 21:00 onwards) was initiated between km 21.250 and km 21.240 (max. speed for this stretch of line: 90 km/hour) by the Lisbon maintenance depot (CML-MN) track unit, due to a broken frog on set of points 7 at S. Pedro do Estoril station.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042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189383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13- Dec/04:18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106.302</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duty officer at Entroncamento station informed the Lisbon Operational Command Centre (CCO) of the existence of a broken rail at the entrance to the north marshalling yard. The Entroncamento maintenance depot (CME-MN) track unit made the repair.</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lastRenderedPageBreak/>
              <w:t xml:space="preserve"> </w:t>
            </w:r>
            <w:r>
              <w:rPr>
                <w:rFonts w:ascii="Arial" w:hAnsi="Arial"/>
                <w:b/>
                <w:sz w:val="18"/>
              </w:rPr>
              <w:t xml:space="preserve">Broken Rails _ </w:t>
            </w:r>
            <w:r>
              <w:rPr>
                <w:rFonts w:ascii="Arial" w:hAnsi="Arial"/>
                <w:sz w:val="18"/>
              </w:rPr>
              <w:t>043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189407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13- Dec/15:32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147.890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Tunes maintenance depot (CMT-MN) track unit followed on special train 92211 informed the Setúbal Operational Command Centre (CCO) that there was a broken weld at the indicated km. A 10 km/hour speed limit was initiated between km 147.800 and km 147.900 (max. speed for this stretch of line: 80 km/hour) by the track unit until the repair was completed at the time indicated.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044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189526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16- Dec/04:34</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123.900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crew informed the Setúbal Operational Command Centre (CCO) that on passing through the indicated km they felt a strong deformation on the track. Trains 81830/1 and 80381/0 were instructed by the Setúbal maintenance depot (CMS-MN) track unit to proceed on sight at that location. A speed limit of 80 km/hour was established at the site (maximum speed for this stretch of line: 190 km/hour) by the track unit, due to a broken glued insulated joint.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045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189845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22- Dec/00:30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Sintra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006.275</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line 1 track circuit at Benfica station is occupied. Checks were carried out by Thales staff, who reported that the problem was a broken weld.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046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189847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22- Dec/01:50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117.212</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Lisbon Operational Command Centre (CCO) reported a series of unexpected occupations of the track circuit for set of points 2 caused by a broken rail. Trains were warned to approach the location at a top speed of 10 km/hour. A speed limit of 60 km/hour was initiated by the Coimbra maintenance depot (CMC-MN) track unit between km 117.550 and 117.750, in accordance with telegram 238.</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047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190010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24- Dec/14:25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061.650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Operational Management Centre (CGO) reports that there is around one metre of broken rail by set of points 3, making the points unusable. Repair carried out by the CMA-MN track unit.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048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190075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26- Dec/07:05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Agualva transition curve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002.048</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Setúbal Operational Command Centre (CCO) reported permanent occupancy of track circuit C1 after the passing of train 66581. The Siemens Rail team visited the site and found a broken rail, which was then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049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190173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27- Dec/23:00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061.650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Fracture of the left stock rail on set of points 3. For safety reasons, set of points 1 will be set to the position giving access to line I (diverging) as of 16:05 on 26/12/2014. Repaired at 14:00 on 29/12/2014.</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050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190274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29- Dec/23:45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324.562</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circuit after LC 324.562 was occupied, affecting the level crossing. The Porto maintenance depot (CMP-MN) track unit reported that it was caused by a broken rail at mileage point 326.900. Repair was carried out by the track unit, with a speed limit of 80 km/hour initiated between mileage points 326.850 and 326.910.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051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190359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31- Dec/04:40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011.900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Track circuit 152 was left permanently occupied after the passage of train 80381/0. A broken rail was found at km 16.140 by the Siemens agent, who had gone to the site to make the repair. Proceed on sight was established at the location. A speed limit of 30 km/hour was initiated between km 16.145 and 16.135, a location that is signalled but does not have CONVEL/ATP. A provisional repair was carried out at 10:00.</w:t>
            </w:r>
          </w:p>
        </w:tc>
      </w:tr>
      <w:tr w:rsidR="006F3ED5" w:rsidRPr="006A2FC1" w:rsidTr="008D1E56">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 xml:space="preserve">Broken Rails _ </w:t>
            </w:r>
            <w:r>
              <w:rPr>
                <w:rFonts w:ascii="Arial" w:hAnsi="Arial"/>
                <w:sz w:val="18"/>
              </w:rPr>
              <w:t>052</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190404</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31- Dec/13:30</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172.820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reported to the Lisbon Operational Command Centre (CCO) that on passing the indicated km it felt as if the track had lowered. Proceed on sight was initiated at the location for all traffic movement until it could be inspected by the Coimbra maintenance depot (CMC-MN) track unit. A speed limit of 60 km/hour (signalled and with CONVEL/ATP) was established between km 172.790 and km 172.840 due to the broken rail at km 172.820. The maximum speed for this stretch of line is 90 km/hour.</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_001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166474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02- Jan/14:35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137.400</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512 reported that the track was lacking in ballast at the indicated mileage point. Proceed on sight was initiated for all traffic at that location. After a track inspection, a speed limit of 30 km/hour was initiated between mileage points 137.400 and 137.500. The location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_002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166515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Jan/07:58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Douro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063.350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 xml:space="preserve">The driver of train 4101 reported that on passing the indicated mileage point he noticed that around ten metres of track was completely lacking in ballast. Train traffic was suspended between Marco de Canaveses and Mosteirô at 08:12. Road transfers were carried out between the two stations. After the deployment of staff to Juncal station, train traffic was re-established between Mosteirô and Juncal at 10:20, with the suspension continuing between Juncal and Marco </w:t>
            </w:r>
            <w:r>
              <w:rPr>
                <w:rFonts w:ascii="Arial" w:hAnsi="Arial"/>
                <w:sz w:val="18"/>
              </w:rPr>
              <w:lastRenderedPageBreak/>
              <w:t>de Canaveses.</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Track buckles _003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No166555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Jan/15:05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036.850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member of the general public reported that there was no ballast on the track close to the halt/alighting point of Ul. The maintenance unit found undermining on the trackbed between the rail on the right-side and the centre of the track, over a length encompassing 6 sleepers, at mileage point 36.580. Train traffic was suspended between Oliveira de Azeméis and Pinheiro da Bemposta at 17:20. When the work was completed and conditions were suitable for the safe passage of trains, the line was declared clear for trains between Oliveira de Azeméis and Pinheiro da Bemposta (at 15:45 on 05/01).</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_004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166602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04- Jan/10:35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016.000</w:t>
            </w:r>
          </w:p>
        </w:tc>
      </w:tr>
      <w:tr w:rsidR="006F3ED5" w:rsidRPr="008D1E56"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5107 reported that there was a hole, measuring around half a metre, in between the sleepers at the indicated mileage point. Train circulation was not impeded. Train 5109 later passed the spot on proceed on sight and reported that circulation could be jeopardised, and so circulation was suspended at 11:20. The line was declared clear without restriction at 12:00.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_005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167006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10- Jan/17:20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296.950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When train 528 passed through this location, unusual vibrations were felt on the track. Proceed on sight was established until an inspection could be carried out by the track unit, who initiated a speed limit of 80 km/hour between km 296.960 and 296.940 until the repair was completed at 19:35.</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_006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167222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15- Jan/13:12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312.306</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When train 524 passed over set of points 9/11 it noted unusual vibrations on the track. Proceed on sight was initiated until the track unit could carry out an inspection.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_007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167248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15- Jan/22:20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064.385</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64385 reported that they felt a strong impact when passing over set of points 1 at Salgueirinha. After checks on site, a speed limit of 30 km/hour was initiated between mileage points 39.410 and 39.420.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_008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167643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23- Jan/16:07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072.100</w:t>
            </w:r>
          </w:p>
        </w:tc>
      </w:tr>
      <w:tr w:rsidR="006F3ED5" w:rsidRPr="008D1E56"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513 reported track subsidence at mileage point 72.100. This was confirmed by the driver of train 5406, travelling on proceed on sight. A speed limit of 60 km/hour was initiated by the track unit at 18:20 between mileage points 72.050 and 72.200, by telegram 177.</w:t>
            </w:r>
          </w:p>
        </w:tc>
      </w:tr>
      <w:tr w:rsidR="006F3ED5" w:rsidRPr="006A2FC1" w:rsidTr="008D1E56">
        <w:trPr>
          <w:trHeight w:val="20"/>
        </w:trPr>
        <w:tc>
          <w:tcPr>
            <w:tcW w:w="1980"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_009</w:t>
            </w:r>
          </w:p>
        </w:tc>
        <w:tc>
          <w:tcPr>
            <w:tcW w:w="1415"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167650</w:t>
            </w:r>
          </w:p>
        </w:tc>
        <w:tc>
          <w:tcPr>
            <w:tcW w:w="1851"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23- Jan/17:55</w:t>
            </w:r>
          </w:p>
        </w:tc>
        <w:tc>
          <w:tcPr>
            <w:tcW w:w="1578"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057.630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95203 reported feeling a strong impact on the track at the indicated mileage point when driving in cab 2. A speed limit of 60 km/hour between mileage points 57.630 and 57.640 was initiated due to the track alignment defect.</w:t>
            </w:r>
          </w:p>
        </w:tc>
      </w:tr>
      <w:tr w:rsidR="006F3ED5" w:rsidRPr="006A2FC1" w:rsidTr="008D1E56">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_010</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167736</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25- Jan/13:42</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151.121</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According to information received from the train driver, a strong impact was felt on the track when passing set of points No 1. The infrastructure office was notified. The track was inspected and a buckling defect was found. A speed limit of 30 km/hour was initiated between mileage points 150.750 and 150.850. The location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_011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167768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26- Jan/11:45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063.800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reported subsidence on the trackbed. The infrastructure office was notified. Due to a buckling defect, a speed limit of 60 km/hour was initiated between mileage points 63.850 and 63.860. The location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_012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167773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26- Jan/13:15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321.300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41801 reported that a noticeable deformation was felt on the track at the indicated mileage point. Proceed on sight was initiated between mileage points 321.250 and 321.350. After an inspection by the Aveiro maintenance depot, a speed limit of 80 km/hour was established at 15:05 between mileage points 321.220 and 321.260, by telegram No 5.</w:t>
            </w:r>
          </w:p>
        </w:tc>
      </w:tr>
      <w:tr w:rsidR="006F3ED5" w:rsidRPr="006A2FC1" w:rsidTr="008D1E56">
        <w:trPr>
          <w:trHeight w:val="20"/>
        </w:trPr>
        <w:tc>
          <w:tcPr>
            <w:tcW w:w="1980"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_013</w:t>
            </w:r>
          </w:p>
        </w:tc>
        <w:tc>
          <w:tcPr>
            <w:tcW w:w="1415"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168219</w:t>
            </w:r>
          </w:p>
        </w:tc>
        <w:tc>
          <w:tcPr>
            <w:tcW w:w="1851"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Feb/07:15</w:t>
            </w:r>
          </w:p>
        </w:tc>
        <w:tc>
          <w:tcPr>
            <w:tcW w:w="1578"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9"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308.550</w:t>
            </w:r>
          </w:p>
        </w:tc>
      </w:tr>
      <w:tr w:rsidR="006F3ED5" w:rsidRPr="00604E94"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reported feeling a strong impact on the track at the indicated mileage point. Proceed on sight was initiated between mileage points 308.600 and 308.500. The work was performed by the maintenance department, after which the speed limit returned to normal.</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_014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168246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Feb/14:05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310.800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 xml:space="preserve">The driver of train 132 reported unusual vibrations on the track at the indicated mileage point. Proceed on sight was </w:t>
            </w:r>
            <w:r>
              <w:rPr>
                <w:rFonts w:ascii="Arial" w:hAnsi="Arial"/>
                <w:sz w:val="18"/>
              </w:rPr>
              <w:lastRenderedPageBreak/>
              <w:t>initiated between mileage points 310.820 and 310.780. After an inspection of the site, the track was tamped down and normal speed re-established at 15:58.</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Track buckles _015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168597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07- Feb/18:50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010.100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5118 reported the existence of a medium-sized hole next to the trackside at the indicated mileage point. Proceed on sight was initiated at that location. The line was declared clear at 23:09, with no changes to the existing restriction, which limits train speed to 20 km/hour.</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_016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168629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08- Feb/07:40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163.900</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noticeable depression was felt on the track at the indicated mileage point. Following trains approached the location under proceed on sight. A track unit went to the site and reported that the problem was caused by longitudinal buckling. A speed limit of 60 km/hour was initiated until further notice at 09:00 between mileage points 163.530 and 163.950. The location is not signalled and does not have CONVEL/ATP. Resolved.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_017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168948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11- Feb/14:13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071.000</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jc w:val="both"/>
              <w:rPr>
                <w:rFonts w:ascii="Arial" w:eastAsia="Arial" w:hAnsi="Arial" w:cs="Arial"/>
                <w:sz w:val="18"/>
                <w:szCs w:val="18"/>
              </w:rPr>
            </w:pPr>
            <w:r>
              <w:rPr>
                <w:rFonts w:ascii="Arial" w:hAnsi="Arial"/>
                <w:sz w:val="18"/>
              </w:rPr>
              <w:t>The driver of train 89347 reported that a pronounced bump was felt on the track at the indicated mileage point, together with a noise. The driver said that it felt like a broken rail. Proceed on sight was initiated at the location. The track manager went to the site and reported that there was indeed a problem on the track related to a lack of ballast, which would have caused a bump. Proceed on sight was established between mileage points 71.050 and 71.150. Normal speed was resumed after completion of the repair.</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_018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168969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11- Feb/14:13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Western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077.200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track was closed over a length of around 6 metres due to a landslide. Train traffic was suspended on the stretch of line between Outeiro and Torres Vedras.</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_019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169024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12- Feb/17:35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Alentejo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006.900</w:t>
            </w:r>
          </w:p>
        </w:tc>
      </w:tr>
      <w:tr w:rsidR="006F3ED5" w:rsidRPr="008D1E56"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17247 reported feeling a strong impact on the track at the indicated mileage point. The driver of train 17236 reported that they had encountered the same problem on the up line. Warnings were issued to traffic and proceed on sight was established at that location.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_020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169027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12- Feb/16:15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026.050</w:t>
            </w:r>
          </w:p>
        </w:tc>
      </w:tr>
      <w:tr w:rsidR="006F3ED5" w:rsidRPr="006A2FC1" w:rsidTr="008D1E56">
        <w:trPr>
          <w:trHeight w:val="20"/>
        </w:trPr>
        <w:tc>
          <w:tcPr>
            <w:tcW w:w="9523" w:type="dxa"/>
            <w:gridSpan w:val="6"/>
            <w:tcBorders>
              <w:top w:val="single" w:sz="8" w:space="0" w:color="A7BEDE"/>
              <w:left w:val="single" w:sz="8" w:space="0" w:color="7A9FCD"/>
              <w:bottom w:val="single" w:sz="8" w:space="0" w:color="7A9FCD"/>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Aveiro Civil Protection Authority (CDOS) reported a problem on the trackbed next to Rua Cerqueira de Vasconcelos in S. João da Madeira. The problem involved a damaged storm drain pipe. A speed limit of 10 km/hour was established between mileage points 26.000 and 26.100.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_021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169092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13- Feb/16:55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Douro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051.100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station traffic controller reported that there was a large hole in the middle of the track at the indicated mileage point. The Ermesinde CMP (Régua unit) was advised. Trains were suspended between Vila Meã and Livração. Train traffic was re-established between the two stations after inspection of the track, with a 10 km/hour speed limit established between mileage points 51.070 and 51.130. The speed limit of 10 km/hour was cancelled at 21:30, with a new speed limit of 30 km/hour established between mileage points 51.090 and 51.100 until further notice. The location is signalled but has no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_022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169131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Feb/08:00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011.900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6850 reported strong vibrations on the track on passing mileage points 12.300 and 1.300. A speed limit of 30 km/hour was established at 08:15 between mileage points 1.320 and 1.330 and between 12.210 and 12.220.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_023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169162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Feb/17:46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001.600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80383 reported strong vibrations on the track, on the right-hand-side to the direction of travel, at the indicated mileage point. Proceed on sight. A speed limit of 30 km/hour was initiated between mileage points 1.620 and 1.630.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_024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169174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Feb/20:10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001.625</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81383 felt strong vibrations on the track between the indicated mileage points, despite travelling at a speed of less than 30 km/hour due to the speed limit at that location. Proceed on sight. After repair, the normal speed limit was re-established.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_025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169179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Feb/20:55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Douro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051.090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subsidence of around 20 cm deep was found at mileage point 51.090. Proceed on sight was established. After being inspected by the Porto maintenance depot, a speed limit of 30 km/hour was initiated.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_026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169335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17- Feb/11:45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143.900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 xml:space="preserve">The assistant driver on train 66852 reported feeling a strong impact on the track at the indicated mileage point, causing </w:t>
            </w:r>
            <w:r>
              <w:rPr>
                <w:rFonts w:ascii="Arial" w:hAnsi="Arial"/>
                <w:sz w:val="18"/>
              </w:rPr>
              <w:lastRenderedPageBreak/>
              <w:t>the train to bounce. A speed limit of 30 km/hour was established between mileage points 143.850 and 143.950.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Track buckles _027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169481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19- Feb/08:11</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297.850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reported feeling an impact on the wheelset when passing the mileage point indicated. As a precautionary measure until a track inspection could be carried out, proceed on sight was initiated between mileage points 297.800 and 297.900. The problem was resolved and the speed restriction was lifted.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_028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169653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21- Feb/23:35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064.100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80832 reported feeling a strong impact on the track at mileage point 64.100. A speed limit of 30 km/hour was established between mileage points 64.160 and 64.170.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_029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169667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22- Feb/08:39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Baixa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073.549</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According to reports by the drivers of trains 312 and 510, a bounce was felt on the track, on a joint next to S2. A speed limit of 60 km/hour was initiated between mileage points 74.000 and 74.200.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_030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169671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22- Feb/11:55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252.240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4664 warned of instability on the track at the points for exiting the station. Proceed on sight was ordered at the site. The track was lightly tamped, and the speed restriction was lifted by the track maintenance unit.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_031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169672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22- Feb/12:45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300.776</w:t>
            </w:r>
          </w:p>
        </w:tc>
      </w:tr>
      <w:tr w:rsidR="006F3ED5" w:rsidRPr="00B63285" w:rsidTr="008D1E56">
        <w:trPr>
          <w:trHeight w:val="20"/>
        </w:trPr>
        <w:tc>
          <w:tcPr>
            <w:tcW w:w="9523" w:type="dxa"/>
            <w:gridSpan w:val="6"/>
            <w:tcBorders>
              <w:top w:val="single" w:sz="8" w:space="0" w:color="A7BEDE"/>
              <w:left w:val="single" w:sz="8" w:space="0" w:color="7A9FCD"/>
              <w:bottom w:val="single" w:sz="8" w:space="0" w:color="7A9FCD"/>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15625 warned of instability on the track at the entrance to the station. After inspection of the site, a speed limit of 80 km/hour was established on the down line at 13:30, between km 299.940 and 299.950. The location is not signalled and has no CONVEL/ATP. The speed restriction was lifted after repair of the track at 14:30.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_032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169736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23- Feb/17:43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308.765</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15934 reported feeling strong vibrations on the track between the indicated km. Traffic continued under proceed on sight. After an inspection by track staff, a speed limit of 80 km/hour was established at 18:50 on the up line between km 308.770 and 308.760. The speed restriction was lifted at 19:45 after work at the site by the track maintenance unit.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_033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169936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27- Feb/05:10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000.000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the indicated train reported feeling an impact on the rail on the right side of down line between km 25.400 and 25.800.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_034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17020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28- Feb/08:20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"Ring"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001.000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According to the driver of train 16504 there was a bump on the track at the entrance to the Alcântara Terra tunnel. A speed limit of 10 km/hour was put in place at the site.</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_035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170134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02- Mar/15:20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309.500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528 reported feeling several bumps to the locomotive at the indicated km. Traffic after this was instructed to proceed on sight at this location. After an inspection and repair by track staff, the restrictions were lifted.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_036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170258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04- Mar/16:30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163.950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96206 reported a very steep depression on the stretch between mileage points 163.950 and 163.530 with the 60 km/hour speed limit. The Guarda track crew manager went to inspect the site. A speed limit of 30 km/hour was initiated between the same mileage points applicable only to goods trains, due to their loads.</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_037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170367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06- Mar/12:28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Western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188.600</w:t>
            </w:r>
          </w:p>
        </w:tc>
      </w:tr>
      <w:tr w:rsidR="006F3ED5" w:rsidRPr="008D1E56"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803 reported marked vibrations at the indicated mileage point. A speed limit of 30 km/hour was initiated at 14:24 between mileage points 188.600 and 188.650 due to a buckling defect. The location is not signalled.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_038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170583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09- Mar/13:15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308.800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524 reported feeling a strong bounce on the track at the indicated mileage point. Proceed on sight was initiated between mileage points 308.850 and 308.750. Normal speed was restored at 15:43 after the maintenance team serviced the track.</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_039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170598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09- Mar/18:38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147.400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There was a report of a strong bump on the track, around mileage point 147.400, in the Albergaria dos Doze tunnel. The same situation was confirmed by train 48842. A speed limit of 30 km/hour was initiated on the up line between mileage points 147.500 and 47.400, in both directions of travel, at 19:00.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_040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170790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12- Mar/14:05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042.350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 xml:space="preserve">On passing the indicated mileage point an impact was felt on the track. Trains were ordered to proceed on sight at that </w:t>
            </w:r>
            <w:r>
              <w:rPr>
                <w:rFonts w:ascii="Arial" w:hAnsi="Arial"/>
                <w:sz w:val="18"/>
              </w:rPr>
              <w:lastRenderedPageBreak/>
              <w:t>location. A problem with buckling was reported at 15:22 for both stretches of rail at the indicated mileage point. The repair was started at 15:23.</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Track buckles _041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170894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Mar/15:55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Guimarães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053.700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According to the driver of train 15166, a kink was noted at the indicated km. Proceed on sight was initiated at the location until it could be inspected by the track unit, who established a speed limit of 30 km/hour between km 53.770 and 53.810 from 17:05 (Tel. 22).</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_042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170940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15- Mar/13:45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006.467</w:t>
            </w:r>
          </w:p>
        </w:tc>
      </w:tr>
      <w:tr w:rsidR="006F3ED5" w:rsidRPr="00B63285" w:rsidTr="008D1E56">
        <w:trPr>
          <w:trHeight w:val="20"/>
        </w:trPr>
        <w:tc>
          <w:tcPr>
            <w:tcW w:w="9523" w:type="dxa"/>
            <w:gridSpan w:val="6"/>
            <w:tcBorders>
              <w:top w:val="single" w:sz="8" w:space="0" w:color="A7BEDE"/>
              <w:left w:val="single" w:sz="8" w:space="0" w:color="7A9FCD"/>
              <w:bottom w:val="single" w:sz="8" w:space="0" w:color="7A9FCD"/>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66852/3 informed this Operational Command Centre (CCO) that they had felt a strong impact on set of points 2 at Muge, when moving onto the divergent line. A speed limit of 30 km/hour was initiated at the points in question. The buckling defect was repaired at 17:10. Trains are moving normally at the location.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_043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170942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15- Mar/14:05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012.150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66582/3 informed this Operational Command Centre (CCO) that they felt a strong impact at the indicated mileage point and that the track between mileage points 12.150 and 12.220 was in need of ballast. A speed limit of 30 km/hour was initiated between mileage points 12.100 and 12.300.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_044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170614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10- Mar/01:15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149.293</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On moving from G2 to line III to carry out service order 778, the front group of axles on the railway inspection trolley (SKL 26 LK, ICS 63/09) belonging to contractor Somafel derailed before reaching set of points 6. The circuits of line III, set of points 6 and G2 were occupied. The itinerary from M10 to line III was carried out at 00:47 and from signal S8/M8 to the down line as far as Caxarias at 00:58. Occupation of the circuits at 01:11. Re-railing started at 02:30 with equipment supplied by the contractor. Re-railing finished at 02:58. The Construction Manager reported that there was no damage to the track, which was fit to be used for traffic movement. The permanent infrastructure manager (PGI) was informed. This derailment was caused by a problem on the track.</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_045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171256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20- Mar/13:16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297.800</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21520 reported feeling a strong impact when passing the indicated mileage point. Proceed on sight was established between mileage points 297.850 and 297.750. Normal speed was re-established after service work by the Porto maintenance depot (CMP-MN).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_046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171486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25- Mar/08:54</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002.618</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860 reported instability, a strong impact and vibrations when passing over set of points 6. Proceed on sight was established for that location. The line was declared clear with no restrictions at 10:20. A tamping unit was sent to the normal insulated joint between set of points 6 and 10.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_047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171620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27- Mar/04:40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076.200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reported that a strong impact was felt on the track at the indicated mileage point. An inspection detected a defect in the track geometry. A speed limit of 60 km/hour was established between mileage points 76.260 and 76.300.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_048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171824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30- Mar/17:25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252.240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4623 reported a strong impact on the left-hand rail in relation to the direction of travel between km 251.900 and km 252.000 (entrance to line I at the station). Proceed on sight was established for that location. After confirmation and identification of the location, it was decided to divert all trains onto line III, thereby avoiding proceed on sight. The line was declared clear without restriction after service work by the Porto maintenance depot (CMP-MN).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_049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171874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31- Mar/12:35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251.610</w:t>
            </w:r>
          </w:p>
        </w:tc>
      </w:tr>
      <w:tr w:rsidR="006F3ED5" w:rsidRPr="008D1E56"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124 reported feeling a strong impact on the up line at the indicated mileage point. Proceed on sight was initiated between mileage points 251.650 and 251-600 up to 14:00. The repair was completed at 14:57.</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_050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171893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31- Mar/17:12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309.376</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When train 528 passed through this location, unusual vibrations were felt on the track. Proceed on sight was initiated at the location until the track unit could conduct an inspection; they set a speed limit of 80 km/hour between km 309.460 and 309.400.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_051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171946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01- Apr/14:18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279.400</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jc w:val="both"/>
              <w:rPr>
                <w:rFonts w:ascii="Arial" w:eastAsia="Arial" w:hAnsi="Arial" w:cs="Arial"/>
                <w:sz w:val="18"/>
                <w:szCs w:val="18"/>
              </w:rPr>
            </w:pPr>
            <w:r>
              <w:rPr>
                <w:rFonts w:ascii="Arial" w:hAnsi="Arial"/>
                <w:sz w:val="18"/>
              </w:rPr>
              <w:t>The Tunes maintenance depot initiated proceed on sight between mileage points 279.400 and 279.600 in case of possible damage to the track caused by bad weather. After checking at the site, a speed limit of 10 km/hour was established between mileage points 278.300 and 279.400. Normal speed was resumed after completion of the repair.</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_052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172038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02- Apr/20:45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251.690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lastRenderedPageBreak/>
              <w:t>The driver of train 530 reported that there was a buckled joint at the indicated mileage point next to signal M1. Proceed on sight was initiated between mileage points 251.740 and 251.640 until staff from the Porto maintenance depot (CMP-MN) could conduct an inspection. Normal speed was initiated at 22:58 after an intervention by the track unit.</w:t>
            </w:r>
          </w:p>
        </w:tc>
      </w:tr>
      <w:tr w:rsidR="006F3ED5" w:rsidRPr="006A2FC1" w:rsidTr="008D1E56">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_053</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172257</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06- Apr/17:40</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308.550</w:t>
            </w:r>
          </w:p>
        </w:tc>
      </w:tr>
      <w:tr w:rsidR="006F3ED5" w:rsidRPr="008D1E56"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According to the driver of train 15935, a strong impact was felt on the track at mileage point 308.550 (Cortegaça). Proceed on sight was initiated at the location until maintenance staff could inspect it. Proceed on sight was lifted at 19:10.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_054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172259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06- Apr/17:56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301.650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According to the train driver, the track was undermined. Proceed on sight was initiated. After information received from the maintenance staff, proceed on sight was cancelled and a speed limit of 80 km/hour was established between mileage points 301.600 and 301.700 at 18:40. The location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_055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172629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11- Apr/12:45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251.600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4666 reported instability on the up line at the indicated km. Proceed on sight was initiated between km 251.650 and km 251.550. Normal speed resumed at 15:00 after service work on the line.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_056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172948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16- Apr/07:56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150.750</w:t>
            </w:r>
          </w:p>
        </w:tc>
      </w:tr>
      <w:tr w:rsidR="006F3ED5" w:rsidRPr="00604E94"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According to staff on train 66380, strong vibrations were felt when passing set of points No 1. The permanent infrastructure manager (PGI) was informed. On inspection of the track, buckling was found and so a speed limit of 30 km/hour was initiated between mileage points 150.700 and 150.800. The location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_057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172966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16- Apr/12:50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Guimarães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053.500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Unusual vibrations were noted between mileage points 53.500 and 53.600. Proceed on sight was initiated. After an inspection by the maintenance team, a speed limit of 30 km/hour was established between mileage points 53.500 and 53.550.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_058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173092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18- Apr/18:32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259.480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525 reported having noticed an impact on the rail at the indicated mileage point (rail joint). Proceed on sight was therefore initiated for all traffic between km 259.450 and 259.510 until an inspection by specialist staff could be carried out. The line was declared clear without restriction at 16:40 after service work by the Porto maintenance depot (CMP-MN).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_059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173124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19- Apr/13:35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006.000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5112 reported that a strong impact on the track was felt at the indicated km. Proceed on sight was initiated. The line was declared clear without restriction at 15:30 after service work by the Porto maintenance depot (CMP-MN).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_060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173478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25- Apr/11:00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Alentejo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038.600</w:t>
            </w:r>
          </w:p>
        </w:tc>
      </w:tr>
      <w:tr w:rsidR="006F3ED5" w:rsidRPr="008D1E56"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According to the train driver, a strong impact was felt on the track when passing mileage point 38.600. The permanent infrastructure manager (PGI) was informed. A speed limit of 30 km/hour was established by the track staff between mileage points 38.500 and 38.700. The location is not signalled and does not have CONVEL/ATP.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_061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173819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01- May/18:21</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296.900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135 reported that there were strong vibrations on the track at the indicated mileage point. Proceed on sight was therefore established between km 296.850 and 296.950. After service work by maintenance staff the speed limit was returned to normal.</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_062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173927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May/12:14</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054.500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reported feeling a strong impact on the track at the indicated mileage point. A speed limit of 30 km/hour was initiated at 12:35.</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_063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173940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May/15:48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Baixa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023.537</w:t>
            </w:r>
          </w:p>
        </w:tc>
      </w:tr>
      <w:tr w:rsidR="006F3ED5" w:rsidRPr="00604E94"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Warping was found on the track by the EM120, and so proceed on sight was initiated between mileage points 22.200 and 22.000. At 17:40 an inspection by the track unit confirmed track buckling, and a speed limit of 30 km/hour was initiated between mileage points 22.090 and 22.120. Signalled speed limit, with no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_064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174193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06- May/22:33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058.500</w:t>
            </w:r>
          </w:p>
        </w:tc>
      </w:tr>
      <w:tr w:rsidR="006F3ED5" w:rsidRPr="00B63285" w:rsidTr="008D1E56">
        <w:trPr>
          <w:trHeight w:val="20"/>
        </w:trPr>
        <w:tc>
          <w:tcPr>
            <w:tcW w:w="9523" w:type="dxa"/>
            <w:gridSpan w:val="6"/>
            <w:tcBorders>
              <w:top w:val="nil"/>
              <w:left w:val="single" w:sz="8" w:space="0" w:color="7A9FCD"/>
              <w:bottom w:val="single" w:sz="8" w:space="0" w:color="7A9FCD"/>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64385/4 stated that at the indicated mileage point, a strong impact was felt on the track. Proceed on sight was initiated until the track could be repaired, which was expected to take place during the implementation of service order 1511.</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Track buckles _065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174258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07- May/18:50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308.750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15746 reported feeling strong vibrations on the track at the indicated km. Proceed on sight was established for that location. After inspection by track staff a speed limit of 80 km/hour was established between km 308.800 and 308.700.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_066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174261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07- May/19:50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048.000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423 reported vertical vibrations at the indicated km, causing extreme instability in the movement of the triple diesel unit (UTD). Proceed on sight was initiated between km 47.950 and 48.050. Restrictions were lifted at 21:25 after service work by the Porto maintenance depot (CMP-MN).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_067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174328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09- May/08:04</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071.550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According to the driver of train 3000, unusual vibrations were noted on the track when they passed between the kilometres in question. Proceed on sight was established until an inspection could be carried out by the track unit.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_068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174412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10- May/14:32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024.600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15164 reported that on passing the indicated mileage point they felt a strong impact on the track. Proceed on sight was established as a precautionary measure between mileage points 24.650 and 24.550 on the up line, applicable to all traffic. An inspection found a crushed glued insulated joint. A speed limit of 60 km/hour was established.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_069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174528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12- May/21:49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054.900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8D1E56" w:rsidP="008D1E56">
            <w:pPr>
              <w:rPr>
                <w:rFonts w:ascii="Arial" w:eastAsia="Arial" w:hAnsi="Arial" w:cs="Arial"/>
                <w:sz w:val="18"/>
                <w:szCs w:val="18"/>
              </w:rPr>
            </w:pPr>
            <w:r>
              <w:rPr>
                <w:rFonts w:ascii="Arial" w:hAnsi="Arial"/>
                <w:sz w:val="18"/>
              </w:rPr>
              <w:t xml:space="preserve"> The train driver reported feeling strong vibrations on the track at the indicated mileage point. The permanent infrastructure manager (PGI) was informed.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_070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174647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May/12:50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000.000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When passing between the indicated kilometres a kink was noted in the track. Proceed on sight was established until the track unit could make an inspection. Resolved.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_071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174664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May/15:15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000.000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ticket inspector on train 5209 reported that there was a kink on the track between the indicated kilometres.</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_072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175937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Jun/09:04</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Douro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023.900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Abnormal track vibrations were felt on passing through the indicated km. Proceed on sight was established as a precautionary measure between mileage points 23.850 and 23.950. After an inspection at the site by the Ermesinde maintenance unit, a speed limit of 60 km/hour was established between mileage points 23.870 and 23.900 at 10:25.</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_073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176006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04- Jun/09:19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238.250</w:t>
            </w:r>
          </w:p>
        </w:tc>
      </w:tr>
      <w:tr w:rsidR="006F3ED5" w:rsidRPr="008D1E56"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4658 reported noticing a small bump between mileage points 238.300 and 238.200. Proceed on sight was established on that stretch for all traffic until it could be inspected by qualified staff. Restrictions were lifted at 11:36 after it was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_074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176038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04- Jun/18:23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075.710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On passing the indicated mileage point, the train driver reported feeling a strong impact on the rail. Proceed on sight was initiated between mileage points 75.650 and 75.750. This restriction was lifted at 21:05 after service work by the Nine track unit of the Porto maintenance depot (CMP-MN).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_075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176187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07- Jun/06:36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205.640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Unexpected occupation of track circuits A1 and A2 due to a damaged glued insulated joint. A speed limit of 60 km/hour was initiated at 15:00 between mileage points 205.615 and 205,665. The location is signalled and has CONVEL/ATP.</w:t>
            </w:r>
          </w:p>
        </w:tc>
      </w:tr>
      <w:tr w:rsidR="006F3ED5" w:rsidRPr="006A2FC1" w:rsidTr="008D1E56">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_076</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176350</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10- Jun/15:16</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148.600</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Successive occupation of CV 1-II, 3 and A1 due to a crushed joint at mileage point 148.600. A provisional repair was carried out, with a speed limit of 80 km/hour remaining in place between mileage points 148.580 and 148.600. The location is signalled but has no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_077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176416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11- Jun/15:19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Alentejo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031.750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As a result of the occupation of track circuits D2 and set of points No 2, signals S2, S13, S15, S17, S19 and S21 were unable to open. The permanent infrastructure manager (PGI) was informed. According to information provided by Siemens staff, the occupations are caused by a crushed glued insulated joint. A speed limit of 30 km/hour was established between mileage points 31.755 and 31.765.</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_078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 xml:space="preserve">eGOC No </w:t>
            </w:r>
            <w:r>
              <w:rPr>
                <w:rFonts w:ascii="Arial" w:hAnsi="Arial"/>
                <w:b/>
                <w:sz w:val="18"/>
              </w:rPr>
              <w:lastRenderedPageBreak/>
              <w:t>176472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 xml:space="preserve">Date/Time: 12- </w:t>
            </w:r>
            <w:r>
              <w:rPr>
                <w:rFonts w:ascii="Arial" w:hAnsi="Arial"/>
                <w:b/>
                <w:sz w:val="18"/>
              </w:rPr>
              <w:lastRenderedPageBreak/>
              <w:t>Jun/10:25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lastRenderedPageBreak/>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005.100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lastRenderedPageBreak/>
              <w:t>When train 15405 was passing the location in question, abnormal vibrations were noted on the track. Proceed on sight was initiated at the location until the track unit could conduct an inspection; they established a speed limit of 60 km/hour between km 5.090 and 5.110. At 12:20, after manual tamping, the existing restrictions were lifted.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_079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176505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12- Jun/15:30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017.700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According to the driver of train 5209, a kink on the track was detected between the indicated km. Proceed on sight was established until the track unit could make an inspection.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_080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176574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13- Jun/08:20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308.700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120 reported that the up line at km 308.700 did not meet the conditions for the speeds that are indicated on the speed limit table (TVM). Proceed on sight was initiated between km 308.750 and 308.650. The restriction was lifted at 10:45 after tamping was carried out by the Porto maintenance depot (CMP-MN).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_081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176733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15- Jun/09:10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313.200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Reports from train 620 stated that at the indicated km a pronounced bump was felt on the track. Following traffic was instructed to proceed on sight until track staff could inspect the location. Restrictions were lifted after the maintenance department repaired the track.</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_082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176762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15- Jun/16:50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Baixa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005.577</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542 reported noticing a bump on the track next to signal S1 at Alferrarede. After track staff inspected the site, a speed limit of 30 km/hour was implemented between km 5.050 and 5.070.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_083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176908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17- Jun/10:07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106.302</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An impact was felt when the train was entering line IV. The track manager was informed. A speed limit of 10 km/hour was established between km 106.600 and 106.450 on line IV, a location which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_084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176961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17- Jun/19:23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103.000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96206 reported that they felt an impact on the track at km 103.000. A speed limit of 80 km/hour was initiated by telegram between km 102.990 and 103.010. 106.</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_085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177218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21- Jun/06:40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024.400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reported strong vibrations on the track when passing mileage point 24.400. The permanent infrastructure manager (PGI) was informed. A speed limit of 30 km/hour was initiated between mileage points 24.350 and 24.400. The location is not signalled and does not have CONVEL/ATP.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_086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177291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22- Jun/17:32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238.225</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An impact was felt on the track when travelling over the indicated mileage point. Proceed on sight was established as a precautionary measure between mileage points 238.275 and 238.175. The restriction imposed was lifted after an intervention by the Aveiro maintenance depot, which initiated a return to normal speed at 20:05.</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_087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177368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23- Jun/20:25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071.500</w:t>
            </w:r>
          </w:p>
        </w:tc>
      </w:tr>
      <w:tr w:rsidR="006F3ED5" w:rsidRPr="00B63285" w:rsidTr="008D1E56">
        <w:trPr>
          <w:trHeight w:val="20"/>
        </w:trPr>
        <w:tc>
          <w:tcPr>
            <w:tcW w:w="9523" w:type="dxa"/>
            <w:gridSpan w:val="6"/>
            <w:tcBorders>
              <w:top w:val="nil"/>
              <w:left w:val="single" w:sz="8" w:space="0" w:color="7A9FCD"/>
              <w:bottom w:val="single" w:sz="8" w:space="0" w:color="7A9FCD"/>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Vibration on the track was reported between the indicated km. Proceed on sight was initiated at that location. Restrictions were lifted at 23:30 after service work by the track unit.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_088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177588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26- Jun/16:10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012.130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member of the public called from the level crossing telephone at mileage point 12.300 to report that the heavy rains had caused track subsidence at mileage point 12.130. The permanent infrastructure manager (PGI) was informed. Proceed on sight was initiated between mileage points 12.120 and 12.140. The track was inspected and track buckling was found at mileage point 12.135. A speed limit of 50 km/hour was established between mileage points 12.130 and 12.140, a location which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_089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177670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27- Jun/17:23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298.500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528 reported that strong vibrations were felt on the track at the indicated km. Proceed on sight was initiated between mileage points 298.350 and 298.450. With the arrival of the maintenance team at the site a speed limit of 80 km/hour was initiated between mileage points 298.490 and 298.520 at 18:30.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_090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177768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30- Jun/00:05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085.950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An impact was felt on the track when passing through set of points 2 at Santa Comba Dão, causing the train to shake severely. Proceed on sight was initiated at that site for train 311. After an on-site inspection, a speed limit of 60 km/hour was initiated between mileage points 85.900 and 86.000.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_091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 xml:space="preserve">eGOC No </w:t>
            </w:r>
            <w:r>
              <w:rPr>
                <w:rFonts w:ascii="Arial" w:hAnsi="Arial"/>
                <w:b/>
                <w:sz w:val="18"/>
              </w:rPr>
              <w:lastRenderedPageBreak/>
              <w:t>177818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 xml:space="preserve">Date/Time: 30- </w:t>
            </w:r>
            <w:r>
              <w:rPr>
                <w:rFonts w:ascii="Arial" w:hAnsi="Arial"/>
                <w:b/>
                <w:sz w:val="18"/>
              </w:rPr>
              <w:lastRenderedPageBreak/>
              <w:t>Jun/19:32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lastRenderedPageBreak/>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259.600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lastRenderedPageBreak/>
              <w:t>The driver of train 4627 reported feeling a strong vibration at the indicated mileage point, which felt as though the rail was broken. Proceed on sight was initiated for all traffic between mileage points 259.550 and 259.650. Maintenance staff repaired the problem and the speed restriction was lifted at 21:42.</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_092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178430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09- Jul/20:28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314.932</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reported having noticed a bump in the train on passing through the indicated mileage point. Proceed on sight was therefore initiated between mileage points 314.880 and 314.980 for all traffic, until an inspection could be carried out. At 21:00, track staff replaced proceed on sight with a speed limit of 80 km/hour between mileage points 314.920 and 314.950. Restrictions were lifted at 22:25 after service work by the Porto maintenance depot (CMP-MN).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_093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178444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09- Jul/21:39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Guimarães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053.500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violent, whip-like movement was noted between mileage point 53.000 and signal SA1 at Guimarães. Proceed on sight was initiated. A speed limit of 40 km/hour was later initiated between mileage points 53.500 and 53.600.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_094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178502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10- Jul/15:00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000.000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CP operator reported having received several warnings from train drivers about the existence of very strong vibrations on the up line between the indicated mileage points, which could jeopardize the safety of train traffic. This alert was transmitted by the Operational Command Centre (CCO) to the Porto maintenance depot track unit, who inspected the track and then tamped and levelled it. On completion of the work all restrictions were lifted.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_095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178610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11- Jul/16:05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Baixa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116.695</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5622 reported that there was a kink on the track next to set of points 2. Proceed on sight was initiated for all traffic. A speed limit of 30 km/hour was initiated between mileage points 116.080 and 116.110.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_096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178649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12- Jul/09:00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210.475</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311 reported that strong vibrations were felt at the indicated mileage point. The driver of train 312 confirmed the presence of these vibrations after passing through the location on proceed on sight. Proceed on sight was established for all trains until the track manager could inspect the site. A speed limit of 60 km/hour was initiated between mileage points 210.450 and 210.500 at 08:55 after the inspection had taken place.</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_097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178703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13- Jul/00:15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000.000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49806 reported feeling strong vibrations between mileage points 141.700 and 141.800, 145.800 and 146.000 and 155.700 and 155.800. Proceed on sight was initiated at the indicated mileage points. After inspection a speed limit of 60 km/hour was established between mileage points 141.750 and 141,800, and between 155.700 and 155.800.</w:t>
            </w:r>
          </w:p>
        </w:tc>
      </w:tr>
      <w:tr w:rsidR="006F3ED5" w:rsidRPr="006A2FC1" w:rsidTr="008D1E56">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_098</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178819</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Apr/21:51</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Guimarães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053.535</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reported noting a pronounced bump on the train at the indicated mileage point. Proceed on sight was initiated for all traffic between mileage points 53.500 and 53.700 until the site could be inspected. When technicians arrived at the site they found problems on the track and initiated a speed limit of 30 km/hour between mileage points 53.500 and 53.570 at 23:15.</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_099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178940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16- Jul/20:00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233.850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68980 reported feeling an impact on the track at the indicated mileage point. Proceed on sight was initiated. After checks, a speed limit of 30 km/hour was initiated between mileage points 233.800 and 233.900.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_100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179011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17- Jul/18:48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Baixa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149.700</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544 reported that a kink was beginning to form on the track at the indicated mileage point. The driver of train 5676 followed proceed on sight between mileage points 149.800 and 149.600, and confirmed the problem on the track. Proceed on sight was initiated between the indicated mileage points until the track unit could get to the site.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_101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179308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22- Jul/11:57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323.850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124 reported feeling strong vibrations at the indicated mileage point. Proceed on sight was established on the up line between mileage points 323.860 and 323.840. The repair was carried out and the speed restriction was lifted.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_102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179364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23- Jul/06:30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259.750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According to staff on the train, a strong impact was felt on the track at the indicated mileage point. The permanent infrastructure manager (PGI) was informed. The track was inspected and an alignment defect was found. A speed limit of 30 km/hour was established between mileage points 259700 and 259800, a location that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Track buckles _103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179449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24- Jul/06:18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Baixa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057.600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61351 reported feeling an impact on the train at the indicated mileage point on the down line at the entrance to the Gonçalo Magro bridge (58.218 to 58.284). The maintenance team went to the location and found a small buckling defect that is not a danger to traffic movement, and which will be serviced soon.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_104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 179551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25- Jul/13:55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017.510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15228 reported feeling a strong vibration at the indicated km. Proceed on sight was initiated between km 18.050 and 18.000. After a later inspection by track staff a speed limit of 60 km/hour was established on the up line between km 17.520 and 17.500, a location that is not signalled and has no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_105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179966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31- Jul/07:15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150.700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crew reported to the Setúbal Operational Command Centre (CCO) that they had felt an impact on the track twenty metres from set of points No 1 at the indicated station. After an inspection, the Setúbal maintenance depot (CMS-MN) track unit found an alignment and buckling defect, and so a speed limit of 30 km/hour was initiated between mileage points 150.650 and 150.750, a location that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_106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180044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01- Aug/12:06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000.000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the indicated train reported that the track was unstable between the aforementioned halt/alighting points. The mileage points in question were not given. As a precautionary measure, proceed on sight was established between mileage points 309.376 and 307.500 on the up line. The track was declared free without restrictions at 14:30, after service work by the Porto maintenance depot (CMP-MN).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_107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180139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Aug/09:50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238.200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620 reported a strong impact on the rail at the indicated mileage point. Proceed on sight was initiated between mileage points 238,250 and 238,200. The Porto maintenance depot was advised. The maintenance team dealt with the problem, and the normal speed limit is in effect.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_108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180277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05- Aug/12:56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160.937</w:t>
            </w:r>
          </w:p>
        </w:tc>
      </w:tr>
      <w:tr w:rsidR="006F3ED5" w:rsidRPr="00B63285" w:rsidTr="008D1E56">
        <w:trPr>
          <w:trHeight w:val="20"/>
        </w:trPr>
        <w:tc>
          <w:tcPr>
            <w:tcW w:w="9523" w:type="dxa"/>
            <w:gridSpan w:val="6"/>
            <w:tcBorders>
              <w:top w:val="single" w:sz="8" w:space="0" w:color="A7BEDE"/>
              <w:left w:val="single" w:sz="8" w:space="0" w:color="7A9FCD"/>
              <w:bottom w:val="single" w:sz="8" w:space="0" w:color="7A9FCD"/>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felt a strong impact on the track when passing the culvert on the way out of Santiago do Cacém, in the train's direction of travel. The permanent infrastructure manager (PGI) was informed. The track unit inspected the site, establishing a speed limit of 30 km/hour between mileage points 160.900 and 161.000.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_109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180533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08- Aug/17:05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021.210</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Bumps on the track were reported on passing signals S20/M20 and S32/M32. This was confirmed by the driver of train 18086. Proceed on sight was initiated at both sites. The track manager went to the site and established a speed limit of 80 km/hour between mileage points 20.190 and 20.210, and 21.800 and 21.820, locations which are not signalled and do not have CONVEL/ATP. After the track defect was reaired, the speed limit between mileage points 20.190 and 20.210 was lifted at 19:55 and normal speed resumed. The repair was completed at 20:40, and normal speed limit re-established.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_110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180608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09- Aug/22:30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024.242</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strong vibration on the track was felt on passing the indicated mileage point. This was confirmed by train 80832 at 23:36. Track specialist, Mr. Escaninha, initiated a speed limit of 60 km/hour between mileage points 24.240 and 24.250.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_111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180629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10- Aug/14:30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079.400</w:t>
            </w:r>
          </w:p>
        </w:tc>
      </w:tr>
      <w:tr w:rsidR="006F3ED5" w:rsidRPr="00604E94"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49801 reported that there was a very steep depression followed by a kink on the track at the indicated mileage point. The driver of train 516 was advised, and they confirmed the situation. Proceed on sight was initiated for all trains until the track could be inspected. A speed limit of 30 km/hour was initiated at 16:25 and until further notice via telegram 97 from the Guarda track unit infrastructure supervisor, between mileage points 79.290 and 79.450, a location that is not signalled and which has no CONVEL/ATP. The site was signalled at 18:42.</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_112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180635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10- Aug/16:04</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259.800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184/5 reported a bump on the track when passing the indicated mileage point. An inspection of the site found a buckling and alignment defect, and a speed limit of 40 km/hour was established between mileage points 259.700 and 259.800.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_113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180787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12- Aug/15:35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Western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145.500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804 reported a pronounced bump on the track at the indicated mileage point on the right-hand-side to the direction of travel. Proceed on sight was initiated for all traffic until an inspection could be carried out by the track unit. The driver of train 50633 reported that they did not notice any defect on the track when passing through. A speed limit of 30 km/hour was initiated between mileage points 145.500 and 145.600.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Track buckles _114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180840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13- Aug/11:25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071.000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Vibrations on the train were noted between mileage points 71.000 and 71.100. The track was inspected and a defect in the track geometry was found. A speed limit of 80 km/hour was initiated between mileage points 71.000 and 71.200, a location that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_115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180843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13- Aug/11:55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Baixa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149.700</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Operational Command Centre (CCO) was informed by the CP-LC command post that the driver of train 541 reported a pronounced bump on the track at mileage point 149.700. This was confirmed at the site, and a speed limit of 30 km/hour was established between mileage points 149.630 and 149.680, a location that is not signalled and does not have CONVEL/ATP. At 16:30 the location became signalled.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_116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181556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24- Aug/14:06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019.475</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66852 reported strong vibrations on the track when passing set of points 2, which were in reverse position. Traffic movement continued at the site but was restricted to 30 km/hour. Repaired.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_117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181939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29- Aug/10:25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259.800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Strong vibrations were reported on the track when passing through the indicated mileage point (between mileage points 259.800 and 259.900, on the left side in the direction of the down line). An alignment defect was found, and a speed limit of 40 km/hour was established between mileage points 259.700 and 259.800 from 10:50 until the repair could be completed.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_118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181965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29- Aug/18:08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160.940</w:t>
            </w:r>
          </w:p>
        </w:tc>
      </w:tr>
      <w:tr w:rsidR="006F3ED5" w:rsidRPr="00B63285" w:rsidTr="008D1E56">
        <w:trPr>
          <w:trHeight w:val="20"/>
        </w:trPr>
        <w:tc>
          <w:tcPr>
            <w:tcW w:w="9523" w:type="dxa"/>
            <w:gridSpan w:val="6"/>
            <w:tcBorders>
              <w:top w:val="single" w:sz="8" w:space="0" w:color="A7BEDE"/>
              <w:left w:val="single" w:sz="8" w:space="0" w:color="7A9FCD"/>
              <w:bottom w:val="single" w:sz="8" w:space="0" w:color="7A9FCD"/>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80383/2 reported a strong impact on the track at the indicated mileage point. A speed limit of 30 km/hour was initiated for all trains until the site could be inspected. After the inspection, a speed limit of 60 km/hour was initiated between mileage points 160.900 and 161.000.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_119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182348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04- Sep/10:40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Algarve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332.750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reported strong vibrations on the track at the indicated mileage point. A speed limit of 30 km/hour was established between mileage points 332.700 and 332.800. At 11:42 this was changed to 50 km/hour until the repair could be completed.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_120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182544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07- Sep/15:37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160.940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reported strong vibrations on the track at the indicated km. After an on-site inspection a speed limit of 60 km/hour was initiated between mileage points 160.900 and 161.000.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_121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182569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08- Sep/08:20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230.500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reported strong vibrations on the track at the indicated mileage point. The permanent infrastructure manager (PGI) was informed. The track was inspected and a speed limit of 30 km/hour was initiated between mileage points 230.600 and 230.700. The location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_122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182914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12- Sep/17:27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012.125</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73381/0 reported feeling a strong impact on the track between signal S3 and set of points 2 at Marinhais. Train 69832/3 was instructed to proceed on sight. A speed limit of 30 km/hour was established between mileage points 12.120 and 12.130.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_123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183390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19- Sep/13:35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Western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027.900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6409 reported strong vibrations at the indicated mileage point. Proceed on sight was initiated at that location. After an on-site inspection by the Caldas da Rainha track unit, a buckling and alignment defect was confirmed. A speed limit of 30 km/hour was initiated until further notice between mileage points 27.850 and 27.900. The location has no vertical signalling. Via telegram No 431 at 16:26.</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_124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184034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28- Sep/07:18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004.980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861 reported a slight impact at signal 49A. Proceed on sight initiated for all traffic between km 4.850 and 4.950. After inspection of the site a speed limit of 60 km/hour was initiated between km 4.950 and 5.000, as there was a problem with the seating of the glued insulated joint. The speed limit was lifted at 11:50, after service work by the Porto maintenance depot (CMP-MN).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_125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184108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29- Sep/10:25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193.000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strong impact was felt on the locomotive when it passed the indicated point. The drivers of the trains that followed were warned to proceed on sight at that location. A speed limit of 80 km/hour was established between mileage points 193.100 and 192.900, a location that is not signalled and does not have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_126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lastRenderedPageBreak/>
              <w:t>184976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 xml:space="preserve">Date/Time: 10- </w:t>
            </w:r>
            <w:r>
              <w:rPr>
                <w:rFonts w:ascii="Arial" w:hAnsi="Arial"/>
                <w:b/>
                <w:sz w:val="18"/>
              </w:rPr>
              <w:lastRenderedPageBreak/>
              <w:t>Oct/17:10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lastRenderedPageBreak/>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035.600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lastRenderedPageBreak/>
              <w:t>The driver of train 512 reported that there was a bump between mileage point 36.000 and 35.500. The driver of train 16544 was advised, and went on to provide confirmation of the problem and the location of mileage point 35.600. Proceed on sight was initiated for all following traffic. A speed limit of 100 km/hour was established at 18:08 between mileage points 35.610 and 35.600.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_127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185238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Oct/15:00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139.325</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the train in question reported an impact on the track at the indicated km. Proceed on sight was initiated at the location for trains 69381/0 and 69832/3. The inspection found a buckling defect, and a speed limit of 40 km/hour was established between mileage points 139.300 and 139.350.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_128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185374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16- Oct/10:25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049.690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31305 reported that there was a pit in the track at the indicated mileage point. Proceed on sight was initiated at the location. The maintenance team corrected the problem, and normal traffic without restrictions was re-established.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_129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185455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17- Oct/08:00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Douro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051.000</w:t>
            </w:r>
          </w:p>
        </w:tc>
      </w:tr>
      <w:tr w:rsidR="006F3ED5" w:rsidRPr="006A2FC1" w:rsidTr="008D1E56">
        <w:trPr>
          <w:trHeight w:val="20"/>
        </w:trPr>
        <w:tc>
          <w:tcPr>
            <w:tcW w:w="9523" w:type="dxa"/>
            <w:gridSpan w:val="6"/>
            <w:tcBorders>
              <w:top w:val="single" w:sz="8" w:space="0" w:color="A7BEDE"/>
              <w:left w:val="single" w:sz="8" w:space="0" w:color="7A9FCD"/>
              <w:bottom w:val="single" w:sz="8" w:space="0" w:color="7A9FCD"/>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member of the public reported that there is some subsidence of of the soil between set of points 2 and the station of Vila Meã. A speed limit of 10 km/hour was initiated between km 51.050 and 51.150. The speed limit was lifted at 12:30. Track clear with no restrictions.</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_130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186706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Nov/19:10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026.500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5213 reported that the track was missing ballast at the indicated mileage point. Proceed on sight was initiated between mileage points 26.450 and 26.550. Proceed on sight was lifted and a speed limit of 10 km/hour was initiated between km 26.000 and 26.600 at 22:45.</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_131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187230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11- Nov/07:20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298.500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520 reported vibrations on the track at the indicated mileage point. Proceed on sight was initiated between mileage points 298.450 and 298.550. After an inspection of the site by the Porto maintenance depot Esmoriz track unit, a speed limit of 80 km/hour was established. When conditions allowing for safe traffic movement had been restored, the existing speed limit was lifted and the normal speed limit applied.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_132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187264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11- Nov/16:05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Vendas Novas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040.310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reported an impact on the track at the indicated mileage point. A speed limit of 60 km/hour was initiated between mileage points 40.300 and 40.320 at 16:20.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_133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187441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Nov/08:35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327.250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When train 121 was passing the location in question, abnormal vibrations were noted on the track. Proceed on sight was ordered between km 327.200 and 327.300 until the track unit could make the repair. The repair was completed at 10:40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_134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187576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16- Nov/07:50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287.421</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Ovar station manager reported that there was track subsidence on line III at Estarreja station. The Porto maintenance depot was notified. After an on-site inspection at 09:10, a speed limit of 10 km/hour was established on line III between mileage points 287.400 and 287.500.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_135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187659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17- Nov/11:57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323.850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124 reported a strong impact on a rail joint at the indicated km. Proceed on sight was established between km 323.800 and 323.900 at 12:00. The line was declared clear at 14:55.</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_136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187870</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20- Nov/06:57</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006.790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15150 reported noticing that two sleepers were out of position half-way along the platform at the halt/alighting point, leaving a small gap in the middle of the track. Proceed on sight was established between mileage points 6.840 and 6.740 until the site could be inspected. After inspection by track staff a speed limit of 30 km/hour was initiated between km 6.800 and 6.780, a location that is not signalled and has no CONVEL/ATP.</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_137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188035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22- Nov/04:52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143.900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96214/5 reported strong vibrations on the track at the indicated mileage point. Proceed on sight initiated. After checks were carried out, a speed limit of 30 km/hour was established between mileage points 143.850 and 143.950.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_138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188287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26- Nov/13:18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299.650</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 xml:space="preserve">The driver of train 524 reported abnormal vibrations at mileage point 298.500. The driver of train 15728 was warned, </w:t>
            </w:r>
            <w:r>
              <w:rPr>
                <w:rFonts w:ascii="Arial" w:hAnsi="Arial"/>
                <w:sz w:val="18"/>
              </w:rPr>
              <w:lastRenderedPageBreak/>
              <w:t>and travelled at proceed on sight between mileage points 299.700 and 298.400. The driver reported that the track was missing ballast at mileage points 299.650 and 298.500. Proceed on sight was established on the up line between mileage points 298.450 and 298.550 and between 299.600 and 299.700. A speed limit of 10 km/hour was established at 14:10 between mileage points 299.600 and 298.500. The situation is now back to normal.</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Track buckles _139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188415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28- Nov/08:00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323.850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reported having felt an impact on the traction unit at about 1 metre after the level crossing at the indicated mileage point, stating that the previous day the same thing had been noted but to a lesser degree. Proceed on sight was initiated between mileage points 323.850 and 323.750. The problem was corrected by the track unit, and restrictions to traffic movement were then lifted.</w:t>
            </w:r>
          </w:p>
        </w:tc>
      </w:tr>
      <w:tr w:rsidR="006F3ED5" w:rsidRPr="006A2FC1" w:rsidTr="008D1E56">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_140</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188492</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29- Nov/08:50</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148.900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When passing through the indicated mileage points (between 148.900 and 149.000), strong vibrations were felt on the locomotive. The drivers of trains 96202, 81380/1, 80830/1, 67981 and 69810/1 were warned to proceed on sight at that location until the site could be inspected by track staff. A buckling defect was found and a speed limit of 40 km/hour was established between mileage points 148.750 and 148.850 until the repair could be completed.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_141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188955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06- Dec/09:25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109.500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420 informed the duty traffic controller at Viana do Castelo station that the track was buckled at the indicated km. Proceed on sight was initiated for following traffic between mileage points 109.450 and 109.550. After an on-site inspection by the Porto maintenance depot (CMP-MN), the line was declared clear at 12:00 without restrictions.</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_142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189026</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06- Dec/11:45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153.280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 bump was felt on the down line track at the indicated mileage point. An inspection found a defect in the track geometry. A speed limit of 80 km/hour was implemented between mileage points 153.270 and 153.290.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_143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189432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Dec/02:00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153.000</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reported strong vibrations on the track at the indicated mileage point. The permanent infrastructure manager (PGI) was informed. The location was inspected and a buckling defect was found. A speed limit of 30 km/hour was established between mileage points 152.950 and 153.050.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_144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189877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22- Dec/10:25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330.600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Proceed on sight was initiated by maintenance staff at the indicated mileage point due to problems on the track. Proceed on sight was lifted at 10:45 and replaced by a speed limit of 10 km/hour between km 330.600 and 330.500, a location that is not signalled and has no CONVEL/ATP. The track was repaired and the normal speed limit re-established at 14:50.</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_145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190163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27- Dec/16:50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143.200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89432 reported that at the indicated mileage point a dry impact was felt, which was thought to have been caused by a broken rail. Proceed on sight was initiated at that location for train 5406, which reported that nothing abnormal had been noted. The driver of train 513 confirmed that there was a bump going over a joint at the indicated mileage point. The track manager went to the site and confirmed the defect (the rail joint was missing its support) and initiated proceed on sight at that location until further notice.</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Track buckles _146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190237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29- Dec/10:10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125.830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train 80830 reported having felt a strong impact on the train when passing mileage point 125.836. Proceed on sight was initiated until an inspection could be carried out by the track unit, who would then set a speed limit. The drivers of trains 96204 and 96201 passed the indicated mileage point and reported having felt a bump, even when moving at proceed on sight. At 11:45 the track unit initiated a speed limit of 80 km/hour between mileage points 125.825 and 125.835, a location that is not signalled and has no CONVEL/ATP. The repair was completed at 18:00 and the normal speed limit was re-established.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Failure of lineside signals _ n/a</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eGOC No n/a</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Date/Time: n/a</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n/a</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Line n/a</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n/a</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8D1E56" w:rsidP="008D1E56">
            <w:pPr>
              <w:rPr>
                <w:rFonts w:ascii="Arial" w:eastAsia="Arial" w:hAnsi="Arial" w:cs="Arial"/>
                <w:sz w:val="18"/>
                <w:szCs w:val="18"/>
              </w:rPr>
            </w:pPr>
            <w:r>
              <w:rPr>
                <w:rFonts w:ascii="Arial" w:hAnsi="Arial"/>
                <w:sz w:val="18"/>
              </w:rPr>
              <w:t xml:space="preserve"> n/a.</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_001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166897</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08- Jan/17:29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4430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114.413</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Signal S16 at Lamarosa station was passed at danger due to a lapse by the train driver, with the emergency braking system being activated by the CONVEL/ATP. Working together with the Central Command Post (PCC) and the Production Support office of CP Regional, the Lisbon Operational Command Centre (CCO) established the itinerary and then authorised the train's journey to Line III, proceeding to Entroncamento station so that the driver could be replaced. Train 4430 started at Tomar station (17:11), with a destination of Lisboa-Santa Apolónia (19:11).</w:t>
            </w:r>
          </w:p>
        </w:tc>
      </w:tr>
      <w:tr w:rsidR="006F3ED5" w:rsidRPr="006A2FC1" w:rsidTr="008D1E56">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002</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167104</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13- Jan/12:10</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27882</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Xabregas Branch</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001.643</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lastRenderedPageBreak/>
              <w:t>Signal S2 was passed at danger, with activation of the emergency brakes by the CONVEL/ATP, causing "emergency braking" to be recorded on the ground-to-train radio. The unexpected occupation of track circuit CV 47/48 caused the closure of signal S21 at the approach of train 16123. Although the train was recorded on the ground-to-train radio system, it was not possible for the Lisbon Operational Command Centre (CCO) to speak with the driver, and they were instead contacted by the signal tower via the shunting radio (channel 6). After the necessary protections to the route had been established, the Lisbon Operational Command Centre (CCO) gave authorisation to retreat behind signal S2 and restart the journey to Line 5 after the respective itinerary had been established, accompanied by a second driver in the driver's cab. Train 27882 started at Beja station (09:30) with a destination of Lisboa-Santa Apolónia (12:25).</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003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169529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19- Feb/19:30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16827</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198.339</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passed signal S3 at Alfarelos station at danger, having contacted the Lisbon Operational Command Centre (CCO) via ground-to-train radio to report that the signal had closed unexpectedly. The Lisbon Operational Command Centre (CCO) informed the driver that signal S3 closed on the approach of the train, with the driver reporting that the CONVEL/ATP had read a green aspect on signal S3. The Central Command Post (PCC) and the operator were informed, and the driver was authorised to continue the journey as far as line IV, where he left with a second driver in the driver's cab. Train 16827 started at Figueira da Foz station (18:58) with a destination of Coimbra (20:15).</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004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171284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20- Mar/20:45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Shunting service</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002.443</w:t>
            </w:r>
          </w:p>
        </w:tc>
      </w:tr>
      <w:tr w:rsidR="006F3ED5" w:rsidRPr="006A2FC1"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Unauthorised movement of triple diesel unit (UTD) 592026 arriving on train 27261 at Contumil station, having come from line No X, with its journey not run. Signal S27/M27 was passed at danger, leading to the complete derailment of the bogie on the northern side of the middle vehicle onto set of points 76-I. A category C emergency plan was initiated and a local emergency manager was appointed. An assistance train was requested. Re-railing work started at 21:50. To protect the re-railing work, power was shut down on lines X, E10 to E15, G20 to G28 and on the lines to the workshop. Re-railing was completed at 02:25, with the track declared clear and without restrictions.</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005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171472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23- Mar/23:53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68030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290.920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jc w:val="both"/>
              <w:rPr>
                <w:rFonts w:ascii="Arial" w:eastAsia="Arial" w:hAnsi="Arial" w:cs="Arial"/>
                <w:sz w:val="18"/>
                <w:szCs w:val="18"/>
              </w:rPr>
            </w:pPr>
            <w:r>
              <w:rPr>
                <w:rFonts w:ascii="Arial" w:hAnsi="Arial"/>
                <w:sz w:val="18"/>
              </w:rPr>
              <w:t>The CP Carga support operator informed the Porto Operational Command Centre (CCO) that whilst shunting from line G2 to line IIIA the driver passed signal M12 and block C2 at danger, causing the complete derailment of the locomotive and two tank wagons, and the derailment of a bogie on a third tank wagon. The two derailed wagons – used for transporting ammonia – were empty, and no leakage of any type took place. The accident resulted in damage to the overhead line, track and signalling equipment. A local emergency manager was appointed and a category B emergency plan was initiated. The Porto Operational Command Centre (CCO) requested the dispatch of a fire prevention team from the Aveiro Civil Protection Authority (CDOS). An assistance train was requested to re-rail the derailed vehicles, arriving at the site at 02:22. Track possession was in place from 00:20 on the up line between Válega and Estarreja (including line II up to signal S20). A speed limit of 30 km/hour was established on the down line between km 290.900 and 291.100 (which is not signalled and has no CONVEL/ATP), to protect the re-railing work. Traffic movement was later forbidden on the down line between Aveiro and Estarreja to enable the passage of a Fergrupo vehicle to assist with the work.</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006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171571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26- Mar/14:02</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4419</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006.480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Signal S3 at Lisboa-Oriente station was passed at danger, and the emergency brakes were activated by the CONVEL/ATP. The train was authorised by the Lisbon Operational Command Centre (CCO) to proceed to line I, where it was given authorisation to resume its journey with a designated Accompanying Agent.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007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171719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28- Mar/09:39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16807</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198.339</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informed the Lisbon Operational Command Centre (CCO) that they had passed signal S13 at Alfarelos station at danger by around 1 metre, and that they had retreated to line IV under their own initiative. CP was informed of the occurrence, and determined that the train driver should be accompanied by the ticket inspector to Coimbra-B.</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008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171753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28- Mar/16:30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18484</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Sintra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017.343</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driver informed the Lisbon Operational Command Centre (CCO) that they had passed signal S6/M6 at Agualva-Cacém station at danger. After higher-level authorisation from the Lisbon CP Service Centre, the train restarted its journey, and the ticket inspector accompanied the train driver in the driver's cab.</w:t>
            </w:r>
          </w:p>
        </w:tc>
      </w:tr>
      <w:tr w:rsidR="006F3ED5" w:rsidRPr="006A2FC1" w:rsidTr="008D1E56">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009</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171883</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31- Mar/13:36</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53050</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021.810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After leaving all the rolling stock at the Nitratos branch line, the train driver took just the locomotive to line V-A. When the Lisbon Operational Command Centre (CCO) had finished shunting from M18 to the AO section of track (as far as the limit of shunt indicator on the high-speed down line [VAR]) and while the CCO was shunting M3 to M7, M7 to M23, and M23 to M15 (line II), the train driver got onto the high-speed down line, moving against the normal direction of travel as far as signal SC2-BS of Sacavém- Bobadela Sul. When the CCO contacted the train driver, itineraries were set for the train to go to the Bobadela freight terminal. The freight train (1000 tonnes, 500 metres) is scheduled to transport ammonia between Entroncamento and the freight terminal at Bobadela, with a stop of 40 minutes in Alverca to leave the freight at the Nitratos branch line.</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 xml:space="preserve">Signal passed at </w:t>
            </w:r>
            <w:r>
              <w:rPr>
                <w:rFonts w:ascii="Arial" w:hAnsi="Arial"/>
                <w:b/>
                <w:sz w:val="18"/>
              </w:rPr>
              <w:lastRenderedPageBreak/>
              <w:t>danger _</w:t>
            </w:r>
            <w:r>
              <w:rPr>
                <w:rFonts w:ascii="Arial" w:hAnsi="Arial"/>
                <w:sz w:val="18"/>
              </w:rPr>
              <w:t>010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eGOC No</w:t>
            </w:r>
            <w:r>
              <w:rPr>
                <w:rFonts w:ascii="Arial" w:hAnsi="Arial"/>
                <w:sz w:val="18"/>
              </w:rPr>
              <w:t xml:space="preserve"> </w:t>
            </w:r>
            <w:r>
              <w:rPr>
                <w:rFonts w:ascii="Arial" w:hAnsi="Arial"/>
                <w:b/>
                <w:sz w:val="18"/>
              </w:rPr>
              <w:lastRenderedPageBreak/>
              <w:t>172078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 xml:space="preserve">Date/Time: 03- </w:t>
            </w:r>
            <w:r>
              <w:rPr>
                <w:rFonts w:ascii="Arial" w:hAnsi="Arial"/>
                <w:b/>
                <w:sz w:val="18"/>
              </w:rPr>
              <w:lastRenderedPageBreak/>
              <w:t>Apr/13:25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lastRenderedPageBreak/>
              <w:t xml:space="preserve"> </w:t>
            </w:r>
            <w:r>
              <w:rPr>
                <w:rFonts w:ascii="Arial" w:hAnsi="Arial"/>
                <w:b/>
                <w:sz w:val="18"/>
              </w:rPr>
              <w:t>Train No 6408</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"Ring"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005.370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lastRenderedPageBreak/>
              <w:t>Signal S19/M19 at Entrecampos station was passed at danger. The train driver informed the Lisbon Operational Command Centre (CCO) that he had taken the CONVEL/ATP out of service because of a problem logged at Benfica, and that he was travelling with another driver accompanying him in the driver's cab. The CCO had not been informed of this fact. Working together with the Central Command Post (PCC) and the Production Support office of CP Regional, the CCO authorised the train to resume its journey. Train 6408 started at Caldas da Rainha station (11:16) with a destination of Lisboa-Santa Apolónia (13:41).</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011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173521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26- Apr/14:10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91201</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033.224</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special train 91201 overran the forward shunt limit in the direction of Vale da Rosa at Praias do Sado station. This special train was requested by CP Carga for a single 1400 locomotive; however, the journey was made using a 1900 locomotive towing a 489 metre train set. The shunt was performed exclusively by agents belonging to CP Carga.</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012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173922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May/07:19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16504</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046.945</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Signal S8/M8 at Azambuja station was passed at danger with activation of the emergency brakes by the CONVEL/ATP as the train driver had started to move too soon after the annunciation that his train was leaving. Working together with the Central Command Post (PCC) and the CP Production Support office, the Lisbon Operational Command Centre (CCO) authorised the journey to be restarted, accompanied by the ticket inspector in the driver's cab. The driver was tested for alcohol on arrival at Alcântara Terra station.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013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175979</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Jun/18:20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18495</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006.480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Train number 18495 passed signal S9 at Oriente station at danger. The train driver then proceeded in train number 18298 to Benfica station, accompanied by another agent in the driver's cab, where he was replaced.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014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177034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18-Jun/18:16</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50633</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Alfarelos Branch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221.380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B46B17" w:rsidRDefault="00B65BEC" w:rsidP="008D1E56">
            <w:pPr>
              <w:rPr>
                <w:rFonts w:ascii="Arial" w:eastAsia="Arial" w:hAnsi="Arial" w:cs="Arial"/>
                <w:sz w:val="18"/>
                <w:szCs w:val="18"/>
              </w:rPr>
            </w:pPr>
            <w:r>
              <w:rPr>
                <w:rFonts w:ascii="Arial" w:hAnsi="Arial"/>
                <w:sz w:val="18"/>
              </w:rPr>
              <w:t>Signal S3 at Alfarelos station was passed at danger due to a lapse by the train driver, who then brought the train to a stop. The driver immediately contacted the Lisbon Operational Command Centre (CCO) and reported that he had been moving with the CONVEL/ATP out of service from Louriçal station due to an error in the system, which did not have a code. Working together with the Central Command Post (PCC) and the CP Production Support office, the crew was replaced, and the Lisbon Operational Command Centre (CCO) gave authorisation to continue with the CONVEL/ATP out of service, reducing speed for T80 in accordance with regulations. The goods train (960 tonnes, 370 metres) was scheduled to transport cement between Martingança and the CACIA multimodal platform.</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015</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177173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20- Jun/14:11</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64383</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056.400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Signal S13/M13 at Setil station was passed at danger due to a lapse by the train driver, with activation of the emergency brakes by the CONVEL/ATP. Working together with the Central Command Post (PCC) and the CP Production Support office, the Lisbon Operational Command Centre (CCO) authorised the train to move to Praias do Sado station, where applicable measures were taken. The goods train (1600 tonnes, 500 metres) was scheduled to transport cement between the Cimpor (Alhandra) branch line and Setúbal-Mar.</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016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178928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16- Jul/18:04</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Shunting service</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029.760</w:t>
            </w:r>
          </w:p>
        </w:tc>
      </w:tr>
      <w:tr w:rsidR="006F3ED5" w:rsidRPr="00B63285" w:rsidTr="008D1E56">
        <w:trPr>
          <w:trHeight w:val="20"/>
        </w:trPr>
        <w:tc>
          <w:tcPr>
            <w:tcW w:w="9523" w:type="dxa"/>
            <w:gridSpan w:val="6"/>
            <w:tcBorders>
              <w:top w:val="single" w:sz="8" w:space="0" w:color="A7BEDE"/>
              <w:left w:val="single" w:sz="8" w:space="0" w:color="7A9FCD"/>
              <w:bottom w:val="single" w:sz="8" w:space="0" w:color="7A9FCD"/>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Following the shunting from M16 to line IV at Setúbal-Mar station in order to make up train 64385, and as the length of the train set exceeded the line limits and was thereby occupying the track section of set of points 10 (track circuit 10), rolling stock with no itinerary was removed onto track section D6 at the initiative of CP Carga agents, without authorisation from the Lisbon Operational Command Centre (CCO). When questioned by the Lisbon Operational Command Centre (CCO), the CP Carga representative on site reported that this is the procedure normally used for this type of shunting. CP Carga stated that they did not carry out alcohol testing on the CP staff involved, as it was not possible to do so immediately.</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017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181423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22- Aug/08:20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Shunting service</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Vouga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032.747</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operator from the Aveiro Operational Management Centre (CGO) reported that on shunting with dual diesel unit (UDD) 9633 from line II to line III at Oliveira de Azeméis, the UDD started to move before the signal was opened, causing occupation of the circuit on the indicated stretch, with uncontrolled stock movement and an annunciation at the level crossing at mileage point 33.936.</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018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181798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27- Aug/17:53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184</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"Ring"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004.050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the indicated train informed the Lisbon Operational Command Centre (CCO) of passing signal S15 at Sete Rios station at danger. Itinerary established: S15-S25 in IMV. The train driver proceeded in the company of the ticket inspector from Entrecampos station to Lisboa Oriente, where he was replaced.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019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182001</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30- Aug/15:19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6410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Minho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004.050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 xml:space="preserve">The driver of train 6410 passed signal S1 at Sete Rios station at danger. On arriving at Entrecampos station, the </w:t>
            </w:r>
            <w:r>
              <w:rPr>
                <w:rFonts w:ascii="Arial" w:hAnsi="Arial"/>
                <w:sz w:val="18"/>
              </w:rPr>
              <w:lastRenderedPageBreak/>
              <w:t>Lisbon Operational Command Centre (CCO) asked the ticket inspector to go to the driver's cab, with the train driver reporting that they had travelled with the CONVEL/ATP out of service, accompanied by a second agent. The CCO was not aware of any type of malfunction/problem with the CONVEL/ATP system.</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Signal passed at danger _</w:t>
            </w:r>
            <w:r>
              <w:rPr>
                <w:rFonts w:ascii="Arial" w:hAnsi="Arial"/>
                <w:sz w:val="18"/>
              </w:rPr>
              <w:t>020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182283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03- Sep/11:55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17225</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Alentejo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000.000</w:t>
            </w:r>
          </w:p>
        </w:tc>
      </w:tr>
      <w:tr w:rsidR="006F3ED5" w:rsidRPr="006A2FC1"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driver of the indicated train passed S3/M3 at Barreiro station at danger. Authorisation was given to retreat to the station. The driver was replaced.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021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183922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26- Sep/09:25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Shunting service</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Algarve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340.008</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During shunting to enable the passage of dual diesel unit (UDD) 468 from the refuelling section to line I at Faro station, after the CP official at the supply section had indicated that shunting signal M26 was open, the driver of dual diesel unit (UDD) 456 who was stopped on line II while waiting to refuel, heard this information and embarked on the shunt, passing signal S6/M6 at danger and cutting into set of points 9, damaging its transmission rod, which now cannot be confirmed as being in normal position (routes to/from line I). CP, the Permanent Infrastructure Manager (PGI), the Central Command Post (PCC) and the Tunes maintenance depot (CMT-MN) track unit were all informed. A speed limit of 10 km/hour was initiated between 11:30 and 02:05 (on 27-09-2014) at set of points 9, which was set in the position that permits access to lines II, III, G5, G7 and G9, and train traffic was forbidden on line I between signal S4/M4 and set of points 9.</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022</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185873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22- Oct/20:59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27716</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"Ring"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002.690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Lisbon Operational Command Centre (CCO) reported that train 27716/7, which was on line VII of the Campolide-A branch, after a change in the points to enable the train to move to corner position 1 at Campolide, passed signal S21/M21 at danger, leading to the closure of signal S6 at Sete Rios (controlled by train 31313). The Lisbon CP command post and the Central Command Post (PCC) were informed.</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023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187022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07- Nov/16:05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91249</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Southern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033.224</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During shunting of the indicated special train, consisting of locomotive 1463 and 25 wagons totalling 518 metres long, commanded by signal M7 at Praias-Sado station, the shunt limit was exceeded-without prior warning to the Lisbon Operational Command Centre (CCO), leading to the unexpected occupation of track circuit CV 342. The agent responsible for the shunt was questioned, and he reported that the train did not fit within the section between signal M2 (insulated joint at km 33.697) and the shunt limit (insulated joint at km 34.158). The Lisbon Operational Command Centre (CCO) then secured the protections and established a route to line IV at Praias-Sado Mercadorias, and authorisation was given for the train to retreat. CP Carga was informed, who reported that this was a lapse by the crew and added that the crew were qualified to carry out this service.</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024</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187103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09- Nov/08:43</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4656</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217.294</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Lisbon Operational Command Centre (CCO) had indications of unexpected and continuous occupation of track circuit CV 15. The driver of the indicated train was questioned, and he reported that he was unable to stop at the authorised place because the triple electric drive train (UTE) had slipped back from signal S20/M20 (Coimbra-B), passing that signal at danger. The Lisbon Operational Command Centre (CCO) secured the protections and authorised a retreat to line VIII to carry out its commercial service. CP was informed. Traffic movement was suspended on line VIII, and the Coimbra maintenance depot (CMC-MN) track unit conducted an inspection, reporting that there was no problem of any type on the rails, and so normal traffic was re-established, with no limitations.</w:t>
            </w:r>
          </w:p>
        </w:tc>
      </w:tr>
      <w:tr w:rsidR="006F3ED5" w:rsidRPr="006A2FC1" w:rsidTr="008D1E56">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025</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187579</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16- Nov/09:49</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16415</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021.810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jc w:val="both"/>
              <w:rPr>
                <w:rFonts w:ascii="Arial" w:eastAsia="Arial" w:hAnsi="Arial" w:cs="Arial"/>
                <w:sz w:val="18"/>
                <w:szCs w:val="18"/>
              </w:rPr>
            </w:pPr>
            <w:r>
              <w:rPr>
                <w:rFonts w:ascii="Arial" w:hAnsi="Arial"/>
                <w:sz w:val="18"/>
              </w:rPr>
              <w:t>Signal S15/M15 at Alverca station was passed at danger, with occupation of track circuit CV 4II. Working together with the Central Command Post (PCC) and the CP Production Support office, the Lisbon Operational Command Centre (CCO) authorised the journey to be continued to its destination with a second agent in the driver's cab, and the return journey in train 16516 under the same conditions as far as Lisboa Oriente, where the driver was replaced and alcohol testing carried out.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026</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188025</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21- Nov/19:54</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47852</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074.148</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B46B17" w:rsidRDefault="00B65BEC" w:rsidP="008D1E56">
            <w:pPr>
              <w:rPr>
                <w:rFonts w:ascii="Arial" w:eastAsia="Arial" w:hAnsi="Arial" w:cs="Arial"/>
                <w:sz w:val="18"/>
                <w:szCs w:val="18"/>
              </w:rPr>
            </w:pPr>
            <w:r>
              <w:rPr>
                <w:rFonts w:ascii="Arial" w:hAnsi="Arial"/>
                <w:sz w:val="18"/>
              </w:rPr>
              <w:t xml:space="preserve">The Lisbon Operational Command Centre (CCO) authorised the return of the indicated train to Mortágua station at the request of the crew due to slipping at the indicated km, despite the use of sandboxes which were fully loaded and in working order. After a retreat of 1000 metres, the CONVEL/ATP applied the emergency brake at km 68.400, causing the coupling between the 7th and 8th vehicles to come undone due to the failure of the tension rod on one of the wagons. After the support operator had recoupled the vehicles, the train continued its retreat to line I of Mortágua station. Locomotive 4703 was pulling 14 wagons of 1048 tonnes and 406 metres (planned: series 4700 locomotive; 1000 tonnes and 500 metres, for the transportation of containers between Vilar Formoso and Alfarelos stations). After train 47852 had arrived at line I of the indicated station, and with the locomotive having passed signal S4/M4, the crew requested authorisation to pass this signal at danger and to continue their journey, which was authorised by the CCO. However instead of advancing, train 47852 retreated, passing signal S3/M3 at danger and colliding with train 47860, which was stopped at signal S2, resulting in damage to the wagons of train 47852. Train 47852 left the site under its own steam and, after the support operator had recoupled the vehicles, waited once again on line I. The crew of train </w:t>
            </w:r>
            <w:r>
              <w:rPr>
                <w:rFonts w:ascii="Arial" w:hAnsi="Arial"/>
                <w:sz w:val="18"/>
              </w:rPr>
              <w:lastRenderedPageBreak/>
              <w:t>47852 was replaced. A local emergency manager was appointed. Special train 95239 was provided to enable tandem operation, leaving Pampilhosa at 21:35 and arriving at Mortágua at 22:14. The servicing team arrived at 22:15, and after service work they declared the train ready at 23:12. Train 47852 restarted the journey to its destination at 23:17 with a speed limit of 30 km/hour, due to restrictions relating to the towed equipment.</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lastRenderedPageBreak/>
              <w:t>Signal passed at danger _</w:t>
            </w:r>
            <w:r>
              <w:rPr>
                <w:rFonts w:ascii="Arial" w:hAnsi="Arial"/>
                <w:sz w:val="18"/>
              </w:rPr>
              <w:t>027</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188973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06- Dec/17:09</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Train No 5426</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Beira Alta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251.984</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Signal S8/M8 was passed at danger at Vilar Formoso station (and without any of the route having been covered), due to a lapse by the train driver, who stopped after passing signal M22. The Lisbon Operational Command Centre (CCO) authorised its return to line I and, working together with the Central Command Post (PCC) and CP, the train was authorised to restart its journey accompanied by a second agent in the driver's cab.</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028</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189462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14- Dec/19:48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15176</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Guimarães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055.693</w:t>
            </w:r>
          </w:p>
        </w:tc>
      </w:tr>
      <w:tr w:rsidR="006F3ED5" w:rsidRPr="00B63285" w:rsidTr="008D1E56">
        <w:trPr>
          <w:trHeight w:val="20"/>
        </w:trPr>
        <w:tc>
          <w:tcPr>
            <w:tcW w:w="9523" w:type="dxa"/>
            <w:gridSpan w:val="6"/>
            <w:tcBorders>
              <w:top w:val="nil"/>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Signal S8/M8 was passed at danger at Guimarães station due to a lapse by the train driver. The Porto Operational Command Centre (CCO) authorised the train to retreat to line III and, working together with the Central Command Post (PCC) and CP, then authorised the train to resume its journey.</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029</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189613</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17- Dec/09:18</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91243</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"Ring"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000.000</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duty officer at the indicated station communicated to the Lisbon Operational Command Centre (CCO) that signal S31/M31 was passed at danger at Alcântara-Terra station. This was due to a lapse by the driver while shunting a railway inspection trolley from line III to line VIII.</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Signal passed at danger _</w:t>
            </w:r>
            <w:r>
              <w:rPr>
                <w:rFonts w:ascii="Arial" w:hAnsi="Arial"/>
                <w:sz w:val="18"/>
              </w:rPr>
              <w:t>030</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190332</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30- Dec/18:20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15940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336.079</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Train 15940/1 left line IV at Porto Campanhã station, and then incorrectly passed signal S26/M26 at danger. The train driver said it was a distraction. The Central Command Post (PCC) and the business unit were informed. The driver was instructed to proceed with a 2nd agent in the driver's cab. Train 15940/1 is a suburban passenger train starting at Porto São Bento station (18:10) with a destination of Ovar station (19:04).</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 xml:space="preserve">Broken wheels and axle boxes _ </w:t>
            </w:r>
            <w:r>
              <w:rPr>
                <w:rFonts w:ascii="Arial" w:hAnsi="Arial"/>
                <w:sz w:val="18"/>
              </w:rPr>
              <w:t>001</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167108</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13- Jan/12:25</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95217</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236.086</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train stopped at the Mealhada halt/alighting point as instructed by the Porto Operational Command Centre (CCO) so that it could be checked, as the crew of train 64035 had warned of a broken spring on one of the wagons on train 95217. When nothing abnormal was found, the train travelled to line III at Oliveira do Bairro for further checks, where the crew confirmed that one of the wagons had a broken spring. They could not continue without the presence of the rolling stock inspection officer from Pampilhosa, who went to Oliveira do Bairro. Train 95217 was withdrawn from service, with the wagons continuing to Pampilhosa on train 92218 that was announced for this purpose, at a speed limit of 30 km/hour. Goods train 95217 (970 tonnes, 250 metres) is an exceptional operation (T-90 / T-80) for the transportation of sand between Louriçal and the Lousareias branch line (Minho line).</w:t>
            </w:r>
          </w:p>
        </w:tc>
      </w:tr>
      <w:tr w:rsidR="006F3ED5" w:rsidRPr="006A2FC1" w:rsidTr="008D1E56">
        <w:trPr>
          <w:trHeight w:val="20"/>
        </w:trPr>
        <w:tc>
          <w:tcPr>
            <w:tcW w:w="198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 xml:space="preserve">Broken wheels and axle boxes _ </w:t>
            </w:r>
            <w:r>
              <w:rPr>
                <w:rFonts w:ascii="Arial" w:hAnsi="Arial"/>
                <w:sz w:val="18"/>
              </w:rPr>
              <w:t>002</w:t>
            </w:r>
          </w:p>
        </w:tc>
        <w:tc>
          <w:tcPr>
            <w:tcW w:w="1415"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170118</w:t>
            </w:r>
          </w:p>
        </w:tc>
        <w:tc>
          <w:tcPr>
            <w:tcW w:w="1851"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02- Mar/09:40</w:t>
            </w:r>
          </w:p>
        </w:tc>
        <w:tc>
          <w:tcPr>
            <w:tcW w:w="1578"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 (shunting)</w:t>
            </w:r>
          </w:p>
        </w:tc>
        <w:tc>
          <w:tcPr>
            <w:tcW w:w="1460"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Alentejo Line</w:t>
            </w:r>
          </w:p>
        </w:tc>
        <w:tc>
          <w:tcPr>
            <w:tcW w:w="1239" w:type="dxa"/>
            <w:tcBorders>
              <w:top w:val="single" w:sz="8" w:space="0" w:color="D2DFED"/>
              <w:left w:val="single" w:sz="8" w:space="0" w:color="7A9FCD"/>
              <w:bottom w:val="single" w:sz="8" w:space="0" w:color="7A9FCD"/>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030.407</w:t>
            </w:r>
          </w:p>
        </w:tc>
      </w:tr>
      <w:tr w:rsidR="006F3ED5" w:rsidRPr="00B63285" w:rsidTr="008D1E56">
        <w:trPr>
          <w:trHeight w:val="20"/>
        </w:trPr>
        <w:tc>
          <w:tcPr>
            <w:tcW w:w="9523" w:type="dxa"/>
            <w:gridSpan w:val="6"/>
            <w:tcBorders>
              <w:top w:val="single" w:sz="8" w:space="0" w:color="A7BEDE"/>
              <w:left w:val="single" w:sz="8" w:space="0" w:color="7A9FCD"/>
              <w:bottom w:val="nil"/>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When shunting from line VII to line III, the official in charge of shunting at CP-Carga reported that locomotive 1456 that was being towed by locomotive 1905, had derailed completely at set of points 22 for no apparent reason. Points 20, 22 and 26 were occupied and the level crossing at mileage point 30.528 was under annunciation. The level crossing was manned by a REFER official. A local emergency manager was appointed. The assistance train was requested to re-rail the locomotive, arriving at 13:21. Electric power was cut off at 13:54. Re-railing commenced at 13:55 and was completed at 18:10. Electric power and traffic movement were restored at 19:10. Points 22 was damaged, being set in the inverted position.</w:t>
            </w:r>
          </w:p>
        </w:tc>
      </w:tr>
      <w:tr w:rsidR="006F3ED5" w:rsidRPr="006A2FC1" w:rsidTr="008D1E56">
        <w:trPr>
          <w:trHeight w:val="20"/>
        </w:trPr>
        <w:tc>
          <w:tcPr>
            <w:tcW w:w="198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 xml:space="preserve">Broken wheels and axle boxes _ </w:t>
            </w:r>
            <w:r>
              <w:rPr>
                <w:rFonts w:ascii="Arial" w:hAnsi="Arial"/>
                <w:sz w:val="18"/>
              </w:rPr>
              <w:t>003</w:t>
            </w:r>
          </w:p>
        </w:tc>
        <w:tc>
          <w:tcPr>
            <w:tcW w:w="1415"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eGOC No</w:t>
            </w:r>
            <w:r>
              <w:rPr>
                <w:rFonts w:ascii="Arial" w:hAnsi="Arial"/>
                <w:sz w:val="18"/>
              </w:rPr>
              <w:t xml:space="preserve"> </w:t>
            </w:r>
            <w:r>
              <w:rPr>
                <w:rFonts w:ascii="Arial" w:hAnsi="Arial"/>
                <w:b/>
                <w:sz w:val="18"/>
              </w:rPr>
              <w:t>186274</w:t>
            </w:r>
          </w:p>
        </w:tc>
        <w:tc>
          <w:tcPr>
            <w:tcW w:w="1851"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Date/Time: 28- Oct/19:20</w:t>
            </w:r>
          </w:p>
        </w:tc>
        <w:tc>
          <w:tcPr>
            <w:tcW w:w="1578"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B65BEC" w:rsidP="008D1E56">
            <w:pPr>
              <w:rPr>
                <w:rFonts w:ascii="Arial" w:eastAsia="Arial" w:hAnsi="Arial" w:cs="Arial"/>
                <w:sz w:val="18"/>
                <w:szCs w:val="18"/>
              </w:rPr>
            </w:pPr>
            <w:r>
              <w:rPr>
                <w:rFonts w:ascii="Arial" w:hAnsi="Arial"/>
                <w:b/>
                <w:sz w:val="18"/>
              </w:rPr>
              <w:t>Train No</w:t>
            </w:r>
            <w:r>
              <w:rPr>
                <w:rFonts w:ascii="Arial" w:hAnsi="Arial"/>
                <w:sz w:val="18"/>
              </w:rPr>
              <w:t xml:space="preserve"> </w:t>
            </w:r>
            <w:r>
              <w:rPr>
                <w:rFonts w:ascii="Arial" w:hAnsi="Arial"/>
                <w:b/>
                <w:sz w:val="18"/>
              </w:rPr>
              <w:t>47830</w:t>
            </w:r>
          </w:p>
        </w:tc>
        <w:tc>
          <w:tcPr>
            <w:tcW w:w="1460"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Northern Line</w:t>
            </w:r>
          </w:p>
        </w:tc>
        <w:tc>
          <w:tcPr>
            <w:tcW w:w="1239" w:type="dxa"/>
            <w:tcBorders>
              <w:top w:val="single" w:sz="8" w:space="0" w:color="D2DFED"/>
              <w:left w:val="single" w:sz="8" w:space="0" w:color="7A9FCD"/>
              <w:bottom w:val="single" w:sz="8" w:space="0" w:color="A7BEDE"/>
              <w:right w:val="single" w:sz="8" w:space="0" w:color="7A9FCD"/>
            </w:tcBorders>
            <w:shd w:val="clear" w:color="auto" w:fill="D2DFED"/>
          </w:tcPr>
          <w:p w:rsidR="006F3ED5" w:rsidRPr="008D1E56" w:rsidRDefault="008D1E56" w:rsidP="008D1E56">
            <w:pPr>
              <w:rPr>
                <w:rFonts w:ascii="Arial" w:eastAsia="Arial" w:hAnsi="Arial" w:cs="Arial"/>
                <w:sz w:val="18"/>
                <w:szCs w:val="18"/>
              </w:rPr>
            </w:pPr>
            <w:r>
              <w:rPr>
                <w:rFonts w:ascii="Arial" w:hAnsi="Arial"/>
                <w:sz w:val="18"/>
              </w:rPr>
              <w:t xml:space="preserve"> </w:t>
            </w:r>
            <w:r>
              <w:rPr>
                <w:rFonts w:ascii="Arial" w:hAnsi="Arial"/>
                <w:b/>
                <w:sz w:val="18"/>
              </w:rPr>
              <w:t>Km 284.500</w:t>
            </w:r>
          </w:p>
        </w:tc>
      </w:tr>
      <w:tr w:rsidR="006F3ED5" w:rsidRPr="00B63285" w:rsidTr="008D1E56">
        <w:trPr>
          <w:trHeight w:val="20"/>
        </w:trPr>
        <w:tc>
          <w:tcPr>
            <w:tcW w:w="9523" w:type="dxa"/>
            <w:gridSpan w:val="6"/>
            <w:tcBorders>
              <w:top w:val="single" w:sz="8" w:space="0" w:color="A7BEDE"/>
              <w:left w:val="single" w:sz="8" w:space="0" w:color="7A9FCD"/>
              <w:bottom w:val="single" w:sz="8" w:space="0" w:color="7A9FCD"/>
              <w:right w:val="single" w:sz="8" w:space="0" w:color="7A9FCD"/>
            </w:tcBorders>
            <w:shd w:val="clear" w:color="auto" w:fill="A7BEDE"/>
          </w:tcPr>
          <w:p w:rsidR="006F3ED5" w:rsidRPr="008D1E56" w:rsidRDefault="00B65BEC" w:rsidP="008D1E56">
            <w:pPr>
              <w:rPr>
                <w:rFonts w:ascii="Arial" w:eastAsia="Arial" w:hAnsi="Arial" w:cs="Arial"/>
                <w:sz w:val="18"/>
                <w:szCs w:val="18"/>
              </w:rPr>
            </w:pPr>
            <w:r>
              <w:rPr>
                <w:rFonts w:ascii="Arial" w:hAnsi="Arial"/>
                <w:sz w:val="18"/>
              </w:rPr>
              <w:t>The Porto Operational Command Centre (CCO) reported that track sections at axle counters 2836D and 2833D became occupied after train 47830 had passed. The train stopped at km 277.000 to check the wagons. According to information received from the support operator, the train was running with extremely compressed brake blocks on one of the wagons, and so the brake was released manually. After starting up again, the support operator requested another stop in Aveiro, as problems were still noted on the towed rolling stock. The problem was found to be a loose/broken spring on one of the wagons. The Siemens signalling team reported that two of the axle counter sensors were broken. The axle counter sensors were repaired and track sections were returned to normal with the passage of train 15756. The train inspection officer from Gaia arrived and the damaged wagon was serviced, it continued its shunt and retreated on line 6. The train restarted its journey at 00:15. The goods train (1000 tonnes, 250 metres) was scheduled to transport wood between Tuy (Spain) and Louriçal.</w:t>
            </w:r>
          </w:p>
        </w:tc>
      </w:tr>
    </w:tbl>
    <w:p w:rsidR="008D1E56" w:rsidRDefault="008D1E56">
      <w:pPr>
        <w:spacing w:before="35" w:line="220" w:lineRule="exact"/>
        <w:ind w:left="600"/>
        <w:rPr>
          <w:rFonts w:ascii="Arial" w:eastAsia="Arial" w:hAnsi="Arial" w:cs="Arial"/>
        </w:rPr>
      </w:pPr>
    </w:p>
    <w:p w:rsidR="008D1E56" w:rsidRDefault="008D1E56">
      <w:pPr>
        <w:spacing w:before="35" w:line="220" w:lineRule="exact"/>
        <w:ind w:left="600"/>
        <w:rPr>
          <w:rFonts w:ascii="Arial" w:eastAsia="Arial" w:hAnsi="Arial" w:cs="Arial"/>
        </w:rPr>
      </w:pPr>
    </w:p>
    <w:p w:rsidR="006F3ED5" w:rsidRPr="006A2FC1" w:rsidRDefault="00B65BEC">
      <w:pPr>
        <w:spacing w:before="35" w:line="220" w:lineRule="exact"/>
        <w:ind w:left="600"/>
        <w:rPr>
          <w:rFonts w:ascii="Arial" w:eastAsia="Arial" w:hAnsi="Arial" w:cs="Arial"/>
        </w:rPr>
      </w:pPr>
      <w:r>
        <w:rPr>
          <w:rFonts w:ascii="Arial" w:hAnsi="Arial"/>
        </w:rPr>
        <w:t xml:space="preserve">Source: Annual Safety Report 2014, REFER </w:t>
      </w:r>
    </w:p>
    <w:sectPr w:rsidR="006F3ED5" w:rsidRPr="006A2FC1" w:rsidSect="00CD2578">
      <w:headerReference w:type="even" r:id="rId35"/>
      <w:footerReference w:type="default" r:id="rId36"/>
      <w:headerReference w:type="first" r:id="rId37"/>
      <w:footerReference w:type="first" r:id="rId38"/>
      <w:pgSz w:w="11907" w:h="16840" w:code="9"/>
      <w:pgMar w:top="1797" w:right="1247" w:bottom="1418" w:left="1247" w:header="567"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C4A" w:rsidRDefault="007D3C4A">
      <w:r>
        <w:separator/>
      </w:r>
    </w:p>
  </w:endnote>
  <w:endnote w:type="continuationSeparator" w:id="0">
    <w:p w:rsidR="007D3C4A" w:rsidRDefault="007D3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59" w:rsidRPr="009C4859" w:rsidRDefault="00705059" w:rsidP="00705059">
    <w:pPr>
      <w:pStyle w:val="Footer"/>
      <w:tabs>
        <w:tab w:val="clear" w:pos="4536"/>
      </w:tabs>
      <w:rPr>
        <w:rFonts w:ascii="Arial" w:hAnsi="Arial" w:cs="Arial"/>
      </w:rPr>
    </w:pPr>
    <w:r>
      <w:rPr>
        <w:rFonts w:ascii="Arial" w:hAnsi="Arial"/>
      </w:rPr>
      <w:t>Annual Safety Report 2014</w:t>
    </w:r>
    <w:r>
      <w:tab/>
    </w:r>
    <w:r w:rsidRPr="009C4859">
      <w:rPr>
        <w:rFonts w:ascii="Arial" w:hAnsi="Arial" w:cs="Arial"/>
      </w:rPr>
      <w:fldChar w:fldCharType="begin"/>
    </w:r>
    <w:r w:rsidRPr="009C4859">
      <w:rPr>
        <w:rFonts w:ascii="Arial" w:hAnsi="Arial" w:cs="Arial"/>
      </w:rPr>
      <w:instrText xml:space="preserve"> PAGE   \* MERGEFORMAT </w:instrText>
    </w:r>
    <w:r w:rsidRPr="009C4859">
      <w:rPr>
        <w:rFonts w:ascii="Arial" w:hAnsi="Arial" w:cs="Arial"/>
      </w:rPr>
      <w:fldChar w:fldCharType="separate"/>
    </w:r>
    <w:r w:rsidR="00FC7206" w:rsidRPr="00FC7206">
      <w:rPr>
        <w:rFonts w:cs="Arial"/>
        <w:noProof/>
      </w:rPr>
      <w:t>2</w:t>
    </w:r>
    <w:r w:rsidRPr="009C4859">
      <w:rPr>
        <w:rFonts w:ascii="Arial" w:hAnsi="Arial" w:cs="Arial"/>
        <w:noProof/>
      </w:rPr>
      <w:fldChar w:fldCharType="end"/>
    </w:r>
  </w:p>
  <w:p w:rsidR="00705059" w:rsidRDefault="007050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59" w:rsidRPr="009C4859" w:rsidRDefault="00705059" w:rsidP="00705059">
    <w:pPr>
      <w:pStyle w:val="Footer"/>
      <w:tabs>
        <w:tab w:val="clear" w:pos="4536"/>
      </w:tabs>
      <w:rPr>
        <w:rFonts w:ascii="Arial" w:hAnsi="Arial" w:cs="Arial"/>
      </w:rPr>
    </w:pPr>
    <w:r>
      <w:rPr>
        <w:rFonts w:ascii="Arial" w:hAnsi="Arial"/>
      </w:rPr>
      <w:t>Annual Safety Report 2014</w:t>
    </w:r>
    <w:r>
      <w:tab/>
    </w:r>
    <w:r w:rsidRPr="009C4859">
      <w:rPr>
        <w:rFonts w:ascii="Arial" w:hAnsi="Arial" w:cs="Arial"/>
      </w:rPr>
      <w:fldChar w:fldCharType="begin"/>
    </w:r>
    <w:r w:rsidRPr="009C4859">
      <w:rPr>
        <w:rFonts w:ascii="Arial" w:hAnsi="Arial" w:cs="Arial"/>
      </w:rPr>
      <w:instrText xml:space="preserve"> PAGE   \* MERGEFORMAT </w:instrText>
    </w:r>
    <w:r w:rsidRPr="009C4859">
      <w:rPr>
        <w:rFonts w:ascii="Arial" w:hAnsi="Arial" w:cs="Arial"/>
      </w:rPr>
      <w:fldChar w:fldCharType="separate"/>
    </w:r>
    <w:r w:rsidR="00FC7206" w:rsidRPr="00FC7206">
      <w:rPr>
        <w:rFonts w:cs="Arial"/>
        <w:noProof/>
      </w:rPr>
      <w:t>15</w:t>
    </w:r>
    <w:r w:rsidRPr="009C4859">
      <w:rPr>
        <w:rFonts w:ascii="Arial" w:hAnsi="Arial" w:cs="Arial"/>
        <w:noProof/>
      </w:rPr>
      <w:fldChar w:fldCharType="end"/>
    </w:r>
  </w:p>
  <w:p w:rsidR="00705059" w:rsidRDefault="007050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59" w:rsidRPr="009C4859" w:rsidRDefault="00705059" w:rsidP="009C4859">
    <w:pPr>
      <w:pStyle w:val="Footer"/>
      <w:tabs>
        <w:tab w:val="clear" w:pos="4536"/>
      </w:tabs>
      <w:ind w:left="-851"/>
      <w:rPr>
        <w:rFonts w:ascii="Arial" w:hAnsi="Arial" w:cs="Arial"/>
      </w:rPr>
    </w:pPr>
    <w:r>
      <w:rPr>
        <w:rFonts w:ascii="Arial" w:hAnsi="Arial"/>
      </w:rPr>
      <w:t>Annual Safety Report 2014</w:t>
    </w:r>
    <w:r>
      <w:tab/>
    </w:r>
    <w:r w:rsidRPr="009C4859">
      <w:rPr>
        <w:rFonts w:ascii="Arial" w:hAnsi="Arial" w:cs="Arial"/>
      </w:rPr>
      <w:fldChar w:fldCharType="begin"/>
    </w:r>
    <w:r w:rsidRPr="009C4859">
      <w:rPr>
        <w:rFonts w:ascii="Arial" w:hAnsi="Arial" w:cs="Arial"/>
      </w:rPr>
      <w:instrText xml:space="preserve"> PAGE   \* MERGEFORMAT </w:instrText>
    </w:r>
    <w:r w:rsidRPr="009C4859">
      <w:rPr>
        <w:rFonts w:ascii="Arial" w:hAnsi="Arial" w:cs="Arial"/>
      </w:rPr>
      <w:fldChar w:fldCharType="separate"/>
    </w:r>
    <w:r w:rsidR="00FC7206" w:rsidRPr="00FC7206">
      <w:rPr>
        <w:rFonts w:cs="Arial"/>
        <w:noProof/>
      </w:rPr>
      <w:t>1</w:t>
    </w:r>
    <w:r w:rsidRPr="009C4859">
      <w:rPr>
        <w:rFonts w:ascii="Arial" w:hAnsi="Arial"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C4A" w:rsidRDefault="007D3C4A">
      <w:r>
        <w:separator/>
      </w:r>
    </w:p>
  </w:footnote>
  <w:footnote w:type="continuationSeparator" w:id="0">
    <w:p w:rsidR="007D3C4A" w:rsidRDefault="007D3C4A">
      <w:r>
        <w:continuationSeparator/>
      </w:r>
    </w:p>
  </w:footnote>
  <w:footnote w:id="1">
    <w:p w:rsidR="00705059" w:rsidRPr="009C4859" w:rsidRDefault="00705059">
      <w:pPr>
        <w:pStyle w:val="FootnoteText"/>
        <w:rPr>
          <w:lang w:val="pt-PT"/>
        </w:rPr>
      </w:pPr>
      <w:r>
        <w:rPr>
          <w:rStyle w:val="FootnoteReference"/>
        </w:rPr>
        <w:footnoteRef/>
      </w:r>
      <w:r>
        <w:t xml:space="preserve"> </w:t>
      </w:r>
      <w:r>
        <w:rPr>
          <w:rFonts w:ascii="Arial" w:hAnsi="Arial"/>
          <w:spacing w:val="-2"/>
          <w:sz w:val="18"/>
        </w:rPr>
        <w:t>Set forth in Annex V of Decree Law No 270/2003 of 28 October, republished in Decree Law No 151/2014 of 13 October.</w:t>
      </w:r>
    </w:p>
  </w:footnote>
  <w:footnote w:id="2">
    <w:p w:rsidR="00705059" w:rsidRPr="009C4859" w:rsidRDefault="00705059">
      <w:pPr>
        <w:pStyle w:val="FootnoteText"/>
        <w:rPr>
          <w:lang w:val="pt-PT"/>
        </w:rPr>
      </w:pPr>
      <w:r>
        <w:rPr>
          <w:rStyle w:val="FootnoteReference"/>
        </w:rPr>
        <w:footnoteRef/>
      </w:r>
      <w:r>
        <w:t xml:space="preserve"> </w:t>
      </w:r>
      <w:r>
        <w:rPr>
          <w:rFonts w:ascii="Arial" w:hAnsi="Arial"/>
          <w:spacing w:val="-2"/>
          <w:sz w:val="18"/>
        </w:rPr>
        <w:t>In accordance with Article 66-C of the aforementioned Decree-Law.</w:t>
      </w:r>
    </w:p>
  </w:footnote>
  <w:footnote w:id="3">
    <w:p w:rsidR="00705059" w:rsidRPr="004119CA" w:rsidRDefault="00705059">
      <w:pPr>
        <w:pStyle w:val="FootnoteText"/>
        <w:rPr>
          <w:lang w:val="pt-PT"/>
        </w:rPr>
      </w:pPr>
      <w:r>
        <w:rPr>
          <w:rStyle w:val="FootnoteReference"/>
        </w:rPr>
        <w:footnoteRef/>
      </w:r>
      <w:r>
        <w:t xml:space="preserve"> </w:t>
      </w:r>
      <w:r>
        <w:rPr>
          <w:rFonts w:ascii="Arial" w:hAnsi="Arial"/>
          <w:spacing w:val="-2"/>
          <w:sz w:val="18"/>
        </w:rPr>
        <w:t>Ordinance No 209/2015 of 16 July, which restructures the organisation of the IMT, I.P.</w:t>
      </w:r>
    </w:p>
  </w:footnote>
  <w:footnote w:id="4">
    <w:p w:rsidR="00705059" w:rsidRPr="00FB6632" w:rsidRDefault="00705059">
      <w:pPr>
        <w:pStyle w:val="FootnoteText"/>
        <w:rPr>
          <w:lang w:val="pt-PT"/>
        </w:rPr>
      </w:pPr>
      <w:r>
        <w:rPr>
          <w:rStyle w:val="FootnoteReference"/>
        </w:rPr>
        <w:footnoteRef/>
      </w:r>
      <w:r>
        <w:t xml:space="preserve"> </w:t>
      </w:r>
      <w:r>
        <w:rPr>
          <w:rFonts w:ascii="Arial" w:hAnsi="Arial"/>
          <w:spacing w:val="-2"/>
          <w:sz w:val="18"/>
        </w:rPr>
        <w:t>Through the publication of a European Directive and its subsequent transposition into Portuguese legislation by Decree Law No 62/2010 of 9 June.</w:t>
      </w:r>
    </w:p>
  </w:footnote>
  <w:footnote w:id="5">
    <w:p w:rsidR="00705059" w:rsidRPr="00FB6632" w:rsidRDefault="00705059">
      <w:pPr>
        <w:pStyle w:val="FootnoteText"/>
        <w:rPr>
          <w:lang w:val="pt-PT"/>
        </w:rPr>
      </w:pPr>
      <w:r>
        <w:rPr>
          <w:rStyle w:val="FootnoteReference"/>
        </w:rPr>
        <w:footnoteRef/>
      </w:r>
      <w:r>
        <w:t xml:space="preserve"> </w:t>
      </w:r>
      <w:r>
        <w:rPr>
          <w:rFonts w:ascii="Arial" w:hAnsi="Arial"/>
          <w:spacing w:val="-2"/>
          <w:sz w:val="18"/>
        </w:rPr>
        <w:t>Set forth in Directive 2009/149/EC of 27 November, which amends Annex 1 of Directive 2004/49/EC (Railway Safety Directive), transposed into national law by Decree Law No 62/2010 of 9 June.</w:t>
      </w:r>
    </w:p>
  </w:footnote>
  <w:footnote w:id="6">
    <w:p w:rsidR="00705059" w:rsidRPr="00BD7878" w:rsidRDefault="00705059" w:rsidP="00BD7878">
      <w:pPr>
        <w:pStyle w:val="FootnoteText"/>
        <w:rPr>
          <w:rFonts w:ascii="Arial" w:hAnsi="Arial" w:cs="Arial"/>
          <w:lang w:val="pt-PT"/>
        </w:rPr>
      </w:pPr>
      <w:r>
        <w:rPr>
          <w:rStyle w:val="FootnoteReference"/>
        </w:rPr>
        <w:footnoteRef/>
      </w:r>
      <w:r>
        <w:t xml:space="preserve"> </w:t>
      </w:r>
      <w:r>
        <w:rPr>
          <w:rFonts w:ascii="Arial" w:hAnsi="Arial"/>
          <w:sz w:val="16"/>
        </w:rPr>
        <w:t>Specifically, collisions with overhead lines were previously included under “Other Accidents” are now considered “Collisions with obstacles within the clearance gauge”.</w:t>
      </w:r>
    </w:p>
  </w:footnote>
  <w:footnote w:id="7">
    <w:p w:rsidR="00705059" w:rsidRPr="00D03C2C" w:rsidRDefault="00705059">
      <w:pPr>
        <w:pStyle w:val="FootnoteText"/>
        <w:rPr>
          <w:lang w:val="pt-PT"/>
        </w:rPr>
      </w:pPr>
      <w:r>
        <w:rPr>
          <w:rStyle w:val="FootnoteReference"/>
        </w:rPr>
        <w:footnoteRef/>
      </w:r>
      <w:r>
        <w:t xml:space="preserve"> </w:t>
      </w:r>
      <w:r>
        <w:rPr>
          <w:rFonts w:ascii="Arial" w:hAnsi="Arial"/>
          <w:sz w:val="18"/>
        </w:rPr>
        <w:t>Data relative to precursors is only available as of 2006.</w:t>
      </w:r>
    </w:p>
  </w:footnote>
  <w:footnote w:id="8">
    <w:p w:rsidR="00705059" w:rsidRPr="008F4808" w:rsidRDefault="00705059">
      <w:pPr>
        <w:pStyle w:val="FootnoteText"/>
        <w:rPr>
          <w:lang w:val="pt-PT"/>
        </w:rPr>
      </w:pPr>
      <w:r>
        <w:rPr>
          <w:rStyle w:val="FootnoteReference"/>
        </w:rPr>
        <w:footnoteRef/>
      </w:r>
      <w:r>
        <w:t xml:space="preserve"> </w:t>
      </w:r>
      <w:r>
        <w:rPr>
          <w:rFonts w:ascii="Arial" w:hAnsi="Arial"/>
          <w:sz w:val="18"/>
        </w:rPr>
        <w:t>In August 2015, DIEF changed its name to the Transport Equipment and Infrastructure Department (DEIT), and the DSRTS changed its name to the Directorate for Technical Regulation, Quality and Safety Services (Direção de Serviços de Regulamentação Técnica, de Qualidade e Segurança, DSRTQS).</w:t>
      </w:r>
    </w:p>
  </w:footnote>
  <w:footnote w:id="9">
    <w:p w:rsidR="00705059" w:rsidRPr="008F4808" w:rsidRDefault="00705059">
      <w:pPr>
        <w:pStyle w:val="FootnoteText"/>
        <w:rPr>
          <w:lang w:val="pt-PT"/>
        </w:rPr>
      </w:pPr>
      <w:r>
        <w:rPr>
          <w:rStyle w:val="FootnoteReference"/>
        </w:rPr>
        <w:footnoteRef/>
      </w:r>
      <w:r>
        <w:t xml:space="preserve"> </w:t>
      </w:r>
      <w:r>
        <w:rPr>
          <w:rFonts w:ascii="Arial" w:hAnsi="Arial"/>
          <w:sz w:val="18"/>
        </w:rPr>
        <w:t>Of these, three only joined the department in October 2014.</w:t>
      </w:r>
    </w:p>
  </w:footnote>
  <w:footnote w:id="10">
    <w:p w:rsidR="00705059" w:rsidRPr="003B44FB" w:rsidRDefault="00705059">
      <w:pPr>
        <w:pStyle w:val="FootnoteText"/>
        <w:rPr>
          <w:lang w:val="pt-PT"/>
        </w:rPr>
      </w:pPr>
      <w:r>
        <w:rPr>
          <w:rStyle w:val="FootnoteReference"/>
        </w:rPr>
        <w:footnoteRef/>
      </w:r>
      <w:r>
        <w:t xml:space="preserve"> </w:t>
      </w:r>
      <w:r>
        <w:rPr>
          <w:rFonts w:ascii="Arial" w:hAnsi="Arial"/>
          <w:sz w:val="18"/>
        </w:rPr>
        <w:t>Decree Law No 77/2014 of 14 May.</w:t>
      </w:r>
    </w:p>
  </w:footnote>
  <w:footnote w:id="11">
    <w:p w:rsidR="00705059" w:rsidRPr="003B44FB" w:rsidRDefault="00705059">
      <w:pPr>
        <w:pStyle w:val="FootnoteText"/>
        <w:rPr>
          <w:lang w:val="pt-PT"/>
        </w:rPr>
      </w:pPr>
      <w:r>
        <w:rPr>
          <w:rStyle w:val="FootnoteReference"/>
        </w:rPr>
        <w:footnoteRef/>
      </w:r>
      <w:r>
        <w:t xml:space="preserve"> </w:t>
      </w:r>
      <w:r>
        <w:rPr>
          <w:rFonts w:ascii="Arial" w:hAnsi="Arial"/>
          <w:sz w:val="18"/>
        </w:rPr>
        <w:t>Law No 67/2013 of 28 August.</w:t>
      </w:r>
    </w:p>
  </w:footnote>
  <w:footnote w:id="12">
    <w:p w:rsidR="00705059" w:rsidRPr="003B44FB" w:rsidRDefault="00705059">
      <w:pPr>
        <w:pStyle w:val="FootnoteText"/>
        <w:rPr>
          <w:lang w:val="pt-PT"/>
        </w:rPr>
      </w:pPr>
      <w:r>
        <w:rPr>
          <w:rStyle w:val="FootnoteReference"/>
        </w:rPr>
        <w:footnoteRef/>
      </w:r>
      <w:r>
        <w:t xml:space="preserve"> </w:t>
      </w:r>
      <w:r>
        <w:rPr>
          <w:rFonts w:ascii="Arial" w:hAnsi="Arial"/>
          <w:sz w:val="18"/>
        </w:rPr>
        <w:t>Decree Law No 78/2014 of 14 May.</w:t>
      </w:r>
    </w:p>
  </w:footnote>
  <w:footnote w:id="13">
    <w:p w:rsidR="00705059" w:rsidRPr="003B44FB" w:rsidRDefault="00705059">
      <w:pPr>
        <w:pStyle w:val="FootnoteText"/>
        <w:rPr>
          <w:lang w:val="pt-PT"/>
        </w:rPr>
      </w:pPr>
      <w:r>
        <w:rPr>
          <w:rStyle w:val="FootnoteReference"/>
        </w:rPr>
        <w:footnoteRef/>
      </w:r>
      <w:r>
        <w:t xml:space="preserve"> </w:t>
      </w:r>
      <w:r>
        <w:rPr>
          <w:rFonts w:ascii="Arial" w:hAnsi="Arial"/>
          <w:sz w:val="18"/>
        </w:rPr>
        <w:t>This regulation was revoked by Regulation (EC) number 402/2013 of 30 April 2013, which came into effect on 21 May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59" w:rsidRDefault="00705059">
    <w:pPr>
      <w:pStyle w:val="Header"/>
    </w:pPr>
    <w:r>
      <w:rPr>
        <w:noProof/>
        <w:lang w:val="fr-LU" w:eastAsia="fr-LU" w:bidi="ar-SA"/>
      </w:rPr>
      <w:drawing>
        <wp:anchor distT="0" distB="0" distL="114300" distR="114300" simplePos="0" relativeHeight="251658240" behindDoc="1" locked="0" layoutInCell="1" allowOverlap="1">
          <wp:simplePos x="0" y="0"/>
          <wp:positionH relativeFrom="page">
            <wp:posOffset>3015615</wp:posOffset>
          </wp:positionH>
          <wp:positionV relativeFrom="page">
            <wp:posOffset>212725</wp:posOffset>
          </wp:positionV>
          <wp:extent cx="3999865" cy="133921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9865" cy="1339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59" w:rsidRDefault="00705059" w:rsidP="00CD2578">
    <w:pPr>
      <w:pStyle w:val="Header"/>
      <w:jc w:val="right"/>
    </w:pPr>
    <w:r>
      <w:rPr>
        <w:noProof/>
        <w:lang w:val="fr-LU" w:eastAsia="fr-LU" w:bidi="ar-SA"/>
      </w:rPr>
      <w:drawing>
        <wp:inline distT="0" distB="0" distL="0" distR="0" wp14:anchorId="6C1687FF" wp14:editId="376C436A">
          <wp:extent cx="1898015" cy="647065"/>
          <wp:effectExtent l="0" t="0" r="6985" b="63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8015" cy="6470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59" w:rsidRDefault="00705059">
    <w:pPr>
      <w:pStyle w:val="Header"/>
    </w:pPr>
    <w:r>
      <w:rPr>
        <w:noProof/>
        <w:lang w:val="fr-LU" w:eastAsia="fr-LU" w:bidi="ar-SA"/>
      </w:rPr>
      <w:drawing>
        <wp:anchor distT="0" distB="0" distL="114300" distR="114300" simplePos="0" relativeHeight="251661312" behindDoc="1" locked="0" layoutInCell="1" allowOverlap="1" wp14:anchorId="31124CE4" wp14:editId="261C9F52">
          <wp:simplePos x="0" y="0"/>
          <wp:positionH relativeFrom="page">
            <wp:posOffset>4985385</wp:posOffset>
          </wp:positionH>
          <wp:positionV relativeFrom="page">
            <wp:posOffset>212725</wp:posOffset>
          </wp:positionV>
          <wp:extent cx="2031365" cy="680085"/>
          <wp:effectExtent l="0" t="0" r="6985"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1365" cy="6800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059" w:rsidRDefault="00705059">
    <w:pPr>
      <w:pStyle w:val="Header"/>
    </w:pPr>
    <w:r>
      <w:rPr>
        <w:noProof/>
        <w:lang w:val="fr-LU" w:eastAsia="fr-LU" w:bidi="ar-SA"/>
      </w:rPr>
      <w:drawing>
        <wp:anchor distT="0" distB="0" distL="114300" distR="114300" simplePos="0" relativeHeight="251660288" behindDoc="1" locked="0" layoutInCell="1" allowOverlap="1" wp14:anchorId="1287D617" wp14:editId="002CF18C">
          <wp:simplePos x="0" y="0"/>
          <wp:positionH relativeFrom="page">
            <wp:posOffset>4933950</wp:posOffset>
          </wp:positionH>
          <wp:positionV relativeFrom="page">
            <wp:posOffset>295275</wp:posOffset>
          </wp:positionV>
          <wp:extent cx="2031365" cy="680085"/>
          <wp:effectExtent l="0" t="0" r="698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1365" cy="6800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6383C"/>
    <w:multiLevelType w:val="multilevel"/>
    <w:tmpl w:val="1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4C23D6"/>
    <w:multiLevelType w:val="multilevel"/>
    <w:tmpl w:val="43F69D76"/>
    <w:lvl w:ilvl="0">
      <w:start w:val="1"/>
      <w:numFmt w:val="upperLetter"/>
      <w:lvlText w:val="%1."/>
      <w:lvlJc w:val="left"/>
      <w:pPr>
        <w:ind w:left="851" w:hanging="851"/>
      </w:pPr>
      <w:rPr>
        <w:rFonts w:hint="default"/>
      </w:rPr>
    </w:lvl>
    <w:lvl w:ilvl="1">
      <w:start w:val="1"/>
      <w:numFmt w:val="decimal"/>
      <w:lvlText w:val="%1.%2."/>
      <w:lvlJc w:val="left"/>
      <w:pPr>
        <w:ind w:left="792" w:hanging="792"/>
      </w:pPr>
      <w:rPr>
        <w:rFonts w:ascii="Arial" w:hAnsi="Arial" w:hint="default"/>
        <w:b/>
        <w:i w:val="0"/>
        <w:sz w:val="24"/>
      </w:rPr>
    </w:lvl>
    <w:lvl w:ilvl="2">
      <w:start w:val="1"/>
      <w:numFmt w:val="decimal"/>
      <w:lvlText w:val="%1.%2.%3."/>
      <w:lvlJc w:val="left"/>
      <w:pPr>
        <w:ind w:left="1224" w:hanging="504"/>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7A562B1"/>
    <w:multiLevelType w:val="multilevel"/>
    <w:tmpl w:val="53B85050"/>
    <w:lvl w:ilvl="0">
      <w:start w:val="1"/>
      <w:numFmt w:val="upperLetter"/>
      <w:lvlText w:val="%1."/>
      <w:lvlJc w:val="left"/>
      <w:pPr>
        <w:ind w:left="839" w:hanging="360"/>
      </w:pPr>
      <w:rPr>
        <w:rFonts w:ascii="Arial" w:hAnsi="Arial" w:hint="default"/>
        <w:b/>
        <w:i w:val="0"/>
        <w:sz w:val="28"/>
        <w:u w:val="none"/>
      </w:rPr>
    </w:lvl>
    <w:lvl w:ilvl="1">
      <w:start w:val="1"/>
      <w:numFmt w:val="lowerLetter"/>
      <w:lvlText w:val="%2."/>
      <w:lvlJc w:val="left"/>
      <w:pPr>
        <w:ind w:left="1559" w:hanging="360"/>
      </w:pPr>
      <w:rPr>
        <w:rFonts w:hint="default"/>
      </w:rPr>
    </w:lvl>
    <w:lvl w:ilvl="2">
      <w:start w:val="1"/>
      <w:numFmt w:val="lowerRoman"/>
      <w:lvlText w:val="%3."/>
      <w:lvlJc w:val="right"/>
      <w:pPr>
        <w:ind w:left="2279" w:hanging="180"/>
      </w:pPr>
      <w:rPr>
        <w:rFonts w:hint="default"/>
      </w:rPr>
    </w:lvl>
    <w:lvl w:ilvl="3">
      <w:start w:val="1"/>
      <w:numFmt w:val="decimal"/>
      <w:lvlText w:val="%4."/>
      <w:lvlJc w:val="left"/>
      <w:pPr>
        <w:ind w:left="2999" w:hanging="360"/>
      </w:pPr>
      <w:rPr>
        <w:rFonts w:hint="default"/>
      </w:rPr>
    </w:lvl>
    <w:lvl w:ilvl="4">
      <w:start w:val="1"/>
      <w:numFmt w:val="lowerLetter"/>
      <w:lvlText w:val="%5."/>
      <w:lvlJc w:val="left"/>
      <w:pPr>
        <w:ind w:left="3719" w:hanging="360"/>
      </w:pPr>
      <w:rPr>
        <w:rFonts w:hint="default"/>
      </w:rPr>
    </w:lvl>
    <w:lvl w:ilvl="5">
      <w:start w:val="1"/>
      <w:numFmt w:val="lowerRoman"/>
      <w:lvlText w:val="%6."/>
      <w:lvlJc w:val="right"/>
      <w:pPr>
        <w:ind w:left="4439" w:hanging="180"/>
      </w:pPr>
      <w:rPr>
        <w:rFonts w:hint="default"/>
      </w:rPr>
    </w:lvl>
    <w:lvl w:ilvl="6">
      <w:start w:val="1"/>
      <w:numFmt w:val="decimal"/>
      <w:lvlText w:val="%7."/>
      <w:lvlJc w:val="left"/>
      <w:pPr>
        <w:ind w:left="5159" w:hanging="360"/>
      </w:pPr>
      <w:rPr>
        <w:rFonts w:hint="default"/>
      </w:rPr>
    </w:lvl>
    <w:lvl w:ilvl="7">
      <w:start w:val="1"/>
      <w:numFmt w:val="lowerLetter"/>
      <w:lvlText w:val="%8."/>
      <w:lvlJc w:val="left"/>
      <w:pPr>
        <w:ind w:left="5879" w:hanging="360"/>
      </w:pPr>
      <w:rPr>
        <w:rFonts w:hint="default"/>
      </w:rPr>
    </w:lvl>
    <w:lvl w:ilvl="8">
      <w:start w:val="1"/>
      <w:numFmt w:val="lowerRoman"/>
      <w:lvlText w:val="%9."/>
      <w:lvlJc w:val="right"/>
      <w:pPr>
        <w:ind w:left="6599" w:hanging="180"/>
      </w:pPr>
      <w:rPr>
        <w:rFonts w:hint="default"/>
      </w:rPr>
    </w:lvl>
  </w:abstractNum>
  <w:abstractNum w:abstractNumId="3" w15:restartNumberingAfterBreak="0">
    <w:nsid w:val="0C444F31"/>
    <w:multiLevelType w:val="hybridMultilevel"/>
    <w:tmpl w:val="67720734"/>
    <w:lvl w:ilvl="0" w:tplc="36329B9E">
      <w:start w:val="1"/>
      <w:numFmt w:val="upperLetter"/>
      <w:lvlText w:val="%1."/>
      <w:lvlJc w:val="left"/>
      <w:pPr>
        <w:ind w:left="854" w:hanging="735"/>
      </w:pPr>
      <w:rPr>
        <w:rFonts w:hint="default"/>
        <w:b/>
      </w:rPr>
    </w:lvl>
    <w:lvl w:ilvl="1" w:tplc="140C0019" w:tentative="1">
      <w:start w:val="1"/>
      <w:numFmt w:val="lowerLetter"/>
      <w:lvlText w:val="%2."/>
      <w:lvlJc w:val="left"/>
      <w:pPr>
        <w:ind w:left="1199" w:hanging="360"/>
      </w:pPr>
    </w:lvl>
    <w:lvl w:ilvl="2" w:tplc="140C001B" w:tentative="1">
      <w:start w:val="1"/>
      <w:numFmt w:val="lowerRoman"/>
      <w:lvlText w:val="%3."/>
      <w:lvlJc w:val="right"/>
      <w:pPr>
        <w:ind w:left="1919" w:hanging="180"/>
      </w:pPr>
    </w:lvl>
    <w:lvl w:ilvl="3" w:tplc="140C000F" w:tentative="1">
      <w:start w:val="1"/>
      <w:numFmt w:val="decimal"/>
      <w:lvlText w:val="%4."/>
      <w:lvlJc w:val="left"/>
      <w:pPr>
        <w:ind w:left="2639" w:hanging="360"/>
      </w:pPr>
    </w:lvl>
    <w:lvl w:ilvl="4" w:tplc="140C0019" w:tentative="1">
      <w:start w:val="1"/>
      <w:numFmt w:val="lowerLetter"/>
      <w:lvlText w:val="%5."/>
      <w:lvlJc w:val="left"/>
      <w:pPr>
        <w:ind w:left="3359" w:hanging="360"/>
      </w:pPr>
    </w:lvl>
    <w:lvl w:ilvl="5" w:tplc="140C001B" w:tentative="1">
      <w:start w:val="1"/>
      <w:numFmt w:val="lowerRoman"/>
      <w:lvlText w:val="%6."/>
      <w:lvlJc w:val="right"/>
      <w:pPr>
        <w:ind w:left="4079" w:hanging="180"/>
      </w:pPr>
    </w:lvl>
    <w:lvl w:ilvl="6" w:tplc="140C000F" w:tentative="1">
      <w:start w:val="1"/>
      <w:numFmt w:val="decimal"/>
      <w:lvlText w:val="%7."/>
      <w:lvlJc w:val="left"/>
      <w:pPr>
        <w:ind w:left="4799" w:hanging="360"/>
      </w:pPr>
    </w:lvl>
    <w:lvl w:ilvl="7" w:tplc="140C0019" w:tentative="1">
      <w:start w:val="1"/>
      <w:numFmt w:val="lowerLetter"/>
      <w:lvlText w:val="%8."/>
      <w:lvlJc w:val="left"/>
      <w:pPr>
        <w:ind w:left="5519" w:hanging="360"/>
      </w:pPr>
    </w:lvl>
    <w:lvl w:ilvl="8" w:tplc="140C001B" w:tentative="1">
      <w:start w:val="1"/>
      <w:numFmt w:val="lowerRoman"/>
      <w:lvlText w:val="%9."/>
      <w:lvlJc w:val="right"/>
      <w:pPr>
        <w:ind w:left="6239" w:hanging="180"/>
      </w:pPr>
    </w:lvl>
  </w:abstractNum>
  <w:abstractNum w:abstractNumId="4" w15:restartNumberingAfterBreak="0">
    <w:nsid w:val="272A3174"/>
    <w:multiLevelType w:val="multilevel"/>
    <w:tmpl w:val="2588239C"/>
    <w:lvl w:ilvl="0">
      <w:start w:val="3"/>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TITRE4"/>
      <w:lvlText w:val="%1.%2.%3.%4."/>
      <w:lvlJc w:val="left"/>
      <w:pPr>
        <w:ind w:left="72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F6C0403"/>
    <w:multiLevelType w:val="multilevel"/>
    <w:tmpl w:val="4E822334"/>
    <w:lvl w:ilvl="0">
      <w:start w:val="1"/>
      <w:numFmt w:val="upperLetter"/>
      <w:lvlText w:val="%1."/>
      <w:lvlJc w:val="left"/>
      <w:pPr>
        <w:ind w:left="851" w:hanging="851"/>
      </w:pPr>
      <w:rPr>
        <w:rFonts w:hint="default"/>
      </w:rPr>
    </w:lvl>
    <w:lvl w:ilvl="1">
      <w:start w:val="1"/>
      <w:numFmt w:val="decimal"/>
      <w:lvlText w:val="%1.%2."/>
      <w:lvlJc w:val="left"/>
      <w:pPr>
        <w:ind w:left="792" w:hanging="792"/>
      </w:pPr>
      <w:rPr>
        <w:rFonts w:ascii="Arial" w:hAnsi="Arial" w:hint="default"/>
        <w:b/>
        <w:i w:val="0"/>
        <w:sz w:val="24"/>
      </w:rPr>
    </w:lvl>
    <w:lvl w:ilvl="2">
      <w:start w:val="1"/>
      <w:numFmt w:val="decimal"/>
      <w:pStyle w:val="ANNEXEB"/>
      <w:lvlText w:val="%1.%2.%3."/>
      <w:lvlJc w:val="left"/>
      <w:pPr>
        <w:ind w:left="709" w:hanging="709"/>
      </w:pPr>
      <w:rPr>
        <w:rFonts w:ascii="Arial" w:hAnsi="Arial" w:hint="default"/>
        <w:b w:val="0"/>
        <w:i/>
        <w:color w:val="auto"/>
        <w:sz w:val="22"/>
      </w:rPr>
    </w:lvl>
    <w:lvl w:ilvl="3">
      <w:start w:val="1"/>
      <w:numFmt w:val="decimal"/>
      <w:lvlText w:val="%1.%2.%3.%4."/>
      <w:lvlJc w:val="left"/>
      <w:pPr>
        <w:ind w:left="72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1E00C48"/>
    <w:multiLevelType w:val="hybridMultilevel"/>
    <w:tmpl w:val="FBA6CB08"/>
    <w:lvl w:ilvl="0" w:tplc="9D08B976">
      <w:start w:val="1"/>
      <w:numFmt w:val="bullet"/>
      <w:pStyle w:val="BULLET1"/>
      <w:lvlText w:val=""/>
      <w:lvlJc w:val="left"/>
      <w:pPr>
        <w:ind w:left="1200" w:hanging="360"/>
      </w:pPr>
      <w:rPr>
        <w:rFonts w:ascii="Symbol" w:hAnsi="Symbol" w:hint="default"/>
      </w:rPr>
    </w:lvl>
    <w:lvl w:ilvl="1" w:tplc="140C0003" w:tentative="1">
      <w:start w:val="1"/>
      <w:numFmt w:val="bullet"/>
      <w:lvlText w:val="o"/>
      <w:lvlJc w:val="left"/>
      <w:pPr>
        <w:ind w:left="1920" w:hanging="360"/>
      </w:pPr>
      <w:rPr>
        <w:rFonts w:ascii="Courier New" w:hAnsi="Courier New" w:cs="Courier New" w:hint="default"/>
      </w:rPr>
    </w:lvl>
    <w:lvl w:ilvl="2" w:tplc="140C0005" w:tentative="1">
      <w:start w:val="1"/>
      <w:numFmt w:val="bullet"/>
      <w:lvlText w:val=""/>
      <w:lvlJc w:val="left"/>
      <w:pPr>
        <w:ind w:left="2640" w:hanging="360"/>
      </w:pPr>
      <w:rPr>
        <w:rFonts w:ascii="Wingdings" w:hAnsi="Wingdings" w:hint="default"/>
      </w:rPr>
    </w:lvl>
    <w:lvl w:ilvl="3" w:tplc="140C0001" w:tentative="1">
      <w:start w:val="1"/>
      <w:numFmt w:val="bullet"/>
      <w:lvlText w:val=""/>
      <w:lvlJc w:val="left"/>
      <w:pPr>
        <w:ind w:left="3360" w:hanging="360"/>
      </w:pPr>
      <w:rPr>
        <w:rFonts w:ascii="Symbol" w:hAnsi="Symbol" w:hint="default"/>
      </w:rPr>
    </w:lvl>
    <w:lvl w:ilvl="4" w:tplc="140C0003" w:tentative="1">
      <w:start w:val="1"/>
      <w:numFmt w:val="bullet"/>
      <w:lvlText w:val="o"/>
      <w:lvlJc w:val="left"/>
      <w:pPr>
        <w:ind w:left="4080" w:hanging="360"/>
      </w:pPr>
      <w:rPr>
        <w:rFonts w:ascii="Courier New" w:hAnsi="Courier New" w:cs="Courier New" w:hint="default"/>
      </w:rPr>
    </w:lvl>
    <w:lvl w:ilvl="5" w:tplc="140C0005" w:tentative="1">
      <w:start w:val="1"/>
      <w:numFmt w:val="bullet"/>
      <w:lvlText w:val=""/>
      <w:lvlJc w:val="left"/>
      <w:pPr>
        <w:ind w:left="4800" w:hanging="360"/>
      </w:pPr>
      <w:rPr>
        <w:rFonts w:ascii="Wingdings" w:hAnsi="Wingdings" w:hint="default"/>
      </w:rPr>
    </w:lvl>
    <w:lvl w:ilvl="6" w:tplc="140C0001" w:tentative="1">
      <w:start w:val="1"/>
      <w:numFmt w:val="bullet"/>
      <w:lvlText w:val=""/>
      <w:lvlJc w:val="left"/>
      <w:pPr>
        <w:ind w:left="5520" w:hanging="360"/>
      </w:pPr>
      <w:rPr>
        <w:rFonts w:ascii="Symbol" w:hAnsi="Symbol" w:hint="default"/>
      </w:rPr>
    </w:lvl>
    <w:lvl w:ilvl="7" w:tplc="140C0003" w:tentative="1">
      <w:start w:val="1"/>
      <w:numFmt w:val="bullet"/>
      <w:lvlText w:val="o"/>
      <w:lvlJc w:val="left"/>
      <w:pPr>
        <w:ind w:left="6240" w:hanging="360"/>
      </w:pPr>
      <w:rPr>
        <w:rFonts w:ascii="Courier New" w:hAnsi="Courier New" w:cs="Courier New" w:hint="default"/>
      </w:rPr>
    </w:lvl>
    <w:lvl w:ilvl="8" w:tplc="140C0005" w:tentative="1">
      <w:start w:val="1"/>
      <w:numFmt w:val="bullet"/>
      <w:lvlText w:val=""/>
      <w:lvlJc w:val="left"/>
      <w:pPr>
        <w:ind w:left="6960" w:hanging="360"/>
      </w:pPr>
      <w:rPr>
        <w:rFonts w:ascii="Wingdings" w:hAnsi="Wingdings" w:hint="default"/>
      </w:rPr>
    </w:lvl>
  </w:abstractNum>
  <w:abstractNum w:abstractNumId="7" w15:restartNumberingAfterBreak="0">
    <w:nsid w:val="43415E3A"/>
    <w:multiLevelType w:val="multilevel"/>
    <w:tmpl w:val="34503684"/>
    <w:lvl w:ilvl="0">
      <w:start w:val="1"/>
      <w:numFmt w:val="upperLetter"/>
      <w:lvlText w:val="%1."/>
      <w:lvlJc w:val="left"/>
      <w:pPr>
        <w:ind w:left="851" w:hanging="851"/>
      </w:pPr>
      <w:rPr>
        <w:rFonts w:hint="default"/>
      </w:rPr>
    </w:lvl>
    <w:lvl w:ilvl="1">
      <w:start w:val="1"/>
      <w:numFmt w:val="decimal"/>
      <w:lvlText w:val="%1.%2."/>
      <w:lvlJc w:val="left"/>
      <w:pPr>
        <w:ind w:left="792" w:hanging="792"/>
      </w:pPr>
      <w:rPr>
        <w:rFonts w:ascii="Arial" w:hAnsi="Arial" w:hint="default"/>
        <w:b/>
        <w:i w:val="0"/>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88261E7"/>
    <w:multiLevelType w:val="hybridMultilevel"/>
    <w:tmpl w:val="6B74C804"/>
    <w:lvl w:ilvl="0" w:tplc="54209F0E">
      <w:start w:val="1"/>
      <w:numFmt w:val="bullet"/>
      <w:lvlText w:val=""/>
      <w:lvlJc w:val="left"/>
      <w:pPr>
        <w:ind w:left="840" w:hanging="360"/>
      </w:pPr>
      <w:rPr>
        <w:rFonts w:ascii="Symbol" w:eastAsia="Symbol" w:hAnsi="Symbol" w:cs="Symbol" w:hint="default"/>
      </w:rPr>
    </w:lvl>
    <w:lvl w:ilvl="1" w:tplc="140C0003" w:tentative="1">
      <w:start w:val="1"/>
      <w:numFmt w:val="bullet"/>
      <w:lvlText w:val="o"/>
      <w:lvlJc w:val="left"/>
      <w:pPr>
        <w:ind w:left="1560" w:hanging="360"/>
      </w:pPr>
      <w:rPr>
        <w:rFonts w:ascii="Courier New" w:hAnsi="Courier New" w:cs="Courier New" w:hint="default"/>
      </w:rPr>
    </w:lvl>
    <w:lvl w:ilvl="2" w:tplc="140C0005" w:tentative="1">
      <w:start w:val="1"/>
      <w:numFmt w:val="bullet"/>
      <w:lvlText w:val=""/>
      <w:lvlJc w:val="left"/>
      <w:pPr>
        <w:ind w:left="2280" w:hanging="360"/>
      </w:pPr>
      <w:rPr>
        <w:rFonts w:ascii="Wingdings" w:hAnsi="Wingdings" w:hint="default"/>
      </w:rPr>
    </w:lvl>
    <w:lvl w:ilvl="3" w:tplc="140C0001" w:tentative="1">
      <w:start w:val="1"/>
      <w:numFmt w:val="bullet"/>
      <w:lvlText w:val=""/>
      <w:lvlJc w:val="left"/>
      <w:pPr>
        <w:ind w:left="3000" w:hanging="360"/>
      </w:pPr>
      <w:rPr>
        <w:rFonts w:ascii="Symbol" w:hAnsi="Symbol" w:hint="default"/>
      </w:rPr>
    </w:lvl>
    <w:lvl w:ilvl="4" w:tplc="140C0003" w:tentative="1">
      <w:start w:val="1"/>
      <w:numFmt w:val="bullet"/>
      <w:lvlText w:val="o"/>
      <w:lvlJc w:val="left"/>
      <w:pPr>
        <w:ind w:left="3720" w:hanging="360"/>
      </w:pPr>
      <w:rPr>
        <w:rFonts w:ascii="Courier New" w:hAnsi="Courier New" w:cs="Courier New" w:hint="default"/>
      </w:rPr>
    </w:lvl>
    <w:lvl w:ilvl="5" w:tplc="140C0005" w:tentative="1">
      <w:start w:val="1"/>
      <w:numFmt w:val="bullet"/>
      <w:lvlText w:val=""/>
      <w:lvlJc w:val="left"/>
      <w:pPr>
        <w:ind w:left="4440" w:hanging="360"/>
      </w:pPr>
      <w:rPr>
        <w:rFonts w:ascii="Wingdings" w:hAnsi="Wingdings" w:hint="default"/>
      </w:rPr>
    </w:lvl>
    <w:lvl w:ilvl="6" w:tplc="140C0001" w:tentative="1">
      <w:start w:val="1"/>
      <w:numFmt w:val="bullet"/>
      <w:lvlText w:val=""/>
      <w:lvlJc w:val="left"/>
      <w:pPr>
        <w:ind w:left="5160" w:hanging="360"/>
      </w:pPr>
      <w:rPr>
        <w:rFonts w:ascii="Symbol" w:hAnsi="Symbol" w:hint="default"/>
      </w:rPr>
    </w:lvl>
    <w:lvl w:ilvl="7" w:tplc="140C0003" w:tentative="1">
      <w:start w:val="1"/>
      <w:numFmt w:val="bullet"/>
      <w:lvlText w:val="o"/>
      <w:lvlJc w:val="left"/>
      <w:pPr>
        <w:ind w:left="5880" w:hanging="360"/>
      </w:pPr>
      <w:rPr>
        <w:rFonts w:ascii="Courier New" w:hAnsi="Courier New" w:cs="Courier New" w:hint="default"/>
      </w:rPr>
    </w:lvl>
    <w:lvl w:ilvl="8" w:tplc="140C0005" w:tentative="1">
      <w:start w:val="1"/>
      <w:numFmt w:val="bullet"/>
      <w:lvlText w:val=""/>
      <w:lvlJc w:val="left"/>
      <w:pPr>
        <w:ind w:left="6600" w:hanging="360"/>
      </w:pPr>
      <w:rPr>
        <w:rFonts w:ascii="Wingdings" w:hAnsi="Wingdings" w:hint="default"/>
      </w:rPr>
    </w:lvl>
  </w:abstractNum>
  <w:abstractNum w:abstractNumId="9" w15:restartNumberingAfterBreak="0">
    <w:nsid w:val="4A6E3494"/>
    <w:multiLevelType w:val="multilevel"/>
    <w:tmpl w:val="EF50916C"/>
    <w:lvl w:ilvl="0">
      <w:start w:val="1"/>
      <w:numFmt w:val="upperLetter"/>
      <w:pStyle w:val="ANNEXE"/>
      <w:lvlText w:val="ANNEX %1."/>
      <w:lvlJc w:val="left"/>
      <w:pPr>
        <w:ind w:left="851" w:hanging="851"/>
      </w:pPr>
      <w:rPr>
        <w:rFonts w:hint="default"/>
        <w:sz w:val="24"/>
        <w:szCs w:val="24"/>
      </w:rPr>
    </w:lvl>
    <w:lvl w:ilvl="1">
      <w:start w:val="1"/>
      <w:numFmt w:val="decimal"/>
      <w:pStyle w:val="ANNEXEA"/>
      <w:lvlText w:val="%1.%2."/>
      <w:lvlJc w:val="left"/>
      <w:pPr>
        <w:ind w:left="792" w:hanging="792"/>
      </w:pPr>
      <w:rPr>
        <w:rFonts w:ascii="Arial" w:hAnsi="Arial" w:hint="default"/>
        <w:b/>
        <w:i w:val="0"/>
        <w:sz w:val="24"/>
      </w:rPr>
    </w:lvl>
    <w:lvl w:ilvl="2">
      <w:start w:val="1"/>
      <w:numFmt w:val="decimal"/>
      <w:pStyle w:val="ANNEXEA2"/>
      <w:lvlText w:val="%1.%2.%3."/>
      <w:lvlJc w:val="left"/>
      <w:pPr>
        <w:ind w:left="720" w:hanging="720"/>
      </w:pPr>
      <w:rPr>
        <w:rFonts w:hint="default"/>
      </w:rPr>
    </w:lvl>
    <w:lvl w:ilvl="3">
      <w:start w:val="1"/>
      <w:numFmt w:val="decimal"/>
      <w:pStyle w:val="annexeA3"/>
      <w:lvlText w:val="%1.%2.%3.%4."/>
      <w:lvlJc w:val="left"/>
      <w:pPr>
        <w:ind w:left="72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A4C52E1"/>
    <w:multiLevelType w:val="multilevel"/>
    <w:tmpl w:val="1E18D1EA"/>
    <w:lvl w:ilvl="0">
      <w:start w:val="1"/>
      <w:numFmt w:val="upperLetter"/>
      <w:lvlText w:val="%1."/>
      <w:lvlJc w:val="left"/>
      <w:pPr>
        <w:ind w:left="839" w:hanging="360"/>
      </w:pPr>
      <w:rPr>
        <w:rFonts w:ascii="Arial" w:hAnsi="Arial" w:hint="default"/>
        <w:b/>
        <w:i w:val="0"/>
        <w:sz w:val="24"/>
        <w:u w:val="none"/>
      </w:rPr>
    </w:lvl>
    <w:lvl w:ilvl="1">
      <w:start w:val="1"/>
      <w:numFmt w:val="decimal"/>
      <w:lvlText w:val="A.%2."/>
      <w:lvlJc w:val="left"/>
      <w:pPr>
        <w:ind w:left="1559" w:hanging="360"/>
      </w:pPr>
      <w:rPr>
        <w:rFonts w:hint="default"/>
      </w:rPr>
    </w:lvl>
    <w:lvl w:ilvl="2">
      <w:start w:val="1"/>
      <w:numFmt w:val="lowerRoman"/>
      <w:lvlText w:val="%3."/>
      <w:lvlJc w:val="right"/>
      <w:pPr>
        <w:ind w:left="2279" w:hanging="180"/>
      </w:pPr>
      <w:rPr>
        <w:rFonts w:hint="default"/>
      </w:rPr>
    </w:lvl>
    <w:lvl w:ilvl="3">
      <w:start w:val="1"/>
      <w:numFmt w:val="decimal"/>
      <w:lvlText w:val="%4."/>
      <w:lvlJc w:val="left"/>
      <w:pPr>
        <w:ind w:left="2999" w:hanging="360"/>
      </w:pPr>
      <w:rPr>
        <w:rFonts w:hint="default"/>
      </w:rPr>
    </w:lvl>
    <w:lvl w:ilvl="4">
      <w:start w:val="1"/>
      <w:numFmt w:val="lowerLetter"/>
      <w:lvlText w:val="%5."/>
      <w:lvlJc w:val="left"/>
      <w:pPr>
        <w:ind w:left="3719" w:hanging="360"/>
      </w:pPr>
      <w:rPr>
        <w:rFonts w:hint="default"/>
      </w:rPr>
    </w:lvl>
    <w:lvl w:ilvl="5">
      <w:start w:val="1"/>
      <w:numFmt w:val="lowerRoman"/>
      <w:lvlText w:val="%6."/>
      <w:lvlJc w:val="right"/>
      <w:pPr>
        <w:ind w:left="4439" w:hanging="180"/>
      </w:pPr>
      <w:rPr>
        <w:rFonts w:hint="default"/>
      </w:rPr>
    </w:lvl>
    <w:lvl w:ilvl="6">
      <w:start w:val="1"/>
      <w:numFmt w:val="decimal"/>
      <w:lvlText w:val="%7."/>
      <w:lvlJc w:val="left"/>
      <w:pPr>
        <w:ind w:left="5159" w:hanging="360"/>
      </w:pPr>
      <w:rPr>
        <w:rFonts w:hint="default"/>
      </w:rPr>
    </w:lvl>
    <w:lvl w:ilvl="7">
      <w:start w:val="1"/>
      <w:numFmt w:val="lowerLetter"/>
      <w:lvlText w:val="%8."/>
      <w:lvlJc w:val="left"/>
      <w:pPr>
        <w:ind w:left="5879" w:hanging="360"/>
      </w:pPr>
      <w:rPr>
        <w:rFonts w:hint="default"/>
      </w:rPr>
    </w:lvl>
    <w:lvl w:ilvl="8">
      <w:start w:val="1"/>
      <w:numFmt w:val="lowerRoman"/>
      <w:lvlText w:val="%9."/>
      <w:lvlJc w:val="right"/>
      <w:pPr>
        <w:ind w:left="6599" w:hanging="180"/>
      </w:pPr>
      <w:rPr>
        <w:rFonts w:hint="default"/>
      </w:rPr>
    </w:lvl>
  </w:abstractNum>
  <w:abstractNum w:abstractNumId="11" w15:restartNumberingAfterBreak="0">
    <w:nsid w:val="6D4B282E"/>
    <w:multiLevelType w:val="multilevel"/>
    <w:tmpl w:val="79148286"/>
    <w:lvl w:ilvl="0">
      <w:start w:val="1"/>
      <w:numFmt w:val="upperLetter"/>
      <w:pStyle w:val="titre1"/>
      <w:lvlText w:val="%1."/>
      <w:lvlJc w:val="left"/>
      <w:pPr>
        <w:ind w:left="851" w:hanging="851"/>
      </w:pPr>
      <w:rPr>
        <w:rFonts w:ascii="Arial" w:hAnsi="Arial" w:hint="default"/>
        <w:b/>
        <w:i w:val="0"/>
        <w:sz w:val="28"/>
        <w:szCs w:val="28"/>
        <w:u w:val="none"/>
      </w:rPr>
    </w:lvl>
    <w:lvl w:ilvl="1">
      <w:start w:val="1"/>
      <w:numFmt w:val="decimal"/>
      <w:pStyle w:val="TITRE2"/>
      <w:lvlText w:val="%1.%2"/>
      <w:lvlJc w:val="left"/>
      <w:pPr>
        <w:ind w:left="1763" w:hanging="564"/>
      </w:pPr>
      <w:rPr>
        <w:rFonts w:hint="default"/>
      </w:rPr>
    </w:lvl>
    <w:lvl w:ilvl="2">
      <w:start w:val="1"/>
      <w:numFmt w:val="lowerRoman"/>
      <w:lvlText w:val="%3."/>
      <w:lvlJc w:val="right"/>
      <w:pPr>
        <w:ind w:left="2279" w:hanging="180"/>
      </w:pPr>
      <w:rPr>
        <w:rFonts w:hint="default"/>
      </w:rPr>
    </w:lvl>
    <w:lvl w:ilvl="3">
      <w:start w:val="1"/>
      <w:numFmt w:val="decimal"/>
      <w:lvlText w:val="%4."/>
      <w:lvlJc w:val="left"/>
      <w:pPr>
        <w:ind w:left="2999" w:hanging="360"/>
      </w:pPr>
      <w:rPr>
        <w:rFonts w:hint="default"/>
      </w:rPr>
    </w:lvl>
    <w:lvl w:ilvl="4">
      <w:start w:val="1"/>
      <w:numFmt w:val="lowerLetter"/>
      <w:lvlText w:val="%5."/>
      <w:lvlJc w:val="left"/>
      <w:pPr>
        <w:ind w:left="3719" w:hanging="360"/>
      </w:pPr>
      <w:rPr>
        <w:rFonts w:hint="default"/>
      </w:rPr>
    </w:lvl>
    <w:lvl w:ilvl="5">
      <w:start w:val="1"/>
      <w:numFmt w:val="lowerRoman"/>
      <w:lvlText w:val="%6."/>
      <w:lvlJc w:val="right"/>
      <w:pPr>
        <w:ind w:left="4439" w:hanging="180"/>
      </w:pPr>
      <w:rPr>
        <w:rFonts w:hint="default"/>
      </w:rPr>
    </w:lvl>
    <w:lvl w:ilvl="6">
      <w:start w:val="1"/>
      <w:numFmt w:val="decimal"/>
      <w:lvlText w:val="%7."/>
      <w:lvlJc w:val="left"/>
      <w:pPr>
        <w:ind w:left="5159" w:hanging="360"/>
      </w:pPr>
      <w:rPr>
        <w:rFonts w:hint="default"/>
      </w:rPr>
    </w:lvl>
    <w:lvl w:ilvl="7">
      <w:start w:val="1"/>
      <w:numFmt w:val="lowerLetter"/>
      <w:lvlText w:val="%8."/>
      <w:lvlJc w:val="left"/>
      <w:pPr>
        <w:ind w:left="5879" w:hanging="360"/>
      </w:pPr>
      <w:rPr>
        <w:rFonts w:hint="default"/>
      </w:rPr>
    </w:lvl>
    <w:lvl w:ilvl="8">
      <w:start w:val="1"/>
      <w:numFmt w:val="lowerRoman"/>
      <w:lvlText w:val="%9."/>
      <w:lvlJc w:val="right"/>
      <w:pPr>
        <w:ind w:left="6599" w:hanging="180"/>
      </w:pPr>
      <w:rPr>
        <w:rFonts w:hint="default"/>
      </w:rPr>
    </w:lvl>
  </w:abstractNum>
  <w:abstractNum w:abstractNumId="12" w15:restartNumberingAfterBreak="0">
    <w:nsid w:val="7BB51AAF"/>
    <w:multiLevelType w:val="multilevel"/>
    <w:tmpl w:val="98462494"/>
    <w:lvl w:ilvl="0">
      <w:start w:val="3"/>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TITR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BC758F2"/>
    <w:multiLevelType w:val="multilevel"/>
    <w:tmpl w:val="FC9A660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13"/>
  </w:num>
  <w:num w:numId="2">
    <w:abstractNumId w:val="2"/>
  </w:num>
  <w:num w:numId="3">
    <w:abstractNumId w:val="3"/>
  </w:num>
  <w:num w:numId="4">
    <w:abstractNumId w:val="10"/>
  </w:num>
  <w:num w:numId="5">
    <w:abstractNumId w:val="11"/>
  </w:num>
  <w:num w:numId="6">
    <w:abstractNumId w:val="6"/>
  </w:num>
  <w:num w:numId="7">
    <w:abstractNumId w:val="8"/>
  </w:num>
  <w:num w:numId="8">
    <w:abstractNumId w:val="11"/>
  </w:num>
  <w:num w:numId="9">
    <w:abstractNumId w:val="11"/>
  </w:num>
  <w:num w:numId="10">
    <w:abstractNumId w:val="11"/>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2"/>
  </w:num>
  <w:num w:numId="16">
    <w:abstractNumId w:val="4"/>
  </w:num>
  <w:num w:numId="17">
    <w:abstractNumId w:val="11"/>
  </w:num>
  <w:num w:numId="18">
    <w:abstractNumId w:val="1"/>
  </w:num>
  <w:num w:numId="19">
    <w:abstractNumId w:val="5"/>
  </w:num>
  <w:num w:numId="20">
    <w:abstractNumId w:val="1"/>
    <w:lvlOverride w:ilvl="0">
      <w:lvl w:ilvl="0">
        <w:start w:val="1"/>
        <w:numFmt w:val="upperLetter"/>
        <w:lvlText w:val="%1."/>
        <w:lvlJc w:val="left"/>
        <w:pPr>
          <w:ind w:left="851" w:hanging="851"/>
        </w:pPr>
        <w:rPr>
          <w:rFonts w:hint="default"/>
        </w:rPr>
      </w:lvl>
    </w:lvlOverride>
    <w:lvlOverride w:ilvl="1">
      <w:lvl w:ilvl="1">
        <w:start w:val="1"/>
        <w:numFmt w:val="decimal"/>
        <w:lvlText w:val="%1.%2."/>
        <w:lvlJc w:val="left"/>
        <w:pPr>
          <w:ind w:left="792" w:hanging="792"/>
        </w:pPr>
        <w:rPr>
          <w:rFonts w:ascii="Arial" w:hAnsi="Arial" w:hint="default"/>
          <w:b/>
          <w:i w:val="0"/>
          <w:sz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abstractNumId w:val="7"/>
  </w:num>
  <w:num w:numId="22">
    <w:abstractNumId w:val="7"/>
  </w:num>
  <w:num w:numId="23">
    <w:abstractNumId w:val="7"/>
  </w:num>
  <w:num w:numId="24">
    <w:abstractNumId w:val="7"/>
    <w:lvlOverride w:ilvl="0">
      <w:lvl w:ilvl="0">
        <w:start w:val="1"/>
        <w:numFmt w:val="upperLetter"/>
        <w:lvlText w:val="%1."/>
        <w:lvlJc w:val="left"/>
        <w:pPr>
          <w:ind w:left="851" w:hanging="851"/>
        </w:pPr>
        <w:rPr>
          <w:rFonts w:hint="default"/>
        </w:rPr>
      </w:lvl>
    </w:lvlOverride>
    <w:lvlOverride w:ilvl="1">
      <w:lvl w:ilvl="1">
        <w:start w:val="1"/>
        <w:numFmt w:val="decimal"/>
        <w:lvlText w:val="%1.%2."/>
        <w:lvlJc w:val="left"/>
        <w:pPr>
          <w:ind w:left="792" w:hanging="792"/>
        </w:pPr>
        <w:rPr>
          <w:rFonts w:ascii="Arial" w:hAnsi="Arial" w:hint="default"/>
          <w:b/>
          <w:i w:val="0"/>
          <w:sz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lvl w:ilvl="0">
        <w:start w:val="1"/>
        <w:numFmt w:val="upperLetter"/>
        <w:lvlText w:val="%1."/>
        <w:lvlJc w:val="left"/>
        <w:pPr>
          <w:ind w:left="851" w:hanging="851"/>
        </w:pPr>
        <w:rPr>
          <w:rFonts w:hint="default"/>
        </w:rPr>
      </w:lvl>
    </w:lvlOverride>
    <w:lvlOverride w:ilvl="1">
      <w:lvl w:ilvl="1">
        <w:start w:val="1"/>
        <w:numFmt w:val="decimal"/>
        <w:lvlText w:val="%1.%2."/>
        <w:lvlJc w:val="left"/>
        <w:pPr>
          <w:ind w:left="792" w:hanging="792"/>
        </w:pPr>
        <w:rPr>
          <w:rFonts w:ascii="Arial" w:hAnsi="Arial" w:hint="default"/>
          <w:b/>
          <w:i w:val="0"/>
          <w:sz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7"/>
  </w:num>
  <w:num w:numId="28">
    <w:abstractNumId w:val="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num>
  <w:num w:numId="32">
    <w:abstractNumId w:val="9"/>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ED5"/>
    <w:rsid w:val="00041E50"/>
    <w:rsid w:val="000D7B35"/>
    <w:rsid w:val="000E55DB"/>
    <w:rsid w:val="00125D4C"/>
    <w:rsid w:val="001B7152"/>
    <w:rsid w:val="001E0240"/>
    <w:rsid w:val="00207CAC"/>
    <w:rsid w:val="002121BE"/>
    <w:rsid w:val="0021519B"/>
    <w:rsid w:val="00292DF0"/>
    <w:rsid w:val="003107B5"/>
    <w:rsid w:val="00351904"/>
    <w:rsid w:val="003B44FB"/>
    <w:rsid w:val="004119CA"/>
    <w:rsid w:val="004C0DD0"/>
    <w:rsid w:val="0054611A"/>
    <w:rsid w:val="005A6B70"/>
    <w:rsid w:val="005D6AE4"/>
    <w:rsid w:val="00604E94"/>
    <w:rsid w:val="006538E6"/>
    <w:rsid w:val="00665757"/>
    <w:rsid w:val="006A2FC1"/>
    <w:rsid w:val="006A58EF"/>
    <w:rsid w:val="006D176B"/>
    <w:rsid w:val="006E2B85"/>
    <w:rsid w:val="006F3ED5"/>
    <w:rsid w:val="00705059"/>
    <w:rsid w:val="00705266"/>
    <w:rsid w:val="00746BB3"/>
    <w:rsid w:val="007569EA"/>
    <w:rsid w:val="007D2BFD"/>
    <w:rsid w:val="007D3C4A"/>
    <w:rsid w:val="00815864"/>
    <w:rsid w:val="00892AE8"/>
    <w:rsid w:val="008D1E56"/>
    <w:rsid w:val="008F4808"/>
    <w:rsid w:val="00920E23"/>
    <w:rsid w:val="00970040"/>
    <w:rsid w:val="00991455"/>
    <w:rsid w:val="009A688E"/>
    <w:rsid w:val="009C4859"/>
    <w:rsid w:val="00A27499"/>
    <w:rsid w:val="00AF22F3"/>
    <w:rsid w:val="00B01ABB"/>
    <w:rsid w:val="00B46B17"/>
    <w:rsid w:val="00B63285"/>
    <w:rsid w:val="00B65BEC"/>
    <w:rsid w:val="00BB2A51"/>
    <w:rsid w:val="00BD7332"/>
    <w:rsid w:val="00BD7878"/>
    <w:rsid w:val="00C16059"/>
    <w:rsid w:val="00CB308B"/>
    <w:rsid w:val="00CB395F"/>
    <w:rsid w:val="00CD2578"/>
    <w:rsid w:val="00D03C2C"/>
    <w:rsid w:val="00DB7666"/>
    <w:rsid w:val="00E350D8"/>
    <w:rsid w:val="00E96A19"/>
    <w:rsid w:val="00ED7E36"/>
    <w:rsid w:val="00F445AF"/>
    <w:rsid w:val="00FB6632"/>
    <w:rsid w:val="00FC7206"/>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7A5105-E7F9-44F8-B9B0-FB19CF47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DD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705266"/>
    <w:rPr>
      <w:rFonts w:ascii="Tahoma" w:hAnsi="Tahoma" w:cs="Tahoma"/>
      <w:sz w:val="16"/>
      <w:szCs w:val="16"/>
    </w:rPr>
  </w:style>
  <w:style w:type="character" w:customStyle="1" w:styleId="BalloonTextChar">
    <w:name w:val="Balloon Text Char"/>
    <w:basedOn w:val="DefaultParagraphFont"/>
    <w:link w:val="BalloonText"/>
    <w:uiPriority w:val="99"/>
    <w:semiHidden/>
    <w:rsid w:val="00705266"/>
    <w:rPr>
      <w:rFonts w:ascii="Tahoma" w:hAnsi="Tahoma" w:cs="Tahoma"/>
      <w:sz w:val="16"/>
      <w:szCs w:val="16"/>
    </w:rPr>
  </w:style>
  <w:style w:type="paragraph" w:styleId="ListParagraph">
    <w:name w:val="List Paragraph"/>
    <w:basedOn w:val="Normal"/>
    <w:uiPriority w:val="34"/>
    <w:qFormat/>
    <w:rsid w:val="00991455"/>
    <w:pPr>
      <w:ind w:left="720"/>
      <w:contextualSpacing/>
    </w:pPr>
  </w:style>
  <w:style w:type="paragraph" w:customStyle="1" w:styleId="titre1">
    <w:name w:val="titre 1"/>
    <w:basedOn w:val="Normal"/>
    <w:qFormat/>
    <w:rsid w:val="009C4859"/>
    <w:pPr>
      <w:numPr>
        <w:numId w:val="12"/>
      </w:numPr>
      <w:tabs>
        <w:tab w:val="left" w:pos="851"/>
      </w:tabs>
      <w:spacing w:before="23"/>
      <w:jc w:val="both"/>
    </w:pPr>
    <w:rPr>
      <w:rFonts w:ascii="Arial" w:eastAsia="Arial" w:hAnsi="Arial" w:cs="Arial"/>
      <w:b/>
      <w:sz w:val="28"/>
      <w:szCs w:val="28"/>
    </w:rPr>
  </w:style>
  <w:style w:type="paragraph" w:customStyle="1" w:styleId="TITRE2">
    <w:name w:val="TITRE 2"/>
    <w:basedOn w:val="Normal"/>
    <w:qFormat/>
    <w:rsid w:val="003B44FB"/>
    <w:pPr>
      <w:keepNext/>
      <w:numPr>
        <w:ilvl w:val="1"/>
        <w:numId w:val="12"/>
      </w:numPr>
    </w:pPr>
    <w:rPr>
      <w:rFonts w:ascii="Arial" w:eastAsia="Arial" w:hAnsi="Arial" w:cs="Arial"/>
      <w:b/>
      <w:sz w:val="24"/>
      <w:szCs w:val="24"/>
    </w:rPr>
  </w:style>
  <w:style w:type="paragraph" w:customStyle="1" w:styleId="BULLET1">
    <w:name w:val="BULLET1"/>
    <w:basedOn w:val="ListParagraph"/>
    <w:qFormat/>
    <w:rsid w:val="008F4808"/>
    <w:pPr>
      <w:numPr>
        <w:numId w:val="6"/>
      </w:numPr>
      <w:spacing w:before="240" w:after="240" w:line="360" w:lineRule="auto"/>
      <w:ind w:left="839" w:hanging="357"/>
      <w:contextualSpacing w:val="0"/>
    </w:pPr>
    <w:rPr>
      <w:rFonts w:ascii="Arial" w:eastAsia="Arial" w:hAnsi="Arial" w:cs="Arial"/>
    </w:rPr>
  </w:style>
  <w:style w:type="paragraph" w:styleId="FootnoteText">
    <w:name w:val="footnote text"/>
    <w:basedOn w:val="Normal"/>
    <w:link w:val="FootnoteTextChar"/>
    <w:uiPriority w:val="99"/>
    <w:semiHidden/>
    <w:unhideWhenUsed/>
    <w:rsid w:val="009C4859"/>
  </w:style>
  <w:style w:type="character" w:customStyle="1" w:styleId="FootnoteTextChar">
    <w:name w:val="Footnote Text Char"/>
    <w:basedOn w:val="DefaultParagraphFont"/>
    <w:link w:val="FootnoteText"/>
    <w:uiPriority w:val="99"/>
    <w:semiHidden/>
    <w:rsid w:val="009C4859"/>
  </w:style>
  <w:style w:type="character" w:styleId="FootnoteReference">
    <w:name w:val="footnote reference"/>
    <w:basedOn w:val="DefaultParagraphFont"/>
    <w:uiPriority w:val="99"/>
    <w:semiHidden/>
    <w:unhideWhenUsed/>
    <w:rsid w:val="009C4859"/>
    <w:rPr>
      <w:vertAlign w:val="superscript"/>
    </w:rPr>
  </w:style>
  <w:style w:type="paragraph" w:styleId="Header">
    <w:name w:val="header"/>
    <w:basedOn w:val="Normal"/>
    <w:link w:val="HeaderChar"/>
    <w:uiPriority w:val="99"/>
    <w:unhideWhenUsed/>
    <w:rsid w:val="009C4859"/>
    <w:pPr>
      <w:tabs>
        <w:tab w:val="center" w:pos="4536"/>
        <w:tab w:val="right" w:pos="9072"/>
      </w:tabs>
    </w:pPr>
  </w:style>
  <w:style w:type="character" w:customStyle="1" w:styleId="HeaderChar">
    <w:name w:val="Header Char"/>
    <w:basedOn w:val="DefaultParagraphFont"/>
    <w:link w:val="Header"/>
    <w:uiPriority w:val="99"/>
    <w:rsid w:val="009C4859"/>
  </w:style>
  <w:style w:type="paragraph" w:styleId="Footer">
    <w:name w:val="footer"/>
    <w:basedOn w:val="Normal"/>
    <w:link w:val="FooterChar"/>
    <w:uiPriority w:val="99"/>
    <w:unhideWhenUsed/>
    <w:rsid w:val="009C4859"/>
    <w:pPr>
      <w:tabs>
        <w:tab w:val="center" w:pos="4536"/>
        <w:tab w:val="right" w:pos="9072"/>
      </w:tabs>
    </w:pPr>
  </w:style>
  <w:style w:type="character" w:customStyle="1" w:styleId="FooterChar">
    <w:name w:val="Footer Char"/>
    <w:basedOn w:val="DefaultParagraphFont"/>
    <w:link w:val="Footer"/>
    <w:uiPriority w:val="99"/>
    <w:rsid w:val="009C4859"/>
  </w:style>
  <w:style w:type="table" w:styleId="TableGrid">
    <w:name w:val="Table Grid"/>
    <w:basedOn w:val="TableNormal"/>
    <w:uiPriority w:val="59"/>
    <w:rsid w:val="00212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NotTranslateExternal1">
    <w:name w:val="DoNotTranslateExternal1"/>
    <w:basedOn w:val="Normal"/>
    <w:qFormat/>
    <w:rsid w:val="00892AE8"/>
    <w:rPr>
      <w:rFonts w:ascii="Arial" w:eastAsia="Calibri" w:hAnsi="Arial" w:cs="Arial"/>
      <w:sz w:val="18"/>
    </w:rPr>
  </w:style>
  <w:style w:type="paragraph" w:customStyle="1" w:styleId="DoNotTranslateExternal2">
    <w:name w:val="DoNotTranslateExternal2"/>
    <w:basedOn w:val="Normal"/>
    <w:qFormat/>
    <w:rsid w:val="006A2FC1"/>
    <w:pPr>
      <w:jc w:val="center"/>
    </w:pPr>
    <w:rPr>
      <w:rFonts w:ascii="Arial" w:eastAsia="Arial" w:hAnsi="Arial" w:cs="Arial"/>
      <w:sz w:val="18"/>
      <w:szCs w:val="18"/>
    </w:rPr>
  </w:style>
  <w:style w:type="paragraph" w:customStyle="1" w:styleId="paragraphe1">
    <w:name w:val="paragraphe 1"/>
    <w:basedOn w:val="Normal"/>
    <w:qFormat/>
    <w:rsid w:val="00207CAC"/>
    <w:pPr>
      <w:spacing w:before="60" w:line="360" w:lineRule="auto"/>
      <w:jc w:val="both"/>
    </w:pPr>
    <w:rPr>
      <w:rFonts w:ascii="Arial" w:eastAsia="Arial" w:hAnsi="Arial" w:cs="Arial"/>
    </w:rPr>
  </w:style>
  <w:style w:type="paragraph" w:customStyle="1" w:styleId="ligneitalic">
    <w:name w:val="ligne italic"/>
    <w:basedOn w:val="Normal"/>
    <w:qFormat/>
    <w:rsid w:val="00C16059"/>
    <w:pPr>
      <w:tabs>
        <w:tab w:val="left" w:pos="1701"/>
      </w:tabs>
      <w:jc w:val="both"/>
    </w:pPr>
    <w:rPr>
      <w:rFonts w:ascii="Arial" w:eastAsia="Arial" w:hAnsi="Arial" w:cs="Arial"/>
      <w:i/>
    </w:rPr>
  </w:style>
  <w:style w:type="paragraph" w:customStyle="1" w:styleId="figure">
    <w:name w:val="figure"/>
    <w:basedOn w:val="Normal"/>
    <w:qFormat/>
    <w:rsid w:val="006E2B85"/>
    <w:pPr>
      <w:keepNext/>
      <w:spacing w:before="120" w:after="120"/>
      <w:jc w:val="center"/>
    </w:pPr>
    <w:rPr>
      <w:rFonts w:ascii="Arial" w:eastAsia="Arial" w:hAnsi="Arial" w:cs="Arial"/>
      <w:b/>
      <w:sz w:val="18"/>
      <w:szCs w:val="18"/>
    </w:rPr>
  </w:style>
  <w:style w:type="paragraph" w:customStyle="1" w:styleId="TITRE3">
    <w:name w:val="TITRE 3"/>
    <w:basedOn w:val="ligneitalic"/>
    <w:qFormat/>
    <w:rsid w:val="00BB2A51"/>
    <w:pPr>
      <w:numPr>
        <w:ilvl w:val="2"/>
        <w:numId w:val="15"/>
      </w:numPr>
      <w:tabs>
        <w:tab w:val="clear" w:pos="1701"/>
        <w:tab w:val="left" w:pos="720"/>
      </w:tabs>
      <w:spacing w:before="240" w:after="240"/>
      <w:ind w:left="720" w:hanging="720"/>
    </w:pPr>
  </w:style>
  <w:style w:type="paragraph" w:customStyle="1" w:styleId="TITRE4">
    <w:name w:val="TITRE 4"/>
    <w:basedOn w:val="ListParagraph"/>
    <w:qFormat/>
    <w:rsid w:val="008F4808"/>
    <w:pPr>
      <w:numPr>
        <w:ilvl w:val="3"/>
        <w:numId w:val="16"/>
      </w:numPr>
      <w:tabs>
        <w:tab w:val="left" w:pos="1134"/>
      </w:tabs>
      <w:spacing w:before="240" w:after="240"/>
      <w:jc w:val="both"/>
    </w:pPr>
    <w:rPr>
      <w:rFonts w:ascii="Arial" w:eastAsia="Arial" w:hAnsi="Arial" w:cs="Arial"/>
      <w:i/>
      <w:spacing w:val="-2"/>
      <w:position w:val="-1"/>
    </w:rPr>
  </w:style>
  <w:style w:type="paragraph" w:customStyle="1" w:styleId="ANNEXEA">
    <w:name w:val="ANNEXE A"/>
    <w:basedOn w:val="Normal"/>
    <w:qFormat/>
    <w:rsid w:val="006538E6"/>
    <w:pPr>
      <w:numPr>
        <w:ilvl w:val="1"/>
        <w:numId w:val="30"/>
      </w:numPr>
      <w:spacing w:before="120" w:after="120"/>
    </w:pPr>
    <w:rPr>
      <w:rFonts w:ascii="Arial" w:eastAsia="Arial" w:hAnsi="Arial" w:cs="Arial"/>
      <w:b/>
      <w:sz w:val="24"/>
      <w:szCs w:val="24"/>
    </w:rPr>
  </w:style>
  <w:style w:type="paragraph" w:customStyle="1" w:styleId="ANNEXEB">
    <w:name w:val="ANNEXE B"/>
    <w:basedOn w:val="ListParagraph"/>
    <w:qFormat/>
    <w:rsid w:val="006538E6"/>
    <w:pPr>
      <w:numPr>
        <w:ilvl w:val="2"/>
        <w:numId w:val="19"/>
      </w:numPr>
      <w:spacing w:before="32"/>
    </w:pPr>
    <w:rPr>
      <w:rFonts w:ascii="Arial" w:eastAsia="Arial" w:hAnsi="Arial" w:cs="Arial"/>
      <w:i/>
      <w:sz w:val="22"/>
      <w:szCs w:val="22"/>
    </w:rPr>
  </w:style>
  <w:style w:type="paragraph" w:customStyle="1" w:styleId="ANNEXEA2">
    <w:name w:val="ANNEXE A2"/>
    <w:basedOn w:val="Normal"/>
    <w:qFormat/>
    <w:rsid w:val="00E350D8"/>
    <w:pPr>
      <w:numPr>
        <w:ilvl w:val="2"/>
        <w:numId w:val="30"/>
      </w:numPr>
    </w:pPr>
    <w:rPr>
      <w:rFonts w:ascii="Arial" w:eastAsia="Arial" w:hAnsi="Arial" w:cs="Arial"/>
      <w:i/>
      <w:sz w:val="22"/>
      <w:szCs w:val="22"/>
    </w:rPr>
  </w:style>
  <w:style w:type="paragraph" w:customStyle="1" w:styleId="annexeA3">
    <w:name w:val="annexe A3"/>
    <w:basedOn w:val="Normal"/>
    <w:qFormat/>
    <w:rsid w:val="00125D4C"/>
    <w:pPr>
      <w:numPr>
        <w:ilvl w:val="3"/>
        <w:numId w:val="30"/>
      </w:numPr>
      <w:spacing w:before="120" w:after="120"/>
    </w:pPr>
    <w:rPr>
      <w:rFonts w:ascii="Arial" w:eastAsia="Arial" w:hAnsi="Arial" w:cs="Arial"/>
      <w:i/>
    </w:rPr>
  </w:style>
  <w:style w:type="paragraph" w:customStyle="1" w:styleId="ANNEXE">
    <w:name w:val="ANNEXE"/>
    <w:basedOn w:val="Normal"/>
    <w:qFormat/>
    <w:rsid w:val="001B7152"/>
    <w:pPr>
      <w:numPr>
        <w:numId w:val="30"/>
      </w:numPr>
      <w:spacing w:before="120" w:after="120"/>
    </w:pPr>
    <w:rPr>
      <w:rFonts w:ascii="Arial" w:eastAsia="Arial" w:hAnsi="Arial" w:cs="Arial"/>
      <w:b/>
      <w:sz w:val="24"/>
      <w:szCs w:val="24"/>
    </w:rPr>
  </w:style>
  <w:style w:type="paragraph" w:customStyle="1" w:styleId="DoNotTranslateExternal3">
    <w:name w:val="DoNotTranslateExternal3"/>
    <w:basedOn w:val="Normal"/>
    <w:qFormat/>
    <w:rsid w:val="001B7152"/>
    <w:pPr>
      <w:jc w:val="center"/>
    </w:pPr>
    <w:rPr>
      <w:rFonts w:ascii="Arial" w:eastAsia="Arial" w:hAnsi="Arial" w:cs="Arial"/>
      <w:b/>
      <w:sz w:val="18"/>
      <w:szCs w:val="18"/>
    </w:rPr>
  </w:style>
  <w:style w:type="paragraph" w:styleId="TOC1">
    <w:name w:val="toc 1"/>
    <w:basedOn w:val="Normal"/>
    <w:next w:val="Normal"/>
    <w:autoRedefine/>
    <w:uiPriority w:val="39"/>
    <w:unhideWhenUsed/>
    <w:rsid w:val="004C0DD0"/>
    <w:pPr>
      <w:spacing w:after="100"/>
      <w:ind w:left="425" w:hanging="425"/>
    </w:pPr>
    <w:rPr>
      <w:rFonts w:ascii="Arial" w:hAnsi="Arial"/>
      <w:b/>
      <w:sz w:val="22"/>
    </w:rPr>
  </w:style>
  <w:style w:type="paragraph" w:styleId="TOC2">
    <w:name w:val="toc 2"/>
    <w:basedOn w:val="Normal"/>
    <w:next w:val="Normal"/>
    <w:autoRedefine/>
    <w:uiPriority w:val="39"/>
    <w:unhideWhenUsed/>
    <w:rsid w:val="004C0DD0"/>
    <w:pPr>
      <w:spacing w:after="100"/>
      <w:ind w:left="907" w:hanging="709"/>
    </w:pPr>
    <w:rPr>
      <w:rFonts w:ascii="Arial" w:hAnsi="Arial"/>
      <w:sz w:val="22"/>
    </w:rPr>
  </w:style>
  <w:style w:type="paragraph" w:styleId="TOC3">
    <w:name w:val="toc 3"/>
    <w:basedOn w:val="Normal"/>
    <w:next w:val="Normal"/>
    <w:autoRedefine/>
    <w:uiPriority w:val="39"/>
    <w:unhideWhenUsed/>
    <w:rsid w:val="004C0DD0"/>
    <w:pPr>
      <w:tabs>
        <w:tab w:val="left" w:pos="1320"/>
        <w:tab w:val="right" w:leader="dot" w:pos="9403"/>
      </w:tabs>
      <w:spacing w:after="100"/>
      <w:ind w:left="400"/>
    </w:pPr>
    <w:rPr>
      <w:rFonts w:ascii="Arial" w:hAnsi="Arial"/>
      <w:sz w:val="22"/>
    </w:rPr>
  </w:style>
  <w:style w:type="character" w:styleId="Hyperlink">
    <w:name w:val="Hyperlink"/>
    <w:basedOn w:val="DefaultParagraphFont"/>
    <w:uiPriority w:val="99"/>
    <w:unhideWhenUsed/>
    <w:rsid w:val="004C0DD0"/>
    <w:rPr>
      <w:color w:val="0000FF" w:themeColor="hyperlink"/>
      <w:u w:val="single"/>
    </w:rPr>
  </w:style>
  <w:style w:type="paragraph" w:styleId="CommentText">
    <w:name w:val="annotation text"/>
    <w:basedOn w:val="Normal"/>
    <w:uiPriority w:val="99"/>
    <w:semiHidden/>
    <w:unhideWhenUsed/>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0.jpe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www.infraestruturasdeportugal.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emf"/><Relationship Id="rId32" Type="http://schemas.openxmlformats.org/officeDocument/2006/relationships/hyperlink" Target="http://www.cpcarga.pt/"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yperlink" Target="http://www.fertagus.p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hyperlink" Target="http://www.cp.pt/"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9277F-4BA5-4F4A-8F7C-37EB5F0B6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78</Pages>
  <Words>36350</Words>
  <Characters>183933</Characters>
  <Application>Microsoft Office Word</Application>
  <DocSecurity>0</DocSecurity>
  <Lines>6569</Lines>
  <Paragraphs>4788</Paragraphs>
  <ScaleCrop>false</ScaleCrop>
  <HeadingPairs>
    <vt:vector size="2" baseType="variant">
      <vt:variant>
        <vt:lpstr>Title</vt:lpstr>
      </vt:variant>
      <vt:variant>
        <vt:i4>1</vt:i4>
      </vt:variant>
    </vt:vector>
  </HeadingPairs>
  <TitlesOfParts>
    <vt:vector size="1" baseType="lpstr">
      <vt:lpstr/>
    </vt:vector>
  </TitlesOfParts>
  <Company>Translation Centre</Company>
  <LinksUpToDate>false</LinksUpToDate>
  <CharactersWithSpaces>215495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Translation Centre</dc:creator>
  <cp:lastModifiedBy>Carmen Afrodita PEREZ</cp:lastModifiedBy>
  <cp:revision>8</cp:revision>
  <cp:lastPrinted>2015-11-19T08:29:00Z</cp:lastPrinted>
  <dcterms:created xsi:type="dcterms:W3CDTF">2015-11-18T16:39:00Z</dcterms:created>
  <dcterms:modified xsi:type="dcterms:W3CDTF">2016-02-02T10:53:00Z</dcterms:modified>
</cp:coreProperties>
</file>