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theme/themeOverride3.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E3" w:rsidRPr="00A27857" w:rsidRDefault="001F40E3" w:rsidP="00FA120A">
      <w:pPr>
        <w:pStyle w:val="Tekstzwyky"/>
        <w:rPr>
          <w:rFonts w:ascii="Arial" w:hAnsi="Arial" w:cs="Arial"/>
        </w:rPr>
      </w:pPr>
      <w:bookmarkStart w:id="0" w:name="_GoBack"/>
      <w:bookmarkEnd w:id="0"/>
    </w:p>
    <w:p w:rsidR="001F40E3" w:rsidRPr="00A27857" w:rsidRDefault="001F40E3" w:rsidP="00FA120A">
      <w:pPr>
        <w:pStyle w:val="Tekstzwyky"/>
        <w:rPr>
          <w:rFonts w:ascii="Arial" w:hAnsi="Arial" w:cs="Arial"/>
        </w:rPr>
      </w:pPr>
    </w:p>
    <w:p w:rsidR="00FA120A" w:rsidRPr="00A27857" w:rsidRDefault="00FA120A" w:rsidP="00FA120A">
      <w:pPr>
        <w:pStyle w:val="Tekstzwyky"/>
        <w:rPr>
          <w:rFonts w:ascii="Arial" w:hAnsi="Arial" w:cs="Arial"/>
        </w:rPr>
      </w:pPr>
    </w:p>
    <w:p w:rsidR="007A6E03" w:rsidRDefault="007A6E03" w:rsidP="001F40E3"/>
    <w:p w:rsidR="001E2D14" w:rsidRDefault="001E2D14" w:rsidP="001F40E3"/>
    <w:p w:rsidR="001E2D14" w:rsidRPr="00A27857" w:rsidRDefault="001E2D14" w:rsidP="001F40E3"/>
    <w:p w:rsidR="00555A03" w:rsidRPr="00A27857" w:rsidRDefault="00555A03" w:rsidP="001F40E3"/>
    <w:p w:rsidR="00555A03" w:rsidRPr="00A27857" w:rsidRDefault="00555A03" w:rsidP="001F40E3"/>
    <w:p w:rsidR="00555A03" w:rsidRPr="00A27857" w:rsidRDefault="00555A03" w:rsidP="001F40E3"/>
    <w:p w:rsidR="0087293C" w:rsidRDefault="001F40E3" w:rsidP="0087293C">
      <w:pPr>
        <w:spacing w:before="0" w:after="0"/>
        <w:jc w:val="center"/>
        <w:rPr>
          <w:b/>
          <w:color w:val="1F497D" w:themeColor="text2"/>
          <w:sz w:val="44"/>
          <w:szCs w:val="44"/>
        </w:rPr>
      </w:pPr>
      <w:r>
        <w:rPr>
          <w:b/>
          <w:color w:val="1F497D" w:themeColor="text2"/>
          <w:sz w:val="44"/>
        </w:rPr>
        <w:t>2014 REPORT ON</w:t>
      </w:r>
    </w:p>
    <w:p w:rsidR="0087293C" w:rsidRDefault="001F40E3" w:rsidP="0087293C">
      <w:pPr>
        <w:spacing w:before="0" w:after="0"/>
        <w:jc w:val="center"/>
        <w:rPr>
          <w:b/>
          <w:color w:val="1F497D" w:themeColor="text2"/>
          <w:sz w:val="44"/>
          <w:szCs w:val="44"/>
        </w:rPr>
      </w:pPr>
      <w:r>
        <w:rPr>
          <w:b/>
          <w:color w:val="1F497D" w:themeColor="text2"/>
          <w:sz w:val="44"/>
        </w:rPr>
        <w:t>RAILWAY SAFETY</w:t>
      </w:r>
    </w:p>
    <w:p w:rsidR="001F40E3" w:rsidRPr="00C9365C" w:rsidRDefault="001F40E3" w:rsidP="0087293C">
      <w:pPr>
        <w:spacing w:before="0"/>
        <w:jc w:val="center"/>
        <w:rPr>
          <w:b/>
          <w:color w:val="1F497D" w:themeColor="text2"/>
          <w:sz w:val="44"/>
          <w:szCs w:val="44"/>
        </w:rPr>
      </w:pPr>
      <w:r>
        <w:rPr>
          <w:b/>
          <w:color w:val="1F497D" w:themeColor="text2"/>
          <w:sz w:val="44"/>
        </w:rPr>
        <w:t>IN POLAND</w:t>
      </w:r>
    </w:p>
    <w:p w:rsidR="00C80050" w:rsidRPr="00C9365C" w:rsidRDefault="00C80050" w:rsidP="001F40E3">
      <w:pPr>
        <w:rPr>
          <w:color w:val="1F497D" w:themeColor="text2"/>
        </w:rPr>
      </w:pPr>
    </w:p>
    <w:p w:rsidR="00C80050" w:rsidRPr="00B00D0A" w:rsidRDefault="00C80050" w:rsidP="001F40E3">
      <w:pPr>
        <w:rPr>
          <w:color w:val="1F497D" w:themeColor="text2"/>
        </w:rPr>
      </w:pPr>
    </w:p>
    <w:p w:rsidR="00C80050" w:rsidRPr="00B00D0A" w:rsidRDefault="00C80050" w:rsidP="001F40E3">
      <w:pPr>
        <w:rPr>
          <w:color w:val="1F497D" w:themeColor="text2"/>
        </w:rPr>
      </w:pPr>
    </w:p>
    <w:p w:rsidR="00C80050" w:rsidRPr="00B00D0A" w:rsidRDefault="00C80050" w:rsidP="001F40E3">
      <w:pPr>
        <w:rPr>
          <w:color w:val="1F497D" w:themeColor="text2"/>
        </w:rPr>
      </w:pPr>
    </w:p>
    <w:p w:rsidR="0031184E" w:rsidRPr="001A28F6" w:rsidRDefault="0031184E" w:rsidP="001F40E3">
      <w:pPr>
        <w:rPr>
          <w:color w:val="1F497D" w:themeColor="text2"/>
        </w:rPr>
      </w:pPr>
    </w:p>
    <w:p w:rsidR="0031184E" w:rsidRPr="001A28F6" w:rsidRDefault="0031184E" w:rsidP="001F40E3">
      <w:pPr>
        <w:rPr>
          <w:color w:val="1F497D" w:themeColor="text2"/>
        </w:rPr>
      </w:pPr>
    </w:p>
    <w:p w:rsidR="00555A03" w:rsidRPr="00B74A4E" w:rsidRDefault="00555A03" w:rsidP="001F40E3">
      <w:pPr>
        <w:rPr>
          <w:color w:val="1F497D" w:themeColor="text2"/>
        </w:rPr>
      </w:pPr>
    </w:p>
    <w:p w:rsidR="00B66BE8" w:rsidRPr="00B74A4E" w:rsidRDefault="00B66BE8" w:rsidP="001F40E3">
      <w:pPr>
        <w:rPr>
          <w:color w:val="1F497D" w:themeColor="text2"/>
        </w:rPr>
      </w:pPr>
    </w:p>
    <w:p w:rsidR="00B66BE8" w:rsidRPr="00C9774E" w:rsidRDefault="00B66BE8" w:rsidP="001F40E3">
      <w:pPr>
        <w:jc w:val="center"/>
        <w:rPr>
          <w:color w:val="1F497D" w:themeColor="text2"/>
        </w:rPr>
      </w:pPr>
    </w:p>
    <w:p w:rsidR="00B66BE8" w:rsidRPr="00C9774E" w:rsidRDefault="00B66BE8" w:rsidP="001F40E3">
      <w:pPr>
        <w:jc w:val="center"/>
        <w:rPr>
          <w:color w:val="1F497D" w:themeColor="text2"/>
        </w:rPr>
      </w:pPr>
    </w:p>
    <w:p w:rsidR="00555A03" w:rsidRPr="00A27857" w:rsidRDefault="00EF4A4D" w:rsidP="001F40E3">
      <w:pPr>
        <w:jc w:val="center"/>
        <w:rPr>
          <w:color w:val="1F497D" w:themeColor="text2"/>
        </w:rPr>
      </w:pPr>
      <w:r>
        <w:rPr>
          <w:noProof/>
          <w:color w:val="1F497D" w:themeColor="text2"/>
          <w:lang w:val="fr-LU" w:eastAsia="fr-LU" w:bidi="ar-SA"/>
        </w:rPr>
        <w:drawing>
          <wp:inline distT="0" distB="0" distL="0" distR="0" wp14:anchorId="283C61FE" wp14:editId="2F8820AC">
            <wp:extent cx="3838575" cy="838200"/>
            <wp:effectExtent l="0" t="0" r="9525" b="0"/>
            <wp:docPr id="4" name="Obraz 2" descr="cid:image001.png@01D0AA71.7A623FF0"/>
            <wp:cNvGraphicFramePr/>
            <a:graphic xmlns:a="http://schemas.openxmlformats.org/drawingml/2006/main">
              <a:graphicData uri="http://schemas.openxmlformats.org/drawingml/2006/picture">
                <pic:pic xmlns:pic="http://schemas.openxmlformats.org/drawingml/2006/picture">
                  <pic:nvPicPr>
                    <pic:cNvPr id="1" name="Obraz 2" descr="cid:image001.png@01D0AA71.7A623FF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838200"/>
                    </a:xfrm>
                    <a:prstGeom prst="rect">
                      <a:avLst/>
                    </a:prstGeom>
                    <a:noFill/>
                    <a:ln>
                      <a:noFill/>
                    </a:ln>
                  </pic:spPr>
                </pic:pic>
              </a:graphicData>
            </a:graphic>
          </wp:inline>
        </w:drawing>
      </w:r>
    </w:p>
    <w:p w:rsidR="00F47FE6" w:rsidRDefault="00DD5A63" w:rsidP="001F40E3">
      <w:pPr>
        <w:jc w:val="center"/>
        <w:rPr>
          <w:color w:val="1F497D" w:themeColor="text2"/>
        </w:rPr>
      </w:pPr>
      <w:r>
        <w:rPr>
          <w:color w:val="1F497D" w:themeColor="text2"/>
        </w:rPr>
        <w:t xml:space="preserve">RAIL TRANSPORT OFFICE </w:t>
      </w:r>
    </w:p>
    <w:p w:rsidR="00151A7E" w:rsidRPr="00C9365C" w:rsidRDefault="00DD5A63" w:rsidP="001F40E3">
      <w:pPr>
        <w:jc w:val="center"/>
        <w:rPr>
          <w:color w:val="1F497D" w:themeColor="text2"/>
        </w:rPr>
      </w:pPr>
      <w:r>
        <w:rPr>
          <w:color w:val="1F497D" w:themeColor="text2"/>
        </w:rPr>
        <w:t>URZAD TRANSPORTU KOLEJOWEGO — UTK</w:t>
      </w:r>
    </w:p>
    <w:p w:rsidR="00B66BE8" w:rsidRPr="00C9365C" w:rsidRDefault="00B66BE8" w:rsidP="001F40E3">
      <w:pPr>
        <w:jc w:val="center"/>
        <w:rPr>
          <w:color w:val="1F497D" w:themeColor="text2"/>
        </w:rPr>
      </w:pPr>
    </w:p>
    <w:p w:rsidR="00E8680E" w:rsidRPr="00B74A4E" w:rsidRDefault="00B66BE8" w:rsidP="001F40E3">
      <w:pPr>
        <w:jc w:val="center"/>
        <w:rPr>
          <w:color w:val="1F497D" w:themeColor="text2"/>
          <w:sz w:val="22"/>
        </w:rPr>
      </w:pPr>
      <w:r>
        <w:rPr>
          <w:color w:val="1F497D" w:themeColor="text2"/>
          <w:sz w:val="22"/>
        </w:rPr>
        <w:t>Warsaw, September 2015</w:t>
      </w:r>
    </w:p>
    <w:p w:rsidR="009E22B4" w:rsidRDefault="009E22B4" w:rsidP="001F40E3">
      <w:pPr>
        <w:rPr>
          <w:color w:val="1F497D" w:themeColor="text2"/>
        </w:rPr>
      </w:pPr>
    </w:p>
    <w:p w:rsidR="0087293C" w:rsidRDefault="0087293C" w:rsidP="001F40E3">
      <w:pPr>
        <w:rPr>
          <w:color w:val="1F497D" w:themeColor="text2"/>
        </w:rPr>
        <w:sectPr w:rsidR="0087293C" w:rsidSect="002C2C44">
          <w:headerReference w:type="even" r:id="rId9"/>
          <w:headerReference w:type="default" r:id="rId10"/>
          <w:footerReference w:type="even" r:id="rId11"/>
          <w:footerReference w:type="default" r:id="rId12"/>
          <w:headerReference w:type="first" r:id="rId13"/>
          <w:pgSz w:w="11906" w:h="16838"/>
          <w:pgMar w:top="992" w:right="1021" w:bottom="992" w:left="1021" w:header="709" w:footer="709" w:gutter="0"/>
          <w:pgNumType w:start="1"/>
          <w:cols w:space="708"/>
          <w:titlePg/>
          <w:docGrid w:linePitch="360"/>
        </w:sectPr>
      </w:pPr>
    </w:p>
    <w:p w:rsidR="00E8680E" w:rsidRPr="00B74A4E" w:rsidRDefault="00E8680E" w:rsidP="00A409A8">
      <w:pPr>
        <w:tabs>
          <w:tab w:val="left" w:pos="2093"/>
        </w:tabs>
        <w:rPr>
          <w:color w:val="1F497D" w:themeColor="text2"/>
        </w:rPr>
      </w:pPr>
    </w:p>
    <w:p w:rsidR="00E8680E" w:rsidRPr="00C9774E" w:rsidRDefault="00E8680E" w:rsidP="001F40E3">
      <w:pPr>
        <w:rPr>
          <w:color w:val="1F497D" w:themeColor="text2"/>
        </w:rPr>
      </w:pPr>
    </w:p>
    <w:p w:rsidR="00E8680E" w:rsidRPr="00C9774E" w:rsidRDefault="00E8680E" w:rsidP="001F40E3">
      <w:pPr>
        <w:rPr>
          <w:color w:val="1F497D" w:themeColor="text2"/>
        </w:rPr>
      </w:pPr>
    </w:p>
    <w:p w:rsidR="00E8680E" w:rsidRPr="00C9774E" w:rsidRDefault="00E8680E" w:rsidP="001F40E3">
      <w:pPr>
        <w:rPr>
          <w:color w:val="1F497D" w:themeColor="text2"/>
        </w:rPr>
      </w:pPr>
    </w:p>
    <w:p w:rsidR="00B66BE8" w:rsidRPr="00C9774E" w:rsidRDefault="00B66BE8" w:rsidP="001F40E3">
      <w:pPr>
        <w:rPr>
          <w:color w:val="1F497D" w:themeColor="text2"/>
        </w:rPr>
      </w:pPr>
    </w:p>
    <w:p w:rsidR="00B66BE8" w:rsidRPr="00C9774E" w:rsidRDefault="00B66BE8" w:rsidP="001F40E3">
      <w:pPr>
        <w:rPr>
          <w:color w:val="1F497D" w:themeColor="text2"/>
        </w:rPr>
      </w:pPr>
    </w:p>
    <w:p w:rsidR="00B66BE8" w:rsidRPr="00C9774E" w:rsidRDefault="00B66BE8" w:rsidP="001F40E3">
      <w:pPr>
        <w:rPr>
          <w:color w:val="1F497D" w:themeColor="text2"/>
        </w:rPr>
      </w:pPr>
    </w:p>
    <w:p w:rsidR="00B66BE8" w:rsidRPr="00C9774E" w:rsidRDefault="00B66BE8"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rPr>
          <w:color w:val="1F497D" w:themeColor="text2"/>
        </w:rPr>
      </w:pPr>
    </w:p>
    <w:p w:rsidR="001F40E3" w:rsidRPr="00C9774E" w:rsidRDefault="001F40E3" w:rsidP="001F40E3">
      <w:pPr>
        <w:spacing w:before="0" w:after="0"/>
        <w:rPr>
          <w:color w:val="1F497D" w:themeColor="text2"/>
        </w:rPr>
      </w:pPr>
    </w:p>
    <w:p w:rsidR="002302BC" w:rsidRDefault="002302BC" w:rsidP="001F40E3">
      <w:pPr>
        <w:spacing w:before="0" w:after="0"/>
        <w:rPr>
          <w:color w:val="1F497D" w:themeColor="text2"/>
        </w:rPr>
      </w:pPr>
    </w:p>
    <w:p w:rsidR="002C2C44" w:rsidRPr="00C9774E" w:rsidRDefault="002C2C44" w:rsidP="001F40E3">
      <w:pPr>
        <w:spacing w:before="0" w:after="0"/>
        <w:rPr>
          <w:color w:val="1F497D" w:themeColor="text2"/>
        </w:rPr>
      </w:pPr>
    </w:p>
    <w:p w:rsidR="002302BC" w:rsidRDefault="002302BC" w:rsidP="001F40E3">
      <w:pPr>
        <w:spacing w:before="0" w:after="0"/>
        <w:rPr>
          <w:color w:val="1F497D" w:themeColor="text2"/>
        </w:rPr>
      </w:pPr>
    </w:p>
    <w:p w:rsidR="002C2C44" w:rsidRPr="00C9774E" w:rsidRDefault="002C2C44" w:rsidP="001F40E3">
      <w:pPr>
        <w:spacing w:before="0" w:after="0"/>
        <w:rPr>
          <w:color w:val="1F497D" w:themeColor="text2"/>
        </w:rPr>
      </w:pPr>
    </w:p>
    <w:p w:rsidR="00E8680E" w:rsidRPr="00C9774E" w:rsidRDefault="00B66BE8" w:rsidP="001F40E3">
      <w:pPr>
        <w:spacing w:before="0" w:after="0"/>
        <w:rPr>
          <w:b/>
          <w:color w:val="1F497D" w:themeColor="text2"/>
        </w:rPr>
      </w:pPr>
      <w:r>
        <w:rPr>
          <w:b/>
          <w:color w:val="1F497D" w:themeColor="text2"/>
        </w:rPr>
        <w:t>2014 Report on Railway Safety in Poland</w:t>
      </w:r>
    </w:p>
    <w:p w:rsidR="00B66BE8" w:rsidRPr="00C9774E" w:rsidRDefault="00B66BE8" w:rsidP="001F40E3">
      <w:pPr>
        <w:spacing w:before="0" w:after="0"/>
        <w:rPr>
          <w:color w:val="1F497D" w:themeColor="text2"/>
        </w:rPr>
      </w:pPr>
      <w:r>
        <w:rPr>
          <w:color w:val="1F497D" w:themeColor="text2"/>
        </w:rPr>
        <w:t>Warsaw, September 2015</w:t>
      </w:r>
    </w:p>
    <w:p w:rsidR="00B66BE8" w:rsidRPr="00C9774E" w:rsidRDefault="00B66BE8" w:rsidP="001F40E3">
      <w:pPr>
        <w:spacing w:before="0" w:after="0"/>
        <w:rPr>
          <w:color w:val="1F497D" w:themeColor="text2"/>
        </w:rPr>
      </w:pPr>
    </w:p>
    <w:p w:rsidR="00B66BE8" w:rsidRPr="00C9774E" w:rsidRDefault="00B66BE8" w:rsidP="001F40E3">
      <w:pPr>
        <w:spacing w:before="0" w:after="0"/>
        <w:rPr>
          <w:b/>
          <w:color w:val="1F497D" w:themeColor="text2"/>
        </w:rPr>
      </w:pPr>
      <w:r>
        <w:rPr>
          <w:b/>
          <w:color w:val="1F497D" w:themeColor="text2"/>
        </w:rPr>
        <w:t>Publisher:</w:t>
      </w:r>
    </w:p>
    <w:p w:rsidR="00B66BE8" w:rsidRPr="00C9774E" w:rsidRDefault="00B66BE8" w:rsidP="001F40E3">
      <w:pPr>
        <w:spacing w:before="0" w:after="0"/>
        <w:rPr>
          <w:color w:val="1F497D" w:themeColor="text2"/>
        </w:rPr>
      </w:pPr>
      <w:r>
        <w:rPr>
          <w:color w:val="1F497D" w:themeColor="text2"/>
        </w:rPr>
        <w:t>Rail Transport Office</w:t>
      </w:r>
    </w:p>
    <w:p w:rsidR="00B66BE8" w:rsidRPr="00C9774E" w:rsidRDefault="00B66BE8" w:rsidP="001F40E3">
      <w:pPr>
        <w:spacing w:before="0" w:after="0"/>
        <w:rPr>
          <w:color w:val="1F497D" w:themeColor="text2"/>
        </w:rPr>
      </w:pPr>
    </w:p>
    <w:p w:rsidR="00B66BE8" w:rsidRPr="00C9774E" w:rsidRDefault="00B66BE8" w:rsidP="001F40E3">
      <w:pPr>
        <w:spacing w:before="0" w:after="0"/>
        <w:rPr>
          <w:b/>
          <w:color w:val="1F497D" w:themeColor="text2"/>
        </w:rPr>
      </w:pPr>
      <w:r>
        <w:rPr>
          <w:b/>
          <w:color w:val="1F497D" w:themeColor="text2"/>
        </w:rPr>
        <w:t>Technical and graphic development:</w:t>
      </w:r>
    </w:p>
    <w:p w:rsidR="00B66BE8" w:rsidRPr="00C9774E" w:rsidRDefault="00B66BE8" w:rsidP="001F40E3">
      <w:pPr>
        <w:spacing w:before="0" w:after="0"/>
        <w:rPr>
          <w:color w:val="1F497D" w:themeColor="text2"/>
        </w:rPr>
      </w:pPr>
      <w:r>
        <w:rPr>
          <w:color w:val="1F497D" w:themeColor="text2"/>
        </w:rPr>
        <w:t>Rail Safety Department</w:t>
      </w:r>
    </w:p>
    <w:p w:rsidR="00B66BE8" w:rsidRPr="00C9774E" w:rsidRDefault="00B66BE8" w:rsidP="001F40E3">
      <w:pPr>
        <w:spacing w:before="0" w:after="0"/>
        <w:rPr>
          <w:color w:val="1F497D" w:themeColor="text2"/>
        </w:rPr>
      </w:pPr>
    </w:p>
    <w:p w:rsidR="00B66BE8" w:rsidRPr="00C9774E" w:rsidRDefault="00B66BE8" w:rsidP="001F40E3">
      <w:pPr>
        <w:spacing w:before="0" w:after="0"/>
        <w:rPr>
          <w:b/>
          <w:color w:val="1F497D" w:themeColor="text2"/>
        </w:rPr>
      </w:pPr>
      <w:r>
        <w:rPr>
          <w:b/>
          <w:color w:val="1F497D" w:themeColor="text2"/>
        </w:rPr>
        <w:t>Sources of information:</w:t>
      </w:r>
    </w:p>
    <w:p w:rsidR="00B66BE8" w:rsidRPr="00C9774E" w:rsidRDefault="00B66BE8" w:rsidP="001F40E3">
      <w:pPr>
        <w:spacing w:before="0" w:after="0"/>
        <w:rPr>
          <w:color w:val="1F497D" w:themeColor="text2"/>
        </w:rPr>
      </w:pPr>
      <w:r>
        <w:rPr>
          <w:color w:val="1F497D" w:themeColor="text2"/>
        </w:rPr>
        <w:t xml:space="preserve">Safety reports of rail operators and infrastructure managers, Rail Occurrence Register </w:t>
      </w:r>
    </w:p>
    <w:p w:rsidR="00E8680E" w:rsidRPr="00C9774E" w:rsidRDefault="00E8680E" w:rsidP="001F40E3">
      <w:pPr>
        <w:spacing w:before="0" w:after="0"/>
        <w:rPr>
          <w:color w:val="1F497D" w:themeColor="text2"/>
        </w:rPr>
      </w:pPr>
    </w:p>
    <w:p w:rsidR="007A6E03" w:rsidRPr="00C9774E" w:rsidRDefault="007A6E03" w:rsidP="001F40E3">
      <w:pPr>
        <w:spacing w:before="0" w:after="0"/>
        <w:rPr>
          <w:b/>
          <w:color w:val="1F497D" w:themeColor="text2"/>
        </w:rPr>
      </w:pPr>
      <w:r>
        <w:rPr>
          <w:b/>
          <w:color w:val="1F497D" w:themeColor="text2"/>
        </w:rPr>
        <w:t>Developed by:</w:t>
      </w:r>
    </w:p>
    <w:p w:rsidR="007A6E03" w:rsidRPr="00C9774E" w:rsidRDefault="007A6E03" w:rsidP="001F40E3">
      <w:pPr>
        <w:spacing w:before="0" w:after="0"/>
        <w:rPr>
          <w:color w:val="1F497D" w:themeColor="text2"/>
        </w:rPr>
      </w:pPr>
      <w:r>
        <w:rPr>
          <w:color w:val="1F497D" w:themeColor="text2"/>
        </w:rPr>
        <w:t>Rail Transport Office</w:t>
      </w:r>
    </w:p>
    <w:p w:rsidR="007A6E03" w:rsidRPr="00C9774E" w:rsidRDefault="00294B7B" w:rsidP="001F40E3">
      <w:pPr>
        <w:spacing w:before="0" w:after="0"/>
        <w:rPr>
          <w:color w:val="1F497D" w:themeColor="text2"/>
        </w:rPr>
      </w:pPr>
      <w:r>
        <w:rPr>
          <w:color w:val="1F497D" w:themeColor="text2"/>
        </w:rPr>
        <w:t>Aleje Jerozolimskie 134</w:t>
      </w:r>
    </w:p>
    <w:p w:rsidR="007A6E03" w:rsidRPr="00C9774E" w:rsidRDefault="00294B7B" w:rsidP="001F40E3">
      <w:pPr>
        <w:spacing w:before="0" w:after="0"/>
        <w:rPr>
          <w:color w:val="1F497D" w:themeColor="text2"/>
        </w:rPr>
      </w:pPr>
      <w:r>
        <w:rPr>
          <w:color w:val="1F497D" w:themeColor="text2"/>
        </w:rPr>
        <w:t>02</w:t>
      </w:r>
      <w:r>
        <w:noBreakHyphen/>
      </w:r>
      <w:r>
        <w:rPr>
          <w:color w:val="1F497D" w:themeColor="text2"/>
        </w:rPr>
        <w:t>305 Warsaw</w:t>
      </w:r>
    </w:p>
    <w:p w:rsidR="00C80050" w:rsidRPr="00C9774E" w:rsidRDefault="00C80050" w:rsidP="001F40E3">
      <w:pPr>
        <w:spacing w:before="0" w:after="0"/>
        <w:rPr>
          <w:color w:val="1F497D" w:themeColor="text2"/>
        </w:rPr>
      </w:pPr>
    </w:p>
    <w:p w:rsidR="007A6E03" w:rsidRPr="00C9774E" w:rsidRDefault="00C80050" w:rsidP="001F40E3">
      <w:pPr>
        <w:spacing w:before="0" w:after="0"/>
        <w:rPr>
          <w:color w:val="1F497D" w:themeColor="text2"/>
        </w:rPr>
      </w:pPr>
      <w:r>
        <w:rPr>
          <w:color w:val="1F497D" w:themeColor="text2"/>
        </w:rPr>
        <w:t>www.utk.gov.pl</w:t>
      </w:r>
    </w:p>
    <w:p w:rsidR="00FA120A" w:rsidRPr="00C9774E" w:rsidRDefault="00FA120A" w:rsidP="001F40E3">
      <w:pPr>
        <w:spacing w:before="0" w:after="0"/>
        <w:rPr>
          <w:color w:val="1F497D" w:themeColor="text2"/>
        </w:rPr>
      </w:pPr>
      <w:r>
        <w:rPr>
          <w:color w:val="1F497D" w:themeColor="text2"/>
        </w:rPr>
        <w:t>utk@utk.gov.pl</w:t>
      </w:r>
    </w:p>
    <w:p w:rsidR="00DD5A63" w:rsidRDefault="00DD5A63">
      <w:pPr>
        <w:spacing w:before="0" w:after="0" w:line="240" w:lineRule="auto"/>
        <w:jc w:val="left"/>
      </w:pPr>
      <w:r>
        <w:br w:type="page"/>
      </w:r>
    </w:p>
    <w:p w:rsidR="005E00E0" w:rsidRPr="00CF5488" w:rsidRDefault="001F40E3" w:rsidP="0031184E">
      <w:pPr>
        <w:pStyle w:val="Heading1"/>
        <w:numPr>
          <w:ilvl w:val="0"/>
          <w:numId w:val="0"/>
        </w:numPr>
        <w:rPr>
          <w:color w:val="1F497D" w:themeColor="text2"/>
        </w:rPr>
      </w:pPr>
      <w:bookmarkStart w:id="1" w:name="_Toc435539914"/>
      <w:bookmarkStart w:id="2" w:name="_Toc441736850"/>
      <w:r>
        <w:rPr>
          <w:color w:val="1F497D" w:themeColor="text2"/>
        </w:rPr>
        <w:lastRenderedPageBreak/>
        <w:t>Contents</w:t>
      </w:r>
      <w:bookmarkEnd w:id="1"/>
      <w:bookmarkEnd w:id="2"/>
    </w:p>
    <w:p w:rsidR="00AC20F8" w:rsidRDefault="00DD5A63">
      <w:pPr>
        <w:pStyle w:val="TOC1"/>
        <w:rPr>
          <w:rFonts w:asciiTheme="minorHAnsi" w:eastAsiaTheme="minorEastAsia" w:hAnsiTheme="minorHAnsi" w:cstheme="minorBidi"/>
          <w:b w:val="0"/>
          <w:color w:val="auto"/>
          <w:sz w:val="22"/>
          <w:szCs w:val="22"/>
          <w:lang w:val="fr-LU" w:eastAsia="fr-LU" w:bidi="ar-SA"/>
        </w:rPr>
      </w:pPr>
      <w:r>
        <w:rPr>
          <w:b w:val="0"/>
        </w:rPr>
        <w:fldChar w:fldCharType="begin"/>
      </w:r>
      <w:r>
        <w:rPr>
          <w:b w:val="0"/>
        </w:rPr>
        <w:instrText xml:space="preserve"> TOC \o "1-2" \h \z </w:instrText>
      </w:r>
      <w:r>
        <w:rPr>
          <w:b w:val="0"/>
        </w:rPr>
        <w:fldChar w:fldCharType="separate"/>
      </w:r>
      <w:hyperlink w:anchor="_Toc441736850" w:history="1">
        <w:r w:rsidR="00AC20F8" w:rsidRPr="00C21E9A">
          <w:rPr>
            <w:rStyle w:val="Hyperlink"/>
          </w:rPr>
          <w:t>Contents</w:t>
        </w:r>
        <w:r w:rsidR="00AC20F8">
          <w:rPr>
            <w:webHidden/>
          </w:rPr>
          <w:tab/>
        </w:r>
        <w:r w:rsidR="00AC20F8">
          <w:rPr>
            <w:webHidden/>
          </w:rPr>
          <w:fldChar w:fldCharType="begin"/>
        </w:r>
        <w:r w:rsidR="00AC20F8">
          <w:rPr>
            <w:webHidden/>
          </w:rPr>
          <w:instrText xml:space="preserve"> PAGEREF _Toc441736850 \h </w:instrText>
        </w:r>
        <w:r w:rsidR="00AC20F8">
          <w:rPr>
            <w:webHidden/>
          </w:rPr>
        </w:r>
        <w:r w:rsidR="00AC20F8">
          <w:rPr>
            <w:webHidden/>
          </w:rPr>
          <w:fldChar w:fldCharType="separate"/>
        </w:r>
        <w:r w:rsidR="00AC20F8">
          <w:rPr>
            <w:webHidden/>
          </w:rPr>
          <w:t>3</w:t>
        </w:r>
        <w:r w:rsidR="00AC20F8">
          <w:rPr>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51" w:history="1">
        <w:r w:rsidR="00AC20F8" w:rsidRPr="00C21E9A">
          <w:rPr>
            <w:rStyle w:val="Hyperlink"/>
          </w:rPr>
          <w:t>A.</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Introduction</w:t>
        </w:r>
        <w:r w:rsidR="00AC20F8">
          <w:rPr>
            <w:webHidden/>
          </w:rPr>
          <w:tab/>
        </w:r>
        <w:r w:rsidR="00AC20F8">
          <w:rPr>
            <w:webHidden/>
          </w:rPr>
          <w:fldChar w:fldCharType="begin"/>
        </w:r>
        <w:r w:rsidR="00AC20F8">
          <w:rPr>
            <w:webHidden/>
          </w:rPr>
          <w:instrText xml:space="preserve"> PAGEREF _Toc441736851 \h </w:instrText>
        </w:r>
        <w:r w:rsidR="00AC20F8">
          <w:rPr>
            <w:webHidden/>
          </w:rPr>
        </w:r>
        <w:r w:rsidR="00AC20F8">
          <w:rPr>
            <w:webHidden/>
          </w:rPr>
          <w:fldChar w:fldCharType="separate"/>
        </w:r>
        <w:r w:rsidR="00AC20F8">
          <w:rPr>
            <w:webHidden/>
          </w:rPr>
          <w:t>4</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2"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Aim and scope of the report</w:t>
        </w:r>
        <w:r w:rsidR="00AC20F8">
          <w:rPr>
            <w:noProof/>
            <w:webHidden/>
          </w:rPr>
          <w:tab/>
        </w:r>
        <w:r w:rsidR="00AC20F8">
          <w:rPr>
            <w:noProof/>
            <w:webHidden/>
          </w:rPr>
          <w:fldChar w:fldCharType="begin"/>
        </w:r>
        <w:r w:rsidR="00AC20F8">
          <w:rPr>
            <w:noProof/>
            <w:webHidden/>
          </w:rPr>
          <w:instrText xml:space="preserve"> PAGEREF _Toc441736852 \h </w:instrText>
        </w:r>
        <w:r w:rsidR="00AC20F8">
          <w:rPr>
            <w:noProof/>
            <w:webHidden/>
          </w:rPr>
        </w:r>
        <w:r w:rsidR="00AC20F8">
          <w:rPr>
            <w:noProof/>
            <w:webHidden/>
          </w:rPr>
          <w:fldChar w:fldCharType="separate"/>
        </w:r>
        <w:r w:rsidR="00AC20F8">
          <w:rPr>
            <w:noProof/>
            <w:webHidden/>
          </w:rPr>
          <w:t>4</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3"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National safety authority</w:t>
        </w:r>
        <w:r w:rsidR="00AC20F8">
          <w:rPr>
            <w:noProof/>
            <w:webHidden/>
          </w:rPr>
          <w:tab/>
        </w:r>
        <w:r w:rsidR="00AC20F8">
          <w:rPr>
            <w:noProof/>
            <w:webHidden/>
          </w:rPr>
          <w:fldChar w:fldCharType="begin"/>
        </w:r>
        <w:r w:rsidR="00AC20F8">
          <w:rPr>
            <w:noProof/>
            <w:webHidden/>
          </w:rPr>
          <w:instrText xml:space="preserve"> PAGEREF _Toc441736853 \h </w:instrText>
        </w:r>
        <w:r w:rsidR="00AC20F8">
          <w:rPr>
            <w:noProof/>
            <w:webHidden/>
          </w:rPr>
        </w:r>
        <w:r w:rsidR="00AC20F8">
          <w:rPr>
            <w:noProof/>
            <w:webHidden/>
          </w:rPr>
          <w:fldChar w:fldCharType="separate"/>
        </w:r>
        <w:r w:rsidR="00AC20F8">
          <w:rPr>
            <w:noProof/>
            <w:webHidden/>
          </w:rPr>
          <w:t>5</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54" w:history="1">
        <w:r w:rsidR="00AC20F8" w:rsidRPr="00C21E9A">
          <w:rPr>
            <w:rStyle w:val="Hyperlink"/>
          </w:rPr>
          <w:t>B.</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Overall safety situation and strategy</w:t>
        </w:r>
        <w:r w:rsidR="00AC20F8">
          <w:rPr>
            <w:webHidden/>
          </w:rPr>
          <w:tab/>
        </w:r>
        <w:r w:rsidR="00AC20F8">
          <w:rPr>
            <w:webHidden/>
          </w:rPr>
          <w:fldChar w:fldCharType="begin"/>
        </w:r>
        <w:r w:rsidR="00AC20F8">
          <w:rPr>
            <w:webHidden/>
          </w:rPr>
          <w:instrText xml:space="preserve"> PAGEREF _Toc441736854 \h </w:instrText>
        </w:r>
        <w:r w:rsidR="00AC20F8">
          <w:rPr>
            <w:webHidden/>
          </w:rPr>
        </w:r>
        <w:r w:rsidR="00AC20F8">
          <w:rPr>
            <w:webHidden/>
          </w:rPr>
          <w:fldChar w:fldCharType="separate"/>
        </w:r>
        <w:r w:rsidR="00AC20F8">
          <w:rPr>
            <w:webHidden/>
          </w:rPr>
          <w:t>6</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5"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Main conclusions for the reporting year</w:t>
        </w:r>
        <w:r w:rsidR="00AC20F8">
          <w:rPr>
            <w:noProof/>
            <w:webHidden/>
          </w:rPr>
          <w:tab/>
        </w:r>
        <w:r w:rsidR="00AC20F8">
          <w:rPr>
            <w:noProof/>
            <w:webHidden/>
          </w:rPr>
          <w:fldChar w:fldCharType="begin"/>
        </w:r>
        <w:r w:rsidR="00AC20F8">
          <w:rPr>
            <w:noProof/>
            <w:webHidden/>
          </w:rPr>
          <w:instrText xml:space="preserve"> PAGEREF _Toc441736855 \h </w:instrText>
        </w:r>
        <w:r w:rsidR="00AC20F8">
          <w:rPr>
            <w:noProof/>
            <w:webHidden/>
          </w:rPr>
        </w:r>
        <w:r w:rsidR="00AC20F8">
          <w:rPr>
            <w:noProof/>
            <w:webHidden/>
          </w:rPr>
          <w:fldChar w:fldCharType="separate"/>
        </w:r>
        <w:r w:rsidR="00AC20F8">
          <w:rPr>
            <w:noProof/>
            <w:webHidden/>
          </w:rPr>
          <w:t>6</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6"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National safety strategy, programmes and initiatives</w:t>
        </w:r>
        <w:r w:rsidR="00AC20F8">
          <w:rPr>
            <w:noProof/>
            <w:webHidden/>
          </w:rPr>
          <w:tab/>
        </w:r>
        <w:r w:rsidR="00AC20F8">
          <w:rPr>
            <w:noProof/>
            <w:webHidden/>
          </w:rPr>
          <w:fldChar w:fldCharType="begin"/>
        </w:r>
        <w:r w:rsidR="00AC20F8">
          <w:rPr>
            <w:noProof/>
            <w:webHidden/>
          </w:rPr>
          <w:instrText xml:space="preserve"> PAGEREF _Toc441736856 \h </w:instrText>
        </w:r>
        <w:r w:rsidR="00AC20F8">
          <w:rPr>
            <w:noProof/>
            <w:webHidden/>
          </w:rPr>
        </w:r>
        <w:r w:rsidR="00AC20F8">
          <w:rPr>
            <w:noProof/>
            <w:webHidden/>
          </w:rPr>
          <w:fldChar w:fldCharType="separate"/>
        </w:r>
        <w:r w:rsidR="00AC20F8">
          <w:rPr>
            <w:noProof/>
            <w:webHidden/>
          </w:rPr>
          <w:t>8</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7" w:history="1">
        <w:r w:rsidR="00AC20F8" w:rsidRPr="00C21E9A">
          <w:rPr>
            <w:rStyle w:val="Hyperlink"/>
            <w:noProof/>
          </w:rPr>
          <w:t>3.</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Overview of the situation in 2014</w:t>
        </w:r>
        <w:r w:rsidR="00AC20F8">
          <w:rPr>
            <w:noProof/>
            <w:webHidden/>
          </w:rPr>
          <w:tab/>
        </w:r>
        <w:r w:rsidR="00AC20F8">
          <w:rPr>
            <w:noProof/>
            <w:webHidden/>
          </w:rPr>
          <w:fldChar w:fldCharType="begin"/>
        </w:r>
        <w:r w:rsidR="00AC20F8">
          <w:rPr>
            <w:noProof/>
            <w:webHidden/>
          </w:rPr>
          <w:instrText xml:space="preserve"> PAGEREF _Toc441736857 \h </w:instrText>
        </w:r>
        <w:r w:rsidR="00AC20F8">
          <w:rPr>
            <w:noProof/>
            <w:webHidden/>
          </w:rPr>
        </w:r>
        <w:r w:rsidR="00AC20F8">
          <w:rPr>
            <w:noProof/>
            <w:webHidden/>
          </w:rPr>
          <w:fldChar w:fldCharType="separate"/>
        </w:r>
        <w:r w:rsidR="00AC20F8">
          <w:rPr>
            <w:noProof/>
            <w:webHidden/>
          </w:rPr>
          <w:t>9</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58" w:history="1">
        <w:r w:rsidR="00AC20F8" w:rsidRPr="00C21E9A">
          <w:rPr>
            <w:rStyle w:val="Hyperlink"/>
            <w:noProof/>
          </w:rPr>
          <w:t>4.</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Priority areas in 2015</w:t>
        </w:r>
        <w:r w:rsidR="00AC20F8">
          <w:rPr>
            <w:noProof/>
            <w:webHidden/>
          </w:rPr>
          <w:tab/>
        </w:r>
        <w:r w:rsidR="00AC20F8">
          <w:rPr>
            <w:noProof/>
            <w:webHidden/>
          </w:rPr>
          <w:fldChar w:fldCharType="begin"/>
        </w:r>
        <w:r w:rsidR="00AC20F8">
          <w:rPr>
            <w:noProof/>
            <w:webHidden/>
          </w:rPr>
          <w:instrText xml:space="preserve"> PAGEREF _Toc441736858 \h </w:instrText>
        </w:r>
        <w:r w:rsidR="00AC20F8">
          <w:rPr>
            <w:noProof/>
            <w:webHidden/>
          </w:rPr>
        </w:r>
        <w:r w:rsidR="00AC20F8">
          <w:rPr>
            <w:noProof/>
            <w:webHidden/>
          </w:rPr>
          <w:fldChar w:fldCharType="separate"/>
        </w:r>
        <w:r w:rsidR="00AC20F8">
          <w:rPr>
            <w:noProof/>
            <w:webHidden/>
          </w:rPr>
          <w:t>10</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59" w:history="1">
        <w:r w:rsidR="00AC20F8" w:rsidRPr="00C21E9A">
          <w:rPr>
            <w:rStyle w:val="Hyperlink"/>
          </w:rPr>
          <w:t>C.</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Changes in safety levels</w:t>
        </w:r>
        <w:r w:rsidR="00AC20F8">
          <w:rPr>
            <w:webHidden/>
          </w:rPr>
          <w:tab/>
        </w:r>
        <w:r w:rsidR="00AC20F8">
          <w:rPr>
            <w:webHidden/>
          </w:rPr>
          <w:fldChar w:fldCharType="begin"/>
        </w:r>
        <w:r w:rsidR="00AC20F8">
          <w:rPr>
            <w:webHidden/>
          </w:rPr>
          <w:instrText xml:space="preserve"> PAGEREF _Toc441736859 \h </w:instrText>
        </w:r>
        <w:r w:rsidR="00AC20F8">
          <w:rPr>
            <w:webHidden/>
          </w:rPr>
        </w:r>
        <w:r w:rsidR="00AC20F8">
          <w:rPr>
            <w:webHidden/>
          </w:rPr>
          <w:fldChar w:fldCharType="separate"/>
        </w:r>
        <w:r w:rsidR="00AC20F8">
          <w:rPr>
            <w:webHidden/>
          </w:rPr>
          <w:t>11</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0"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Detailed analysis of the latest trends</w:t>
        </w:r>
        <w:r w:rsidR="00AC20F8">
          <w:rPr>
            <w:noProof/>
            <w:webHidden/>
          </w:rPr>
          <w:tab/>
        </w:r>
        <w:r w:rsidR="00AC20F8">
          <w:rPr>
            <w:noProof/>
            <w:webHidden/>
          </w:rPr>
          <w:fldChar w:fldCharType="begin"/>
        </w:r>
        <w:r w:rsidR="00AC20F8">
          <w:rPr>
            <w:noProof/>
            <w:webHidden/>
          </w:rPr>
          <w:instrText xml:space="preserve"> PAGEREF _Toc441736860 \h </w:instrText>
        </w:r>
        <w:r w:rsidR="00AC20F8">
          <w:rPr>
            <w:noProof/>
            <w:webHidden/>
          </w:rPr>
        </w:r>
        <w:r w:rsidR="00AC20F8">
          <w:rPr>
            <w:noProof/>
            <w:webHidden/>
          </w:rPr>
          <w:fldChar w:fldCharType="separate"/>
        </w:r>
        <w:r w:rsidR="00AC20F8">
          <w:rPr>
            <w:noProof/>
            <w:webHidden/>
          </w:rPr>
          <w:t>11</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1"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Results of safety recommendations</w:t>
        </w:r>
        <w:r w:rsidR="00AC20F8">
          <w:rPr>
            <w:noProof/>
            <w:webHidden/>
          </w:rPr>
          <w:tab/>
        </w:r>
        <w:r w:rsidR="00AC20F8">
          <w:rPr>
            <w:noProof/>
            <w:webHidden/>
          </w:rPr>
          <w:fldChar w:fldCharType="begin"/>
        </w:r>
        <w:r w:rsidR="00AC20F8">
          <w:rPr>
            <w:noProof/>
            <w:webHidden/>
          </w:rPr>
          <w:instrText xml:space="preserve"> PAGEREF _Toc441736861 \h </w:instrText>
        </w:r>
        <w:r w:rsidR="00AC20F8">
          <w:rPr>
            <w:noProof/>
            <w:webHidden/>
          </w:rPr>
        </w:r>
        <w:r w:rsidR="00AC20F8">
          <w:rPr>
            <w:noProof/>
            <w:webHidden/>
          </w:rPr>
          <w:fldChar w:fldCharType="separate"/>
        </w:r>
        <w:r w:rsidR="00AC20F8">
          <w:rPr>
            <w:noProof/>
            <w:webHidden/>
          </w:rPr>
          <w:t>18</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2" w:history="1">
        <w:r w:rsidR="00AC20F8" w:rsidRPr="00C21E9A">
          <w:rPr>
            <w:rStyle w:val="Hyperlink"/>
            <w:noProof/>
          </w:rPr>
          <w:t>3.</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Implemented measures not related to safety recommendations</w:t>
        </w:r>
        <w:r w:rsidR="00AC20F8">
          <w:rPr>
            <w:noProof/>
            <w:webHidden/>
          </w:rPr>
          <w:tab/>
        </w:r>
        <w:r w:rsidR="00AC20F8">
          <w:rPr>
            <w:noProof/>
            <w:webHidden/>
          </w:rPr>
          <w:fldChar w:fldCharType="begin"/>
        </w:r>
        <w:r w:rsidR="00AC20F8">
          <w:rPr>
            <w:noProof/>
            <w:webHidden/>
          </w:rPr>
          <w:instrText xml:space="preserve"> PAGEREF _Toc441736862 \h </w:instrText>
        </w:r>
        <w:r w:rsidR="00AC20F8">
          <w:rPr>
            <w:noProof/>
            <w:webHidden/>
          </w:rPr>
        </w:r>
        <w:r w:rsidR="00AC20F8">
          <w:rPr>
            <w:noProof/>
            <w:webHidden/>
          </w:rPr>
          <w:fldChar w:fldCharType="separate"/>
        </w:r>
        <w:r w:rsidR="00AC20F8">
          <w:rPr>
            <w:noProof/>
            <w:webHidden/>
          </w:rPr>
          <w:t>24</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63" w:history="1">
        <w:r w:rsidR="00AC20F8" w:rsidRPr="00C21E9A">
          <w:rPr>
            <w:rStyle w:val="Hyperlink"/>
          </w:rPr>
          <w:t>D.</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Supervision</w:t>
        </w:r>
        <w:r w:rsidR="00AC20F8">
          <w:rPr>
            <w:webHidden/>
          </w:rPr>
          <w:tab/>
        </w:r>
        <w:r w:rsidR="00AC20F8">
          <w:rPr>
            <w:webHidden/>
          </w:rPr>
          <w:fldChar w:fldCharType="begin"/>
        </w:r>
        <w:r w:rsidR="00AC20F8">
          <w:rPr>
            <w:webHidden/>
          </w:rPr>
          <w:instrText xml:space="preserve"> PAGEREF _Toc441736863 \h </w:instrText>
        </w:r>
        <w:r w:rsidR="00AC20F8">
          <w:rPr>
            <w:webHidden/>
          </w:rPr>
        </w:r>
        <w:r w:rsidR="00AC20F8">
          <w:rPr>
            <w:webHidden/>
          </w:rPr>
          <w:fldChar w:fldCharType="separate"/>
        </w:r>
        <w:r w:rsidR="00AC20F8">
          <w:rPr>
            <w:webHidden/>
          </w:rPr>
          <w:t>25</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4"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Strategy and plans</w:t>
        </w:r>
        <w:r w:rsidR="00AC20F8">
          <w:rPr>
            <w:noProof/>
            <w:webHidden/>
          </w:rPr>
          <w:tab/>
        </w:r>
        <w:r w:rsidR="00AC20F8">
          <w:rPr>
            <w:noProof/>
            <w:webHidden/>
          </w:rPr>
          <w:fldChar w:fldCharType="begin"/>
        </w:r>
        <w:r w:rsidR="00AC20F8">
          <w:rPr>
            <w:noProof/>
            <w:webHidden/>
          </w:rPr>
          <w:instrText xml:space="preserve"> PAGEREF _Toc441736864 \h </w:instrText>
        </w:r>
        <w:r w:rsidR="00AC20F8">
          <w:rPr>
            <w:noProof/>
            <w:webHidden/>
          </w:rPr>
        </w:r>
        <w:r w:rsidR="00AC20F8">
          <w:rPr>
            <w:noProof/>
            <w:webHidden/>
          </w:rPr>
          <w:fldChar w:fldCharType="separate"/>
        </w:r>
        <w:r w:rsidR="00AC20F8">
          <w:rPr>
            <w:noProof/>
            <w:webHidden/>
          </w:rPr>
          <w:t>25</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5"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Supervision of management systems in railway transport</w:t>
        </w:r>
        <w:r w:rsidR="00AC20F8">
          <w:rPr>
            <w:noProof/>
            <w:webHidden/>
          </w:rPr>
          <w:tab/>
        </w:r>
        <w:r w:rsidR="00AC20F8">
          <w:rPr>
            <w:noProof/>
            <w:webHidden/>
          </w:rPr>
          <w:fldChar w:fldCharType="begin"/>
        </w:r>
        <w:r w:rsidR="00AC20F8">
          <w:rPr>
            <w:noProof/>
            <w:webHidden/>
          </w:rPr>
          <w:instrText xml:space="preserve"> PAGEREF _Toc441736865 \h </w:instrText>
        </w:r>
        <w:r w:rsidR="00AC20F8">
          <w:rPr>
            <w:noProof/>
            <w:webHidden/>
          </w:rPr>
        </w:r>
        <w:r w:rsidR="00AC20F8">
          <w:rPr>
            <w:noProof/>
            <w:webHidden/>
          </w:rPr>
          <w:fldChar w:fldCharType="separate"/>
        </w:r>
        <w:r w:rsidR="00AC20F8">
          <w:rPr>
            <w:noProof/>
            <w:webHidden/>
          </w:rPr>
          <w:t>28</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6" w:history="1">
        <w:r w:rsidR="00AC20F8" w:rsidRPr="00C21E9A">
          <w:rPr>
            <w:rStyle w:val="Hyperlink"/>
            <w:noProof/>
          </w:rPr>
          <w:t>3.</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Human resources</w:t>
        </w:r>
        <w:r w:rsidR="00AC20F8">
          <w:rPr>
            <w:noProof/>
            <w:webHidden/>
          </w:rPr>
          <w:tab/>
        </w:r>
        <w:r w:rsidR="00AC20F8">
          <w:rPr>
            <w:noProof/>
            <w:webHidden/>
          </w:rPr>
          <w:fldChar w:fldCharType="begin"/>
        </w:r>
        <w:r w:rsidR="00AC20F8">
          <w:rPr>
            <w:noProof/>
            <w:webHidden/>
          </w:rPr>
          <w:instrText xml:space="preserve"> PAGEREF _Toc441736866 \h </w:instrText>
        </w:r>
        <w:r w:rsidR="00AC20F8">
          <w:rPr>
            <w:noProof/>
            <w:webHidden/>
          </w:rPr>
        </w:r>
        <w:r w:rsidR="00AC20F8">
          <w:rPr>
            <w:noProof/>
            <w:webHidden/>
          </w:rPr>
          <w:fldChar w:fldCharType="separate"/>
        </w:r>
        <w:r w:rsidR="00AC20F8">
          <w:rPr>
            <w:noProof/>
            <w:webHidden/>
          </w:rPr>
          <w:t>30</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7" w:history="1">
        <w:r w:rsidR="00AC20F8" w:rsidRPr="00C21E9A">
          <w:rPr>
            <w:rStyle w:val="Hyperlink"/>
            <w:noProof/>
          </w:rPr>
          <w:t>4.</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Competences</w:t>
        </w:r>
        <w:r w:rsidR="00AC20F8">
          <w:rPr>
            <w:noProof/>
            <w:webHidden/>
          </w:rPr>
          <w:tab/>
        </w:r>
        <w:r w:rsidR="00AC20F8">
          <w:rPr>
            <w:noProof/>
            <w:webHidden/>
          </w:rPr>
          <w:fldChar w:fldCharType="begin"/>
        </w:r>
        <w:r w:rsidR="00AC20F8">
          <w:rPr>
            <w:noProof/>
            <w:webHidden/>
          </w:rPr>
          <w:instrText xml:space="preserve"> PAGEREF _Toc441736867 \h </w:instrText>
        </w:r>
        <w:r w:rsidR="00AC20F8">
          <w:rPr>
            <w:noProof/>
            <w:webHidden/>
          </w:rPr>
        </w:r>
        <w:r w:rsidR="00AC20F8">
          <w:rPr>
            <w:noProof/>
            <w:webHidden/>
          </w:rPr>
          <w:fldChar w:fldCharType="separate"/>
        </w:r>
        <w:r w:rsidR="00AC20F8">
          <w:rPr>
            <w:noProof/>
            <w:webHidden/>
          </w:rPr>
          <w:t>30</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8" w:history="1">
        <w:r w:rsidR="00AC20F8" w:rsidRPr="00C21E9A">
          <w:rPr>
            <w:rStyle w:val="Hyperlink"/>
            <w:noProof/>
          </w:rPr>
          <w:t>5.</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Decision-making process</w:t>
        </w:r>
        <w:r w:rsidR="00AC20F8">
          <w:rPr>
            <w:noProof/>
            <w:webHidden/>
          </w:rPr>
          <w:tab/>
        </w:r>
        <w:r w:rsidR="00AC20F8">
          <w:rPr>
            <w:noProof/>
            <w:webHidden/>
          </w:rPr>
          <w:fldChar w:fldCharType="begin"/>
        </w:r>
        <w:r w:rsidR="00AC20F8">
          <w:rPr>
            <w:noProof/>
            <w:webHidden/>
          </w:rPr>
          <w:instrText xml:space="preserve"> PAGEREF _Toc441736868 \h </w:instrText>
        </w:r>
        <w:r w:rsidR="00AC20F8">
          <w:rPr>
            <w:noProof/>
            <w:webHidden/>
          </w:rPr>
        </w:r>
        <w:r w:rsidR="00AC20F8">
          <w:rPr>
            <w:noProof/>
            <w:webHidden/>
          </w:rPr>
          <w:fldChar w:fldCharType="separate"/>
        </w:r>
        <w:r w:rsidR="00AC20F8">
          <w:rPr>
            <w:noProof/>
            <w:webHidden/>
          </w:rPr>
          <w:t>31</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69" w:history="1">
        <w:r w:rsidR="00AC20F8" w:rsidRPr="00C21E9A">
          <w:rPr>
            <w:rStyle w:val="Hyperlink"/>
            <w:noProof/>
          </w:rPr>
          <w:t>6.</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Coordination and cooperation</w:t>
        </w:r>
        <w:r w:rsidR="00AC20F8">
          <w:rPr>
            <w:noProof/>
            <w:webHidden/>
          </w:rPr>
          <w:tab/>
        </w:r>
        <w:r w:rsidR="00AC20F8">
          <w:rPr>
            <w:noProof/>
            <w:webHidden/>
          </w:rPr>
          <w:fldChar w:fldCharType="begin"/>
        </w:r>
        <w:r w:rsidR="00AC20F8">
          <w:rPr>
            <w:noProof/>
            <w:webHidden/>
          </w:rPr>
          <w:instrText xml:space="preserve"> PAGEREF _Toc441736869 \h </w:instrText>
        </w:r>
        <w:r w:rsidR="00AC20F8">
          <w:rPr>
            <w:noProof/>
            <w:webHidden/>
          </w:rPr>
        </w:r>
        <w:r w:rsidR="00AC20F8">
          <w:rPr>
            <w:noProof/>
            <w:webHidden/>
          </w:rPr>
          <w:fldChar w:fldCharType="separate"/>
        </w:r>
        <w:r w:rsidR="00AC20F8">
          <w:rPr>
            <w:noProof/>
            <w:webHidden/>
          </w:rPr>
          <w:t>31</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0" w:history="1">
        <w:r w:rsidR="00AC20F8" w:rsidRPr="00C21E9A">
          <w:rPr>
            <w:rStyle w:val="Hyperlink"/>
            <w:noProof/>
          </w:rPr>
          <w:t>7.</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Conclusions from measures taken</w:t>
        </w:r>
        <w:r w:rsidR="00AC20F8">
          <w:rPr>
            <w:noProof/>
            <w:webHidden/>
          </w:rPr>
          <w:tab/>
        </w:r>
        <w:r w:rsidR="00AC20F8">
          <w:rPr>
            <w:noProof/>
            <w:webHidden/>
          </w:rPr>
          <w:fldChar w:fldCharType="begin"/>
        </w:r>
        <w:r w:rsidR="00AC20F8">
          <w:rPr>
            <w:noProof/>
            <w:webHidden/>
          </w:rPr>
          <w:instrText xml:space="preserve"> PAGEREF _Toc441736870 \h </w:instrText>
        </w:r>
        <w:r w:rsidR="00AC20F8">
          <w:rPr>
            <w:noProof/>
            <w:webHidden/>
          </w:rPr>
        </w:r>
        <w:r w:rsidR="00AC20F8">
          <w:rPr>
            <w:noProof/>
            <w:webHidden/>
          </w:rPr>
          <w:fldChar w:fldCharType="separate"/>
        </w:r>
        <w:r w:rsidR="00AC20F8">
          <w:rPr>
            <w:noProof/>
            <w:webHidden/>
          </w:rPr>
          <w:t>32</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71" w:history="1">
        <w:r w:rsidR="00AC20F8" w:rsidRPr="00C21E9A">
          <w:rPr>
            <w:rStyle w:val="Hyperlink"/>
          </w:rPr>
          <w:t>E.</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Safety certification and authorisation</w:t>
        </w:r>
        <w:r w:rsidR="00AC20F8">
          <w:rPr>
            <w:webHidden/>
          </w:rPr>
          <w:tab/>
        </w:r>
        <w:r w:rsidR="00AC20F8">
          <w:rPr>
            <w:webHidden/>
          </w:rPr>
          <w:fldChar w:fldCharType="begin"/>
        </w:r>
        <w:r w:rsidR="00AC20F8">
          <w:rPr>
            <w:webHidden/>
          </w:rPr>
          <w:instrText xml:space="preserve"> PAGEREF _Toc441736871 \h </w:instrText>
        </w:r>
        <w:r w:rsidR="00AC20F8">
          <w:rPr>
            <w:webHidden/>
          </w:rPr>
        </w:r>
        <w:r w:rsidR="00AC20F8">
          <w:rPr>
            <w:webHidden/>
          </w:rPr>
          <w:fldChar w:fldCharType="separate"/>
        </w:r>
        <w:r w:rsidR="00AC20F8">
          <w:rPr>
            <w:webHidden/>
          </w:rPr>
          <w:t>33</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2"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Guidelines</w:t>
        </w:r>
        <w:r w:rsidR="00AC20F8">
          <w:rPr>
            <w:noProof/>
            <w:webHidden/>
          </w:rPr>
          <w:tab/>
        </w:r>
        <w:r w:rsidR="00AC20F8">
          <w:rPr>
            <w:noProof/>
            <w:webHidden/>
          </w:rPr>
          <w:fldChar w:fldCharType="begin"/>
        </w:r>
        <w:r w:rsidR="00AC20F8">
          <w:rPr>
            <w:noProof/>
            <w:webHidden/>
          </w:rPr>
          <w:instrText xml:space="preserve"> PAGEREF _Toc441736872 \h </w:instrText>
        </w:r>
        <w:r w:rsidR="00AC20F8">
          <w:rPr>
            <w:noProof/>
            <w:webHidden/>
          </w:rPr>
        </w:r>
        <w:r w:rsidR="00AC20F8">
          <w:rPr>
            <w:noProof/>
            <w:webHidden/>
          </w:rPr>
          <w:fldChar w:fldCharType="separate"/>
        </w:r>
        <w:r w:rsidR="00AC20F8">
          <w:rPr>
            <w:noProof/>
            <w:webHidden/>
          </w:rPr>
          <w:t>33</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3"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Contacts with other national safety authorities</w:t>
        </w:r>
        <w:r w:rsidR="00AC20F8">
          <w:rPr>
            <w:noProof/>
            <w:webHidden/>
          </w:rPr>
          <w:tab/>
        </w:r>
        <w:r w:rsidR="00AC20F8">
          <w:rPr>
            <w:noProof/>
            <w:webHidden/>
          </w:rPr>
          <w:fldChar w:fldCharType="begin"/>
        </w:r>
        <w:r w:rsidR="00AC20F8">
          <w:rPr>
            <w:noProof/>
            <w:webHidden/>
          </w:rPr>
          <w:instrText xml:space="preserve"> PAGEREF _Toc441736873 \h </w:instrText>
        </w:r>
        <w:r w:rsidR="00AC20F8">
          <w:rPr>
            <w:noProof/>
            <w:webHidden/>
          </w:rPr>
        </w:r>
        <w:r w:rsidR="00AC20F8">
          <w:rPr>
            <w:noProof/>
            <w:webHidden/>
          </w:rPr>
          <w:fldChar w:fldCharType="separate"/>
        </w:r>
        <w:r w:rsidR="00AC20F8">
          <w:rPr>
            <w:noProof/>
            <w:webHidden/>
          </w:rPr>
          <w:t>33</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4" w:history="1">
        <w:r w:rsidR="00AC20F8" w:rsidRPr="00C21E9A">
          <w:rPr>
            <w:rStyle w:val="Hyperlink"/>
            <w:noProof/>
          </w:rPr>
          <w:t>3.</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Procedural matters</w:t>
        </w:r>
        <w:r w:rsidR="00AC20F8">
          <w:rPr>
            <w:noProof/>
            <w:webHidden/>
          </w:rPr>
          <w:tab/>
        </w:r>
        <w:r w:rsidR="00AC20F8">
          <w:rPr>
            <w:noProof/>
            <w:webHidden/>
          </w:rPr>
          <w:fldChar w:fldCharType="begin"/>
        </w:r>
        <w:r w:rsidR="00AC20F8">
          <w:rPr>
            <w:noProof/>
            <w:webHidden/>
          </w:rPr>
          <w:instrText xml:space="preserve"> PAGEREF _Toc441736874 \h </w:instrText>
        </w:r>
        <w:r w:rsidR="00AC20F8">
          <w:rPr>
            <w:noProof/>
            <w:webHidden/>
          </w:rPr>
        </w:r>
        <w:r w:rsidR="00AC20F8">
          <w:rPr>
            <w:noProof/>
            <w:webHidden/>
          </w:rPr>
          <w:fldChar w:fldCharType="separate"/>
        </w:r>
        <w:r w:rsidR="00AC20F8">
          <w:rPr>
            <w:noProof/>
            <w:webHidden/>
          </w:rPr>
          <w:t>33</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5" w:history="1">
        <w:r w:rsidR="00AC20F8" w:rsidRPr="00C21E9A">
          <w:rPr>
            <w:rStyle w:val="Hyperlink"/>
            <w:noProof/>
          </w:rPr>
          <w:t>4.</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Feedback</w:t>
        </w:r>
        <w:r w:rsidR="00AC20F8">
          <w:rPr>
            <w:noProof/>
            <w:webHidden/>
          </w:rPr>
          <w:tab/>
        </w:r>
        <w:r w:rsidR="00AC20F8">
          <w:rPr>
            <w:noProof/>
            <w:webHidden/>
          </w:rPr>
          <w:fldChar w:fldCharType="begin"/>
        </w:r>
        <w:r w:rsidR="00AC20F8">
          <w:rPr>
            <w:noProof/>
            <w:webHidden/>
          </w:rPr>
          <w:instrText xml:space="preserve"> PAGEREF _Toc441736875 \h </w:instrText>
        </w:r>
        <w:r w:rsidR="00AC20F8">
          <w:rPr>
            <w:noProof/>
            <w:webHidden/>
          </w:rPr>
        </w:r>
        <w:r w:rsidR="00AC20F8">
          <w:rPr>
            <w:noProof/>
            <w:webHidden/>
          </w:rPr>
          <w:fldChar w:fldCharType="separate"/>
        </w:r>
        <w:r w:rsidR="00AC20F8">
          <w:rPr>
            <w:noProof/>
            <w:webHidden/>
          </w:rPr>
          <w:t>33</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76" w:history="1">
        <w:r w:rsidR="00AC20F8" w:rsidRPr="00C21E9A">
          <w:rPr>
            <w:rStyle w:val="Hyperlink"/>
          </w:rPr>
          <w:t>F.</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Changes to legislation</w:t>
        </w:r>
        <w:r w:rsidR="00AC20F8">
          <w:rPr>
            <w:webHidden/>
          </w:rPr>
          <w:tab/>
        </w:r>
        <w:r w:rsidR="00AC20F8">
          <w:rPr>
            <w:webHidden/>
          </w:rPr>
          <w:fldChar w:fldCharType="begin"/>
        </w:r>
        <w:r w:rsidR="00AC20F8">
          <w:rPr>
            <w:webHidden/>
          </w:rPr>
          <w:instrText xml:space="preserve"> PAGEREF _Toc441736876 \h </w:instrText>
        </w:r>
        <w:r w:rsidR="00AC20F8">
          <w:rPr>
            <w:webHidden/>
          </w:rPr>
        </w:r>
        <w:r w:rsidR="00AC20F8">
          <w:rPr>
            <w:webHidden/>
          </w:rPr>
          <w:fldChar w:fldCharType="separate"/>
        </w:r>
        <w:r w:rsidR="00AC20F8">
          <w:rPr>
            <w:webHidden/>
          </w:rPr>
          <w:t>35</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7"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Directive on rail safety</w:t>
        </w:r>
        <w:r w:rsidR="00AC20F8">
          <w:rPr>
            <w:noProof/>
            <w:webHidden/>
          </w:rPr>
          <w:tab/>
        </w:r>
        <w:r w:rsidR="00AC20F8">
          <w:rPr>
            <w:noProof/>
            <w:webHidden/>
          </w:rPr>
          <w:fldChar w:fldCharType="begin"/>
        </w:r>
        <w:r w:rsidR="00AC20F8">
          <w:rPr>
            <w:noProof/>
            <w:webHidden/>
          </w:rPr>
          <w:instrText xml:space="preserve"> PAGEREF _Toc441736877 \h </w:instrText>
        </w:r>
        <w:r w:rsidR="00AC20F8">
          <w:rPr>
            <w:noProof/>
            <w:webHidden/>
          </w:rPr>
        </w:r>
        <w:r w:rsidR="00AC20F8">
          <w:rPr>
            <w:noProof/>
            <w:webHidden/>
          </w:rPr>
          <w:fldChar w:fldCharType="separate"/>
        </w:r>
        <w:r w:rsidR="00AC20F8">
          <w:rPr>
            <w:noProof/>
            <w:webHidden/>
          </w:rPr>
          <w:t>35</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78"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Changes to legislation and regulations</w:t>
        </w:r>
        <w:r w:rsidR="00AC20F8">
          <w:rPr>
            <w:noProof/>
            <w:webHidden/>
          </w:rPr>
          <w:tab/>
        </w:r>
        <w:r w:rsidR="00AC20F8">
          <w:rPr>
            <w:noProof/>
            <w:webHidden/>
          </w:rPr>
          <w:fldChar w:fldCharType="begin"/>
        </w:r>
        <w:r w:rsidR="00AC20F8">
          <w:rPr>
            <w:noProof/>
            <w:webHidden/>
          </w:rPr>
          <w:instrText xml:space="preserve"> PAGEREF _Toc441736878 \h </w:instrText>
        </w:r>
        <w:r w:rsidR="00AC20F8">
          <w:rPr>
            <w:noProof/>
            <w:webHidden/>
          </w:rPr>
        </w:r>
        <w:r w:rsidR="00AC20F8">
          <w:rPr>
            <w:noProof/>
            <w:webHidden/>
          </w:rPr>
          <w:fldChar w:fldCharType="separate"/>
        </w:r>
        <w:r w:rsidR="00AC20F8">
          <w:rPr>
            <w:noProof/>
            <w:webHidden/>
          </w:rPr>
          <w:t>35</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79" w:history="1">
        <w:r w:rsidR="00AC20F8" w:rsidRPr="00C21E9A">
          <w:rPr>
            <w:rStyle w:val="Hyperlink"/>
          </w:rPr>
          <w:t>G.</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Application of CSMs with respect to risk assessment and evaluation</w:t>
        </w:r>
        <w:r w:rsidR="00AC20F8">
          <w:rPr>
            <w:webHidden/>
          </w:rPr>
          <w:tab/>
        </w:r>
        <w:r w:rsidR="00AC20F8">
          <w:rPr>
            <w:webHidden/>
          </w:rPr>
          <w:fldChar w:fldCharType="begin"/>
        </w:r>
        <w:r w:rsidR="00AC20F8">
          <w:rPr>
            <w:webHidden/>
          </w:rPr>
          <w:instrText xml:space="preserve"> PAGEREF _Toc441736879 \h </w:instrText>
        </w:r>
        <w:r w:rsidR="00AC20F8">
          <w:rPr>
            <w:webHidden/>
          </w:rPr>
        </w:r>
        <w:r w:rsidR="00AC20F8">
          <w:rPr>
            <w:webHidden/>
          </w:rPr>
          <w:fldChar w:fldCharType="separate"/>
        </w:r>
        <w:r w:rsidR="00AC20F8">
          <w:rPr>
            <w:webHidden/>
          </w:rPr>
          <w:t>36</w:t>
        </w:r>
        <w:r w:rsidR="00AC20F8">
          <w:rPr>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80" w:history="1">
        <w:r w:rsidR="00AC20F8" w:rsidRPr="00C21E9A">
          <w:rPr>
            <w:rStyle w:val="Hyperlink"/>
            <w:noProof/>
          </w:rPr>
          <w:t>1.</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Experiences of national safety authorities</w:t>
        </w:r>
        <w:r w:rsidR="00AC20F8">
          <w:rPr>
            <w:noProof/>
            <w:webHidden/>
          </w:rPr>
          <w:tab/>
        </w:r>
        <w:r w:rsidR="00AC20F8">
          <w:rPr>
            <w:noProof/>
            <w:webHidden/>
          </w:rPr>
          <w:fldChar w:fldCharType="begin"/>
        </w:r>
        <w:r w:rsidR="00AC20F8">
          <w:rPr>
            <w:noProof/>
            <w:webHidden/>
          </w:rPr>
          <w:instrText xml:space="preserve"> PAGEREF _Toc441736880 \h </w:instrText>
        </w:r>
        <w:r w:rsidR="00AC20F8">
          <w:rPr>
            <w:noProof/>
            <w:webHidden/>
          </w:rPr>
        </w:r>
        <w:r w:rsidR="00AC20F8">
          <w:rPr>
            <w:noProof/>
            <w:webHidden/>
          </w:rPr>
          <w:fldChar w:fldCharType="separate"/>
        </w:r>
        <w:r w:rsidR="00AC20F8">
          <w:rPr>
            <w:noProof/>
            <w:webHidden/>
          </w:rPr>
          <w:t>36</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81" w:history="1">
        <w:r w:rsidR="00AC20F8" w:rsidRPr="00C21E9A">
          <w:rPr>
            <w:rStyle w:val="Hyperlink"/>
            <w:noProof/>
          </w:rPr>
          <w:t>2.</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Feedback from entities</w:t>
        </w:r>
        <w:r w:rsidR="00AC20F8">
          <w:rPr>
            <w:noProof/>
            <w:webHidden/>
          </w:rPr>
          <w:tab/>
        </w:r>
        <w:r w:rsidR="00AC20F8">
          <w:rPr>
            <w:noProof/>
            <w:webHidden/>
          </w:rPr>
          <w:fldChar w:fldCharType="begin"/>
        </w:r>
        <w:r w:rsidR="00AC20F8">
          <w:rPr>
            <w:noProof/>
            <w:webHidden/>
          </w:rPr>
          <w:instrText xml:space="preserve"> PAGEREF _Toc441736881 \h </w:instrText>
        </w:r>
        <w:r w:rsidR="00AC20F8">
          <w:rPr>
            <w:noProof/>
            <w:webHidden/>
          </w:rPr>
        </w:r>
        <w:r w:rsidR="00AC20F8">
          <w:rPr>
            <w:noProof/>
            <w:webHidden/>
          </w:rPr>
          <w:fldChar w:fldCharType="separate"/>
        </w:r>
        <w:r w:rsidR="00AC20F8">
          <w:rPr>
            <w:noProof/>
            <w:webHidden/>
          </w:rPr>
          <w:t>37</w:t>
        </w:r>
        <w:r w:rsidR="00AC20F8">
          <w:rPr>
            <w:noProof/>
            <w:webHidden/>
          </w:rPr>
          <w:fldChar w:fldCharType="end"/>
        </w:r>
      </w:hyperlink>
    </w:p>
    <w:p w:rsidR="00AC20F8" w:rsidRDefault="00102FCB">
      <w:pPr>
        <w:pStyle w:val="TOC2"/>
        <w:rPr>
          <w:rFonts w:asciiTheme="minorHAnsi" w:eastAsiaTheme="minorEastAsia" w:hAnsiTheme="minorHAnsi" w:cstheme="minorBidi"/>
          <w:noProof/>
          <w:sz w:val="22"/>
          <w:szCs w:val="22"/>
          <w:lang w:val="fr-LU" w:eastAsia="fr-LU" w:bidi="ar-SA"/>
        </w:rPr>
      </w:pPr>
      <w:hyperlink w:anchor="_Toc441736882" w:history="1">
        <w:r w:rsidR="00AC20F8" w:rsidRPr="00C21E9A">
          <w:rPr>
            <w:rStyle w:val="Hyperlink"/>
            <w:noProof/>
          </w:rPr>
          <w:t>3.</w:t>
        </w:r>
        <w:r w:rsidR="00AC20F8">
          <w:rPr>
            <w:rFonts w:asciiTheme="minorHAnsi" w:eastAsiaTheme="minorEastAsia" w:hAnsiTheme="minorHAnsi" w:cstheme="minorBidi"/>
            <w:noProof/>
            <w:sz w:val="22"/>
            <w:szCs w:val="22"/>
            <w:lang w:val="fr-LU" w:eastAsia="fr-LU" w:bidi="ar-SA"/>
          </w:rPr>
          <w:tab/>
        </w:r>
        <w:r w:rsidR="00AC20F8" w:rsidRPr="00C21E9A">
          <w:rPr>
            <w:rStyle w:val="Hyperlink"/>
            <w:noProof/>
          </w:rPr>
          <w:t>Change to national legislation to include CSMs within the scope of risk assessment and evaluation</w:t>
        </w:r>
        <w:r w:rsidR="00AC20F8">
          <w:rPr>
            <w:noProof/>
            <w:webHidden/>
          </w:rPr>
          <w:tab/>
        </w:r>
        <w:r w:rsidR="00AC20F8">
          <w:rPr>
            <w:noProof/>
            <w:webHidden/>
          </w:rPr>
          <w:fldChar w:fldCharType="begin"/>
        </w:r>
        <w:r w:rsidR="00AC20F8">
          <w:rPr>
            <w:noProof/>
            <w:webHidden/>
          </w:rPr>
          <w:instrText xml:space="preserve"> PAGEREF _Toc441736882 \h </w:instrText>
        </w:r>
        <w:r w:rsidR="00AC20F8">
          <w:rPr>
            <w:noProof/>
            <w:webHidden/>
          </w:rPr>
        </w:r>
        <w:r w:rsidR="00AC20F8">
          <w:rPr>
            <w:noProof/>
            <w:webHidden/>
          </w:rPr>
          <w:fldChar w:fldCharType="separate"/>
        </w:r>
        <w:r w:rsidR="00AC20F8">
          <w:rPr>
            <w:noProof/>
            <w:webHidden/>
          </w:rPr>
          <w:t>38</w:t>
        </w:r>
        <w:r w:rsidR="00AC20F8">
          <w:rPr>
            <w:noProof/>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83" w:history="1">
        <w:r w:rsidR="00AC20F8" w:rsidRPr="00C21E9A">
          <w:rPr>
            <w:rStyle w:val="Hyperlink"/>
          </w:rPr>
          <w:t>H.</w:t>
        </w:r>
        <w:r w:rsidR="00AC20F8">
          <w:rPr>
            <w:rFonts w:asciiTheme="minorHAnsi" w:eastAsiaTheme="minorEastAsia" w:hAnsiTheme="minorHAnsi" w:cstheme="minorBidi"/>
            <w:b w:val="0"/>
            <w:color w:val="auto"/>
            <w:sz w:val="22"/>
            <w:szCs w:val="22"/>
            <w:lang w:val="fr-LU" w:eastAsia="fr-LU" w:bidi="ar-SA"/>
          </w:rPr>
          <w:tab/>
        </w:r>
        <w:r w:rsidR="00AC20F8" w:rsidRPr="00C21E9A">
          <w:rPr>
            <w:rStyle w:val="Hyperlink"/>
          </w:rPr>
          <w:t>Deviations from the ECM certification system</w:t>
        </w:r>
        <w:r w:rsidR="00AC20F8">
          <w:rPr>
            <w:webHidden/>
          </w:rPr>
          <w:tab/>
        </w:r>
        <w:r w:rsidR="00AC20F8">
          <w:rPr>
            <w:webHidden/>
          </w:rPr>
          <w:fldChar w:fldCharType="begin"/>
        </w:r>
        <w:r w:rsidR="00AC20F8">
          <w:rPr>
            <w:webHidden/>
          </w:rPr>
          <w:instrText xml:space="preserve"> PAGEREF _Toc441736883 \h </w:instrText>
        </w:r>
        <w:r w:rsidR="00AC20F8">
          <w:rPr>
            <w:webHidden/>
          </w:rPr>
        </w:r>
        <w:r w:rsidR="00AC20F8">
          <w:rPr>
            <w:webHidden/>
          </w:rPr>
          <w:fldChar w:fldCharType="separate"/>
        </w:r>
        <w:r w:rsidR="00AC20F8">
          <w:rPr>
            <w:webHidden/>
          </w:rPr>
          <w:t>39</w:t>
        </w:r>
        <w:r w:rsidR="00AC20F8">
          <w:rPr>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84" w:history="1">
        <w:r w:rsidR="00AC20F8" w:rsidRPr="00C21E9A">
          <w:rPr>
            <w:rStyle w:val="Hyperlink"/>
          </w:rPr>
          <w:t>Annex 1: Common safety targets</w:t>
        </w:r>
        <w:r w:rsidR="00AC20F8">
          <w:rPr>
            <w:webHidden/>
          </w:rPr>
          <w:tab/>
        </w:r>
        <w:r w:rsidR="00AC20F8">
          <w:rPr>
            <w:webHidden/>
          </w:rPr>
          <w:fldChar w:fldCharType="begin"/>
        </w:r>
        <w:r w:rsidR="00AC20F8">
          <w:rPr>
            <w:webHidden/>
          </w:rPr>
          <w:instrText xml:space="preserve"> PAGEREF _Toc441736884 \h </w:instrText>
        </w:r>
        <w:r w:rsidR="00AC20F8">
          <w:rPr>
            <w:webHidden/>
          </w:rPr>
        </w:r>
        <w:r w:rsidR="00AC20F8">
          <w:rPr>
            <w:webHidden/>
          </w:rPr>
          <w:fldChar w:fldCharType="separate"/>
        </w:r>
        <w:r w:rsidR="00AC20F8">
          <w:rPr>
            <w:webHidden/>
          </w:rPr>
          <w:t>40</w:t>
        </w:r>
        <w:r w:rsidR="00AC20F8">
          <w:rPr>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85" w:history="1">
        <w:r w:rsidR="00AC20F8" w:rsidRPr="00C21E9A">
          <w:rPr>
            <w:rStyle w:val="Hyperlink"/>
          </w:rPr>
          <w:t>Annex 2: Changes to legislation</w:t>
        </w:r>
        <w:r w:rsidR="00AC20F8">
          <w:rPr>
            <w:webHidden/>
          </w:rPr>
          <w:tab/>
        </w:r>
        <w:r w:rsidR="00AC20F8">
          <w:rPr>
            <w:webHidden/>
          </w:rPr>
          <w:fldChar w:fldCharType="begin"/>
        </w:r>
        <w:r w:rsidR="00AC20F8">
          <w:rPr>
            <w:webHidden/>
          </w:rPr>
          <w:instrText xml:space="preserve"> PAGEREF _Toc441736885 \h </w:instrText>
        </w:r>
        <w:r w:rsidR="00AC20F8">
          <w:rPr>
            <w:webHidden/>
          </w:rPr>
        </w:r>
        <w:r w:rsidR="00AC20F8">
          <w:rPr>
            <w:webHidden/>
          </w:rPr>
          <w:fldChar w:fldCharType="separate"/>
        </w:r>
        <w:r w:rsidR="00AC20F8">
          <w:rPr>
            <w:webHidden/>
          </w:rPr>
          <w:t>47</w:t>
        </w:r>
        <w:r w:rsidR="00AC20F8">
          <w:rPr>
            <w:webHidden/>
          </w:rPr>
          <w:fldChar w:fldCharType="end"/>
        </w:r>
      </w:hyperlink>
    </w:p>
    <w:p w:rsidR="00AC20F8" w:rsidRDefault="00102FCB">
      <w:pPr>
        <w:pStyle w:val="TOC1"/>
        <w:rPr>
          <w:rFonts w:asciiTheme="minorHAnsi" w:eastAsiaTheme="minorEastAsia" w:hAnsiTheme="minorHAnsi" w:cstheme="minorBidi"/>
          <w:b w:val="0"/>
          <w:color w:val="auto"/>
          <w:sz w:val="22"/>
          <w:szCs w:val="22"/>
          <w:lang w:val="fr-LU" w:eastAsia="fr-LU" w:bidi="ar-SA"/>
        </w:rPr>
      </w:pPr>
      <w:hyperlink w:anchor="_Toc441736886" w:history="1">
        <w:r w:rsidR="00AC20F8" w:rsidRPr="00C21E9A">
          <w:rPr>
            <w:rStyle w:val="Hyperlink"/>
          </w:rPr>
          <w:t>Annex 3: Priorities and plan for supervision of the President of the Rail Transport Office for 2015</w:t>
        </w:r>
        <w:r w:rsidR="00AC20F8">
          <w:rPr>
            <w:webHidden/>
          </w:rPr>
          <w:tab/>
        </w:r>
        <w:r w:rsidR="00AC20F8">
          <w:rPr>
            <w:webHidden/>
          </w:rPr>
          <w:fldChar w:fldCharType="begin"/>
        </w:r>
        <w:r w:rsidR="00AC20F8">
          <w:rPr>
            <w:webHidden/>
          </w:rPr>
          <w:instrText xml:space="preserve"> PAGEREF _Toc441736886 \h </w:instrText>
        </w:r>
        <w:r w:rsidR="00AC20F8">
          <w:rPr>
            <w:webHidden/>
          </w:rPr>
        </w:r>
        <w:r w:rsidR="00AC20F8">
          <w:rPr>
            <w:webHidden/>
          </w:rPr>
          <w:fldChar w:fldCharType="separate"/>
        </w:r>
        <w:r w:rsidR="00AC20F8">
          <w:rPr>
            <w:webHidden/>
          </w:rPr>
          <w:t>55</w:t>
        </w:r>
        <w:r w:rsidR="00AC20F8">
          <w:rPr>
            <w:webHidden/>
          </w:rPr>
          <w:fldChar w:fldCharType="end"/>
        </w:r>
      </w:hyperlink>
    </w:p>
    <w:p w:rsidR="00E80DA5" w:rsidRDefault="00DD5A63">
      <w:pPr>
        <w:pStyle w:val="TOC1"/>
        <w:rPr>
          <w:rFonts w:asciiTheme="minorHAnsi" w:eastAsiaTheme="minorEastAsia" w:hAnsiTheme="minorHAnsi" w:cstheme="minorBidi"/>
          <w:b w:val="0"/>
          <w:color w:val="auto"/>
          <w:sz w:val="22"/>
          <w:szCs w:val="22"/>
        </w:rPr>
      </w:pPr>
      <w:r>
        <w:fldChar w:fldCharType="end"/>
      </w:r>
    </w:p>
    <w:p w:rsidR="00DD5A63" w:rsidRDefault="00DD5A63">
      <w:pPr>
        <w:spacing w:before="0" w:after="0" w:line="240" w:lineRule="auto"/>
        <w:jc w:val="left"/>
        <w:rPr>
          <w:b/>
          <w:noProof/>
          <w:color w:val="1F497D" w:themeColor="text2"/>
        </w:rPr>
      </w:pPr>
      <w:r>
        <w:br w:type="page"/>
      </w:r>
    </w:p>
    <w:p w:rsidR="00A22158" w:rsidRPr="00C9365C" w:rsidRDefault="001F40E3" w:rsidP="009B1787">
      <w:pPr>
        <w:pStyle w:val="Heading1"/>
        <w:rPr>
          <w:color w:val="1F497D" w:themeColor="text2"/>
        </w:rPr>
      </w:pPr>
      <w:bookmarkStart w:id="3" w:name="_Toc435539915"/>
      <w:bookmarkStart w:id="4" w:name="_Toc441736851"/>
      <w:r>
        <w:rPr>
          <w:color w:val="1F497D" w:themeColor="text2"/>
        </w:rPr>
        <w:lastRenderedPageBreak/>
        <w:t>Introduction</w:t>
      </w:r>
      <w:bookmarkEnd w:id="3"/>
      <w:bookmarkEnd w:id="4"/>
    </w:p>
    <w:p w:rsidR="00033A26" w:rsidRPr="006A7FAD" w:rsidRDefault="00033A26" w:rsidP="001F40E3">
      <w:pPr>
        <w:pStyle w:val="Heading2"/>
        <w:rPr>
          <w:color w:val="1F497D" w:themeColor="text2"/>
        </w:rPr>
      </w:pPr>
      <w:bookmarkStart w:id="5" w:name="_Toc435539916"/>
      <w:bookmarkStart w:id="6" w:name="_Toc441736852"/>
      <w:r>
        <w:rPr>
          <w:color w:val="1F497D" w:themeColor="text2"/>
        </w:rPr>
        <w:t>Aim and scope of the report</w:t>
      </w:r>
      <w:bookmarkEnd w:id="5"/>
      <w:bookmarkEnd w:id="6"/>
    </w:p>
    <w:p w:rsidR="00294B7B" w:rsidRPr="006A7FAD" w:rsidRDefault="00294B7B" w:rsidP="001F40E3">
      <w:pPr>
        <w:rPr>
          <w:color w:val="1F497D" w:themeColor="text2"/>
        </w:rPr>
      </w:pPr>
      <w:r>
        <w:rPr>
          <w:color w:val="1F497D" w:themeColor="text2"/>
        </w:rPr>
        <w:t xml:space="preserve">Pursuant to Article 16 of Directive 2004/49/EC on safety on the Community’s railways (the Safety Directive), each Member State shall establish a body to implement all of the tasks of a </w:t>
      </w:r>
      <w:r>
        <w:rPr>
          <w:b/>
          <w:color w:val="1F497D" w:themeColor="text2"/>
        </w:rPr>
        <w:t>national safety authority</w:t>
      </w:r>
      <w:r>
        <w:rPr>
          <w:color w:val="1F497D" w:themeColor="text2"/>
        </w:rPr>
        <w:t xml:space="preserve"> (NSA) for the rail sector specified in the Directive. In Poland, pursuant to Article 10(1) of the Act on Rail Transport of 28 March 2003, this function was assigned to the President of the Rail Transport Office (UTK).</w:t>
      </w:r>
    </w:p>
    <w:p w:rsidR="00C35395" w:rsidRPr="006A7FAD" w:rsidRDefault="00C35395" w:rsidP="00C35395">
      <w:pPr>
        <w:rPr>
          <w:color w:val="1F497D" w:themeColor="text2"/>
        </w:rPr>
      </w:pPr>
      <w:r>
        <w:rPr>
          <w:color w:val="1F497D" w:themeColor="text2"/>
        </w:rPr>
        <w:t>Pursuant to Article 18 of the Safety Directive, each year the safety authority shall publish an annual report concerning its activities in the preceding year and send it to the European Railway Agency (the Agency) by 30 September at the latest. The report shall contain information on:</w:t>
      </w:r>
    </w:p>
    <w:p w:rsidR="00C35395" w:rsidRPr="001D09DE" w:rsidRDefault="00C35395" w:rsidP="00DD5A63">
      <w:pPr>
        <w:pStyle w:val="ListParagraph"/>
        <w:numPr>
          <w:ilvl w:val="1"/>
          <w:numId w:val="32"/>
        </w:numPr>
        <w:ind w:left="425" w:hanging="425"/>
        <w:contextualSpacing w:val="0"/>
        <w:rPr>
          <w:color w:val="1F497D" w:themeColor="text2"/>
          <w:sz w:val="18"/>
        </w:rPr>
      </w:pPr>
      <w:r w:rsidRPr="001D09DE">
        <w:rPr>
          <w:color w:val="1F497D" w:themeColor="text2"/>
          <w:sz w:val="18"/>
        </w:rPr>
        <w:t>the development of railway safety, including an aggregation at Member State level of the CSIs laid down in Annex I of the Safety Directive;</w:t>
      </w:r>
    </w:p>
    <w:p w:rsidR="00C35395" w:rsidRPr="001D09DE" w:rsidRDefault="00C35395" w:rsidP="00DD5A63">
      <w:pPr>
        <w:pStyle w:val="ListParagraph"/>
        <w:numPr>
          <w:ilvl w:val="1"/>
          <w:numId w:val="32"/>
        </w:numPr>
        <w:ind w:left="425" w:hanging="425"/>
        <w:contextualSpacing w:val="0"/>
        <w:rPr>
          <w:color w:val="1F497D" w:themeColor="text2"/>
          <w:sz w:val="18"/>
        </w:rPr>
      </w:pPr>
      <w:r w:rsidRPr="001D09DE">
        <w:rPr>
          <w:color w:val="1F497D" w:themeColor="text2"/>
          <w:sz w:val="18"/>
        </w:rPr>
        <w:t>important changes in legislation and regulation concerning railway safety;</w:t>
      </w:r>
    </w:p>
    <w:p w:rsidR="00C35395" w:rsidRPr="001D09DE" w:rsidRDefault="00C35395" w:rsidP="00DD5A63">
      <w:pPr>
        <w:pStyle w:val="ListParagraph"/>
        <w:numPr>
          <w:ilvl w:val="1"/>
          <w:numId w:val="32"/>
        </w:numPr>
        <w:ind w:left="425" w:hanging="425"/>
        <w:contextualSpacing w:val="0"/>
        <w:rPr>
          <w:color w:val="1F497D" w:themeColor="text2"/>
          <w:sz w:val="18"/>
        </w:rPr>
      </w:pPr>
      <w:r w:rsidRPr="001D09DE">
        <w:rPr>
          <w:color w:val="1F497D" w:themeColor="text2"/>
          <w:sz w:val="18"/>
        </w:rPr>
        <w:t>the development of safety certification and safety authorisation;</w:t>
      </w:r>
    </w:p>
    <w:p w:rsidR="00C35395" w:rsidRPr="001D09DE" w:rsidRDefault="00C35395" w:rsidP="00DD5A63">
      <w:pPr>
        <w:pStyle w:val="ListParagraph"/>
        <w:numPr>
          <w:ilvl w:val="1"/>
          <w:numId w:val="32"/>
        </w:numPr>
        <w:ind w:left="425" w:hanging="425"/>
        <w:contextualSpacing w:val="0"/>
        <w:rPr>
          <w:color w:val="1F497D" w:themeColor="text2"/>
          <w:sz w:val="18"/>
        </w:rPr>
      </w:pPr>
      <w:r w:rsidRPr="001D09DE">
        <w:rPr>
          <w:color w:val="1F497D" w:themeColor="text2"/>
          <w:sz w:val="18"/>
        </w:rPr>
        <w:t>results of and experience relating to the supervision of infrastructure managers and railway undertakings;</w:t>
      </w:r>
    </w:p>
    <w:p w:rsidR="00C35395" w:rsidRPr="001D09DE" w:rsidRDefault="00C35395" w:rsidP="00DD5A63">
      <w:pPr>
        <w:pStyle w:val="ListParagraph"/>
        <w:numPr>
          <w:ilvl w:val="1"/>
          <w:numId w:val="32"/>
        </w:numPr>
        <w:ind w:left="425" w:hanging="425"/>
        <w:contextualSpacing w:val="0"/>
        <w:rPr>
          <w:color w:val="1F497D" w:themeColor="text2"/>
          <w:sz w:val="18"/>
        </w:rPr>
      </w:pPr>
      <w:r w:rsidRPr="001D09DE">
        <w:rPr>
          <w:color w:val="1F497D" w:themeColor="text2"/>
          <w:sz w:val="18"/>
        </w:rPr>
        <w:t>exemptions applied pursuant to Article 14(a)(8) of the Safety Directive.</w:t>
      </w:r>
    </w:p>
    <w:p w:rsidR="004870EF" w:rsidRPr="006A7FAD" w:rsidRDefault="009D233A" w:rsidP="001F40E3">
      <w:pPr>
        <w:rPr>
          <w:color w:val="1F497D" w:themeColor="text2"/>
        </w:rPr>
      </w:pPr>
      <w:r>
        <w:rPr>
          <w:color w:val="1F497D" w:themeColor="text2"/>
        </w:rPr>
        <w:t>This report (the Report) is for the Agency. However, the Report will be published in the Official Journal of the minister responsible for transport matters and on the European Railway Agency’s website (www.era.europa.eu), on which annual reports prepared by all Member States that have their own rail systems are published. Therefore, it will be available to all interested parties – public administration bodies, rail enterprises, associations and chambers of commerce.</w:t>
      </w:r>
    </w:p>
    <w:p w:rsidR="009D233A" w:rsidRPr="006A7FAD" w:rsidRDefault="00294B7B" w:rsidP="009D233A">
      <w:pPr>
        <w:rPr>
          <w:color w:val="1F497D" w:themeColor="text2"/>
        </w:rPr>
      </w:pPr>
      <w:r>
        <w:rPr>
          <w:color w:val="1F497D" w:themeColor="text2"/>
        </w:rPr>
        <w:t>This report covers the national public rail network managed by ten infrastructure managers. This report does not cover networks that are functionally separate from the requirements of the Safety Directive, including narrow</w:t>
      </w:r>
      <w:r>
        <w:noBreakHyphen/>
      </w:r>
      <w:r>
        <w:rPr>
          <w:color w:val="1F497D" w:themeColor="text2"/>
        </w:rPr>
        <w:t>gauge rail systems, in</w:t>
      </w:r>
      <w:r>
        <w:noBreakHyphen/>
      </w:r>
      <w:r>
        <w:rPr>
          <w:color w:val="1F497D" w:themeColor="text2"/>
        </w:rPr>
        <w:t>factory rail transport, tram transport, cable transport or cable railway transport systems, or the metro system. Pursuant to the adopted guidelines, the Report does not include all occurrences that took place within national rail premises. The Report only covers occurrences classified as significant accidents, including serious accidents. These terms are defined further on in the report.</w:t>
      </w:r>
    </w:p>
    <w:p w:rsidR="00294B7B" w:rsidRPr="006A7FAD" w:rsidRDefault="00294B7B" w:rsidP="001F40E3">
      <w:pPr>
        <w:rPr>
          <w:color w:val="1F497D" w:themeColor="text2"/>
        </w:rPr>
      </w:pPr>
      <w:r>
        <w:rPr>
          <w:color w:val="1F497D" w:themeColor="text2"/>
        </w:rPr>
        <w:t>A key section of this report was prepared based on data provided to the President of the Rail Transport Office by rail undertakings and infrastructure managers in their annual safety reports submitted based on the requirements of the Rail Transport Act transposing to the national legal system the relevant requirements of the Safety Directive. The data obtained in the reports was supplemented with data obtained by the President of the UTK from other sources including, in particular, data collected in the Rail Occurrence Register kept by the President of the UTK, which constitutes one of the key tools for the ongoing monitoring of safety levels in the rail sector.</w:t>
      </w:r>
    </w:p>
    <w:p w:rsidR="004870EF" w:rsidRPr="006A7FAD" w:rsidRDefault="004870EF" w:rsidP="004870EF">
      <w:pPr>
        <w:rPr>
          <w:color w:val="1F497D" w:themeColor="text2"/>
        </w:rPr>
      </w:pPr>
      <w:r>
        <w:rPr>
          <w:color w:val="1F497D" w:themeColor="text2"/>
        </w:rPr>
        <w:t>The data in the report will be used by the Agency to prepare the ‘Biennial report on the safety of the railway system in the European Union’.</w:t>
      </w:r>
    </w:p>
    <w:p w:rsidR="004870EF" w:rsidRPr="006A7FAD" w:rsidRDefault="004870EF" w:rsidP="004870EF">
      <w:pPr>
        <w:rPr>
          <w:color w:val="1F497D" w:themeColor="text2"/>
        </w:rPr>
      </w:pPr>
      <w:r>
        <w:rPr>
          <w:color w:val="1F497D" w:themeColor="text2"/>
        </w:rPr>
        <w:t>Pursuant to applicable guidelines, the Report was prepared in accordance with a uniform, standardised template developed by the Agency, and is consistent with the system used therein.</w:t>
      </w:r>
    </w:p>
    <w:p w:rsidR="00844946" w:rsidRPr="006A7FAD" w:rsidRDefault="00844946" w:rsidP="00844946">
      <w:pPr>
        <w:pStyle w:val="Tekstzwyky"/>
        <w:rPr>
          <w:rFonts w:ascii="Arial" w:hAnsi="Arial" w:cs="Arial"/>
          <w:color w:val="1F497D" w:themeColor="text2"/>
        </w:rPr>
      </w:pPr>
      <w:r>
        <w:rPr>
          <w:rFonts w:ascii="Arial" w:hAnsi="Arial"/>
          <w:color w:val="1F497D" w:themeColor="text2"/>
        </w:rPr>
        <w:t xml:space="preserve">Following the previous year’s template, in the interests of consistency and reliability of conclusions drawn from data collected, the President of the UTK published detailed Guidelines on how to prepare safety reports on the website </w:t>
      </w:r>
      <w:r>
        <w:rPr>
          <w:rFonts w:ascii="Arial" w:hAnsi="Arial"/>
          <w:color w:val="1F497D" w:themeColor="text2"/>
        </w:rPr>
        <w:lastRenderedPageBreak/>
        <w:t>utk.gov.pl. The data presented in the reports is subject to verification by the UTK and, if required, entities are to submit relevant corrections to ensure maximum reliability of data presented in the Report.</w:t>
      </w:r>
    </w:p>
    <w:p w:rsidR="00294B7B" w:rsidRPr="006A7FAD" w:rsidRDefault="003647AB" w:rsidP="003F16AF">
      <w:pPr>
        <w:pStyle w:val="Tekstzwyky"/>
        <w:rPr>
          <w:rFonts w:ascii="Arial" w:hAnsi="Arial" w:cs="Arial"/>
          <w:color w:val="1F497D" w:themeColor="text2"/>
        </w:rPr>
      </w:pPr>
      <w:r>
        <w:rPr>
          <w:rFonts w:ascii="Arial" w:hAnsi="Arial"/>
          <w:color w:val="1F497D" w:themeColor="text2"/>
        </w:rPr>
        <w:t>The analysis of rail occurrences broken down by serious accidents, accidents and incidents (arising under the Safety Directive) is used in ongoing measures monitoring the development of safety of the rail market undertaken by the President of the UTK, and is presented every year in the Assessment of rail traffic safety for the Minister responsible for transport matters. However, this Report has been prepared based on a classification of occurrences as significant accidents (including serious accidents). Therefore, when comparing data in both documents, this difference must be borne in mind.</w:t>
      </w:r>
    </w:p>
    <w:p w:rsidR="00294B7B" w:rsidRPr="006A7FAD" w:rsidRDefault="00033A26" w:rsidP="00657A96">
      <w:pPr>
        <w:pStyle w:val="Heading2"/>
        <w:rPr>
          <w:color w:val="1F497D" w:themeColor="text2"/>
        </w:rPr>
      </w:pPr>
      <w:bookmarkStart w:id="7" w:name="_Toc435539917"/>
      <w:bookmarkStart w:id="8" w:name="_Toc441736853"/>
      <w:r>
        <w:rPr>
          <w:color w:val="1F497D" w:themeColor="text2"/>
        </w:rPr>
        <w:t>National safety authority</w:t>
      </w:r>
      <w:bookmarkEnd w:id="7"/>
      <w:bookmarkEnd w:id="8"/>
    </w:p>
    <w:p w:rsidR="009E350C" w:rsidRPr="006A7FAD" w:rsidRDefault="009E350C" w:rsidP="001F40E3">
      <w:pPr>
        <w:rPr>
          <w:color w:val="1F497D" w:themeColor="text2"/>
        </w:rPr>
      </w:pPr>
      <w:r>
        <w:rPr>
          <w:color w:val="1F497D" w:themeColor="text2"/>
        </w:rPr>
        <w:t>In 2014, the Rail Transport Office did not undergo any organisational changes or changes to institutional relationships with the minister responsible for transport and, therefore, pursuant to the guidelines contained in the annual safety report template developed by the Agency, the Report does not provide a description of the UTK’s organisational structure.</w:t>
      </w:r>
    </w:p>
    <w:p w:rsidR="009A0A67" w:rsidRPr="006A7FAD" w:rsidRDefault="001F40E3" w:rsidP="009B1787">
      <w:pPr>
        <w:pStyle w:val="Heading1"/>
        <w:rPr>
          <w:color w:val="1F497D" w:themeColor="text2"/>
        </w:rPr>
      </w:pPr>
      <w:bookmarkStart w:id="9" w:name="_Toc435539918"/>
      <w:bookmarkStart w:id="10" w:name="_Toc441736854"/>
      <w:r>
        <w:rPr>
          <w:color w:val="1F497D" w:themeColor="text2"/>
        </w:rPr>
        <w:lastRenderedPageBreak/>
        <w:t>Overall safety situation and strategy</w:t>
      </w:r>
      <w:bookmarkEnd w:id="9"/>
      <w:bookmarkEnd w:id="10"/>
    </w:p>
    <w:p w:rsidR="00F24FBE" w:rsidRPr="006A7FAD" w:rsidRDefault="00A918E5" w:rsidP="00D86460">
      <w:pPr>
        <w:pStyle w:val="Heading2"/>
        <w:numPr>
          <w:ilvl w:val="0"/>
          <w:numId w:val="14"/>
        </w:numPr>
        <w:rPr>
          <w:color w:val="1F497D" w:themeColor="text2"/>
        </w:rPr>
      </w:pPr>
      <w:bookmarkStart w:id="11" w:name="_Toc435539919"/>
      <w:bookmarkStart w:id="12" w:name="_Toc441736855"/>
      <w:r>
        <w:rPr>
          <w:color w:val="1F497D" w:themeColor="text2"/>
        </w:rPr>
        <w:t>Main conclusions for the reporting year</w:t>
      </w:r>
      <w:bookmarkEnd w:id="11"/>
      <w:bookmarkEnd w:id="12"/>
    </w:p>
    <w:p w:rsidR="00990C94" w:rsidRPr="006A7FAD" w:rsidRDefault="00990C94" w:rsidP="00990C94">
      <w:pPr>
        <w:pStyle w:val="Tekstzwyky"/>
        <w:rPr>
          <w:rFonts w:ascii="Arial" w:hAnsi="Arial" w:cs="Arial"/>
          <w:color w:val="1F497D" w:themeColor="text2"/>
        </w:rPr>
      </w:pPr>
      <w:r>
        <w:rPr>
          <w:rFonts w:ascii="Arial" w:hAnsi="Arial"/>
          <w:color w:val="1F497D" w:themeColor="text2"/>
        </w:rPr>
        <w:t>Pursuant to the Safety Directive, the common safety targets (CSTs) specify the safety levels that must at least be achieved by different parts of the rail system and by the system as a whole, expressed in risk acceptance criteria. CSTs are set by the European Railway Agency based on national reference values (NRVs) for individual countries in accordance with the procedure specified in Decision 2009/460/EC.</w:t>
      </w:r>
    </w:p>
    <w:p w:rsidR="007D4EDA" w:rsidRPr="006A7FAD" w:rsidRDefault="007D4EDA" w:rsidP="00990C94">
      <w:pPr>
        <w:pStyle w:val="Tekstzwyky"/>
        <w:rPr>
          <w:rFonts w:ascii="Arial" w:hAnsi="Arial" w:cs="Arial"/>
          <w:color w:val="1F497D" w:themeColor="text2"/>
        </w:rPr>
      </w:pPr>
      <w:r>
        <w:rPr>
          <w:rFonts w:ascii="Arial" w:hAnsi="Arial"/>
          <w:color w:val="1F497D" w:themeColor="text2"/>
        </w:rPr>
        <w:t>Member States are required to constantly monitor the safety levels of their rail systems, including monitoring the achievement of common safety targets (CSTs), expressed quantitatively and qualitatively.</w:t>
      </w:r>
    </w:p>
    <w:p w:rsidR="007D4EDA" w:rsidRPr="004D41D6" w:rsidRDefault="007D4EDA" w:rsidP="00990C94">
      <w:pPr>
        <w:pStyle w:val="Tekstzwyky"/>
        <w:rPr>
          <w:rFonts w:ascii="Arial" w:hAnsi="Arial" w:cs="Arial"/>
          <w:color w:val="1F497D" w:themeColor="text2"/>
        </w:rPr>
      </w:pPr>
      <w:r>
        <w:rPr>
          <w:rFonts w:ascii="Arial" w:hAnsi="Arial"/>
          <w:color w:val="1F497D" w:themeColor="text2"/>
        </w:rPr>
        <w:t>The standardised table below presents common safety target levels achieved in 2014 expressed both in quantitative and qualitative terms for five individual risk groups, including passengers, staff, level crossing users, unauthorised persons on railway premises and ‘other persons’, as well as the level of risk to society as a whole.  The table contains information on specific safety targets, the national reference value for each target, as well as the indicator itself expressed as a value and as a percentage. The lower the value of the indicator, the better the level of safety in each risk group.</w:t>
      </w:r>
    </w:p>
    <w:p w:rsidR="006A7FAD" w:rsidRPr="004D41D6" w:rsidRDefault="006A7FAD" w:rsidP="006A7FAD">
      <w:pPr>
        <w:pStyle w:val="Tabele"/>
        <w:rPr>
          <w:color w:val="1F497D" w:themeColor="text2"/>
        </w:rPr>
      </w:pPr>
      <w:r>
        <w:rPr>
          <w:color w:val="1F497D" w:themeColor="text2"/>
        </w:rPr>
        <w:t xml:space="preserve">Implementation of common safety targets in 2014 </w:t>
      </w:r>
    </w:p>
    <w:tbl>
      <w:tblPr>
        <w:tblStyle w:val="Tabela-Siatka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10"/>
        <w:gridCol w:w="183"/>
        <w:gridCol w:w="4744"/>
        <w:gridCol w:w="1335"/>
        <w:gridCol w:w="1376"/>
        <w:gridCol w:w="1378"/>
      </w:tblGrid>
      <w:tr w:rsidR="006A7FAD" w:rsidRPr="004D41D6" w:rsidTr="00DD5A63">
        <w:trPr>
          <w:trHeight w:val="106"/>
        </w:trPr>
        <w:tc>
          <w:tcPr>
            <w:tcW w:w="5737" w:type="dxa"/>
            <w:gridSpan w:val="3"/>
            <w:tcBorders>
              <w:top w:val="double" w:sz="4" w:space="0" w:color="auto"/>
              <w:bottom w:val="double" w:sz="4" w:space="0" w:color="auto"/>
            </w:tcBorders>
            <w:shd w:val="clear" w:color="auto" w:fill="BFBFBF" w:themeFill="background1" w:themeFillShade="BF"/>
            <w:vAlign w:val="center"/>
          </w:tcPr>
          <w:p w:rsidR="006A7FAD" w:rsidRPr="004D41D6" w:rsidRDefault="006A7FAD" w:rsidP="006A7FAD">
            <w:pPr>
              <w:spacing w:before="60" w:after="60" w:line="240" w:lineRule="auto"/>
              <w:jc w:val="center"/>
              <w:rPr>
                <w:b/>
                <w:color w:val="1F497D" w:themeColor="text2"/>
              </w:rPr>
            </w:pPr>
            <w:r>
              <w:rPr>
                <w:b/>
                <w:color w:val="1F497D" w:themeColor="text2"/>
              </w:rPr>
              <w:t>Common safety targets (CSTs)</w:t>
            </w:r>
          </w:p>
        </w:tc>
        <w:tc>
          <w:tcPr>
            <w:tcW w:w="1335" w:type="dxa"/>
            <w:tcBorders>
              <w:top w:val="double" w:sz="4" w:space="0" w:color="auto"/>
              <w:bottom w:val="double" w:sz="4" w:space="0" w:color="auto"/>
            </w:tcBorders>
            <w:shd w:val="clear" w:color="auto" w:fill="BFBFBF" w:themeFill="background1" w:themeFillShade="BF"/>
            <w:vAlign w:val="center"/>
          </w:tcPr>
          <w:p w:rsidR="006A7FAD" w:rsidRPr="004D41D6" w:rsidRDefault="006A7FAD" w:rsidP="00DD5A63">
            <w:pPr>
              <w:spacing w:before="60" w:after="60" w:line="240" w:lineRule="auto"/>
              <w:jc w:val="center"/>
              <w:rPr>
                <w:b/>
                <w:color w:val="1F497D" w:themeColor="text2"/>
              </w:rPr>
            </w:pPr>
            <w:r>
              <w:rPr>
                <w:b/>
                <w:color w:val="1F497D" w:themeColor="text2"/>
              </w:rPr>
              <w:t>NRV for Poland</w:t>
            </w:r>
            <w:r>
              <w:rPr>
                <w:rStyle w:val="FootnoteReference"/>
                <w:b/>
                <w:color w:val="1F497D" w:themeColor="text2"/>
              </w:rPr>
              <w:footnoteReference w:id="1"/>
            </w:r>
          </w:p>
        </w:tc>
        <w:tc>
          <w:tcPr>
            <w:tcW w:w="1376" w:type="dxa"/>
            <w:tcBorders>
              <w:top w:val="double" w:sz="4" w:space="0" w:color="auto"/>
              <w:bottom w:val="double" w:sz="4" w:space="0" w:color="auto"/>
            </w:tcBorders>
            <w:shd w:val="clear" w:color="auto" w:fill="BFBFBF" w:themeFill="background1" w:themeFillShade="BF"/>
            <w:vAlign w:val="center"/>
          </w:tcPr>
          <w:p w:rsidR="006A7FAD" w:rsidRPr="004D41D6" w:rsidRDefault="006A7FAD" w:rsidP="006A7FAD">
            <w:pPr>
              <w:spacing w:before="60" w:after="60" w:line="240" w:lineRule="auto"/>
              <w:jc w:val="center"/>
              <w:rPr>
                <w:b/>
                <w:color w:val="1F497D" w:themeColor="text2"/>
              </w:rPr>
            </w:pPr>
            <w:r>
              <w:rPr>
                <w:b/>
                <w:color w:val="1F497D" w:themeColor="text2"/>
              </w:rPr>
              <w:t>Calculated indicator value</w:t>
            </w:r>
          </w:p>
        </w:tc>
        <w:tc>
          <w:tcPr>
            <w:tcW w:w="1378" w:type="dxa"/>
            <w:tcBorders>
              <w:top w:val="double" w:sz="4" w:space="0" w:color="auto"/>
              <w:bottom w:val="double" w:sz="4" w:space="0" w:color="auto"/>
            </w:tcBorders>
            <w:shd w:val="clear" w:color="auto" w:fill="BFBFBF" w:themeFill="background1" w:themeFillShade="BF"/>
            <w:vAlign w:val="center"/>
          </w:tcPr>
          <w:p w:rsidR="006A7FAD" w:rsidRPr="004D41D6" w:rsidRDefault="006A7FAD" w:rsidP="006A7FAD">
            <w:pPr>
              <w:spacing w:before="60" w:after="60" w:line="240" w:lineRule="auto"/>
              <w:jc w:val="center"/>
              <w:rPr>
                <w:b/>
                <w:color w:val="1F497D" w:themeColor="text2"/>
              </w:rPr>
            </w:pPr>
            <w:r>
              <w:rPr>
                <w:b/>
                <w:color w:val="1F497D" w:themeColor="text2"/>
              </w:rPr>
              <w:t>Achieved indicator level</w:t>
            </w:r>
          </w:p>
        </w:tc>
      </w:tr>
      <w:tr w:rsidR="006A7FAD" w:rsidRPr="004D41D6" w:rsidTr="008220E3">
        <w:tc>
          <w:tcPr>
            <w:tcW w:w="9826" w:type="dxa"/>
            <w:gridSpan w:val="6"/>
            <w:tcBorders>
              <w:top w:val="double" w:sz="4" w:space="0" w:color="auto"/>
            </w:tcBorders>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1.1. NRV for risk to passengers (x 10</w:t>
            </w:r>
            <w:r>
              <w:rPr>
                <w:b/>
                <w:color w:val="1F497D" w:themeColor="text2"/>
                <w:vertAlign w:val="superscript"/>
              </w:rPr>
              <w:t>-9</w:t>
            </w:r>
            <w:r>
              <w:rPr>
                <w:b/>
                <w:color w:val="1F497D" w:themeColor="text2"/>
              </w:rPr>
              <w:t>)</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1.1.</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passenger FWSIs per billion track kilometres per billion passenger train</w:t>
            </w:r>
            <w:r>
              <w:noBreakHyphen/>
            </w:r>
            <w:r>
              <w:rPr>
                <w:color w:val="1F497D" w:themeColor="text2"/>
              </w:rPr>
              <w:t>km</w:t>
            </w:r>
          </w:p>
        </w:tc>
        <w:tc>
          <w:tcPr>
            <w:tcW w:w="1335" w:type="dxa"/>
          </w:tcPr>
          <w:p w:rsidR="006A7FAD" w:rsidRPr="004D41D6" w:rsidRDefault="006A7FAD" w:rsidP="006A7FAD">
            <w:pPr>
              <w:spacing w:before="60" w:after="60" w:line="240" w:lineRule="auto"/>
              <w:rPr>
                <w:color w:val="1F497D" w:themeColor="text2"/>
              </w:rPr>
            </w:pPr>
            <w:r>
              <w:rPr>
                <w:color w:val="1F497D" w:themeColor="text2"/>
              </w:rPr>
              <w:t>116.1</w:t>
            </w:r>
          </w:p>
        </w:tc>
        <w:tc>
          <w:tcPr>
            <w:tcW w:w="1376" w:type="dxa"/>
          </w:tcPr>
          <w:p w:rsidR="006A7FAD" w:rsidRPr="004D41D6" w:rsidRDefault="006A7FAD" w:rsidP="006A7FAD">
            <w:pPr>
              <w:spacing w:before="60" w:after="60" w:line="240" w:lineRule="auto"/>
              <w:rPr>
                <w:color w:val="1F497D" w:themeColor="text2"/>
              </w:rPr>
            </w:pPr>
            <w:r>
              <w:rPr>
                <w:color w:val="1F497D" w:themeColor="text2"/>
              </w:rPr>
              <w:t>19.391</w:t>
            </w:r>
          </w:p>
        </w:tc>
        <w:tc>
          <w:tcPr>
            <w:tcW w:w="1378" w:type="dxa"/>
          </w:tcPr>
          <w:p w:rsidR="006A7FAD" w:rsidRPr="004D41D6" w:rsidRDefault="006A7FAD" w:rsidP="006A7FAD">
            <w:pPr>
              <w:spacing w:before="60" w:after="60" w:line="240" w:lineRule="auto"/>
              <w:rPr>
                <w:color w:val="1F497D" w:themeColor="text2"/>
              </w:rPr>
            </w:pPr>
            <w:r>
              <w:rPr>
                <w:color w:val="1F497D" w:themeColor="text2"/>
              </w:rPr>
              <w:t>16.7%</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1.2.</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passenger FWSIs per billion passenger</w:t>
            </w:r>
            <w:r>
              <w:noBreakHyphen/>
            </w:r>
            <w:r>
              <w:rPr>
                <w:color w:val="1F497D" w:themeColor="text2"/>
              </w:rPr>
              <w:t>km</w:t>
            </w:r>
          </w:p>
        </w:tc>
        <w:tc>
          <w:tcPr>
            <w:tcW w:w="1335" w:type="dxa"/>
          </w:tcPr>
          <w:p w:rsidR="006A7FAD" w:rsidRPr="004D41D6" w:rsidRDefault="006A7FAD" w:rsidP="006A7FAD">
            <w:pPr>
              <w:spacing w:before="60" w:after="60" w:line="240" w:lineRule="auto"/>
              <w:rPr>
                <w:color w:val="1F497D" w:themeColor="text2"/>
              </w:rPr>
            </w:pPr>
            <w:r>
              <w:rPr>
                <w:color w:val="1F497D" w:themeColor="text2"/>
              </w:rPr>
              <w:t>0.849</w:t>
            </w:r>
          </w:p>
        </w:tc>
        <w:tc>
          <w:tcPr>
            <w:tcW w:w="1376" w:type="dxa"/>
          </w:tcPr>
          <w:p w:rsidR="006A7FAD" w:rsidRPr="004D41D6" w:rsidRDefault="006A7FAD" w:rsidP="006A7FAD">
            <w:pPr>
              <w:spacing w:before="60" w:after="60" w:line="240" w:lineRule="auto"/>
              <w:rPr>
                <w:color w:val="1F497D" w:themeColor="text2"/>
              </w:rPr>
            </w:pPr>
            <w:r>
              <w:rPr>
                <w:color w:val="1F497D" w:themeColor="text2"/>
              </w:rPr>
              <w:t>0.163</w:t>
            </w:r>
          </w:p>
        </w:tc>
        <w:tc>
          <w:tcPr>
            <w:tcW w:w="1378" w:type="dxa"/>
          </w:tcPr>
          <w:p w:rsidR="006A7FAD" w:rsidRPr="004D41D6" w:rsidRDefault="006A7FAD" w:rsidP="006A7FAD">
            <w:pPr>
              <w:spacing w:before="60" w:after="60" w:line="240" w:lineRule="auto"/>
              <w:rPr>
                <w:color w:val="1F497D" w:themeColor="text2"/>
              </w:rPr>
            </w:pPr>
            <w:r>
              <w:rPr>
                <w:color w:val="1F497D" w:themeColor="text2"/>
              </w:rPr>
              <w:t>19.2%</w:t>
            </w:r>
          </w:p>
        </w:tc>
      </w:tr>
      <w:tr w:rsidR="006A7FAD" w:rsidRPr="004D41D6" w:rsidTr="008220E3">
        <w:tc>
          <w:tcPr>
            <w:tcW w:w="9826" w:type="dxa"/>
            <w:gridSpan w:val="6"/>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1.2. NRV for risk to employees (x 10</w:t>
            </w:r>
            <w:r>
              <w:rPr>
                <w:b/>
                <w:color w:val="1F497D" w:themeColor="text2"/>
                <w:vertAlign w:val="superscript"/>
              </w:rPr>
              <w:t>-9</w:t>
            </w:r>
            <w:r>
              <w:rPr>
                <w:b/>
                <w:color w:val="1F497D" w:themeColor="text2"/>
              </w:rPr>
              <w:t>)</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2.</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employee FWSIs per billion train</w:t>
            </w:r>
            <w:r>
              <w:noBreakHyphen/>
            </w:r>
            <w:r>
              <w:rPr>
                <w:color w:val="1F497D" w:themeColor="text2"/>
              </w:rPr>
              <w:t xml:space="preserve">km </w:t>
            </w:r>
          </w:p>
        </w:tc>
        <w:tc>
          <w:tcPr>
            <w:tcW w:w="1335" w:type="dxa"/>
          </w:tcPr>
          <w:p w:rsidR="006A7FAD" w:rsidRPr="004D41D6" w:rsidRDefault="006A7FAD" w:rsidP="006A7FAD">
            <w:pPr>
              <w:spacing w:before="60" w:after="60" w:line="240" w:lineRule="auto"/>
              <w:rPr>
                <w:color w:val="1F497D" w:themeColor="text2"/>
              </w:rPr>
            </w:pPr>
            <w:r>
              <w:rPr>
                <w:color w:val="1F497D" w:themeColor="text2"/>
              </w:rPr>
              <w:t>17.2</w:t>
            </w:r>
          </w:p>
        </w:tc>
        <w:tc>
          <w:tcPr>
            <w:tcW w:w="1376" w:type="dxa"/>
          </w:tcPr>
          <w:p w:rsidR="006A7FAD" w:rsidRPr="004D41D6" w:rsidRDefault="006A7FAD" w:rsidP="006A7FAD">
            <w:pPr>
              <w:spacing w:before="60" w:after="60" w:line="240" w:lineRule="auto"/>
              <w:rPr>
                <w:color w:val="1F497D" w:themeColor="text2"/>
              </w:rPr>
            </w:pPr>
            <w:r>
              <w:rPr>
                <w:color w:val="1F497D" w:themeColor="text2"/>
              </w:rPr>
              <w:t>6.56</w:t>
            </w:r>
          </w:p>
        </w:tc>
        <w:tc>
          <w:tcPr>
            <w:tcW w:w="1378" w:type="dxa"/>
          </w:tcPr>
          <w:p w:rsidR="006A7FAD" w:rsidRPr="004D41D6" w:rsidRDefault="006A7FAD" w:rsidP="006A7FAD">
            <w:pPr>
              <w:spacing w:before="60" w:after="60" w:line="240" w:lineRule="auto"/>
              <w:rPr>
                <w:color w:val="1F497D" w:themeColor="text2"/>
              </w:rPr>
            </w:pPr>
            <w:r>
              <w:rPr>
                <w:color w:val="1F497D" w:themeColor="text2"/>
              </w:rPr>
              <w:t>38.1%</w:t>
            </w:r>
          </w:p>
        </w:tc>
      </w:tr>
      <w:tr w:rsidR="006A7FAD" w:rsidRPr="004D41D6" w:rsidTr="008220E3">
        <w:tc>
          <w:tcPr>
            <w:tcW w:w="9826" w:type="dxa"/>
            <w:gridSpan w:val="6"/>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1.3. NRV for risk to level crossing users (x 10</w:t>
            </w:r>
            <w:r>
              <w:rPr>
                <w:b/>
                <w:color w:val="1F497D" w:themeColor="text2"/>
                <w:vertAlign w:val="superscript"/>
              </w:rPr>
              <w:t>-9</w:t>
            </w:r>
            <w:r>
              <w:rPr>
                <w:b/>
                <w:color w:val="1F497D" w:themeColor="text2"/>
              </w:rPr>
              <w:t>)</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3.1.</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level crossing user FWSIs per billion train</w:t>
            </w:r>
            <w:r>
              <w:noBreakHyphen/>
            </w:r>
            <w:r>
              <w:rPr>
                <w:color w:val="1F497D" w:themeColor="text2"/>
              </w:rPr>
              <w:t xml:space="preserve">km </w:t>
            </w:r>
          </w:p>
        </w:tc>
        <w:tc>
          <w:tcPr>
            <w:tcW w:w="1335" w:type="dxa"/>
          </w:tcPr>
          <w:p w:rsidR="006A7FAD" w:rsidRPr="004D41D6" w:rsidRDefault="006A7FAD" w:rsidP="006A7FAD">
            <w:pPr>
              <w:spacing w:before="60" w:after="60" w:line="240" w:lineRule="auto"/>
              <w:rPr>
                <w:color w:val="1F497D" w:themeColor="text2"/>
              </w:rPr>
            </w:pPr>
            <w:r>
              <w:rPr>
                <w:color w:val="1F497D" w:themeColor="text2"/>
              </w:rPr>
              <w:t>277.0</w:t>
            </w:r>
          </w:p>
        </w:tc>
        <w:tc>
          <w:tcPr>
            <w:tcW w:w="1376" w:type="dxa"/>
          </w:tcPr>
          <w:p w:rsidR="006A7FAD" w:rsidRPr="004D41D6" w:rsidRDefault="006A7FAD" w:rsidP="006A7FAD">
            <w:pPr>
              <w:spacing w:before="60" w:after="60" w:line="240" w:lineRule="auto"/>
              <w:rPr>
                <w:color w:val="1F497D" w:themeColor="text2"/>
              </w:rPr>
            </w:pPr>
            <w:r>
              <w:rPr>
                <w:color w:val="1F497D" w:themeColor="text2"/>
              </w:rPr>
              <w:t>189.298</w:t>
            </w:r>
          </w:p>
        </w:tc>
        <w:tc>
          <w:tcPr>
            <w:tcW w:w="1378" w:type="dxa"/>
          </w:tcPr>
          <w:p w:rsidR="006A7FAD" w:rsidRPr="004D41D6" w:rsidRDefault="006A7FAD" w:rsidP="006A7FAD">
            <w:pPr>
              <w:spacing w:before="60" w:after="60" w:line="240" w:lineRule="auto"/>
              <w:rPr>
                <w:color w:val="1F497D" w:themeColor="text2"/>
              </w:rPr>
            </w:pPr>
            <w:r>
              <w:rPr>
                <w:color w:val="1F497D" w:themeColor="text2"/>
              </w:rPr>
              <w:t>68.3%</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3.2.</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level crossing user FWSIs per billion passenger km (track</w:t>
            </w:r>
            <w:r>
              <w:noBreakHyphen/>
            </w:r>
            <w:r>
              <w:rPr>
                <w:color w:val="1F497D" w:themeColor="text2"/>
              </w:rPr>
              <w:t xml:space="preserve">km) multiplied by the number of level crossings </w:t>
            </w:r>
          </w:p>
        </w:tc>
        <w:tc>
          <w:tcPr>
            <w:tcW w:w="1335" w:type="dxa"/>
          </w:tcPr>
          <w:p w:rsidR="006A7FAD" w:rsidRPr="004D41D6" w:rsidRDefault="006A7FAD" w:rsidP="006A7FAD">
            <w:pPr>
              <w:spacing w:before="60" w:after="60" w:line="240" w:lineRule="auto"/>
              <w:rPr>
                <w:color w:val="1F497D" w:themeColor="text2"/>
              </w:rPr>
            </w:pPr>
            <w:r>
              <w:rPr>
                <w:color w:val="1F497D" w:themeColor="text2"/>
              </w:rPr>
              <w:t>N/A</w:t>
            </w:r>
          </w:p>
        </w:tc>
        <w:tc>
          <w:tcPr>
            <w:tcW w:w="1376" w:type="dxa"/>
          </w:tcPr>
          <w:p w:rsidR="006A7FAD" w:rsidRPr="004D41D6" w:rsidRDefault="006A7FAD" w:rsidP="006A7FAD">
            <w:pPr>
              <w:spacing w:before="60" w:after="60" w:line="240" w:lineRule="auto"/>
              <w:rPr>
                <w:color w:val="1F497D" w:themeColor="text2"/>
              </w:rPr>
            </w:pPr>
          </w:p>
        </w:tc>
        <w:tc>
          <w:tcPr>
            <w:tcW w:w="1378" w:type="dxa"/>
          </w:tcPr>
          <w:p w:rsidR="006A7FAD" w:rsidRPr="004D41D6" w:rsidRDefault="006A7FAD" w:rsidP="006A7FAD">
            <w:pPr>
              <w:spacing w:before="60" w:after="60" w:line="240" w:lineRule="auto"/>
              <w:rPr>
                <w:color w:val="1F497D" w:themeColor="text2"/>
              </w:rPr>
            </w:pPr>
            <w:r>
              <w:rPr>
                <w:color w:val="1F497D" w:themeColor="text2"/>
              </w:rPr>
              <w:t>-</w:t>
            </w:r>
          </w:p>
        </w:tc>
      </w:tr>
      <w:tr w:rsidR="006A7FAD" w:rsidRPr="004D41D6" w:rsidTr="008220E3">
        <w:trPr>
          <w:trHeight w:val="70"/>
        </w:trPr>
        <w:tc>
          <w:tcPr>
            <w:tcW w:w="9826" w:type="dxa"/>
            <w:gridSpan w:val="6"/>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1.4. NRV for risk to ‘other persons’ (x 10</w:t>
            </w:r>
            <w:r>
              <w:rPr>
                <w:b/>
                <w:color w:val="1F497D" w:themeColor="text2"/>
                <w:vertAlign w:val="superscript"/>
              </w:rPr>
              <w:t>-9</w:t>
            </w:r>
            <w:r>
              <w:rPr>
                <w:b/>
                <w:color w:val="1F497D" w:themeColor="text2"/>
              </w:rPr>
              <w:t>)</w:t>
            </w:r>
          </w:p>
        </w:tc>
      </w:tr>
      <w:tr w:rsidR="006A7FAD" w:rsidRPr="004D41D6" w:rsidTr="00DD5A63">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4.</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FWSIs incurred by ‘other persons’ per billion train</w:t>
            </w:r>
            <w:r>
              <w:noBreakHyphen/>
            </w:r>
            <w:r>
              <w:rPr>
                <w:color w:val="1F497D" w:themeColor="text2"/>
              </w:rPr>
              <w:t xml:space="preserve">km </w:t>
            </w:r>
          </w:p>
        </w:tc>
        <w:tc>
          <w:tcPr>
            <w:tcW w:w="1335" w:type="dxa"/>
          </w:tcPr>
          <w:p w:rsidR="006A7FAD" w:rsidRPr="004D41D6" w:rsidRDefault="006A7FAD" w:rsidP="006A7FAD">
            <w:pPr>
              <w:spacing w:before="60" w:after="60" w:line="240" w:lineRule="auto"/>
              <w:rPr>
                <w:color w:val="1F497D" w:themeColor="text2"/>
              </w:rPr>
            </w:pPr>
            <w:r>
              <w:rPr>
                <w:color w:val="1F497D" w:themeColor="text2"/>
              </w:rPr>
              <w:t>11.60</w:t>
            </w:r>
          </w:p>
        </w:tc>
        <w:tc>
          <w:tcPr>
            <w:tcW w:w="1376" w:type="dxa"/>
          </w:tcPr>
          <w:p w:rsidR="006A7FAD" w:rsidRPr="004D41D6" w:rsidRDefault="006A7FAD" w:rsidP="006A7FAD">
            <w:pPr>
              <w:spacing w:before="60" w:after="60" w:line="240" w:lineRule="auto"/>
              <w:rPr>
                <w:color w:val="1F497D" w:themeColor="text2"/>
              </w:rPr>
            </w:pPr>
            <w:r>
              <w:rPr>
                <w:color w:val="1F497D" w:themeColor="text2"/>
              </w:rPr>
              <w:t>11.245</w:t>
            </w:r>
          </w:p>
        </w:tc>
        <w:tc>
          <w:tcPr>
            <w:tcW w:w="1378" w:type="dxa"/>
          </w:tcPr>
          <w:p w:rsidR="006A7FAD" w:rsidRPr="004D41D6" w:rsidRDefault="006A7FAD" w:rsidP="006A7FAD">
            <w:pPr>
              <w:spacing w:before="60" w:after="60" w:line="240" w:lineRule="auto"/>
              <w:rPr>
                <w:color w:val="1F497D" w:themeColor="text2"/>
              </w:rPr>
            </w:pPr>
            <w:r>
              <w:rPr>
                <w:color w:val="1F497D" w:themeColor="text2"/>
              </w:rPr>
              <w:t>96.9%</w:t>
            </w:r>
          </w:p>
        </w:tc>
      </w:tr>
      <w:tr w:rsidR="006A7FAD" w:rsidRPr="004D41D6" w:rsidTr="008220E3">
        <w:trPr>
          <w:trHeight w:val="213"/>
        </w:trPr>
        <w:tc>
          <w:tcPr>
            <w:tcW w:w="9826" w:type="dxa"/>
            <w:gridSpan w:val="6"/>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1.5. NRV for risk to unauthorised persons on railway premises (x 10</w:t>
            </w:r>
            <w:r>
              <w:rPr>
                <w:b/>
                <w:color w:val="1F497D" w:themeColor="text2"/>
                <w:vertAlign w:val="superscript"/>
              </w:rPr>
              <w:t>-9</w:t>
            </w:r>
            <w:r>
              <w:rPr>
                <w:b/>
                <w:color w:val="1F497D" w:themeColor="text2"/>
              </w:rPr>
              <w:t>)</w:t>
            </w:r>
          </w:p>
        </w:tc>
      </w:tr>
      <w:tr w:rsidR="006A7FAD" w:rsidRPr="004D41D6" w:rsidTr="00E44FC5">
        <w:tc>
          <w:tcPr>
            <w:tcW w:w="993" w:type="dxa"/>
            <w:gridSpan w:val="2"/>
          </w:tcPr>
          <w:p w:rsidR="006A7FAD" w:rsidRPr="004D41D6" w:rsidRDefault="006A7FAD" w:rsidP="006A7FAD">
            <w:pPr>
              <w:spacing w:before="60" w:after="60" w:line="240" w:lineRule="auto"/>
              <w:rPr>
                <w:color w:val="1F497D" w:themeColor="text2"/>
              </w:rPr>
            </w:pPr>
            <w:r>
              <w:rPr>
                <w:color w:val="1F497D" w:themeColor="text2"/>
              </w:rPr>
              <w:t>CST 5.</w:t>
            </w:r>
          </w:p>
        </w:tc>
        <w:tc>
          <w:tcPr>
            <w:tcW w:w="4744" w:type="dxa"/>
          </w:tcPr>
          <w:p w:rsidR="006A7FAD" w:rsidRPr="004D41D6" w:rsidRDefault="006A7FAD" w:rsidP="006A7FAD">
            <w:pPr>
              <w:spacing w:before="60" w:after="60" w:line="240" w:lineRule="auto"/>
              <w:rPr>
                <w:color w:val="1F497D" w:themeColor="text2"/>
              </w:rPr>
            </w:pPr>
            <w:r>
              <w:rPr>
                <w:color w:val="1F497D" w:themeColor="text2"/>
              </w:rPr>
              <w:t>Number of FWSIs incurred by unauthorised persons on railway premises per billion train</w:t>
            </w:r>
            <w:r>
              <w:noBreakHyphen/>
            </w:r>
            <w:r>
              <w:rPr>
                <w:color w:val="1F497D" w:themeColor="text2"/>
              </w:rPr>
              <w:t xml:space="preserve">km </w:t>
            </w:r>
          </w:p>
        </w:tc>
        <w:tc>
          <w:tcPr>
            <w:tcW w:w="1335" w:type="dxa"/>
          </w:tcPr>
          <w:p w:rsidR="006A7FAD" w:rsidRPr="004D41D6" w:rsidRDefault="006A7FAD" w:rsidP="006A7FAD">
            <w:pPr>
              <w:spacing w:before="60" w:after="60" w:line="240" w:lineRule="auto"/>
              <w:rPr>
                <w:color w:val="1F497D" w:themeColor="text2"/>
              </w:rPr>
            </w:pPr>
            <w:r>
              <w:rPr>
                <w:color w:val="1F497D" w:themeColor="text2"/>
              </w:rPr>
              <w:t>1210.0</w:t>
            </w:r>
          </w:p>
        </w:tc>
        <w:tc>
          <w:tcPr>
            <w:tcW w:w="1376" w:type="dxa"/>
          </w:tcPr>
          <w:p w:rsidR="006A7FAD" w:rsidRPr="004D41D6" w:rsidRDefault="006A7FAD" w:rsidP="006A7FAD">
            <w:pPr>
              <w:spacing w:before="60" w:after="60" w:line="240" w:lineRule="auto"/>
              <w:rPr>
                <w:color w:val="1F497D" w:themeColor="text2"/>
              </w:rPr>
            </w:pPr>
            <w:r>
              <w:rPr>
                <w:color w:val="1F497D" w:themeColor="text2"/>
              </w:rPr>
              <w:t>790.460</w:t>
            </w:r>
          </w:p>
        </w:tc>
        <w:tc>
          <w:tcPr>
            <w:tcW w:w="1378" w:type="dxa"/>
          </w:tcPr>
          <w:p w:rsidR="006A7FAD" w:rsidRPr="004D41D6" w:rsidRDefault="006A7FAD" w:rsidP="006A7FAD">
            <w:pPr>
              <w:spacing w:before="60" w:after="60" w:line="240" w:lineRule="auto"/>
              <w:rPr>
                <w:color w:val="1F497D" w:themeColor="text2"/>
              </w:rPr>
            </w:pPr>
            <w:r>
              <w:rPr>
                <w:color w:val="1F497D" w:themeColor="text2"/>
              </w:rPr>
              <w:t>65.3%</w:t>
            </w:r>
          </w:p>
        </w:tc>
      </w:tr>
      <w:tr w:rsidR="006A7FAD" w:rsidRPr="004D41D6" w:rsidTr="008220E3">
        <w:tc>
          <w:tcPr>
            <w:tcW w:w="9826" w:type="dxa"/>
            <w:gridSpan w:val="6"/>
          </w:tcPr>
          <w:p w:rsidR="006A7FAD" w:rsidRPr="004D41D6" w:rsidRDefault="006A7FAD" w:rsidP="006A7FAD">
            <w:pPr>
              <w:spacing w:before="60" w:after="60" w:line="240" w:lineRule="auto"/>
              <w:jc w:val="center"/>
              <w:rPr>
                <w:rFonts w:eastAsia="Calibri"/>
                <w:b/>
                <w:color w:val="1F497D" w:themeColor="text2"/>
              </w:rPr>
            </w:pPr>
            <w:r>
              <w:rPr>
                <w:b/>
                <w:color w:val="1F497D" w:themeColor="text2"/>
              </w:rPr>
              <w:t>1.6. NRV for risk to society as a whole (x 10</w:t>
            </w:r>
            <w:r>
              <w:rPr>
                <w:b/>
                <w:color w:val="1F497D" w:themeColor="text2"/>
                <w:vertAlign w:val="superscript"/>
              </w:rPr>
              <w:t>-9</w:t>
            </w:r>
            <w:r>
              <w:rPr>
                <w:b/>
                <w:color w:val="1F497D" w:themeColor="text2"/>
              </w:rPr>
              <w:t>)</w:t>
            </w:r>
          </w:p>
        </w:tc>
      </w:tr>
      <w:tr w:rsidR="006A7FAD" w:rsidRPr="004D41D6" w:rsidTr="008220E3">
        <w:tc>
          <w:tcPr>
            <w:tcW w:w="810" w:type="dxa"/>
          </w:tcPr>
          <w:p w:rsidR="006A7FAD" w:rsidRPr="004D41D6" w:rsidRDefault="006A7FAD" w:rsidP="006A7FAD">
            <w:pPr>
              <w:spacing w:before="60" w:after="60" w:line="240" w:lineRule="auto"/>
              <w:rPr>
                <w:color w:val="1F497D" w:themeColor="text2"/>
              </w:rPr>
            </w:pPr>
            <w:r>
              <w:rPr>
                <w:color w:val="1F497D" w:themeColor="text2"/>
              </w:rPr>
              <w:t>CST 6.</w:t>
            </w:r>
          </w:p>
        </w:tc>
        <w:tc>
          <w:tcPr>
            <w:tcW w:w="4927" w:type="dxa"/>
            <w:gridSpan w:val="2"/>
          </w:tcPr>
          <w:p w:rsidR="006A7FAD" w:rsidRPr="004D41D6" w:rsidRDefault="006A7FAD" w:rsidP="006A7FAD">
            <w:pPr>
              <w:spacing w:before="60" w:after="60" w:line="240" w:lineRule="auto"/>
              <w:rPr>
                <w:color w:val="1F497D" w:themeColor="text2"/>
              </w:rPr>
            </w:pPr>
            <w:r>
              <w:rPr>
                <w:color w:val="1F497D" w:themeColor="text2"/>
              </w:rPr>
              <w:t>Total number of FWSIs per billion train</w:t>
            </w:r>
            <w:r>
              <w:noBreakHyphen/>
            </w:r>
            <w:r>
              <w:rPr>
                <w:color w:val="1F497D" w:themeColor="text2"/>
              </w:rPr>
              <w:t xml:space="preserve">km </w:t>
            </w:r>
          </w:p>
        </w:tc>
        <w:tc>
          <w:tcPr>
            <w:tcW w:w="1335" w:type="dxa"/>
          </w:tcPr>
          <w:p w:rsidR="006A7FAD" w:rsidRPr="004D41D6" w:rsidRDefault="006A7FAD" w:rsidP="006A7FAD">
            <w:pPr>
              <w:spacing w:before="60" w:after="60" w:line="240" w:lineRule="auto"/>
              <w:rPr>
                <w:color w:val="1F497D" w:themeColor="text2"/>
              </w:rPr>
            </w:pPr>
            <w:r>
              <w:rPr>
                <w:color w:val="1F497D" w:themeColor="text2"/>
              </w:rPr>
              <w:t>1590.0</w:t>
            </w:r>
          </w:p>
        </w:tc>
        <w:tc>
          <w:tcPr>
            <w:tcW w:w="1376" w:type="dxa"/>
          </w:tcPr>
          <w:p w:rsidR="006A7FAD" w:rsidRPr="004D41D6" w:rsidRDefault="006A7FAD" w:rsidP="006A7FAD">
            <w:pPr>
              <w:spacing w:before="60" w:after="60" w:line="240" w:lineRule="auto"/>
              <w:rPr>
                <w:color w:val="1F497D" w:themeColor="text2"/>
              </w:rPr>
            </w:pPr>
            <w:r>
              <w:rPr>
                <w:color w:val="1F497D" w:themeColor="text2"/>
              </w:rPr>
              <w:t>1009.746</w:t>
            </w:r>
          </w:p>
        </w:tc>
        <w:tc>
          <w:tcPr>
            <w:tcW w:w="1378" w:type="dxa"/>
          </w:tcPr>
          <w:p w:rsidR="006A7FAD" w:rsidRPr="004D41D6" w:rsidRDefault="006A7FAD" w:rsidP="006A7FAD">
            <w:pPr>
              <w:spacing w:before="60" w:after="60" w:line="240" w:lineRule="auto"/>
              <w:rPr>
                <w:color w:val="1F497D" w:themeColor="text2"/>
              </w:rPr>
            </w:pPr>
            <w:r>
              <w:rPr>
                <w:color w:val="1F497D" w:themeColor="text2"/>
              </w:rPr>
              <w:t>63.5%</w:t>
            </w:r>
          </w:p>
        </w:tc>
      </w:tr>
    </w:tbl>
    <w:p w:rsidR="006A7FAD" w:rsidRPr="001D5278" w:rsidRDefault="00DD5A63" w:rsidP="006A7FAD">
      <w:pPr>
        <w:pStyle w:val="rda"/>
        <w:rPr>
          <w:color w:val="1F497D" w:themeColor="text2"/>
        </w:rPr>
      </w:pPr>
      <w:r>
        <w:rPr>
          <w:color w:val="1F497D" w:themeColor="text2"/>
        </w:rPr>
        <w:t>Source: own work.</w:t>
      </w:r>
    </w:p>
    <w:p w:rsidR="006A7FAD" w:rsidRPr="004D41D6" w:rsidRDefault="006A7FAD" w:rsidP="006A7FAD">
      <w:pPr>
        <w:pStyle w:val="Tekstzwyky"/>
        <w:rPr>
          <w:rFonts w:ascii="Arial" w:hAnsi="Arial" w:cs="Arial"/>
          <w:color w:val="1F497D" w:themeColor="text2"/>
        </w:rPr>
      </w:pPr>
      <w:r>
        <w:rPr>
          <w:rFonts w:ascii="Arial" w:hAnsi="Arial"/>
          <w:color w:val="1F497D" w:themeColor="text2"/>
        </w:rPr>
        <w:lastRenderedPageBreak/>
        <w:t xml:space="preserve">Of the 2014 indicators calculated for established risk groups based on statistics included in the form of common safety indicators (CSIs), </w:t>
      </w:r>
      <w:r>
        <w:rPr>
          <w:rFonts w:ascii="Arial" w:hAnsi="Arial"/>
          <w:b/>
          <w:color w:val="1F497D" w:themeColor="text2"/>
        </w:rPr>
        <w:t>none exceeds the accepted level of risk or the national reference values (NRVs) set for Poland.</w:t>
      </w:r>
      <w:r>
        <w:rPr>
          <w:rFonts w:ascii="Arial" w:hAnsi="Arial"/>
          <w:color w:val="1F497D" w:themeColor="text2"/>
        </w:rPr>
        <w:t xml:space="preserve"> Thus, the required level of safety of the national rail system has been achieved.</w:t>
      </w:r>
    </w:p>
    <w:p w:rsidR="006A7FAD" w:rsidRPr="004D41D6" w:rsidRDefault="006A7FAD" w:rsidP="006A7FAD">
      <w:pPr>
        <w:pStyle w:val="Tekstzwyky"/>
        <w:rPr>
          <w:rFonts w:ascii="Arial" w:hAnsi="Arial" w:cs="Arial"/>
          <w:color w:val="1F497D" w:themeColor="text2"/>
        </w:rPr>
      </w:pPr>
      <w:r>
        <w:rPr>
          <w:rFonts w:ascii="Arial" w:hAnsi="Arial"/>
          <w:color w:val="1F497D" w:themeColor="text2"/>
        </w:rPr>
        <w:t>The lowest indicator values, indicating greater safety levels, were achieved for the risk to passengers group: less than 20% of the targeted NRV for Poland. Next came the indicator for risk to employees, which achieved a level of 38%. However, the indicator for risk society as a whole reached approximately 65% of the targeted NRV. It should be noted in this respect that risk levels for the aforesaid groups decreased significantly compared with the previous year. The indicator relating to unauthorised persons on railway premises remained at a level similar to that of the previous year, at slightly above 65%.</w:t>
      </w:r>
    </w:p>
    <w:p w:rsidR="006A7FAD" w:rsidRPr="004D41D6" w:rsidRDefault="006A7FAD" w:rsidP="006A7FAD">
      <w:pPr>
        <w:pStyle w:val="Tekstzwyky"/>
        <w:rPr>
          <w:rFonts w:ascii="Arial" w:hAnsi="Arial" w:cs="Arial"/>
          <w:color w:val="1F497D" w:themeColor="text2"/>
        </w:rPr>
      </w:pPr>
      <w:r>
        <w:rPr>
          <w:rFonts w:ascii="Arial" w:hAnsi="Arial"/>
          <w:color w:val="1F497D" w:themeColor="text2"/>
        </w:rPr>
        <w:t>The highest indicator values were reported for level crossing users and ‘other persons’, with a risk level of over 68% and 96%, respectively. These risks were identified as priority areas, i.e. areas in which measures need to be taken at Member State level to increase rail system safety. The measures taken proved effective for the risk group comprising level crossing users, as the indicator for the previous year stood at 92%. However, the indicator for the risk group  comprising ‘other persons’ increased by approximately 17% in 2014.</w:t>
      </w:r>
    </w:p>
    <w:p w:rsidR="00EE2691" w:rsidRPr="006A7FAD" w:rsidRDefault="00EE2691" w:rsidP="00EE2691">
      <w:pPr>
        <w:pStyle w:val="Tekstzwyky"/>
        <w:rPr>
          <w:rFonts w:ascii="Arial" w:hAnsi="Arial" w:cs="Arial"/>
          <w:color w:val="1F497D" w:themeColor="text2"/>
        </w:rPr>
      </w:pPr>
      <w:r>
        <w:rPr>
          <w:rFonts w:ascii="Arial" w:hAnsi="Arial"/>
          <w:color w:val="1F497D" w:themeColor="text2"/>
        </w:rPr>
        <w:t>One serious accident took place on railway lines in Poland in 2014. This was the category A13 accident that occurred on 10 February 2014 on the Warszawa Rembertów – Sulejówek Miłosna route as a result of a train of Szybka Kolei Miejska sp. z o.o. (SKM) running into the back of a train belonging to Koleje Mazowieckie sp. z o.o. (KM) due to the driver of the SKM train failing to exercise due care. There were no victims in the accident.</w:t>
      </w:r>
    </w:p>
    <w:p w:rsidR="00EE2691" w:rsidRPr="006A7FAD" w:rsidRDefault="00EE2691" w:rsidP="00EE2691">
      <w:pPr>
        <w:pStyle w:val="Tekstzwyky"/>
        <w:rPr>
          <w:rFonts w:ascii="Arial" w:hAnsi="Arial" w:cs="Arial"/>
          <w:color w:val="1F497D" w:themeColor="text2"/>
        </w:rPr>
      </w:pPr>
      <w:r>
        <w:rPr>
          <w:rFonts w:ascii="Arial" w:hAnsi="Arial"/>
          <w:color w:val="1F497D" w:themeColor="text2"/>
        </w:rPr>
        <w:t>At 5:16, the KM train stopped at Warszawa Wesoła station, and continued its journey after approximately 50 seconds. After travelling approximately 300 metres, there was a voltage loss in the overhead voltage line and a simultaneous loss of air pressure in the main braking hose, which made the train stop. After a failed attempt at restarting the train, the driver notified the guard about the need to establish precisely where the air pressure had escaped. The driver did not notify the dispatcher about the fact that the train had stopped somewhere it was not supposed to.</w:t>
      </w:r>
    </w:p>
    <w:p w:rsidR="00EE2691" w:rsidRPr="006A7FAD" w:rsidRDefault="00EE2691" w:rsidP="00EE2691">
      <w:pPr>
        <w:pStyle w:val="Tekstzwyky"/>
        <w:rPr>
          <w:rFonts w:ascii="Arial" w:hAnsi="Arial" w:cs="Arial"/>
          <w:color w:val="1F497D" w:themeColor="text2"/>
        </w:rPr>
      </w:pPr>
      <w:r>
        <w:rPr>
          <w:rFonts w:ascii="Arial" w:hAnsi="Arial"/>
          <w:color w:val="1F497D" w:themeColor="text2"/>
        </w:rPr>
        <w:t>Following the journey of the KM train, at 5:16 the SKM train left the Warszawa Rembertów station. The train passed an exit semaphore from station Warszawa Rembertów, which was displaying an S5 signal (a continuous orange light informing that the next semaphore will indicate the S1 ‘Stop’ signal). In the meantime, there was a lapse in the voltage in the overhead voltage line, which led to a loss of control. This defect distracted the attention of the train driver, who noticed the S1 signal at the last moment. Despite immediately attempting to brake, the head of the train stopped past the semaphore. The train driver should have immediately notified the train dispatcher about the fact that he had passed the ‘Stop’ signal in order to obtain further instructions; however, he failed to do this. After a short stop, the train driver continued the journey and stopped at the Warszawa Wesoła station platform. After obtaining a ‘ready to depart’ signal, the train started and reached a speed of 62 km/h. After travelling approximately 200 metres from where it started, the train driver noticed a standing train without tail signals, upon which he applied the emergency brake. Despite this, the SKM train ran into the KM train at a speed of 36 km/h; the KM train moved forward by six metres.</w:t>
      </w:r>
    </w:p>
    <w:p w:rsidR="00EE2691" w:rsidRPr="006A7FAD" w:rsidRDefault="00EE2691" w:rsidP="00EE2691">
      <w:pPr>
        <w:pStyle w:val="Tekstzwyky"/>
        <w:rPr>
          <w:rFonts w:ascii="Arial" w:hAnsi="Arial" w:cs="Arial"/>
          <w:color w:val="1F497D" w:themeColor="text2"/>
        </w:rPr>
      </w:pPr>
      <w:r>
        <w:rPr>
          <w:rFonts w:ascii="Arial" w:hAnsi="Arial"/>
          <w:color w:val="1F497D" w:themeColor="text2"/>
        </w:rPr>
        <w:t>A railway accident investigation team found the root causes of the accident to be the SKM train driver’s failure to exercise due care after the SKM train passed the automatic block signal displaying the ‘Stop’ signal, and his failure to immediately inform the dispatcher about the unforeseen stoppage of the train on the route.</w:t>
      </w:r>
    </w:p>
    <w:p w:rsidR="00EE2691" w:rsidRPr="006A7FAD" w:rsidRDefault="00EE2691" w:rsidP="00EE2691">
      <w:pPr>
        <w:pStyle w:val="Tekstzwyky"/>
        <w:rPr>
          <w:rFonts w:ascii="Arial" w:hAnsi="Arial" w:cs="Arial"/>
          <w:color w:val="1F497D" w:themeColor="text2"/>
        </w:rPr>
      </w:pPr>
      <w:r>
        <w:rPr>
          <w:rFonts w:ascii="Arial" w:hAnsi="Arial"/>
          <w:color w:val="1F497D" w:themeColor="text2"/>
        </w:rPr>
        <w:t>The following were classified as indirect causes: the failure of the SKM guard (who was in the driver’s cabin) to react to the driver’s incorrect operation of the train, the KM train driver’s failure to inform, using radio communications, the dispatchers of adjacent block posts about the unintended stoppage of the train on the route, which resulted in a failure to organise the rear warning lights, as well as the turning off of the Pc5 train</w:t>
      </w:r>
      <w:r>
        <w:noBreakHyphen/>
      </w:r>
      <w:r>
        <w:rPr>
          <w:rFonts w:ascii="Arial" w:hAnsi="Arial"/>
          <w:color w:val="1F497D" w:themeColor="text2"/>
        </w:rPr>
        <w:t>end signal. The occurrence also had systemic causes, as specified by the railway accident investigation team: the inability to display signals at the head and tail of a train in an emergency, when it is forced to stop to deal with a breakdown.</w:t>
      </w:r>
    </w:p>
    <w:p w:rsidR="00DC2B25" w:rsidRPr="006A7FAD" w:rsidRDefault="00DC2B25" w:rsidP="001F7E43">
      <w:pPr>
        <w:pStyle w:val="Heading2"/>
        <w:numPr>
          <w:ilvl w:val="0"/>
          <w:numId w:val="14"/>
        </w:numPr>
        <w:rPr>
          <w:color w:val="1F497D" w:themeColor="text2"/>
        </w:rPr>
      </w:pPr>
      <w:bookmarkStart w:id="13" w:name="_Toc435539920"/>
      <w:bookmarkStart w:id="14" w:name="_Toc441736856"/>
      <w:r>
        <w:rPr>
          <w:color w:val="1F497D" w:themeColor="text2"/>
        </w:rPr>
        <w:lastRenderedPageBreak/>
        <w:t>National safety strategy, programmes and initiatives</w:t>
      </w:r>
      <w:bookmarkEnd w:id="13"/>
      <w:bookmarkEnd w:id="14"/>
    </w:p>
    <w:p w:rsidR="00605178" w:rsidRPr="006A7FAD" w:rsidRDefault="00605178" w:rsidP="00623B1E">
      <w:pPr>
        <w:pStyle w:val="Tekstzwyky"/>
        <w:rPr>
          <w:rFonts w:ascii="Arial" w:hAnsi="Arial" w:cs="Arial"/>
          <w:color w:val="1F497D" w:themeColor="text2"/>
        </w:rPr>
      </w:pPr>
      <w:r>
        <w:rPr>
          <w:rFonts w:ascii="Arial" w:hAnsi="Arial"/>
          <w:color w:val="1F497D" w:themeColor="text2"/>
        </w:rPr>
        <w:t>In the national context, there is no prevailing strategic document regarding safety in the rail transport sector. One document outlining a rail transport safety strategy at Member State level is the</w:t>
      </w:r>
      <w:r>
        <w:rPr>
          <w:rFonts w:ascii="Arial" w:hAnsi="Arial"/>
          <w:i/>
          <w:color w:val="1F497D" w:themeColor="text2"/>
        </w:rPr>
        <w:t xml:space="preserve"> ‘Master Plan for Railway Transport in Poland until 2030’</w:t>
      </w:r>
      <w:r>
        <w:rPr>
          <w:rFonts w:ascii="Arial" w:hAnsi="Arial"/>
          <w:color w:val="1F497D" w:themeColor="text2"/>
        </w:rPr>
        <w:t xml:space="preserve"> [</w:t>
      </w:r>
      <w:r>
        <w:rPr>
          <w:rFonts w:ascii="Arial" w:hAnsi="Arial"/>
          <w:i/>
          <w:color w:val="1F497D" w:themeColor="text2"/>
        </w:rPr>
        <w:t>Master Plan dla transportu kolejowego w Polsce do 2030 r.</w:t>
      </w:r>
      <w:r>
        <w:rPr>
          <w:rFonts w:ascii="Arial" w:hAnsi="Arial"/>
          <w:color w:val="1F497D" w:themeColor="text2"/>
        </w:rPr>
        <w:t xml:space="preserve">] developed by the ministry responsible for transport matters in 2008. This document contains a section covering strategic measures aimed at increasing safety levels of the rail system. </w:t>
      </w:r>
    </w:p>
    <w:p w:rsidR="00605178" w:rsidRPr="006A7FAD" w:rsidRDefault="00605178" w:rsidP="00623B1E">
      <w:pPr>
        <w:pStyle w:val="Tekstzwyky"/>
        <w:rPr>
          <w:rFonts w:ascii="Arial" w:hAnsi="Arial" w:cs="Arial"/>
          <w:color w:val="1F497D" w:themeColor="text2"/>
        </w:rPr>
      </w:pPr>
      <w:r>
        <w:rPr>
          <w:rFonts w:ascii="Arial" w:hAnsi="Arial"/>
          <w:color w:val="1F497D" w:themeColor="text2"/>
        </w:rPr>
        <w:t>The issue of rail safety in the above</w:t>
      </w:r>
      <w:r>
        <w:noBreakHyphen/>
      </w:r>
      <w:r>
        <w:rPr>
          <w:rFonts w:ascii="Arial" w:hAnsi="Arial"/>
          <w:color w:val="1F497D" w:themeColor="text2"/>
        </w:rPr>
        <w:t xml:space="preserve">mentioned document is addressed in two ways:  </w:t>
      </w:r>
    </w:p>
    <w:p w:rsidR="00F77006" w:rsidRPr="006A7FAD" w:rsidRDefault="00F77006" w:rsidP="00C9774E">
      <w:pPr>
        <w:pStyle w:val="Wypunktowanie"/>
        <w:ind w:left="567"/>
        <w:rPr>
          <w:color w:val="1F497D" w:themeColor="text2"/>
        </w:rPr>
      </w:pPr>
      <w:r>
        <w:rPr>
          <w:color w:val="1F497D" w:themeColor="text2"/>
        </w:rPr>
        <w:t>in terms of rail traffic safety, resulting from the characteristics of rail transport as a process that is technical and dependent, first and foremost, on the technical parameters of the devices and systems used;</w:t>
      </w:r>
    </w:p>
    <w:p w:rsidR="00F77006" w:rsidRPr="006A7FAD" w:rsidRDefault="00605178" w:rsidP="00C9774E">
      <w:pPr>
        <w:pStyle w:val="Wypunktowanie"/>
        <w:ind w:left="567"/>
        <w:rPr>
          <w:color w:val="1F497D" w:themeColor="text2"/>
        </w:rPr>
      </w:pPr>
      <w:r>
        <w:rPr>
          <w:color w:val="1F497D" w:themeColor="text2"/>
        </w:rPr>
        <w:t xml:space="preserve">in terms of transport safety, also defined as safety in the transport of persons, covering any threats to passengers and goods transported via rail, but not directly related to the technical characteristics of the rail system. </w:t>
      </w:r>
    </w:p>
    <w:p w:rsidR="009A6CDC" w:rsidRPr="006A7FAD" w:rsidRDefault="00F77006" w:rsidP="00623B1E">
      <w:pPr>
        <w:pStyle w:val="Tekstzwyky"/>
        <w:rPr>
          <w:rFonts w:ascii="Arial" w:hAnsi="Arial" w:cs="Arial"/>
          <w:color w:val="1F497D" w:themeColor="text2"/>
        </w:rPr>
      </w:pPr>
      <w:r>
        <w:rPr>
          <w:rFonts w:ascii="Arial" w:hAnsi="Arial"/>
          <w:color w:val="1F497D" w:themeColor="text2"/>
        </w:rPr>
        <w:t xml:space="preserve">As regards rail traffic safety, the measures included in the plan primarily concern the gradual implementation of modern rail traffic control systems on the national rail network, such as the European Rail Traffic Management System (ERTMS). The document also stresses the importance of investment and revitalisation processes, in particular in relation to rail infrastructure, and highlights the need to ensure appropriate financing to provide adequate maintenance of rail infrastructure. </w:t>
      </w:r>
    </w:p>
    <w:p w:rsidR="009A6CDC" w:rsidRPr="006A7FAD" w:rsidRDefault="00605178" w:rsidP="00623B1E">
      <w:pPr>
        <w:pStyle w:val="Tekstzwyky"/>
        <w:rPr>
          <w:rFonts w:ascii="Arial" w:hAnsi="Arial" w:cs="Arial"/>
          <w:color w:val="1F497D" w:themeColor="text2"/>
        </w:rPr>
      </w:pPr>
      <w:r>
        <w:rPr>
          <w:rFonts w:ascii="Arial" w:hAnsi="Arial"/>
          <w:color w:val="1F497D" w:themeColor="text2"/>
        </w:rPr>
        <w:t>As regards strategic documents on revitalisation and maintenance of rail infrastructure, of essential importance is the scale of ongoing investment projects aimed at improving railway infrastructure and safety levels that are currently taking place in many locations on the Polish rail network. A substantial part of this work is co</w:t>
      </w:r>
      <w:r>
        <w:noBreakHyphen/>
      </w:r>
      <w:r>
        <w:rPr>
          <w:rFonts w:ascii="Arial" w:hAnsi="Arial"/>
          <w:color w:val="1F497D" w:themeColor="text2"/>
        </w:rPr>
        <w:t>financed by the European Union. Details of the tasks to be implemented and related costs are available in the ‘Multi annual Rail Investments Programme to 2015’ [</w:t>
      </w:r>
      <w:r>
        <w:rPr>
          <w:rFonts w:ascii="Arial" w:hAnsi="Arial"/>
          <w:i/>
          <w:color w:val="1F497D" w:themeColor="text2"/>
        </w:rPr>
        <w:t>Wieloletnim Programie Inwestycji Kolejowych do roku 2015</w:t>
      </w:r>
      <w:r>
        <w:rPr>
          <w:rFonts w:ascii="Arial" w:hAnsi="Arial"/>
          <w:color w:val="1F497D" w:themeColor="text2"/>
        </w:rPr>
        <w:t>] covering a total of 140 projects for a combined value of PLN 24.9 billion, implemented in 2013</w:t>
      </w:r>
      <w:r>
        <w:noBreakHyphen/>
      </w:r>
      <w:r>
        <w:rPr>
          <w:rFonts w:ascii="Arial" w:hAnsi="Arial"/>
          <w:color w:val="1F497D" w:themeColor="text2"/>
        </w:rPr>
        <w:t xml:space="preserve">2015. </w:t>
      </w:r>
    </w:p>
    <w:p w:rsidR="00636B37" w:rsidRPr="006A7FAD" w:rsidRDefault="000F500B" w:rsidP="00F47CD7">
      <w:pPr>
        <w:pStyle w:val="Tekstzwyky"/>
        <w:rPr>
          <w:rFonts w:ascii="Arial" w:hAnsi="Arial" w:cs="Arial"/>
          <w:color w:val="1F497D" w:themeColor="text2"/>
        </w:rPr>
      </w:pPr>
      <w:r>
        <w:rPr>
          <w:rFonts w:ascii="Arial" w:hAnsi="Arial"/>
          <w:color w:val="1F497D" w:themeColor="text2"/>
        </w:rPr>
        <w:t>In the context of ensuring transport safety, among the current investment projects, the construction of new turnouts and the modernisation of level crossings (the measure is closely related to the priority area in which the indicator calculated was closest to the national reference value) are of significance.</w:t>
      </w:r>
    </w:p>
    <w:p w:rsidR="000F500B" w:rsidRPr="006A7FAD" w:rsidRDefault="000F500B" w:rsidP="00F47CD7">
      <w:pPr>
        <w:pStyle w:val="Tekstzwyky"/>
        <w:rPr>
          <w:rFonts w:ascii="Arial" w:hAnsi="Arial" w:cs="Arial"/>
          <w:color w:val="1F497D" w:themeColor="text2"/>
        </w:rPr>
      </w:pPr>
      <w:r>
        <w:rPr>
          <w:rFonts w:ascii="Arial" w:hAnsi="Arial"/>
          <w:color w:val="1F497D" w:themeColor="text2"/>
        </w:rPr>
        <w:t>Measures in this regard are implemented both as part of the modernisation and revitalisation of lines (in 2014, 1 393km of track, 1 747 turnouts and 545 level crossings were modernised, and 98 two</w:t>
      </w:r>
      <w:r>
        <w:noBreakHyphen/>
      </w:r>
      <w:r>
        <w:rPr>
          <w:rFonts w:ascii="Arial" w:hAnsi="Arial"/>
          <w:color w:val="1F497D" w:themeColor="text2"/>
        </w:rPr>
        <w:t>level crossings were constructed), and of separate dedicated investment projects (project under Operational Programme Infrastructure and Environment (POIiŚ) 7.1</w:t>
      </w:r>
      <w:r>
        <w:noBreakHyphen/>
      </w:r>
      <w:r>
        <w:rPr>
          <w:rFonts w:ascii="Arial" w:hAnsi="Arial"/>
          <w:color w:val="1F497D" w:themeColor="text2"/>
        </w:rPr>
        <w:t>71 Improving safety through the construction of new rail turnouts with an improved design standard, which foresees the replacement of 697 turnouts, or projects POIiŚ 7.1</w:t>
      </w:r>
      <w:r>
        <w:noBreakHyphen/>
      </w:r>
      <w:r>
        <w:rPr>
          <w:rFonts w:ascii="Arial" w:hAnsi="Arial"/>
          <w:color w:val="1F497D" w:themeColor="text2"/>
        </w:rPr>
        <w:t>59 and POIiŚ 7.1</w:t>
      </w:r>
      <w:r>
        <w:noBreakHyphen/>
      </w:r>
      <w:r>
        <w:rPr>
          <w:rFonts w:ascii="Arial" w:hAnsi="Arial"/>
          <w:color w:val="1F497D" w:themeColor="text2"/>
        </w:rPr>
        <w:t>80 Improving safety and eliminating operational threats at level crossings – stages I and II, which cover the modernisation of 205 turnouts, of which 26 level crossings had been modernised as at 31 December 2014). In addition, investments aimed at improving safety levels involved signage of approaches to level crossings, using rumble strips, installation of additional fault detection equipment in rolling stock or the purchase of base radiophones with a radio</w:t>
      </w:r>
      <w:r>
        <w:noBreakHyphen/>
      </w:r>
      <w:r>
        <w:rPr>
          <w:rFonts w:ascii="Arial" w:hAnsi="Arial"/>
          <w:color w:val="1F497D" w:themeColor="text2"/>
        </w:rPr>
        <w:t>stop system at level</w:t>
      </w:r>
      <w:r>
        <w:noBreakHyphen/>
      </w:r>
      <w:r>
        <w:rPr>
          <w:rFonts w:ascii="Arial" w:hAnsi="Arial"/>
          <w:color w:val="1F497D" w:themeColor="text2"/>
        </w:rPr>
        <w:t>crossing gatehouses.</w:t>
      </w:r>
    </w:p>
    <w:p w:rsidR="004C4F09" w:rsidRPr="006A7FAD" w:rsidRDefault="004C4F09" w:rsidP="00F47CD7">
      <w:pPr>
        <w:pStyle w:val="Tekstzwyky"/>
        <w:rPr>
          <w:rFonts w:ascii="Arial" w:hAnsi="Arial" w:cs="Arial"/>
          <w:color w:val="1F497D" w:themeColor="text2"/>
        </w:rPr>
      </w:pPr>
      <w:r>
        <w:rPr>
          <w:rFonts w:ascii="Arial" w:hAnsi="Arial"/>
          <w:color w:val="1F497D" w:themeColor="text2"/>
        </w:rPr>
        <w:t xml:space="preserve">In addition to the investment projects, public information campaigns have been carried out to raise awareness on the risks relating to level crossings and infrastructure theft. The campaign </w:t>
      </w:r>
      <w:r>
        <w:rPr>
          <w:rFonts w:ascii="Arial" w:hAnsi="Arial"/>
          <w:i/>
          <w:color w:val="1F497D" w:themeColor="text2"/>
        </w:rPr>
        <w:t>‘A safe level crossing – stop and survive</w:t>
      </w:r>
      <w:r>
        <w:rPr>
          <w:rFonts w:ascii="Arial" w:hAnsi="Arial"/>
          <w:color w:val="1F497D" w:themeColor="text2"/>
        </w:rPr>
        <w:t>’ supported by the Rail Transport Office has been ongoing since 2005 and focuses on threats at level crossings and those related to crossing tracks at undesignated areas. The campaign shows rescue operations after level crossing accidents; there are also educational measures addressed both to young people, through meetings at schools, and to adults through information campaigns in the press and on television.</w:t>
      </w:r>
    </w:p>
    <w:p w:rsidR="00F66ECF" w:rsidRPr="006A7FAD" w:rsidRDefault="00F66ECF" w:rsidP="00F66ECF">
      <w:pPr>
        <w:pStyle w:val="Tekstzwyky"/>
        <w:rPr>
          <w:rFonts w:ascii="Arial" w:hAnsi="Arial" w:cs="Arial"/>
          <w:color w:val="1F497D" w:themeColor="text2"/>
        </w:rPr>
      </w:pPr>
      <w:r>
        <w:rPr>
          <w:rFonts w:ascii="Arial" w:hAnsi="Arial"/>
          <w:color w:val="1F497D" w:themeColor="text2"/>
        </w:rPr>
        <w:lastRenderedPageBreak/>
        <w:t>In 2014, the national infrastructure manager also conducted campaigns on combating theft and damage to infrastructure internationally. As part of such international campaigns, on 21</w:t>
      </w:r>
      <w:r>
        <w:noBreakHyphen/>
      </w:r>
      <w:r>
        <w:rPr>
          <w:rFonts w:ascii="Arial" w:hAnsi="Arial"/>
          <w:color w:val="1F497D" w:themeColor="text2"/>
        </w:rPr>
        <w:t>22 May 2014, anti</w:t>
      </w:r>
      <w:r>
        <w:noBreakHyphen/>
      </w:r>
      <w:r>
        <w:rPr>
          <w:rFonts w:ascii="Arial" w:hAnsi="Arial"/>
          <w:color w:val="1F497D" w:themeColor="text2"/>
        </w:rPr>
        <w:t>theft campaigns were carried out on rail premises as part of the second iteration of the ‘European Metal Theft Action Day’. The measures were the second part of the ‘2014 Action Plan’ implemented as part of the EMPACT (European Multidisciplinary Platform Against Criminal Threats) programme.</w:t>
      </w:r>
    </w:p>
    <w:p w:rsidR="00765A62" w:rsidRPr="006A7FAD" w:rsidRDefault="00F66ECF" w:rsidP="00765A62">
      <w:pPr>
        <w:pStyle w:val="Tekstzwyky"/>
        <w:rPr>
          <w:rFonts w:ascii="Arial" w:hAnsi="Arial" w:cs="Arial"/>
          <w:color w:val="1F497D" w:themeColor="text2"/>
        </w:rPr>
      </w:pPr>
      <w:r>
        <w:rPr>
          <w:rFonts w:ascii="Arial" w:hAnsi="Arial"/>
          <w:color w:val="1F497D" w:themeColor="text2"/>
        </w:rPr>
        <w:t>However, as regards the rail safety campaigns undertaken by the President of the UTK in 2014, it should be highlighted that collaboration as part of the implementation of the Memorandum on Cooperation to Combat Theft and Damage to Infrastructure, which commenced in 2012, continued. Under the Foundation ‘Stalwart – Infrastructure Protection’ [</w:t>
      </w:r>
      <w:r>
        <w:rPr>
          <w:rFonts w:ascii="Arial" w:hAnsi="Arial"/>
          <w:i/>
          <w:color w:val="1F497D" w:themeColor="text2"/>
        </w:rPr>
        <w:t>Niezłomni – ochrona infrastruktury</w:t>
      </w:r>
      <w:r>
        <w:rPr>
          <w:rFonts w:ascii="Arial" w:hAnsi="Arial"/>
          <w:color w:val="1F497D" w:themeColor="text2"/>
        </w:rPr>
        <w:t>] set up by signatories to the Memorandum, work was carried out to create an online platform to collect data on theft of and damage to infrastructure affecting various sectors. Functionality tests on the application are planned for 2015, and full implementation is planned for 2016. As at the date of this report, testing of the platform and training on its use are already under way and are being coordinated by representatives of the Memorandum.</w:t>
      </w:r>
    </w:p>
    <w:p w:rsidR="00765A62" w:rsidRPr="006A7FAD" w:rsidRDefault="00765A62" w:rsidP="00765A62">
      <w:pPr>
        <w:pStyle w:val="Tekstzwyky"/>
        <w:rPr>
          <w:rFonts w:ascii="Arial" w:hAnsi="Arial" w:cs="Arial"/>
          <w:color w:val="1F497D" w:themeColor="text2"/>
        </w:rPr>
      </w:pPr>
      <w:r>
        <w:rPr>
          <w:rFonts w:ascii="Arial" w:hAnsi="Arial"/>
          <w:color w:val="1F497D" w:themeColor="text2"/>
        </w:rPr>
        <w:t>In 2014, the Foundation began cooperating with a similar organisation operating in Germany – Security Partnership Against Metal Theft in Germany (SIPAM). The partners signed a letter of intent regarding trans</w:t>
      </w:r>
      <w:r>
        <w:noBreakHyphen/>
      </w:r>
      <w:r>
        <w:rPr>
          <w:rFonts w:ascii="Arial" w:hAnsi="Arial"/>
          <w:color w:val="1F497D" w:themeColor="text2"/>
        </w:rPr>
        <w:t>border cooperation to combat and prevent metal theft and intensify cooperation in this regard. By signing this letter of intent, the parties expressed their desire to exchange information that could contribute to the prevention of theft of and damage to infrastructure, and minimise their consequences for the public as well as the related economic consequences for institutions, companies and customers, including risks to life and health. All parties will cooperate with public institutions and bodies and, if required, contact law enforcement bodies.</w:t>
      </w:r>
    </w:p>
    <w:p w:rsidR="00FF293A" w:rsidRPr="00CF1822" w:rsidRDefault="00F66ECF" w:rsidP="00CF1822">
      <w:pPr>
        <w:pStyle w:val="Tekstzwyky"/>
        <w:rPr>
          <w:rFonts w:ascii="Arial" w:hAnsi="Arial" w:cs="Arial"/>
          <w:color w:val="1F497D" w:themeColor="text2"/>
        </w:rPr>
      </w:pPr>
      <w:r>
        <w:rPr>
          <w:rFonts w:ascii="Arial" w:hAnsi="Arial"/>
          <w:color w:val="1F497D" w:themeColor="text2"/>
        </w:rPr>
        <w:t>In addition, in August 2014 a Team operating under the President of the UTK was appointed to monitor the level of safety of the rail sector in Poland . The aim of the Team is to monitor safety in the national rail sector, identify alarming safety trends and phenomena, and distribute information in this regard to rail sector entities.</w:t>
      </w:r>
    </w:p>
    <w:p w:rsidR="00FF293A" w:rsidRPr="00CF1822" w:rsidRDefault="00FF293A" w:rsidP="00CF1822">
      <w:pPr>
        <w:pStyle w:val="Tekstzwyky"/>
        <w:rPr>
          <w:rFonts w:ascii="Arial" w:hAnsi="Arial" w:cs="Arial"/>
          <w:color w:val="1F497D" w:themeColor="text2"/>
        </w:rPr>
      </w:pPr>
      <w:r>
        <w:rPr>
          <w:rFonts w:ascii="Arial" w:hAnsi="Arial"/>
          <w:color w:val="1F497D" w:themeColor="text2"/>
        </w:rPr>
        <w:t>The Team’s tasks include, in particular: identifying information sources regarding the safety of the national rail sector; analysing information regarding the safety of the national rail sector to identify alarming phenomena and trends; defining the optimal means of communication with the sector; forwarding information on problems identified regarding the safety of the national rail sector; and initiating measures enabling rail sector entities to adopt and implement preventive measures and eliminate irregularities.</w:t>
      </w:r>
    </w:p>
    <w:p w:rsidR="00FF293A" w:rsidRPr="00CF1822" w:rsidRDefault="00FF293A" w:rsidP="00CF1822">
      <w:pPr>
        <w:pStyle w:val="Tekstzwyky"/>
        <w:rPr>
          <w:rFonts w:ascii="Arial" w:hAnsi="Arial" w:cs="Arial"/>
          <w:color w:val="1F497D" w:themeColor="text2"/>
        </w:rPr>
      </w:pPr>
      <w:r>
        <w:rPr>
          <w:rFonts w:ascii="Arial" w:hAnsi="Arial"/>
          <w:color w:val="1F497D" w:themeColor="text2"/>
        </w:rPr>
        <w:t>The main topic discussed during the Team’s most recent meetings in 2014 was rail occurrences caused by a failure of a rail vehicle to stop at a ‘Stop’ signal or where it should stop, or the starting</w:t>
      </w:r>
      <w:r>
        <w:noBreakHyphen/>
      </w:r>
      <w:r>
        <w:rPr>
          <w:rFonts w:ascii="Arial" w:hAnsi="Arial"/>
          <w:color w:val="1F497D" w:themeColor="text2"/>
        </w:rPr>
        <w:t>up of a rail vehicle without permission, the number of which increased in the previous year. Entities participating in these meetings presented information on measures aimed at maintaining an appropriate level of safety in the rail sector.</w:t>
      </w:r>
    </w:p>
    <w:p w:rsidR="00F24FBE" w:rsidRPr="00DB4F81" w:rsidRDefault="000938BE" w:rsidP="001F40E3">
      <w:pPr>
        <w:pStyle w:val="Heading2"/>
        <w:rPr>
          <w:color w:val="1F497D" w:themeColor="text2"/>
        </w:rPr>
      </w:pPr>
      <w:bookmarkStart w:id="15" w:name="_Toc435539921"/>
      <w:bookmarkStart w:id="16" w:name="_Toc441736857"/>
      <w:r>
        <w:rPr>
          <w:color w:val="1F497D" w:themeColor="text2"/>
        </w:rPr>
        <w:t>Overview of the situation in 2014</w:t>
      </w:r>
      <w:bookmarkEnd w:id="15"/>
      <w:bookmarkEnd w:id="16"/>
    </w:p>
    <w:p w:rsidR="00DB4F81" w:rsidRPr="00DD5A63" w:rsidRDefault="00DB4F81" w:rsidP="00DB4F81">
      <w:pPr>
        <w:rPr>
          <w:color w:val="1F497D" w:themeColor="text2"/>
        </w:rPr>
      </w:pPr>
      <w:r>
        <w:rPr>
          <w:color w:val="1F497D" w:themeColor="text2"/>
        </w:rPr>
        <w:t>The safety level in national rail traffic generally improved in 2014 in relation to the previous year. In 2014, the number of significant accidents on the Polish rail network decreased by 5% compared with 2013, with the number of such accidents dropping from 328 to 313 (a decrease of 15 occurrences). The number of fatalities in significant accidents that occurred in 2014 on the Polish rail network decreased by 9% in relation to 2013, i.e. from a total of 227 persons in 2013 to 206 persons in 2014. Similarly, the number of seriously wounded persons in 2014 dropped by 6% compared with 2013, i.e. from a total of 101 in 2013 to 95 in 2014.</w:t>
      </w:r>
    </w:p>
    <w:p w:rsidR="00A45BC4" w:rsidRPr="00DB4F81" w:rsidRDefault="00A45BC4" w:rsidP="003B2CD9">
      <w:pPr>
        <w:rPr>
          <w:color w:val="1F497D" w:themeColor="text2"/>
        </w:rPr>
      </w:pPr>
      <w:r>
        <w:rPr>
          <w:color w:val="1F497D" w:themeColor="text2"/>
        </w:rPr>
        <w:t xml:space="preserve">The influence of external entities on the rail system remains problematic, including, in particular, the presence of unauthorised persons on railway premises, road users at level crossings, and persons deliberately acting to the detriment of the rail system. The percentage of accidents (this assessment was made based on statistics covering all accidents, not only significant ones) involving external entities in 2014 remained at a very high level – similar to that recorded in 2013 – </w:t>
      </w:r>
      <w:r>
        <w:rPr>
          <w:color w:val="1F497D" w:themeColor="text2"/>
        </w:rPr>
        <w:lastRenderedPageBreak/>
        <w:t>i.e. at a level of over 70% (72.4% in 2014 and 73.9% in 2013). The influence of external entities on the safety of the rail system is a particularly difficult challenge for the President of the UTK, given its limited power to influence the actions of these entities.</w:t>
      </w:r>
    </w:p>
    <w:p w:rsidR="00A45BC4" w:rsidRPr="00DB4F81" w:rsidRDefault="00A45BC4" w:rsidP="003B2CD9">
      <w:pPr>
        <w:rPr>
          <w:color w:val="1F497D" w:themeColor="text2"/>
        </w:rPr>
      </w:pPr>
      <w:r>
        <w:rPr>
          <w:color w:val="1F497D" w:themeColor="text2"/>
        </w:rPr>
        <w:t>A worrying phenomenon that occurred in 2014 was the significant increase in the number of rail occurrences (incidents and accidents) caused by damaged wagons or the poor technical condition of wagons (an increase from 50 occurrences in this category in 2013 to 126 in 2014). This phenomenon is all the more disturbing because 2014 was also a year during which the new supervision system for the maintenance of rail vehicles, which should contribute to improving the situation in this regard, was being implemented. For the immediate future, the President of the UTK will, therefore, focus on analysing the causes of this phenomenon.</w:t>
      </w:r>
    </w:p>
    <w:p w:rsidR="00A45BC4" w:rsidRPr="00DB4F81" w:rsidRDefault="00A45BC4" w:rsidP="003B2CD9">
      <w:pPr>
        <w:rPr>
          <w:i/>
          <w:color w:val="1F497D" w:themeColor="text2"/>
        </w:rPr>
      </w:pPr>
      <w:r>
        <w:rPr>
          <w:color w:val="1F497D" w:themeColor="text2"/>
        </w:rPr>
        <w:t>Occurrences involving the failure of a rail vehicle to stop at a ‘Stop’ signal or where it was supposed to stop, or accidents caused by the starting</w:t>
      </w:r>
      <w:r>
        <w:noBreakHyphen/>
      </w:r>
      <w:r>
        <w:rPr>
          <w:color w:val="1F497D" w:themeColor="text2"/>
        </w:rPr>
        <w:t>up of a rail vehicle without permission also require particular attention. The number of occurrences in this category increased in 2014 compared with the previous year (from 35 to 64). These occurrences are usually found to be caused by human factors, i.e. failure to observe due care; improper observation of the road ahead; incorrect interpretation of signals; improper cooperation between drivers and guards; starting a train in the wrong direction contrary to the dispatcher’s instructions; driver failure to react to manoeuvring signals displayed directly prior to an occurrence; and failure to adapt speed to local conditions.</w:t>
      </w:r>
    </w:p>
    <w:p w:rsidR="00765ED4" w:rsidRPr="00DB4F81" w:rsidRDefault="00A95383" w:rsidP="00853758">
      <w:pPr>
        <w:pStyle w:val="Tekstzwyky"/>
        <w:rPr>
          <w:color w:val="1F497D" w:themeColor="text2"/>
          <w:szCs w:val="18"/>
        </w:rPr>
      </w:pPr>
      <w:r>
        <w:rPr>
          <w:rFonts w:ascii="Arial" w:hAnsi="Arial"/>
          <w:color w:val="1F497D" w:themeColor="text2"/>
        </w:rPr>
        <w:t>As regards the experience gained by the President of the UTK in the course of the certification and authorisation procedure for operators and infrastructure managers, it should be highlighted that improvements are required in the level of implementation of the safety management systems of operators and managers, and in the level of implementation of systems for managing the maintenance of entities in charge of maintenance of freight wagons. The irregularities identified relate first and foremost to the supervision of documentation and flow of information on safety, procedures for continuous improvement, and using the results of external audits to improve the system. Detailed information on the identified irregularities can be found in Chapter D (supervision) of this report.</w:t>
      </w:r>
    </w:p>
    <w:p w:rsidR="00623B1E" w:rsidRPr="00DB4F81" w:rsidRDefault="000938BE" w:rsidP="001F40E3">
      <w:pPr>
        <w:pStyle w:val="Heading2"/>
        <w:rPr>
          <w:color w:val="1F497D" w:themeColor="text2"/>
        </w:rPr>
      </w:pPr>
      <w:bookmarkStart w:id="17" w:name="_Toc435539922"/>
      <w:bookmarkStart w:id="18" w:name="_Toc441736858"/>
      <w:r>
        <w:rPr>
          <w:color w:val="1F497D" w:themeColor="text2"/>
        </w:rPr>
        <w:t>Priority areas in 2015</w:t>
      </w:r>
      <w:bookmarkEnd w:id="17"/>
      <w:bookmarkEnd w:id="18"/>
    </w:p>
    <w:p w:rsidR="007F5492" w:rsidRPr="00DB4F81" w:rsidRDefault="007F5492" w:rsidP="004D7208">
      <w:pPr>
        <w:pStyle w:val="Tekstzwyky"/>
        <w:rPr>
          <w:rFonts w:ascii="Arial" w:hAnsi="Arial" w:cs="Arial"/>
          <w:color w:val="1F497D" w:themeColor="text2"/>
        </w:rPr>
      </w:pPr>
      <w:r>
        <w:rPr>
          <w:rFonts w:ascii="Arial" w:hAnsi="Arial"/>
          <w:color w:val="1F497D" w:themeColor="text2"/>
        </w:rPr>
        <w:t>The priority of the President of the UTK in 2015 will be to carry out the recertification of approximately 50 operators and infrastructure managers that obtained their certificates and safety authorisations in 2010.</w:t>
      </w:r>
    </w:p>
    <w:p w:rsidR="004D7208" w:rsidRPr="00DB4F81" w:rsidRDefault="004D7208" w:rsidP="004D7208">
      <w:pPr>
        <w:pStyle w:val="Tekstzwyky"/>
        <w:rPr>
          <w:rFonts w:ascii="Arial" w:hAnsi="Arial" w:cs="Arial"/>
          <w:color w:val="1F497D" w:themeColor="text2"/>
        </w:rPr>
      </w:pPr>
      <w:r>
        <w:rPr>
          <w:rFonts w:ascii="Arial" w:hAnsi="Arial"/>
          <w:color w:val="1F497D" w:themeColor="text2"/>
        </w:rPr>
        <w:t>Given the transition period for rail sector entities to obtain the initial safety certificates and authorisations, the period for which expired at the end of 2010, the majority of rail operators and infrastructure managers submitted applications to obtain such documents shortly before the end of the said period. As a result, the majority of safety certificates and authorisations were issued in the second half of 2010, thereby making them expire in the second half of 2015. In Poland, contrary to what takes place based on European Union legislation, the term of validity of safety certificates and authorisations was set in legislation to be five years. Therefore, the President of the UTK will be required to verify the continued ability of the said entities to operate safely in accordance with the common methods for assessing safety.</w:t>
      </w:r>
    </w:p>
    <w:p w:rsidR="001A7477" w:rsidRPr="00DB4F81" w:rsidRDefault="001A7477" w:rsidP="004D7208">
      <w:pPr>
        <w:pStyle w:val="Tekstzwyky"/>
        <w:rPr>
          <w:rFonts w:ascii="Arial" w:hAnsi="Arial" w:cs="Arial"/>
          <w:color w:val="1F497D" w:themeColor="text2"/>
        </w:rPr>
      </w:pPr>
      <w:r>
        <w:rPr>
          <w:rFonts w:ascii="Arial" w:hAnsi="Arial"/>
          <w:color w:val="1F497D" w:themeColor="text2"/>
        </w:rPr>
        <w:t>In this regard, particular mention should be made of the recertification process in relation to the national infrastructure manager – PKP Polskie Linie Kolejowe. As PKP PLK’s ability to operate safely is essential for the safety of national rail traffic, this process must be extremely thorough.</w:t>
      </w:r>
    </w:p>
    <w:p w:rsidR="00C30EB6" w:rsidRDefault="00C30EB6" w:rsidP="004D7208">
      <w:pPr>
        <w:pStyle w:val="Tekstzwyky"/>
        <w:rPr>
          <w:rFonts w:ascii="Arial" w:hAnsi="Arial" w:cs="Arial"/>
          <w:color w:val="1F497D" w:themeColor="text2"/>
        </w:rPr>
      </w:pPr>
      <w:r>
        <w:rPr>
          <w:rFonts w:ascii="Arial" w:hAnsi="Arial"/>
          <w:color w:val="1F497D" w:themeColor="text2"/>
        </w:rPr>
        <w:t>In 2015, the priority of the President of the UTK will be to prepare the implementation of the recertification process for entities in charge of maintenance of freight vehicles. Approximately 30 entities will be subject to reverification as regards adoption and implementation of the maintenance management system. This process is particularly demanding due to the need to carry out audits. Preparations for the implementation of this priority will consist of the preparation of an appropriate procedure to implement the conclusions and train additional UTK teams in the field of auditing.</w:t>
      </w:r>
    </w:p>
    <w:p w:rsidR="00FA13C5" w:rsidRPr="00DB4F81" w:rsidRDefault="00FA13C5" w:rsidP="004D7208">
      <w:pPr>
        <w:pStyle w:val="Tekstzwyky"/>
        <w:rPr>
          <w:rFonts w:ascii="Arial" w:hAnsi="Arial" w:cs="Arial"/>
          <w:color w:val="1F497D" w:themeColor="text2"/>
        </w:rPr>
      </w:pPr>
    </w:p>
    <w:p w:rsidR="00CA3D44" w:rsidRPr="00DB4F81" w:rsidRDefault="009A5BD2" w:rsidP="009B1787">
      <w:pPr>
        <w:pStyle w:val="Heading1"/>
        <w:rPr>
          <w:color w:val="1F497D" w:themeColor="text2"/>
        </w:rPr>
      </w:pPr>
      <w:bookmarkStart w:id="19" w:name="_Toc435539923"/>
      <w:bookmarkStart w:id="20" w:name="_Toc441736859"/>
      <w:r>
        <w:rPr>
          <w:noProof/>
          <w:color w:val="1F497D" w:themeColor="text2"/>
        </w:rPr>
        <w:lastRenderedPageBreak/>
        <w:t>Changes in safety levels</w:t>
      </w:r>
      <w:bookmarkEnd w:id="19"/>
      <w:bookmarkEnd w:id="20"/>
    </w:p>
    <w:p w:rsidR="00F24FBE" w:rsidRPr="00DB4F81" w:rsidRDefault="00C24EC4" w:rsidP="00B1693F">
      <w:pPr>
        <w:pStyle w:val="Heading2"/>
        <w:numPr>
          <w:ilvl w:val="0"/>
          <w:numId w:val="9"/>
        </w:numPr>
        <w:spacing w:after="120"/>
        <w:rPr>
          <w:color w:val="1F497D" w:themeColor="text2"/>
          <w:sz w:val="18"/>
          <w:szCs w:val="18"/>
        </w:rPr>
      </w:pPr>
      <w:bookmarkStart w:id="21" w:name="_Toc435539924"/>
      <w:bookmarkStart w:id="22" w:name="_Toc441736860"/>
      <w:r>
        <w:rPr>
          <w:color w:val="1F497D" w:themeColor="text2"/>
          <w:sz w:val="18"/>
        </w:rPr>
        <w:t>Detailed analysis of the latest trends</w:t>
      </w:r>
      <w:bookmarkEnd w:id="21"/>
      <w:bookmarkEnd w:id="22"/>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This chapter presents an analysis of rail occurrences based on a uniform approach, based on the common safety indicators (CSIs) that are used to monitor safety in the rail sector in all Member States of the European Union. The analysis only covers significant accidents and the serious accidents that fall within their scope that occurred on the main network (not including the separate network).</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Pursuant to the definition of Directive 2009/149/EC, a significant accident means any accident involving at least one rail vehicle in motion, resulting in at least one killed or seriously injured person, or in significant damage to stock, track, other installations or environment, or extensive disruptions to traffic. Accidents in workshops, warehouses and depots are excluded.</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‘Significant damage to stock, track, other installations or environment’ means damage that is equivalent to EUR 150 000 or more. ‘Extensive disruptions to traffic’ means that train services on a main railway line are suspended for six hours or more.</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Pursuant to the definitions of Community provisions, a serious accident is classified under the group of significant accidents characterised by more serious consequences (one person killed or serious injuries to five or more persons, and damage estimated at EUR 2 million or more), and an obvious impact on the management of railway safety or safety regulation.</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 xml:space="preserve">At the same time it must be highlighted that the report entitled ‘Assessment of rail traffic safety’ submitted to the minister responsible for transport under national law included an analysis of all rail occurrences that took place in Poland in 2014. </w:t>
      </w:r>
    </w:p>
    <w:p w:rsidR="00B1693F" w:rsidRPr="00DB4F81" w:rsidRDefault="00B1693F" w:rsidP="00B1693F">
      <w:pPr>
        <w:pStyle w:val="Heading3"/>
        <w:spacing w:after="120"/>
        <w:rPr>
          <w:color w:val="1F497D" w:themeColor="text2"/>
          <w:sz w:val="18"/>
          <w:szCs w:val="18"/>
        </w:rPr>
      </w:pPr>
      <w:r>
        <w:rPr>
          <w:color w:val="1F497D" w:themeColor="text2"/>
          <w:sz w:val="18"/>
        </w:rPr>
        <w:t>Number of fatalities</w:t>
      </w:r>
    </w:p>
    <w:p w:rsidR="00B1693F" w:rsidRPr="00DB4F81" w:rsidRDefault="00B1693F" w:rsidP="00B1693F">
      <w:pPr>
        <w:pStyle w:val="Tekstzwyky"/>
        <w:rPr>
          <w:rFonts w:ascii="Arial" w:hAnsi="Arial" w:cs="Arial"/>
          <w:b/>
          <w:strike/>
          <w:color w:val="1F497D" w:themeColor="text2"/>
          <w:szCs w:val="18"/>
        </w:rPr>
      </w:pPr>
      <w:r>
        <w:rPr>
          <w:rFonts w:ascii="Arial" w:hAnsi="Arial"/>
          <w:color w:val="1F497D" w:themeColor="text2"/>
        </w:rPr>
        <w:t>The number of fatalities in significant accidents that occurred in 2014 on Poland’s rail network fell by 9% (21 persons) compared with 2013, i.e. from a total of 227 persons in 2013 to 206 persons in 2014.</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Changes in the number of fatalities broken down into individual categories covered by common safety indicators between 2013 and 2014 are as follows:</w:t>
      </w:r>
    </w:p>
    <w:p w:rsidR="00B1693F" w:rsidRPr="00DB4F81" w:rsidRDefault="00B1693F" w:rsidP="00B1693F">
      <w:pPr>
        <w:pStyle w:val="Wypunktowanie"/>
        <w:ind w:left="567"/>
        <w:contextualSpacing w:val="0"/>
        <w:rPr>
          <w:color w:val="1F497D" w:themeColor="text2"/>
          <w:szCs w:val="18"/>
        </w:rPr>
      </w:pPr>
      <w:r>
        <w:rPr>
          <w:color w:val="1F497D" w:themeColor="text2"/>
        </w:rPr>
        <w:t>passengers: a drop of 67% (from 6 persons to 2);</w:t>
      </w:r>
    </w:p>
    <w:p w:rsidR="00B1693F" w:rsidRPr="00DB4F81" w:rsidRDefault="00B1693F" w:rsidP="00B1693F">
      <w:pPr>
        <w:pStyle w:val="Wypunktowanie"/>
        <w:ind w:left="567"/>
        <w:contextualSpacing w:val="0"/>
        <w:rPr>
          <w:color w:val="1F497D" w:themeColor="text2"/>
          <w:szCs w:val="18"/>
        </w:rPr>
      </w:pPr>
      <w:r>
        <w:rPr>
          <w:color w:val="1F497D" w:themeColor="text2"/>
        </w:rPr>
        <w:t>employees: a drop of 50% (from 2 persons to 1);</w:t>
      </w:r>
    </w:p>
    <w:p w:rsidR="00B1693F" w:rsidRPr="00DB4F81" w:rsidRDefault="00B1693F" w:rsidP="00B1693F">
      <w:pPr>
        <w:pStyle w:val="Wypunktowanie"/>
        <w:ind w:left="567"/>
        <w:contextualSpacing w:val="0"/>
        <w:rPr>
          <w:color w:val="1F497D" w:themeColor="text2"/>
          <w:szCs w:val="18"/>
        </w:rPr>
      </w:pPr>
      <w:r>
        <w:rPr>
          <w:color w:val="1F497D" w:themeColor="text2"/>
        </w:rPr>
        <w:t>level crossing users: a drop of 27% (from 52 persons to 38);</w:t>
      </w:r>
    </w:p>
    <w:p w:rsidR="00B1693F" w:rsidRPr="00DB4F81" w:rsidRDefault="00B1693F" w:rsidP="00B1693F">
      <w:pPr>
        <w:pStyle w:val="Wypunktowanie"/>
        <w:ind w:left="567"/>
        <w:contextualSpacing w:val="0"/>
        <w:rPr>
          <w:color w:val="1F497D" w:themeColor="text2"/>
          <w:szCs w:val="18"/>
        </w:rPr>
      </w:pPr>
      <w:r>
        <w:rPr>
          <w:color w:val="1F497D" w:themeColor="text2"/>
        </w:rPr>
        <w:t>unauthorised persons: a drop of 2% (from 165 persons to 163);</w:t>
      </w:r>
    </w:p>
    <w:p w:rsidR="00B1693F" w:rsidRPr="00DB4F81" w:rsidRDefault="00B1693F" w:rsidP="00B1693F">
      <w:pPr>
        <w:pStyle w:val="Wypunktowanie"/>
        <w:ind w:left="567"/>
        <w:contextualSpacing w:val="0"/>
        <w:rPr>
          <w:color w:val="1F497D" w:themeColor="text2"/>
          <w:szCs w:val="18"/>
        </w:rPr>
      </w:pPr>
      <w:r>
        <w:rPr>
          <w:color w:val="1F497D" w:themeColor="text2"/>
        </w:rPr>
        <w:t>other persons: unchanged (2 persons in both 2013 and 2014).</w:t>
      </w:r>
    </w:p>
    <w:p w:rsidR="00B1693F" w:rsidRDefault="00B1693F" w:rsidP="00B1693F">
      <w:pPr>
        <w:pStyle w:val="Tekstzwyky"/>
        <w:rPr>
          <w:rFonts w:ascii="Arial" w:hAnsi="Arial" w:cs="Arial"/>
          <w:color w:val="1F497D" w:themeColor="text2"/>
          <w:szCs w:val="18"/>
        </w:rPr>
      </w:pPr>
      <w:r>
        <w:rPr>
          <w:rFonts w:ascii="Arial" w:hAnsi="Arial"/>
          <w:color w:val="1F497D" w:themeColor="text2"/>
        </w:rPr>
        <w:t>Changes in common safety indicators regarding fatalities in 2013 are part of an overall downward trend in the number of fatalities and were normal deviations. The decrease in the number of occurrences at level crossings and the resulting decrease in the number of victims is the result of measures implemented under the information campaigns carried out by infrastructure managers and the police, with the support of the UTK, entitled ‘A safe level crossing stop and survive’.</w:t>
      </w:r>
    </w:p>
    <w:p w:rsidR="00DD5A63" w:rsidRDefault="00DD5A63">
      <w:pPr>
        <w:spacing w:before="0" w:after="0" w:line="240" w:lineRule="auto"/>
        <w:jc w:val="left"/>
        <w:rPr>
          <w:color w:val="1F497D" w:themeColor="text2"/>
        </w:rPr>
      </w:pPr>
      <w:r>
        <w:br w:type="page"/>
      </w:r>
    </w:p>
    <w:p w:rsidR="00B1693F" w:rsidRPr="00DB4F81" w:rsidRDefault="00B1693F" w:rsidP="00B1693F">
      <w:pPr>
        <w:pStyle w:val="Tabele"/>
        <w:rPr>
          <w:color w:val="1F497D" w:themeColor="text2"/>
        </w:rPr>
      </w:pPr>
      <w:r>
        <w:rPr>
          <w:color w:val="1F497D" w:themeColor="text2"/>
        </w:rPr>
        <w:lastRenderedPageBreak/>
        <w:t xml:space="preserve">Total number of fatalities in 2009 – 2014 </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90"/>
        <w:gridCol w:w="2211"/>
        <w:gridCol w:w="2211"/>
        <w:gridCol w:w="2211"/>
        <w:gridCol w:w="2211"/>
      </w:tblGrid>
      <w:tr w:rsidR="00B1693F" w:rsidRPr="00DB4F81" w:rsidTr="006A7FAD">
        <w:tc>
          <w:tcPr>
            <w:tcW w:w="548" w:type="pct"/>
            <w:tcBorders>
              <w:top w:val="double" w:sz="4" w:space="0" w:color="auto"/>
              <w:bottom w:val="double" w:sz="4" w:space="0" w:color="auto"/>
            </w:tcBorders>
            <w:shd w:val="clear" w:color="auto" w:fill="BFBFBF" w:themeFill="background1" w:themeFillShade="BF"/>
          </w:tcPr>
          <w:p w:rsidR="00B1693F" w:rsidRPr="00DB4F81" w:rsidRDefault="00B1693F" w:rsidP="00B1693F">
            <w:pPr>
              <w:pStyle w:val="Tabelki"/>
              <w:spacing w:before="120" w:after="120" w:line="360" w:lineRule="auto"/>
              <w:jc w:val="center"/>
              <w:rPr>
                <w:b/>
                <w:color w:val="1F497D" w:themeColor="text2"/>
              </w:rPr>
            </w:pPr>
            <w:r>
              <w:rPr>
                <w:b/>
                <w:color w:val="1F497D" w:themeColor="text2"/>
              </w:rPr>
              <w:t>Year</w:t>
            </w:r>
          </w:p>
        </w:tc>
        <w:tc>
          <w:tcPr>
            <w:tcW w:w="2226" w:type="pct"/>
            <w:gridSpan w:val="2"/>
            <w:tcBorders>
              <w:top w:val="double" w:sz="4" w:space="0" w:color="auto"/>
              <w:bottom w:val="double" w:sz="4" w:space="0" w:color="auto"/>
            </w:tcBorders>
            <w:shd w:val="clear" w:color="auto" w:fill="BFBFBF" w:themeFill="background1" w:themeFillShade="BF"/>
          </w:tcPr>
          <w:p w:rsidR="00B1693F" w:rsidRPr="00DB4F81" w:rsidRDefault="00B1693F" w:rsidP="00B1693F">
            <w:pPr>
              <w:pStyle w:val="Tabelki"/>
              <w:spacing w:before="120" w:after="120" w:line="360" w:lineRule="auto"/>
              <w:jc w:val="center"/>
              <w:rPr>
                <w:b/>
                <w:color w:val="1F497D" w:themeColor="text2"/>
              </w:rPr>
            </w:pPr>
            <w:r>
              <w:rPr>
                <w:b/>
                <w:color w:val="1F497D" w:themeColor="text2"/>
              </w:rPr>
              <w:t>Fatalities</w:t>
            </w:r>
          </w:p>
        </w:tc>
        <w:tc>
          <w:tcPr>
            <w:tcW w:w="2226" w:type="pct"/>
            <w:gridSpan w:val="2"/>
            <w:tcBorders>
              <w:top w:val="double" w:sz="4" w:space="0" w:color="auto"/>
              <w:bottom w:val="double" w:sz="4" w:space="0" w:color="auto"/>
            </w:tcBorders>
            <w:shd w:val="clear" w:color="auto" w:fill="BFBFBF" w:themeFill="background1" w:themeFillShade="BF"/>
          </w:tcPr>
          <w:p w:rsidR="00B1693F" w:rsidRPr="00DB4F81" w:rsidRDefault="00B1693F" w:rsidP="00B1693F">
            <w:pPr>
              <w:pStyle w:val="Tabelki"/>
              <w:spacing w:before="120" w:after="120" w:line="360" w:lineRule="auto"/>
              <w:jc w:val="center"/>
              <w:rPr>
                <w:b/>
                <w:color w:val="1F497D" w:themeColor="text2"/>
              </w:rPr>
            </w:pPr>
            <w:r>
              <w:rPr>
                <w:b/>
                <w:color w:val="1F497D" w:themeColor="text2"/>
              </w:rPr>
              <w:t>Fatalities per million train</w:t>
            </w:r>
            <w:r>
              <w:noBreakHyphen/>
            </w:r>
            <w:r>
              <w:rPr>
                <w:b/>
                <w:color w:val="1F497D" w:themeColor="text2"/>
              </w:rPr>
              <w:t>km</w:t>
            </w:r>
          </w:p>
        </w:tc>
      </w:tr>
      <w:tr w:rsidR="00B1693F" w:rsidRPr="00DB4F81" w:rsidTr="006A7FAD">
        <w:trPr>
          <w:trHeight w:val="255"/>
        </w:trPr>
        <w:tc>
          <w:tcPr>
            <w:tcW w:w="548" w:type="pct"/>
            <w:tcBorders>
              <w:top w:val="double" w:sz="4" w:space="0" w:color="auto"/>
            </w:tcBorders>
            <w:noWrap/>
          </w:tcPr>
          <w:p w:rsidR="00B1693F" w:rsidRPr="00DB4F81" w:rsidRDefault="00B1693F" w:rsidP="00DD5A63">
            <w:pPr>
              <w:pStyle w:val="DoNotTranslateExternal1"/>
            </w:pPr>
            <w:r>
              <w:t>2009</w:t>
            </w:r>
          </w:p>
        </w:tc>
        <w:tc>
          <w:tcPr>
            <w:tcW w:w="1113" w:type="pct"/>
            <w:tcBorders>
              <w:top w:val="double" w:sz="4" w:space="0" w:color="auto"/>
            </w:tcBorders>
            <w:noWrap/>
          </w:tcPr>
          <w:p w:rsidR="00B1693F" w:rsidRPr="00DB4F81" w:rsidRDefault="00B1693F" w:rsidP="00DD5A63">
            <w:pPr>
              <w:pStyle w:val="DoNotTranslateExternal1"/>
            </w:pPr>
            <w:r>
              <w:t>365</w:t>
            </w:r>
          </w:p>
        </w:tc>
        <w:tc>
          <w:tcPr>
            <w:tcW w:w="1113" w:type="pct"/>
            <w:tcBorders>
              <w:top w:val="double" w:sz="4" w:space="0" w:color="auto"/>
            </w:tcBorders>
          </w:tcPr>
          <w:p w:rsidR="00B1693F" w:rsidRPr="00DB4F81" w:rsidRDefault="00B1693F" w:rsidP="00DD5A63">
            <w:pPr>
              <w:pStyle w:val="DoNotTranslateExternal1"/>
            </w:pPr>
            <w:r>
              <w:t>-</w:t>
            </w:r>
          </w:p>
        </w:tc>
        <w:tc>
          <w:tcPr>
            <w:tcW w:w="1113" w:type="pct"/>
            <w:tcBorders>
              <w:top w:val="double" w:sz="4" w:space="0" w:color="auto"/>
            </w:tcBorders>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1.75</w:t>
            </w:r>
          </w:p>
        </w:tc>
        <w:tc>
          <w:tcPr>
            <w:tcW w:w="1114" w:type="pct"/>
            <w:tcBorders>
              <w:top w:val="double" w:sz="4" w:space="0" w:color="auto"/>
            </w:tcBorders>
          </w:tcPr>
          <w:p w:rsidR="00B1693F" w:rsidRPr="00DB4F81" w:rsidRDefault="00B1693F" w:rsidP="00DD5A63">
            <w:pPr>
              <w:pStyle w:val="DoNotTranslateExternal1"/>
            </w:pPr>
            <w:r>
              <w:t>-</w:t>
            </w:r>
          </w:p>
        </w:tc>
      </w:tr>
      <w:tr w:rsidR="00B1693F" w:rsidRPr="00DB4F81" w:rsidTr="006A7FAD">
        <w:trPr>
          <w:trHeight w:val="255"/>
        </w:trPr>
        <w:tc>
          <w:tcPr>
            <w:tcW w:w="548" w:type="pct"/>
            <w:noWrap/>
          </w:tcPr>
          <w:p w:rsidR="00B1693F" w:rsidRPr="00DB4F81" w:rsidRDefault="00B1693F" w:rsidP="00DD5A63">
            <w:pPr>
              <w:pStyle w:val="DoNotTranslateExternal1"/>
            </w:pPr>
            <w:r>
              <w:t>2010</w:t>
            </w:r>
          </w:p>
        </w:tc>
        <w:tc>
          <w:tcPr>
            <w:tcW w:w="1113" w:type="pct"/>
            <w:noWrap/>
          </w:tcPr>
          <w:p w:rsidR="00B1693F" w:rsidRPr="00DB4F81" w:rsidRDefault="00B1693F" w:rsidP="00DD5A63">
            <w:pPr>
              <w:pStyle w:val="DoNotTranslateExternal1"/>
            </w:pPr>
            <w:r>
              <w:t>283</w:t>
            </w:r>
          </w:p>
        </w:tc>
        <w:tc>
          <w:tcPr>
            <w:tcW w:w="1113"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-22%</w:t>
            </w:r>
          </w:p>
        </w:tc>
        <w:tc>
          <w:tcPr>
            <w:tcW w:w="1113" w:type="pct"/>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1.29</w:t>
            </w:r>
          </w:p>
        </w:tc>
        <w:tc>
          <w:tcPr>
            <w:tcW w:w="1114"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-26%</w:t>
            </w:r>
          </w:p>
        </w:tc>
      </w:tr>
      <w:tr w:rsidR="00B1693F" w:rsidRPr="00DB4F81" w:rsidTr="006A7FAD">
        <w:trPr>
          <w:trHeight w:val="255"/>
        </w:trPr>
        <w:tc>
          <w:tcPr>
            <w:tcW w:w="548" w:type="pct"/>
            <w:noWrap/>
          </w:tcPr>
          <w:p w:rsidR="00B1693F" w:rsidRPr="00DB4F81" w:rsidRDefault="00B1693F" w:rsidP="00DD5A63">
            <w:pPr>
              <w:pStyle w:val="DoNotTranslateExternal1"/>
            </w:pPr>
            <w:r>
              <w:t>2011</w:t>
            </w:r>
          </w:p>
        </w:tc>
        <w:tc>
          <w:tcPr>
            <w:tcW w:w="1113" w:type="pct"/>
            <w:noWrap/>
          </w:tcPr>
          <w:p w:rsidR="00B1693F" w:rsidRPr="00DB4F81" w:rsidRDefault="00B1693F" w:rsidP="00DD5A63">
            <w:pPr>
              <w:pStyle w:val="DoNotTranslateExternal1"/>
            </w:pPr>
            <w:r>
              <w:t>320</w:t>
            </w:r>
          </w:p>
        </w:tc>
        <w:tc>
          <w:tcPr>
            <w:tcW w:w="1113"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13%</w:t>
            </w:r>
          </w:p>
        </w:tc>
        <w:tc>
          <w:tcPr>
            <w:tcW w:w="1113" w:type="pct"/>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1.41</w:t>
            </w:r>
          </w:p>
        </w:tc>
        <w:tc>
          <w:tcPr>
            <w:tcW w:w="1114"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9%</w:t>
            </w:r>
          </w:p>
        </w:tc>
      </w:tr>
      <w:tr w:rsidR="00B1693F" w:rsidRPr="00DB4F81" w:rsidTr="006A7FAD">
        <w:trPr>
          <w:trHeight w:val="255"/>
        </w:trPr>
        <w:tc>
          <w:tcPr>
            <w:tcW w:w="548" w:type="pct"/>
            <w:noWrap/>
          </w:tcPr>
          <w:p w:rsidR="00B1693F" w:rsidRPr="00DB4F81" w:rsidRDefault="00B1693F" w:rsidP="00DD5A63">
            <w:pPr>
              <w:pStyle w:val="DoNotTranslateExternal1"/>
            </w:pPr>
            <w:r>
              <w:t>2012</w:t>
            </w:r>
          </w:p>
        </w:tc>
        <w:tc>
          <w:tcPr>
            <w:tcW w:w="1113" w:type="pct"/>
            <w:noWrap/>
          </w:tcPr>
          <w:p w:rsidR="00B1693F" w:rsidRPr="00DB4F81" w:rsidRDefault="00B1693F" w:rsidP="00DD5A63">
            <w:pPr>
              <w:pStyle w:val="DoNotTranslateExternal1"/>
            </w:pPr>
            <w:r>
              <w:t>271</w:t>
            </w:r>
          </w:p>
        </w:tc>
        <w:tc>
          <w:tcPr>
            <w:tcW w:w="1113"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-15%</w:t>
            </w:r>
          </w:p>
        </w:tc>
        <w:tc>
          <w:tcPr>
            <w:tcW w:w="1113" w:type="pct"/>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1.21</w:t>
            </w:r>
          </w:p>
        </w:tc>
        <w:tc>
          <w:tcPr>
            <w:tcW w:w="1114"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-14%</w:t>
            </w:r>
          </w:p>
        </w:tc>
      </w:tr>
      <w:tr w:rsidR="00B1693F" w:rsidRPr="00DB4F81" w:rsidTr="006A7FAD">
        <w:trPr>
          <w:trHeight w:val="255"/>
        </w:trPr>
        <w:tc>
          <w:tcPr>
            <w:tcW w:w="548" w:type="pct"/>
            <w:noWrap/>
          </w:tcPr>
          <w:p w:rsidR="00B1693F" w:rsidRPr="00DB4F81" w:rsidRDefault="00B1693F" w:rsidP="00DD5A63">
            <w:pPr>
              <w:pStyle w:val="DoNotTranslateExternal1"/>
            </w:pPr>
            <w:r>
              <w:t>2013</w:t>
            </w:r>
          </w:p>
        </w:tc>
        <w:tc>
          <w:tcPr>
            <w:tcW w:w="1113" w:type="pct"/>
            <w:noWrap/>
          </w:tcPr>
          <w:p w:rsidR="00B1693F" w:rsidRPr="00DB4F81" w:rsidRDefault="00B1693F" w:rsidP="00DD5A63">
            <w:pPr>
              <w:pStyle w:val="DoNotTranslateExternal1"/>
            </w:pPr>
            <w:r>
              <w:t>227</w:t>
            </w:r>
          </w:p>
        </w:tc>
        <w:tc>
          <w:tcPr>
            <w:tcW w:w="1113"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-16%</w:t>
            </w:r>
          </w:p>
        </w:tc>
        <w:tc>
          <w:tcPr>
            <w:tcW w:w="1113" w:type="pct"/>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1.05</w:t>
            </w:r>
          </w:p>
        </w:tc>
        <w:tc>
          <w:tcPr>
            <w:tcW w:w="1114"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-13%</w:t>
            </w:r>
          </w:p>
        </w:tc>
      </w:tr>
      <w:tr w:rsidR="00B1693F" w:rsidRPr="00DB4F81" w:rsidTr="006A7FAD">
        <w:trPr>
          <w:trHeight w:val="255"/>
        </w:trPr>
        <w:tc>
          <w:tcPr>
            <w:tcW w:w="548" w:type="pct"/>
            <w:noWrap/>
          </w:tcPr>
          <w:p w:rsidR="00B1693F" w:rsidRPr="00DB4F81" w:rsidRDefault="00B1693F" w:rsidP="00DD5A63">
            <w:pPr>
              <w:pStyle w:val="DoNotTranslateExternal1"/>
            </w:pPr>
            <w:r>
              <w:t>2014</w:t>
            </w:r>
          </w:p>
        </w:tc>
        <w:tc>
          <w:tcPr>
            <w:tcW w:w="1113" w:type="pct"/>
            <w:noWrap/>
          </w:tcPr>
          <w:p w:rsidR="00B1693F" w:rsidRPr="00DB4F81" w:rsidRDefault="00B1693F" w:rsidP="00DD5A63">
            <w:pPr>
              <w:pStyle w:val="DoNotTranslateExternal1"/>
            </w:pPr>
            <w:r>
              <w:t>206</w:t>
            </w:r>
          </w:p>
        </w:tc>
        <w:tc>
          <w:tcPr>
            <w:tcW w:w="1113"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-9%</w:t>
            </w:r>
          </w:p>
        </w:tc>
        <w:tc>
          <w:tcPr>
            <w:tcW w:w="1113" w:type="pct"/>
            <w:noWrap/>
          </w:tcPr>
          <w:p w:rsidR="00B1693F" w:rsidRPr="00DB4F81" w:rsidRDefault="00B1693F" w:rsidP="00B1693F">
            <w:pPr>
              <w:pStyle w:val="Tabelki"/>
              <w:spacing w:before="120" w:after="120" w:line="360" w:lineRule="auto"/>
              <w:jc w:val="center"/>
              <w:rPr>
                <w:color w:val="1F497D" w:themeColor="text2"/>
              </w:rPr>
            </w:pPr>
            <w:r>
              <w:rPr>
                <w:color w:val="1F497D" w:themeColor="text2"/>
              </w:rPr>
              <w:t>0.96</w:t>
            </w:r>
          </w:p>
        </w:tc>
        <w:tc>
          <w:tcPr>
            <w:tcW w:w="1114" w:type="pct"/>
          </w:tcPr>
          <w:p w:rsidR="00B1693F" w:rsidRPr="005B53B6" w:rsidRDefault="00B1693F" w:rsidP="005B53B6">
            <w:pPr>
              <w:pStyle w:val="Tabelki"/>
              <w:spacing w:before="120" w:after="120" w:line="360" w:lineRule="auto"/>
              <w:jc w:val="center"/>
              <w:rPr>
                <w:color w:val="1F497D" w:themeColor="text2"/>
              </w:rPr>
            </w:pPr>
            <w:r>
              <w:rPr>
                <w:color w:val="1F497D" w:themeColor="text2"/>
              </w:rPr>
              <w:t>-9%</w:t>
            </w:r>
          </w:p>
        </w:tc>
      </w:tr>
    </w:tbl>
    <w:p w:rsidR="00B1693F" w:rsidRPr="00DB4F81" w:rsidRDefault="00B1693F" w:rsidP="00B1693F">
      <w:pPr>
        <w:pStyle w:val="rda"/>
        <w:rPr>
          <w:color w:val="1F497D" w:themeColor="text2"/>
          <w:szCs w:val="18"/>
        </w:rPr>
      </w:pPr>
      <w:r>
        <w:rPr>
          <w:color w:val="1F497D" w:themeColor="text2"/>
        </w:rPr>
        <w:t>Source: own work.</w:t>
      </w:r>
    </w:p>
    <w:tbl>
      <w:tblPr>
        <w:tblStyle w:val="TableGrid"/>
        <w:tblW w:w="0" w:type="auto"/>
        <w:tblLook w:val="04A0" w:firstRow="1" w:lastRow="0" w:firstColumn="1" w:lastColumn="0" w:noHBand="0" w:noVBand="1"/>
      </w:tblPr>
      <w:tblGrid>
        <w:gridCol w:w="9921"/>
      </w:tblGrid>
      <w:tr w:rsidR="00B1693F" w:rsidRPr="00DB4F81" w:rsidTr="006A7FAD">
        <w:tc>
          <w:tcPr>
            <w:tcW w:w="9858" w:type="dxa"/>
            <w:tcBorders>
              <w:top w:val="nil"/>
              <w:left w:val="nil"/>
              <w:bottom w:val="nil"/>
              <w:right w:val="nil"/>
            </w:tcBorders>
          </w:tcPr>
          <w:p w:rsidR="00B1693F" w:rsidRPr="00FF3D80" w:rsidRDefault="00B1693F" w:rsidP="00FF3D80">
            <w:pPr>
              <w:pStyle w:val="Rysunek0"/>
              <w:rPr>
                <w:color w:val="1F497D" w:themeColor="text2"/>
              </w:rPr>
            </w:pPr>
            <w:r w:rsidRPr="00FF3D80">
              <w:rPr>
                <w:color w:val="1F497D" w:themeColor="text2"/>
              </w:rPr>
              <w:t>Total number of fatalities in 2009 – 2014</w:t>
            </w:r>
          </w:p>
          <w:p w:rsidR="00B1693F" w:rsidRPr="00DB4F81" w:rsidRDefault="00B1693F" w:rsidP="00B1693F">
            <w:pPr>
              <w:pStyle w:val="Tekstzwyky"/>
              <w:rPr>
                <w:rFonts w:ascii="Arial" w:hAnsi="Arial" w:cs="Arial"/>
                <w:color w:val="1F497D" w:themeColor="text2"/>
                <w:szCs w:val="18"/>
              </w:rPr>
            </w:pPr>
            <w:r>
              <w:rPr>
                <w:rFonts w:ascii="Arial" w:hAnsi="Arial" w:cs="Arial"/>
                <w:noProof/>
                <w:color w:val="1F497D" w:themeColor="text2"/>
                <w:szCs w:val="18"/>
                <w:lang w:val="fr-LU" w:eastAsia="fr-LU" w:bidi="ar-SA"/>
              </w:rPr>
              <w:drawing>
                <wp:inline distT="0" distB="0" distL="0" distR="0" wp14:anchorId="0E89F275" wp14:editId="5D272D65">
                  <wp:extent cx="6162675" cy="1990725"/>
                  <wp:effectExtent l="0" t="0" r="0" b="0"/>
                  <wp:docPr id="38" name="Obiek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bl>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A similar trend can be observed in the number of fatalities per million train</w:t>
      </w:r>
      <w:r>
        <w:noBreakHyphen/>
      </w:r>
      <w:r>
        <w:rPr>
          <w:rFonts w:ascii="Arial" w:hAnsi="Arial"/>
          <w:color w:val="1F497D" w:themeColor="text2"/>
        </w:rPr>
        <w:t>km, which is presented in the chart below. In 2014, this number dropped by 9% compared with 2013, i.e. from 1.05 to 0.96.</w:t>
      </w:r>
    </w:p>
    <w:tbl>
      <w:tblPr>
        <w:tblStyle w:val="TableGrid"/>
        <w:tblW w:w="0" w:type="auto"/>
        <w:tblLook w:val="04A0" w:firstRow="1" w:lastRow="0" w:firstColumn="1" w:lastColumn="0" w:noHBand="0" w:noVBand="1"/>
      </w:tblPr>
      <w:tblGrid>
        <w:gridCol w:w="9921"/>
      </w:tblGrid>
      <w:tr w:rsidR="00B1693F" w:rsidRPr="00DB4F81" w:rsidTr="006A7FAD">
        <w:trPr>
          <w:cantSplit/>
        </w:trPr>
        <w:tc>
          <w:tcPr>
            <w:tcW w:w="9858" w:type="dxa"/>
            <w:tcBorders>
              <w:top w:val="nil"/>
              <w:left w:val="nil"/>
              <w:bottom w:val="nil"/>
              <w:right w:val="nil"/>
            </w:tcBorders>
          </w:tcPr>
          <w:p w:rsidR="00B1693F" w:rsidRPr="00DB4F81" w:rsidRDefault="00B1693F" w:rsidP="00B1693F">
            <w:pPr>
              <w:pStyle w:val="Rysunek0"/>
              <w:rPr>
                <w:color w:val="1F497D" w:themeColor="text2"/>
              </w:rPr>
            </w:pPr>
            <w:r>
              <w:rPr>
                <w:color w:val="1F497D" w:themeColor="text2"/>
              </w:rPr>
              <w:lastRenderedPageBreak/>
              <w:t>Number of fatalities per million train</w:t>
            </w:r>
            <w:r>
              <w:noBreakHyphen/>
            </w:r>
            <w:r>
              <w:rPr>
                <w:color w:val="1F497D" w:themeColor="text2"/>
              </w:rPr>
              <w:t xml:space="preserve">km in 2009 – 2014 </w:t>
            </w:r>
          </w:p>
          <w:p w:rsidR="00B1693F" w:rsidRPr="00DB4F81" w:rsidRDefault="00B1693F" w:rsidP="00B1693F">
            <w:pPr>
              <w:pStyle w:val="Tekstzwyky"/>
              <w:rPr>
                <w:rFonts w:ascii="Arial" w:hAnsi="Arial" w:cs="Arial"/>
                <w:color w:val="1F497D" w:themeColor="text2"/>
                <w:szCs w:val="18"/>
              </w:rPr>
            </w:pPr>
            <w:r>
              <w:rPr>
                <w:rFonts w:ascii="Arial" w:hAnsi="Arial" w:cs="Arial"/>
                <w:noProof/>
                <w:color w:val="1F497D" w:themeColor="text2"/>
                <w:szCs w:val="18"/>
                <w:lang w:val="fr-LU" w:eastAsia="fr-LU" w:bidi="ar-SA"/>
              </w:rPr>
              <w:drawing>
                <wp:inline distT="0" distB="0" distL="0" distR="0" wp14:anchorId="4305730D" wp14:editId="431BA120">
                  <wp:extent cx="6162675" cy="2085975"/>
                  <wp:effectExtent l="0" t="0" r="0" b="0"/>
                  <wp:docPr id="42"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bl>
    <w:p w:rsidR="00B1693F" w:rsidRPr="00DB4F81" w:rsidRDefault="00B1693F" w:rsidP="00B1693F">
      <w:pPr>
        <w:pStyle w:val="Heading3"/>
        <w:spacing w:after="120"/>
        <w:rPr>
          <w:color w:val="1F497D" w:themeColor="text2"/>
          <w:sz w:val="18"/>
          <w:szCs w:val="18"/>
        </w:rPr>
      </w:pPr>
      <w:r>
        <w:rPr>
          <w:color w:val="1F497D" w:themeColor="text2"/>
          <w:sz w:val="18"/>
        </w:rPr>
        <w:t>Number of serious injuries</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 xml:space="preserve">The number of serious injuries that occurred in significant accidents on Poland’s rail network in 2014 fell by 6% compared with 2013, i.e. from a total of 101 in 2013 to 95 in 2014 (a drop of 6 serious injuries). </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The changes in 2014 compared with the previous year broken down into individual categories of seriously injured persons included in monitoring via common safety indicators are as follows:</w:t>
      </w:r>
    </w:p>
    <w:p w:rsidR="00B1693F" w:rsidRPr="00DB4F81" w:rsidRDefault="00B1693F" w:rsidP="00B1693F">
      <w:pPr>
        <w:pStyle w:val="Wypunktowanie"/>
        <w:ind w:left="567"/>
        <w:contextualSpacing w:val="0"/>
        <w:rPr>
          <w:color w:val="1F497D" w:themeColor="text2"/>
          <w:szCs w:val="18"/>
        </w:rPr>
      </w:pPr>
      <w:r>
        <w:rPr>
          <w:color w:val="1F497D" w:themeColor="text2"/>
        </w:rPr>
        <w:t>passengers: a drop of 25% (from 8 persons to 6);</w:t>
      </w:r>
    </w:p>
    <w:p w:rsidR="00B1693F" w:rsidRPr="00DB4F81" w:rsidRDefault="00B1693F" w:rsidP="00B1693F">
      <w:pPr>
        <w:pStyle w:val="Wypunktowanie"/>
        <w:ind w:left="567"/>
        <w:contextualSpacing w:val="0"/>
        <w:rPr>
          <w:color w:val="1F497D" w:themeColor="text2"/>
          <w:szCs w:val="18"/>
        </w:rPr>
      </w:pPr>
      <w:r>
        <w:rPr>
          <w:color w:val="1F497D" w:themeColor="text2"/>
        </w:rPr>
        <w:t>employees: unchanged (4 persons in both 2013 and 2014);</w:t>
      </w:r>
    </w:p>
    <w:p w:rsidR="00B1693F" w:rsidRPr="00DB4F81" w:rsidRDefault="00B1693F" w:rsidP="00B1693F">
      <w:pPr>
        <w:pStyle w:val="Wypunktowanie"/>
        <w:ind w:left="567"/>
        <w:contextualSpacing w:val="0"/>
        <w:rPr>
          <w:color w:val="1F497D" w:themeColor="text2"/>
          <w:szCs w:val="18"/>
        </w:rPr>
      </w:pPr>
      <w:r>
        <w:rPr>
          <w:color w:val="1F497D" w:themeColor="text2"/>
        </w:rPr>
        <w:t>users of level crossings: a drop of 29% (from 34 to 24);</w:t>
      </w:r>
    </w:p>
    <w:p w:rsidR="00B1693F" w:rsidRPr="00DB4F81" w:rsidRDefault="00B1693F" w:rsidP="00B1693F">
      <w:pPr>
        <w:pStyle w:val="Wypunktowanie"/>
        <w:ind w:left="567"/>
        <w:contextualSpacing w:val="0"/>
        <w:rPr>
          <w:color w:val="1F497D" w:themeColor="text2"/>
          <w:szCs w:val="18"/>
        </w:rPr>
      </w:pPr>
      <w:r>
        <w:rPr>
          <w:color w:val="1F497D" w:themeColor="text2"/>
        </w:rPr>
        <w:t>unauthorised persons: an increase of 4% (from 55 to 57 persons);</w:t>
      </w:r>
    </w:p>
    <w:p w:rsidR="00B1693F" w:rsidRPr="00DB4F81" w:rsidRDefault="00B1693F" w:rsidP="00B1693F">
      <w:pPr>
        <w:pStyle w:val="Wypunktowanie"/>
        <w:ind w:left="567"/>
        <w:contextualSpacing w:val="0"/>
        <w:rPr>
          <w:color w:val="1F497D" w:themeColor="text2"/>
          <w:szCs w:val="18"/>
        </w:rPr>
      </w:pPr>
      <w:r>
        <w:rPr>
          <w:color w:val="1F497D" w:themeColor="text2"/>
        </w:rPr>
        <w:t>other persons: not including serious injuries in 2013, an increase to 4 persons in 2014.</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The aggregated data in this area are presented in the table below and in the following charts taking into account the absolute values and indicators referring to the number of train</w:t>
      </w:r>
      <w:r>
        <w:noBreakHyphen/>
      </w:r>
      <w:r>
        <w:rPr>
          <w:rFonts w:ascii="Arial" w:hAnsi="Arial"/>
          <w:color w:val="1F497D" w:themeColor="text2"/>
        </w:rPr>
        <w:t xml:space="preserve">km.  </w:t>
      </w:r>
    </w:p>
    <w:p w:rsidR="00B1693F" w:rsidRPr="00DB4F81" w:rsidRDefault="00B1693F" w:rsidP="00B1693F">
      <w:pPr>
        <w:pStyle w:val="Tabele"/>
        <w:rPr>
          <w:color w:val="1F497D" w:themeColor="text2"/>
        </w:rPr>
      </w:pPr>
      <w:r>
        <w:rPr>
          <w:color w:val="1F497D" w:themeColor="text2"/>
        </w:rPr>
        <w:t xml:space="preserve">Number of serious injuries in 2009 – 2014 </w:t>
      </w:r>
    </w:p>
    <w:tbl>
      <w:tblPr>
        <w:tblStyle w:val="TableGrid"/>
        <w:tblW w:w="5000" w:type="pct"/>
        <w:tblInd w:w="108" w:type="dxa"/>
        <w:tblLook w:val="04A0" w:firstRow="1" w:lastRow="0" w:firstColumn="1" w:lastColumn="0" w:noHBand="0" w:noVBand="1"/>
      </w:tblPr>
      <w:tblGrid>
        <w:gridCol w:w="1014"/>
        <w:gridCol w:w="2229"/>
        <w:gridCol w:w="2231"/>
        <w:gridCol w:w="2229"/>
        <w:gridCol w:w="2231"/>
      </w:tblGrid>
      <w:tr w:rsidR="00B1693F" w:rsidRPr="00DB4F81" w:rsidTr="00380B61">
        <w:tc>
          <w:tcPr>
            <w:tcW w:w="510" w:type="pct"/>
            <w:tcBorders>
              <w:top w:val="double" w:sz="4" w:space="0" w:color="auto"/>
              <w:left w:val="double" w:sz="4" w:space="0" w:color="auto"/>
              <w:bottom w:val="double" w:sz="4" w:space="0" w:color="auto"/>
            </w:tcBorders>
            <w:shd w:val="clear" w:color="auto" w:fill="BFBFBF" w:themeFill="background1" w:themeFillShade="BF"/>
          </w:tcPr>
          <w:p w:rsidR="00B1693F" w:rsidRPr="00DB4F81" w:rsidRDefault="00B1693F" w:rsidP="00380B61">
            <w:pPr>
              <w:pStyle w:val="Tabelki"/>
              <w:spacing w:before="120" w:after="120"/>
              <w:jc w:val="center"/>
              <w:rPr>
                <w:b/>
                <w:color w:val="1F497D" w:themeColor="text2"/>
              </w:rPr>
            </w:pPr>
            <w:r>
              <w:rPr>
                <w:b/>
                <w:color w:val="1F497D" w:themeColor="text2"/>
              </w:rPr>
              <w:t>Year</w:t>
            </w:r>
          </w:p>
        </w:tc>
        <w:tc>
          <w:tcPr>
            <w:tcW w:w="2245" w:type="pct"/>
            <w:gridSpan w:val="2"/>
            <w:tcBorders>
              <w:top w:val="double" w:sz="4" w:space="0" w:color="auto"/>
              <w:bottom w:val="double" w:sz="4" w:space="0" w:color="auto"/>
            </w:tcBorders>
            <w:shd w:val="clear" w:color="auto" w:fill="BFBFBF" w:themeFill="background1" w:themeFillShade="BF"/>
          </w:tcPr>
          <w:p w:rsidR="00B1693F" w:rsidRPr="00DB4F81" w:rsidRDefault="00B1693F" w:rsidP="00380B61">
            <w:pPr>
              <w:pStyle w:val="Tabelki"/>
              <w:spacing w:before="120" w:after="120"/>
              <w:jc w:val="center"/>
              <w:rPr>
                <w:b/>
                <w:bCs/>
                <w:color w:val="1F497D" w:themeColor="text2"/>
              </w:rPr>
            </w:pPr>
            <w:r>
              <w:rPr>
                <w:b/>
                <w:color w:val="1F497D" w:themeColor="text2"/>
              </w:rPr>
              <w:t>Serious injuries</w:t>
            </w:r>
          </w:p>
        </w:tc>
        <w:tc>
          <w:tcPr>
            <w:tcW w:w="2245" w:type="pct"/>
            <w:gridSpan w:val="2"/>
            <w:tcBorders>
              <w:top w:val="double" w:sz="4" w:space="0" w:color="auto"/>
              <w:bottom w:val="double" w:sz="4" w:space="0" w:color="auto"/>
              <w:right w:val="double" w:sz="4" w:space="0" w:color="auto"/>
            </w:tcBorders>
            <w:shd w:val="clear" w:color="auto" w:fill="BFBFBF" w:themeFill="background1" w:themeFillShade="BF"/>
          </w:tcPr>
          <w:p w:rsidR="00B1693F" w:rsidRPr="00DB4F81" w:rsidRDefault="00B1693F" w:rsidP="00380B61">
            <w:pPr>
              <w:pStyle w:val="Tabelki"/>
              <w:spacing w:before="120" w:after="120"/>
              <w:jc w:val="center"/>
              <w:rPr>
                <w:b/>
                <w:color w:val="1F497D" w:themeColor="text2"/>
              </w:rPr>
            </w:pPr>
            <w:r>
              <w:rPr>
                <w:b/>
                <w:color w:val="1F497D" w:themeColor="text2"/>
              </w:rPr>
              <w:t>Serious injuries per million train</w:t>
            </w:r>
            <w:r>
              <w:noBreakHyphen/>
            </w:r>
            <w:r>
              <w:rPr>
                <w:b/>
                <w:color w:val="1F497D" w:themeColor="text2"/>
              </w:rPr>
              <w:t>km</w:t>
            </w:r>
          </w:p>
        </w:tc>
      </w:tr>
      <w:tr w:rsidR="00B1693F" w:rsidRPr="00DB4F81" w:rsidTr="00380B61">
        <w:trPr>
          <w:trHeight w:val="255"/>
        </w:trPr>
        <w:tc>
          <w:tcPr>
            <w:tcW w:w="510" w:type="pct"/>
            <w:tcBorders>
              <w:top w:val="double" w:sz="4" w:space="0" w:color="auto"/>
              <w:left w:val="double" w:sz="4" w:space="0" w:color="auto"/>
            </w:tcBorders>
          </w:tcPr>
          <w:p w:rsidR="00B1693F" w:rsidRPr="00DB4F81" w:rsidRDefault="00B1693F" w:rsidP="00DD5A63">
            <w:pPr>
              <w:pStyle w:val="DoNotTranslateExternal1"/>
            </w:pPr>
            <w:r>
              <w:t>2009</w:t>
            </w:r>
          </w:p>
        </w:tc>
        <w:tc>
          <w:tcPr>
            <w:tcW w:w="1122" w:type="pct"/>
            <w:tcBorders>
              <w:top w:val="double" w:sz="4" w:space="0" w:color="auto"/>
            </w:tcBorders>
            <w:noWrap/>
          </w:tcPr>
          <w:p w:rsidR="00B1693F" w:rsidRPr="00DB4F81" w:rsidRDefault="00B1693F" w:rsidP="00DD5A63">
            <w:pPr>
              <w:pStyle w:val="DoNotTranslateExternal1"/>
            </w:pPr>
            <w:r>
              <w:t>199</w:t>
            </w:r>
          </w:p>
        </w:tc>
        <w:tc>
          <w:tcPr>
            <w:tcW w:w="1123" w:type="pct"/>
            <w:tcBorders>
              <w:top w:val="double" w:sz="4" w:space="0" w:color="auto"/>
            </w:tcBorders>
          </w:tcPr>
          <w:p w:rsidR="00B1693F" w:rsidRPr="00DB4F81" w:rsidRDefault="00B1693F" w:rsidP="00DD5A63">
            <w:pPr>
              <w:pStyle w:val="DoNotTranslateExternal1"/>
            </w:pPr>
            <w:r>
              <w:t>-</w:t>
            </w:r>
          </w:p>
        </w:tc>
        <w:tc>
          <w:tcPr>
            <w:tcW w:w="1122" w:type="pct"/>
            <w:tcBorders>
              <w:top w:val="double" w:sz="4" w:space="0" w:color="auto"/>
            </w:tcBorders>
            <w:noWrap/>
          </w:tcPr>
          <w:p w:rsidR="00B1693F" w:rsidRPr="00DB4F81" w:rsidRDefault="00B1693F" w:rsidP="00380B61">
            <w:pPr>
              <w:pStyle w:val="Tabelki"/>
              <w:spacing w:before="120" w:after="120"/>
              <w:jc w:val="center"/>
              <w:rPr>
                <w:color w:val="1F497D" w:themeColor="text2"/>
              </w:rPr>
            </w:pPr>
            <w:r>
              <w:rPr>
                <w:color w:val="1F497D" w:themeColor="text2"/>
              </w:rPr>
              <w:t>0.95</w:t>
            </w:r>
          </w:p>
        </w:tc>
        <w:tc>
          <w:tcPr>
            <w:tcW w:w="1123" w:type="pct"/>
            <w:tcBorders>
              <w:top w:val="double" w:sz="4" w:space="0" w:color="auto"/>
              <w:right w:val="double" w:sz="4" w:space="0" w:color="auto"/>
            </w:tcBorders>
          </w:tcPr>
          <w:p w:rsidR="00B1693F" w:rsidRPr="00DB4F81" w:rsidRDefault="00B1693F" w:rsidP="00DD5A63">
            <w:pPr>
              <w:pStyle w:val="DoNotTranslateExternal1"/>
            </w:pPr>
            <w:r>
              <w:t>-</w:t>
            </w:r>
          </w:p>
        </w:tc>
      </w:tr>
      <w:tr w:rsidR="00B1693F" w:rsidRPr="00DB4F81" w:rsidTr="00380B61">
        <w:trPr>
          <w:trHeight w:val="255"/>
        </w:trPr>
        <w:tc>
          <w:tcPr>
            <w:tcW w:w="510" w:type="pct"/>
            <w:tcBorders>
              <w:left w:val="double" w:sz="4" w:space="0" w:color="auto"/>
            </w:tcBorders>
          </w:tcPr>
          <w:p w:rsidR="00B1693F" w:rsidRPr="00DB4F81" w:rsidRDefault="00B1693F" w:rsidP="00DD5A63">
            <w:pPr>
              <w:pStyle w:val="DoNotTranslateExternal1"/>
            </w:pPr>
            <w:r>
              <w:t>2010</w:t>
            </w:r>
          </w:p>
        </w:tc>
        <w:tc>
          <w:tcPr>
            <w:tcW w:w="1122" w:type="pct"/>
            <w:noWrap/>
          </w:tcPr>
          <w:p w:rsidR="00B1693F" w:rsidRPr="00DB4F81" w:rsidRDefault="00B1693F" w:rsidP="00DD5A63">
            <w:pPr>
              <w:pStyle w:val="DoNotTranslateExternal1"/>
            </w:pPr>
            <w:r>
              <w:t>187</w:t>
            </w:r>
          </w:p>
        </w:tc>
        <w:tc>
          <w:tcPr>
            <w:tcW w:w="1123" w:type="pct"/>
          </w:tcPr>
          <w:p w:rsidR="00B1693F" w:rsidRPr="005B53B6" w:rsidRDefault="00B1693F" w:rsidP="005B53B6">
            <w:pPr>
              <w:pStyle w:val="Tabelki"/>
              <w:spacing w:before="120" w:after="120"/>
              <w:jc w:val="center"/>
              <w:rPr>
                <w:color w:val="1F497D" w:themeColor="text2"/>
              </w:rPr>
            </w:pPr>
            <w:r>
              <w:rPr>
                <w:color w:val="1F497D" w:themeColor="text2"/>
              </w:rPr>
              <w:t>-6%</w:t>
            </w:r>
          </w:p>
        </w:tc>
        <w:tc>
          <w:tcPr>
            <w:tcW w:w="1122" w:type="pct"/>
            <w:noWrap/>
          </w:tcPr>
          <w:p w:rsidR="00B1693F" w:rsidRPr="00DB4F81" w:rsidRDefault="00B1693F" w:rsidP="00380B61">
            <w:pPr>
              <w:pStyle w:val="Tabelki"/>
              <w:spacing w:before="120" w:after="120"/>
              <w:jc w:val="center"/>
              <w:rPr>
                <w:color w:val="1F497D" w:themeColor="text2"/>
              </w:rPr>
            </w:pPr>
            <w:r>
              <w:rPr>
                <w:color w:val="1F497D" w:themeColor="text2"/>
              </w:rPr>
              <w:t>0.85</w:t>
            </w:r>
          </w:p>
        </w:tc>
        <w:tc>
          <w:tcPr>
            <w:tcW w:w="1123"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-11%</w:t>
            </w:r>
          </w:p>
        </w:tc>
      </w:tr>
      <w:tr w:rsidR="00B1693F" w:rsidRPr="00DB4F81" w:rsidTr="00380B61">
        <w:trPr>
          <w:trHeight w:val="255"/>
        </w:trPr>
        <w:tc>
          <w:tcPr>
            <w:tcW w:w="510" w:type="pct"/>
            <w:tcBorders>
              <w:left w:val="double" w:sz="4" w:space="0" w:color="auto"/>
            </w:tcBorders>
          </w:tcPr>
          <w:p w:rsidR="00B1693F" w:rsidRPr="00DB4F81" w:rsidRDefault="00B1693F" w:rsidP="00DD5A63">
            <w:pPr>
              <w:pStyle w:val="DoNotTranslateExternal1"/>
            </w:pPr>
            <w:r>
              <w:t>2011</w:t>
            </w:r>
          </w:p>
        </w:tc>
        <w:tc>
          <w:tcPr>
            <w:tcW w:w="1122" w:type="pct"/>
            <w:noWrap/>
          </w:tcPr>
          <w:p w:rsidR="00B1693F" w:rsidRPr="00DB4F81" w:rsidRDefault="00B1693F" w:rsidP="00DD5A63">
            <w:pPr>
              <w:pStyle w:val="DoNotTranslateExternal1"/>
            </w:pPr>
            <w:r>
              <w:t>209</w:t>
            </w:r>
          </w:p>
        </w:tc>
        <w:tc>
          <w:tcPr>
            <w:tcW w:w="1123" w:type="pct"/>
          </w:tcPr>
          <w:p w:rsidR="00B1693F" w:rsidRPr="005B53B6" w:rsidRDefault="00B1693F" w:rsidP="005B53B6">
            <w:pPr>
              <w:pStyle w:val="Tabelki"/>
              <w:spacing w:before="120" w:after="120"/>
              <w:jc w:val="center"/>
              <w:rPr>
                <w:color w:val="1F497D" w:themeColor="text2"/>
              </w:rPr>
            </w:pPr>
            <w:r>
              <w:rPr>
                <w:color w:val="1F497D" w:themeColor="text2"/>
              </w:rPr>
              <w:t>12%</w:t>
            </w:r>
          </w:p>
        </w:tc>
        <w:tc>
          <w:tcPr>
            <w:tcW w:w="1122" w:type="pct"/>
            <w:noWrap/>
          </w:tcPr>
          <w:p w:rsidR="00B1693F" w:rsidRPr="00DB4F81" w:rsidRDefault="00B1693F" w:rsidP="00380B61">
            <w:pPr>
              <w:pStyle w:val="Tabelki"/>
              <w:spacing w:before="120" w:after="120"/>
              <w:jc w:val="center"/>
              <w:rPr>
                <w:color w:val="1F497D" w:themeColor="text2"/>
              </w:rPr>
            </w:pPr>
            <w:r>
              <w:rPr>
                <w:color w:val="1F497D" w:themeColor="text2"/>
              </w:rPr>
              <w:t>0.92</w:t>
            </w:r>
          </w:p>
        </w:tc>
        <w:tc>
          <w:tcPr>
            <w:tcW w:w="1123"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8%</w:t>
            </w:r>
          </w:p>
        </w:tc>
      </w:tr>
      <w:tr w:rsidR="00B1693F" w:rsidRPr="00DB4F81" w:rsidTr="00380B61">
        <w:trPr>
          <w:trHeight w:val="255"/>
        </w:trPr>
        <w:tc>
          <w:tcPr>
            <w:tcW w:w="510" w:type="pct"/>
            <w:tcBorders>
              <w:left w:val="double" w:sz="4" w:space="0" w:color="auto"/>
            </w:tcBorders>
          </w:tcPr>
          <w:p w:rsidR="00B1693F" w:rsidRPr="00DB4F81" w:rsidRDefault="00B1693F" w:rsidP="00DD5A63">
            <w:pPr>
              <w:pStyle w:val="DoNotTranslateExternal1"/>
            </w:pPr>
            <w:r>
              <w:t>2012</w:t>
            </w:r>
          </w:p>
        </w:tc>
        <w:tc>
          <w:tcPr>
            <w:tcW w:w="1122" w:type="pct"/>
            <w:noWrap/>
          </w:tcPr>
          <w:p w:rsidR="00B1693F" w:rsidRPr="00DB4F81" w:rsidRDefault="00B1693F" w:rsidP="00DD5A63">
            <w:pPr>
              <w:pStyle w:val="DoNotTranslateExternal1"/>
            </w:pPr>
            <w:r>
              <w:t>184</w:t>
            </w:r>
          </w:p>
        </w:tc>
        <w:tc>
          <w:tcPr>
            <w:tcW w:w="1123" w:type="pct"/>
          </w:tcPr>
          <w:p w:rsidR="00B1693F" w:rsidRPr="005B53B6" w:rsidRDefault="00B1693F" w:rsidP="005B53B6">
            <w:pPr>
              <w:pStyle w:val="Tabelki"/>
              <w:spacing w:before="120" w:after="120"/>
              <w:jc w:val="center"/>
              <w:rPr>
                <w:color w:val="1F497D" w:themeColor="text2"/>
              </w:rPr>
            </w:pPr>
            <w:r>
              <w:rPr>
                <w:color w:val="1F497D" w:themeColor="text2"/>
              </w:rPr>
              <w:t>-12%</w:t>
            </w:r>
          </w:p>
        </w:tc>
        <w:tc>
          <w:tcPr>
            <w:tcW w:w="1122" w:type="pct"/>
            <w:noWrap/>
          </w:tcPr>
          <w:p w:rsidR="00B1693F" w:rsidRPr="00DB4F81" w:rsidRDefault="00B1693F" w:rsidP="00380B61">
            <w:pPr>
              <w:pStyle w:val="Tabelki"/>
              <w:spacing w:before="120" w:after="120"/>
              <w:jc w:val="center"/>
              <w:rPr>
                <w:color w:val="1F497D" w:themeColor="text2"/>
              </w:rPr>
            </w:pPr>
            <w:r>
              <w:rPr>
                <w:color w:val="1F497D" w:themeColor="text2"/>
              </w:rPr>
              <w:t>0.82</w:t>
            </w:r>
          </w:p>
        </w:tc>
        <w:tc>
          <w:tcPr>
            <w:tcW w:w="1123"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-11%</w:t>
            </w:r>
          </w:p>
        </w:tc>
      </w:tr>
      <w:tr w:rsidR="00B1693F" w:rsidRPr="00DB4F81" w:rsidTr="00380B61">
        <w:trPr>
          <w:trHeight w:val="255"/>
        </w:trPr>
        <w:tc>
          <w:tcPr>
            <w:tcW w:w="510" w:type="pct"/>
            <w:tcBorders>
              <w:left w:val="double" w:sz="4" w:space="0" w:color="auto"/>
            </w:tcBorders>
          </w:tcPr>
          <w:p w:rsidR="00B1693F" w:rsidRPr="00DB4F81" w:rsidRDefault="00B1693F" w:rsidP="00DD5A63">
            <w:pPr>
              <w:pStyle w:val="DoNotTranslateExternal1"/>
            </w:pPr>
            <w:r>
              <w:t>2013</w:t>
            </w:r>
          </w:p>
        </w:tc>
        <w:tc>
          <w:tcPr>
            <w:tcW w:w="1122" w:type="pct"/>
            <w:noWrap/>
          </w:tcPr>
          <w:p w:rsidR="00B1693F" w:rsidRPr="00DB4F81" w:rsidRDefault="00B1693F" w:rsidP="00DD5A63">
            <w:pPr>
              <w:pStyle w:val="DoNotTranslateExternal1"/>
            </w:pPr>
            <w:r>
              <w:t>101</w:t>
            </w:r>
          </w:p>
        </w:tc>
        <w:tc>
          <w:tcPr>
            <w:tcW w:w="1123" w:type="pct"/>
          </w:tcPr>
          <w:p w:rsidR="00B1693F" w:rsidRPr="005B53B6" w:rsidRDefault="00B1693F" w:rsidP="005B53B6">
            <w:pPr>
              <w:pStyle w:val="Tabelki"/>
              <w:spacing w:before="120" w:after="120"/>
              <w:jc w:val="center"/>
              <w:rPr>
                <w:color w:val="1F497D" w:themeColor="text2"/>
              </w:rPr>
            </w:pPr>
            <w:r>
              <w:rPr>
                <w:color w:val="1F497D" w:themeColor="text2"/>
              </w:rPr>
              <w:t>-45%</w:t>
            </w:r>
          </w:p>
        </w:tc>
        <w:tc>
          <w:tcPr>
            <w:tcW w:w="1122" w:type="pct"/>
            <w:noWrap/>
          </w:tcPr>
          <w:p w:rsidR="00B1693F" w:rsidRPr="00DB4F81" w:rsidRDefault="00B1693F" w:rsidP="00380B61">
            <w:pPr>
              <w:pStyle w:val="Tabelki"/>
              <w:spacing w:before="120" w:after="120"/>
              <w:jc w:val="center"/>
              <w:rPr>
                <w:color w:val="1F497D" w:themeColor="text2"/>
              </w:rPr>
            </w:pPr>
            <w:r>
              <w:rPr>
                <w:color w:val="1F497D" w:themeColor="text2"/>
              </w:rPr>
              <w:t>0.47</w:t>
            </w:r>
          </w:p>
        </w:tc>
        <w:tc>
          <w:tcPr>
            <w:tcW w:w="1123"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-43%</w:t>
            </w:r>
          </w:p>
        </w:tc>
      </w:tr>
      <w:tr w:rsidR="00B1693F" w:rsidRPr="00DB4F81" w:rsidTr="00380B61">
        <w:trPr>
          <w:trHeight w:val="255"/>
        </w:trPr>
        <w:tc>
          <w:tcPr>
            <w:tcW w:w="510" w:type="pct"/>
            <w:tcBorders>
              <w:left w:val="double" w:sz="4" w:space="0" w:color="auto"/>
              <w:bottom w:val="double" w:sz="4" w:space="0" w:color="auto"/>
            </w:tcBorders>
          </w:tcPr>
          <w:p w:rsidR="00B1693F" w:rsidRPr="00DB4F81" w:rsidRDefault="00B1693F" w:rsidP="00DD5A63">
            <w:pPr>
              <w:pStyle w:val="DoNotTranslateExternal1"/>
            </w:pPr>
            <w:r>
              <w:t>2014</w:t>
            </w:r>
          </w:p>
        </w:tc>
        <w:tc>
          <w:tcPr>
            <w:tcW w:w="1122" w:type="pct"/>
            <w:tcBorders>
              <w:bottom w:val="double" w:sz="4" w:space="0" w:color="auto"/>
            </w:tcBorders>
            <w:noWrap/>
          </w:tcPr>
          <w:p w:rsidR="00B1693F" w:rsidRPr="00DB4F81" w:rsidRDefault="00B1693F" w:rsidP="00DD5A63">
            <w:pPr>
              <w:pStyle w:val="DoNotTranslateExternal1"/>
            </w:pPr>
            <w:r>
              <w:t>95</w:t>
            </w:r>
          </w:p>
        </w:tc>
        <w:tc>
          <w:tcPr>
            <w:tcW w:w="1123" w:type="pct"/>
            <w:tcBorders>
              <w:bottom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6%</w:t>
            </w:r>
          </w:p>
        </w:tc>
        <w:tc>
          <w:tcPr>
            <w:tcW w:w="1122" w:type="pct"/>
            <w:tcBorders>
              <w:bottom w:val="double" w:sz="4" w:space="0" w:color="auto"/>
            </w:tcBorders>
            <w:noWrap/>
          </w:tcPr>
          <w:p w:rsidR="00B1693F" w:rsidRPr="00DB4F81" w:rsidRDefault="00B1693F" w:rsidP="00380B61">
            <w:pPr>
              <w:pStyle w:val="Tabelki"/>
              <w:spacing w:before="120" w:after="120"/>
              <w:jc w:val="center"/>
              <w:rPr>
                <w:color w:val="1F497D" w:themeColor="text2"/>
              </w:rPr>
            </w:pPr>
            <w:r>
              <w:rPr>
                <w:color w:val="1F497D" w:themeColor="text2"/>
              </w:rPr>
              <w:t>0.44</w:t>
            </w:r>
          </w:p>
        </w:tc>
        <w:tc>
          <w:tcPr>
            <w:tcW w:w="1123" w:type="pct"/>
            <w:tcBorders>
              <w:bottom w:val="double" w:sz="4" w:space="0" w:color="auto"/>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6%</w:t>
            </w:r>
          </w:p>
        </w:tc>
      </w:tr>
    </w:tbl>
    <w:p w:rsidR="00B1693F" w:rsidRPr="00DB4F81" w:rsidRDefault="00B1693F" w:rsidP="00B1693F">
      <w:pPr>
        <w:pStyle w:val="rda"/>
        <w:rPr>
          <w:color w:val="1F497D" w:themeColor="text2"/>
          <w:szCs w:val="18"/>
        </w:rPr>
      </w:pPr>
      <w:r>
        <w:rPr>
          <w:color w:val="1F497D" w:themeColor="text2"/>
        </w:rPr>
        <w:t>Source: own work.</w:t>
      </w:r>
    </w:p>
    <w:tbl>
      <w:tblPr>
        <w:tblStyle w:val="TableGrid"/>
        <w:tblW w:w="0" w:type="auto"/>
        <w:tblLook w:val="04A0" w:firstRow="1" w:lastRow="0" w:firstColumn="1" w:lastColumn="0" w:noHBand="0" w:noVBand="1"/>
      </w:tblPr>
      <w:tblGrid>
        <w:gridCol w:w="9921"/>
      </w:tblGrid>
      <w:tr w:rsidR="00B1693F" w:rsidRPr="00DB4F81" w:rsidTr="006A7FAD">
        <w:trPr>
          <w:cantSplit/>
        </w:trPr>
        <w:tc>
          <w:tcPr>
            <w:tcW w:w="9858" w:type="dxa"/>
            <w:tcBorders>
              <w:top w:val="nil"/>
              <w:left w:val="nil"/>
              <w:bottom w:val="nil"/>
              <w:right w:val="nil"/>
            </w:tcBorders>
          </w:tcPr>
          <w:p w:rsidR="00B1693F" w:rsidRPr="00DB4F81" w:rsidRDefault="00B1693F" w:rsidP="00B1693F">
            <w:pPr>
              <w:pStyle w:val="Rysunek0"/>
              <w:rPr>
                <w:i/>
                <w:color w:val="1F497D" w:themeColor="text2"/>
              </w:rPr>
            </w:pPr>
            <w:r>
              <w:rPr>
                <w:color w:val="1F497D" w:themeColor="text2"/>
              </w:rPr>
              <w:lastRenderedPageBreak/>
              <w:t>Number of serious injuries in 2009 – 2014</w:t>
            </w:r>
          </w:p>
          <w:p w:rsidR="00B1693F" w:rsidRPr="00DB4F81" w:rsidRDefault="00B1693F" w:rsidP="00B1693F">
            <w:pPr>
              <w:rPr>
                <w:color w:val="1F497D" w:themeColor="text2"/>
              </w:rPr>
            </w:pPr>
            <w:r>
              <w:rPr>
                <w:noProof/>
                <w:color w:val="1F497D" w:themeColor="text2"/>
                <w:lang w:val="fr-LU" w:eastAsia="fr-LU" w:bidi="ar-SA"/>
              </w:rPr>
              <w:drawing>
                <wp:inline distT="0" distB="0" distL="0" distR="0" wp14:anchorId="16011594" wp14:editId="42A59726">
                  <wp:extent cx="6162675" cy="1962150"/>
                  <wp:effectExtent l="0" t="0" r="0" b="0"/>
                  <wp:docPr id="19"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bl>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As in the case of fatalities, the significant drop in the number of seriously injured passengers in 2013 compared with the previous year is the result of the accident on the Sprowa – Starzyny route that took place in the previous year, in which 59 passengers and two rail employees were injured. The remaining changes in 2013 are part of an overall downward trend in the number of serious injuries and should be considered as natural fluctuations.</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A similar trend can be observed in the number of serious injuries per million train</w:t>
      </w:r>
      <w:r>
        <w:noBreakHyphen/>
      </w:r>
      <w:r>
        <w:rPr>
          <w:rFonts w:ascii="Arial" w:hAnsi="Arial"/>
          <w:color w:val="1F497D" w:themeColor="text2"/>
        </w:rPr>
        <w:t xml:space="preserve">km, which is presented in the chart below. This number fell by 43% in 2013 compared with 2012, i.e. from 0.82 in 2012 to 0.47 in 2013.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B1693F" w:rsidRPr="00DB4F81" w:rsidTr="005A4A06">
        <w:tc>
          <w:tcPr>
            <w:tcW w:w="9858" w:type="dxa"/>
          </w:tcPr>
          <w:p w:rsidR="00B1693F" w:rsidRPr="00DB4F81" w:rsidRDefault="00B1693F" w:rsidP="00B1693F">
            <w:pPr>
              <w:pStyle w:val="Rysunek0"/>
              <w:rPr>
                <w:color w:val="1F497D" w:themeColor="text2"/>
              </w:rPr>
            </w:pPr>
            <w:r>
              <w:rPr>
                <w:color w:val="1F497D" w:themeColor="text2"/>
              </w:rPr>
              <w:t>Number of serious injuries per million train</w:t>
            </w:r>
            <w:r>
              <w:noBreakHyphen/>
            </w:r>
            <w:r>
              <w:rPr>
                <w:color w:val="1F497D" w:themeColor="text2"/>
              </w:rPr>
              <w:t>km in 2009 – 2014</w:t>
            </w:r>
          </w:p>
          <w:p w:rsidR="00B1693F" w:rsidRPr="00DB4F81" w:rsidRDefault="00B1693F" w:rsidP="00B1693F">
            <w:pPr>
              <w:rPr>
                <w:color w:val="1F497D" w:themeColor="text2"/>
              </w:rPr>
            </w:pPr>
            <w:r>
              <w:rPr>
                <w:noProof/>
                <w:color w:val="1F497D" w:themeColor="text2"/>
                <w:highlight w:val="darkBlue"/>
                <w:lang w:val="fr-LU" w:eastAsia="fr-LU" w:bidi="ar-SA"/>
              </w:rPr>
              <w:drawing>
                <wp:inline distT="0" distB="0" distL="0" distR="0" wp14:anchorId="3C50E06E" wp14:editId="05BEACBD">
                  <wp:extent cx="6172200" cy="1676400"/>
                  <wp:effectExtent l="0" t="0" r="0" b="0"/>
                  <wp:docPr id="29" name="Obiek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bl>
    <w:p w:rsidR="00B1693F" w:rsidRPr="00DB4F81" w:rsidRDefault="00B1693F" w:rsidP="00380B61">
      <w:pPr>
        <w:pStyle w:val="Heading3"/>
        <w:spacing w:before="240" w:after="120"/>
        <w:rPr>
          <w:color w:val="1F497D" w:themeColor="text2"/>
          <w:sz w:val="18"/>
          <w:szCs w:val="18"/>
        </w:rPr>
      </w:pPr>
      <w:r>
        <w:rPr>
          <w:color w:val="1F497D" w:themeColor="text2"/>
          <w:sz w:val="18"/>
        </w:rPr>
        <w:t>Number of significant accidents</w:t>
      </w:r>
    </w:p>
    <w:p w:rsidR="00380B61" w:rsidRDefault="00B1693F" w:rsidP="00B1693F">
      <w:pPr>
        <w:pStyle w:val="Tekstzwyky"/>
        <w:rPr>
          <w:rFonts w:ascii="Arial" w:hAnsi="Arial" w:cs="Arial"/>
          <w:color w:val="1F497D" w:themeColor="text2"/>
          <w:szCs w:val="18"/>
        </w:rPr>
      </w:pPr>
      <w:r>
        <w:rPr>
          <w:rFonts w:ascii="Arial" w:hAnsi="Arial"/>
          <w:color w:val="1F497D" w:themeColor="text2"/>
        </w:rPr>
        <w:t xml:space="preserve">In 2014, the number of significant accidents on the Polish rail network </w:t>
      </w:r>
      <w:r>
        <w:rPr>
          <w:rFonts w:ascii="Arial" w:hAnsi="Arial"/>
          <w:b/>
          <w:color w:val="1F497D" w:themeColor="text2"/>
        </w:rPr>
        <w:t>decreased</w:t>
      </w:r>
      <w:r>
        <w:rPr>
          <w:rFonts w:ascii="Arial" w:hAnsi="Arial"/>
          <w:color w:val="1F497D" w:themeColor="text2"/>
        </w:rPr>
        <w:t xml:space="preserve"> by 5% compared with 2013, i.e. the total number dropped from 328 to 313 (a decrease of 15 occurrences). These changes are part of the overall downward trend in the number of significant accidents. </w:t>
      </w:r>
    </w:p>
    <w:p w:rsidR="00380B61" w:rsidRDefault="00380B61">
      <w:pPr>
        <w:spacing w:before="0" w:after="0" w:line="240" w:lineRule="auto"/>
        <w:jc w:val="left"/>
        <w:rPr>
          <w:color w:val="1F497D" w:themeColor="text2"/>
        </w:rPr>
      </w:pPr>
      <w:r>
        <w:br w:type="page"/>
      </w:r>
    </w:p>
    <w:p w:rsidR="00B1693F" w:rsidRPr="00DB4F81" w:rsidRDefault="00B1693F" w:rsidP="00B1693F">
      <w:pPr>
        <w:pStyle w:val="Tabele"/>
        <w:rPr>
          <w:color w:val="1F497D" w:themeColor="text2"/>
        </w:rPr>
      </w:pPr>
      <w:r>
        <w:rPr>
          <w:color w:val="1F497D" w:themeColor="text2"/>
        </w:rPr>
        <w:lastRenderedPageBreak/>
        <w:t xml:space="preserve">Number of significant accidents in 2009 – 2014 </w:t>
      </w:r>
    </w:p>
    <w:tbl>
      <w:tblPr>
        <w:tblStyle w:val="TableGrid"/>
        <w:tblW w:w="5000" w:type="pct"/>
        <w:tblLook w:val="04A0" w:firstRow="1" w:lastRow="0" w:firstColumn="1" w:lastColumn="0" w:noHBand="0" w:noVBand="1"/>
      </w:tblPr>
      <w:tblGrid>
        <w:gridCol w:w="750"/>
        <w:gridCol w:w="2295"/>
        <w:gridCol w:w="2297"/>
        <w:gridCol w:w="2297"/>
        <w:gridCol w:w="2295"/>
      </w:tblGrid>
      <w:tr w:rsidR="00B1693F" w:rsidRPr="00DB4F81" w:rsidTr="006A7FAD">
        <w:trPr>
          <w:trHeight w:val="255"/>
        </w:trPr>
        <w:tc>
          <w:tcPr>
            <w:tcW w:w="378" w:type="pct"/>
            <w:tcBorders>
              <w:top w:val="double" w:sz="4" w:space="0" w:color="auto"/>
              <w:left w:val="double" w:sz="4" w:space="0" w:color="auto"/>
              <w:bottom w:val="double" w:sz="4" w:space="0" w:color="auto"/>
            </w:tcBorders>
            <w:shd w:val="clear" w:color="auto" w:fill="BFBFBF" w:themeFill="background1" w:themeFillShade="BF"/>
            <w:noWrap/>
            <w:hideMark/>
          </w:tcPr>
          <w:p w:rsidR="00B1693F" w:rsidRPr="00DB4F81" w:rsidRDefault="00B1693F" w:rsidP="00380B61">
            <w:pPr>
              <w:pStyle w:val="Tabelki"/>
              <w:spacing w:before="120" w:after="120"/>
              <w:jc w:val="center"/>
              <w:rPr>
                <w:b/>
                <w:color w:val="1F497D" w:themeColor="text2"/>
              </w:rPr>
            </w:pPr>
            <w:r>
              <w:rPr>
                <w:b/>
                <w:color w:val="1F497D" w:themeColor="text2"/>
              </w:rPr>
              <w:t>Year</w:t>
            </w:r>
          </w:p>
        </w:tc>
        <w:tc>
          <w:tcPr>
            <w:tcW w:w="2311" w:type="pct"/>
            <w:gridSpan w:val="2"/>
            <w:tcBorders>
              <w:top w:val="double" w:sz="4" w:space="0" w:color="auto"/>
              <w:bottom w:val="double" w:sz="4" w:space="0" w:color="auto"/>
            </w:tcBorders>
            <w:shd w:val="clear" w:color="auto" w:fill="BFBFBF" w:themeFill="background1" w:themeFillShade="BF"/>
            <w:noWrap/>
            <w:hideMark/>
          </w:tcPr>
          <w:p w:rsidR="00B1693F" w:rsidRPr="00DB4F81" w:rsidRDefault="00B1693F" w:rsidP="00380B61">
            <w:pPr>
              <w:pStyle w:val="Tabelki"/>
              <w:spacing w:before="120" w:after="120"/>
              <w:jc w:val="center"/>
              <w:rPr>
                <w:b/>
                <w:bCs/>
                <w:color w:val="1F497D" w:themeColor="text2"/>
              </w:rPr>
            </w:pPr>
            <w:r>
              <w:rPr>
                <w:b/>
                <w:color w:val="1F497D" w:themeColor="text2"/>
              </w:rPr>
              <w:t>Number of accidents</w:t>
            </w:r>
          </w:p>
        </w:tc>
        <w:tc>
          <w:tcPr>
            <w:tcW w:w="2311" w:type="pct"/>
            <w:gridSpan w:val="2"/>
            <w:tcBorders>
              <w:top w:val="double" w:sz="4" w:space="0" w:color="auto"/>
              <w:bottom w:val="double" w:sz="4" w:space="0" w:color="auto"/>
              <w:right w:val="double" w:sz="4" w:space="0" w:color="auto"/>
            </w:tcBorders>
            <w:shd w:val="clear" w:color="auto" w:fill="BFBFBF" w:themeFill="background1" w:themeFillShade="BF"/>
            <w:noWrap/>
            <w:hideMark/>
          </w:tcPr>
          <w:p w:rsidR="00B1693F" w:rsidRPr="00DB4F81" w:rsidRDefault="00B1693F" w:rsidP="00380B61">
            <w:pPr>
              <w:pStyle w:val="Tabelki"/>
              <w:spacing w:before="120" w:after="120"/>
              <w:jc w:val="center"/>
              <w:rPr>
                <w:b/>
                <w:color w:val="1F497D" w:themeColor="text2"/>
              </w:rPr>
            </w:pPr>
            <w:r>
              <w:rPr>
                <w:b/>
                <w:color w:val="1F497D" w:themeColor="text2"/>
              </w:rPr>
              <w:t>Number of accidents per million train</w:t>
            </w:r>
            <w:r>
              <w:noBreakHyphen/>
            </w:r>
            <w:r>
              <w:rPr>
                <w:b/>
                <w:color w:val="1F497D" w:themeColor="text2"/>
              </w:rPr>
              <w:t>km</w:t>
            </w:r>
          </w:p>
        </w:tc>
      </w:tr>
      <w:tr w:rsidR="00B1693F" w:rsidRPr="00DB4F81" w:rsidTr="006A7FAD">
        <w:trPr>
          <w:trHeight w:val="255"/>
        </w:trPr>
        <w:tc>
          <w:tcPr>
            <w:tcW w:w="378" w:type="pct"/>
            <w:tcBorders>
              <w:top w:val="double" w:sz="4" w:space="0" w:color="auto"/>
              <w:left w:val="double" w:sz="4" w:space="0" w:color="auto"/>
            </w:tcBorders>
            <w:noWrap/>
            <w:hideMark/>
          </w:tcPr>
          <w:p w:rsidR="00B1693F" w:rsidRPr="00DB4F81" w:rsidRDefault="00B1693F" w:rsidP="00DD5A63">
            <w:pPr>
              <w:pStyle w:val="DoNotTranslateExternal1"/>
            </w:pPr>
            <w:r>
              <w:t>2009</w:t>
            </w:r>
          </w:p>
        </w:tc>
        <w:tc>
          <w:tcPr>
            <w:tcW w:w="1155" w:type="pct"/>
            <w:tcBorders>
              <w:top w:val="double" w:sz="4" w:space="0" w:color="auto"/>
            </w:tcBorders>
            <w:noWrap/>
            <w:hideMark/>
          </w:tcPr>
          <w:p w:rsidR="00B1693F" w:rsidRPr="00DB4F81" w:rsidRDefault="00B1693F" w:rsidP="00DD5A63">
            <w:pPr>
              <w:pStyle w:val="DoNotTranslateExternal1"/>
            </w:pPr>
            <w:r>
              <w:t>523</w:t>
            </w:r>
          </w:p>
        </w:tc>
        <w:tc>
          <w:tcPr>
            <w:tcW w:w="1156" w:type="pct"/>
            <w:tcBorders>
              <w:top w:val="double" w:sz="4" w:space="0" w:color="auto"/>
            </w:tcBorders>
          </w:tcPr>
          <w:p w:rsidR="00B1693F" w:rsidRPr="00DB4F81" w:rsidRDefault="00B1693F" w:rsidP="00DD5A63">
            <w:pPr>
              <w:pStyle w:val="DoNotTranslateExternal1"/>
            </w:pPr>
            <w:r>
              <w:t>-</w:t>
            </w:r>
          </w:p>
        </w:tc>
        <w:tc>
          <w:tcPr>
            <w:tcW w:w="1156" w:type="pct"/>
            <w:tcBorders>
              <w:top w:val="double" w:sz="4" w:space="0" w:color="auto"/>
            </w:tcBorders>
            <w:noWrap/>
            <w:hideMark/>
          </w:tcPr>
          <w:p w:rsidR="00B1693F" w:rsidRPr="00DD5A63" w:rsidRDefault="00B1693F" w:rsidP="00DD5A63">
            <w:pPr>
              <w:pStyle w:val="Tabelki"/>
              <w:spacing w:before="120" w:after="120"/>
              <w:jc w:val="center"/>
              <w:rPr>
                <w:color w:val="1F497D" w:themeColor="text2"/>
              </w:rPr>
            </w:pPr>
            <w:r>
              <w:rPr>
                <w:color w:val="1F497D" w:themeColor="text2"/>
              </w:rPr>
              <w:t>2.51</w:t>
            </w:r>
          </w:p>
        </w:tc>
        <w:tc>
          <w:tcPr>
            <w:tcW w:w="1156" w:type="pct"/>
            <w:tcBorders>
              <w:top w:val="double" w:sz="4" w:space="0" w:color="auto"/>
              <w:right w:val="double" w:sz="4" w:space="0" w:color="auto"/>
            </w:tcBorders>
          </w:tcPr>
          <w:p w:rsidR="00B1693F" w:rsidRPr="00DB4F81" w:rsidRDefault="00B1693F" w:rsidP="00DD5A63">
            <w:pPr>
              <w:pStyle w:val="DoNotTranslateExternal1"/>
            </w:pPr>
            <w:r>
              <w:t>-</w:t>
            </w:r>
          </w:p>
        </w:tc>
      </w:tr>
      <w:tr w:rsidR="00B1693F" w:rsidRPr="00DB4F81" w:rsidTr="006A7FAD">
        <w:trPr>
          <w:trHeight w:val="255"/>
        </w:trPr>
        <w:tc>
          <w:tcPr>
            <w:tcW w:w="378" w:type="pct"/>
            <w:tcBorders>
              <w:left w:val="double" w:sz="4" w:space="0" w:color="auto"/>
            </w:tcBorders>
            <w:noWrap/>
            <w:hideMark/>
          </w:tcPr>
          <w:p w:rsidR="00B1693F" w:rsidRPr="00DB4F81" w:rsidRDefault="00B1693F" w:rsidP="00DD5A63">
            <w:pPr>
              <w:pStyle w:val="DoNotTranslateExternal1"/>
            </w:pPr>
            <w:r>
              <w:t>2010</w:t>
            </w:r>
          </w:p>
        </w:tc>
        <w:tc>
          <w:tcPr>
            <w:tcW w:w="1155" w:type="pct"/>
            <w:noWrap/>
            <w:hideMark/>
          </w:tcPr>
          <w:p w:rsidR="00B1693F" w:rsidRPr="00DB4F81" w:rsidRDefault="00B1693F" w:rsidP="00DD5A63">
            <w:pPr>
              <w:pStyle w:val="DoNotTranslateExternal1"/>
            </w:pPr>
            <w:r>
              <w:t>449</w:t>
            </w:r>
          </w:p>
        </w:tc>
        <w:tc>
          <w:tcPr>
            <w:tcW w:w="1156" w:type="pct"/>
          </w:tcPr>
          <w:p w:rsidR="00B1693F" w:rsidRPr="005B53B6" w:rsidRDefault="00B1693F" w:rsidP="005B53B6">
            <w:pPr>
              <w:pStyle w:val="Tabelki"/>
              <w:spacing w:before="120" w:after="120"/>
              <w:jc w:val="center"/>
              <w:rPr>
                <w:color w:val="1F497D" w:themeColor="text2"/>
              </w:rPr>
            </w:pPr>
            <w:r>
              <w:rPr>
                <w:color w:val="1F497D" w:themeColor="text2"/>
              </w:rPr>
              <w:t>-14%</w:t>
            </w:r>
          </w:p>
        </w:tc>
        <w:tc>
          <w:tcPr>
            <w:tcW w:w="1156" w:type="pct"/>
            <w:noWrap/>
            <w:hideMark/>
          </w:tcPr>
          <w:p w:rsidR="00B1693F" w:rsidRPr="00DD5A63" w:rsidRDefault="00B1693F" w:rsidP="00DD5A63">
            <w:pPr>
              <w:pStyle w:val="Tabelki"/>
              <w:spacing w:before="120" w:after="120"/>
              <w:jc w:val="center"/>
              <w:rPr>
                <w:color w:val="1F497D" w:themeColor="text2"/>
              </w:rPr>
            </w:pPr>
            <w:r>
              <w:rPr>
                <w:color w:val="1F497D" w:themeColor="text2"/>
              </w:rPr>
              <w:t>2.05</w:t>
            </w:r>
          </w:p>
        </w:tc>
        <w:tc>
          <w:tcPr>
            <w:tcW w:w="1156"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-18%</w:t>
            </w:r>
          </w:p>
        </w:tc>
      </w:tr>
      <w:tr w:rsidR="00B1693F" w:rsidRPr="00DB4F81" w:rsidTr="006A7FAD">
        <w:trPr>
          <w:trHeight w:val="255"/>
        </w:trPr>
        <w:tc>
          <w:tcPr>
            <w:tcW w:w="378" w:type="pct"/>
            <w:tcBorders>
              <w:left w:val="double" w:sz="4" w:space="0" w:color="auto"/>
            </w:tcBorders>
            <w:noWrap/>
            <w:hideMark/>
          </w:tcPr>
          <w:p w:rsidR="00B1693F" w:rsidRPr="00DB4F81" w:rsidRDefault="00B1693F" w:rsidP="00DD5A63">
            <w:pPr>
              <w:pStyle w:val="DoNotTranslateExternal1"/>
            </w:pPr>
            <w:r>
              <w:t>2011</w:t>
            </w:r>
          </w:p>
        </w:tc>
        <w:tc>
          <w:tcPr>
            <w:tcW w:w="1155" w:type="pct"/>
            <w:noWrap/>
            <w:hideMark/>
          </w:tcPr>
          <w:p w:rsidR="00B1693F" w:rsidRPr="00DB4F81" w:rsidRDefault="00B1693F" w:rsidP="00DD5A63">
            <w:pPr>
              <w:pStyle w:val="DoNotTranslateExternal1"/>
            </w:pPr>
            <w:r>
              <w:t>488</w:t>
            </w:r>
          </w:p>
        </w:tc>
        <w:tc>
          <w:tcPr>
            <w:tcW w:w="1156" w:type="pct"/>
          </w:tcPr>
          <w:p w:rsidR="00B1693F" w:rsidRPr="005B53B6" w:rsidRDefault="00B1693F" w:rsidP="005B53B6">
            <w:pPr>
              <w:pStyle w:val="Tabelki"/>
              <w:spacing w:before="120" w:after="120"/>
              <w:jc w:val="center"/>
              <w:rPr>
                <w:color w:val="1F497D" w:themeColor="text2"/>
              </w:rPr>
            </w:pPr>
            <w:r>
              <w:rPr>
                <w:color w:val="1F497D" w:themeColor="text2"/>
              </w:rPr>
              <w:t>9%</w:t>
            </w:r>
          </w:p>
        </w:tc>
        <w:tc>
          <w:tcPr>
            <w:tcW w:w="1156" w:type="pct"/>
            <w:noWrap/>
            <w:hideMark/>
          </w:tcPr>
          <w:p w:rsidR="00B1693F" w:rsidRPr="00DD5A63" w:rsidRDefault="00B1693F" w:rsidP="00DD5A63">
            <w:pPr>
              <w:pStyle w:val="Tabelki"/>
              <w:spacing w:before="120" w:after="120"/>
              <w:jc w:val="center"/>
              <w:rPr>
                <w:color w:val="1F497D" w:themeColor="text2"/>
              </w:rPr>
            </w:pPr>
            <w:r>
              <w:rPr>
                <w:color w:val="1F497D" w:themeColor="text2"/>
              </w:rPr>
              <w:t>2.15</w:t>
            </w:r>
          </w:p>
        </w:tc>
        <w:tc>
          <w:tcPr>
            <w:tcW w:w="1156"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5%</w:t>
            </w:r>
          </w:p>
        </w:tc>
      </w:tr>
      <w:tr w:rsidR="00B1693F" w:rsidRPr="00DB4F81" w:rsidTr="006A7FAD">
        <w:trPr>
          <w:trHeight w:val="255"/>
        </w:trPr>
        <w:tc>
          <w:tcPr>
            <w:tcW w:w="378" w:type="pct"/>
            <w:tcBorders>
              <w:left w:val="double" w:sz="4" w:space="0" w:color="auto"/>
            </w:tcBorders>
            <w:noWrap/>
            <w:hideMark/>
          </w:tcPr>
          <w:p w:rsidR="00B1693F" w:rsidRPr="00DB4F81" w:rsidRDefault="00B1693F" w:rsidP="00DD5A63">
            <w:pPr>
              <w:pStyle w:val="DoNotTranslateExternal1"/>
            </w:pPr>
            <w:r>
              <w:t>2012</w:t>
            </w:r>
          </w:p>
        </w:tc>
        <w:tc>
          <w:tcPr>
            <w:tcW w:w="1155" w:type="pct"/>
            <w:noWrap/>
            <w:hideMark/>
          </w:tcPr>
          <w:p w:rsidR="00B1693F" w:rsidRPr="00DB4F81" w:rsidRDefault="00B1693F" w:rsidP="00DD5A63">
            <w:pPr>
              <w:pStyle w:val="DoNotTranslateExternal1"/>
            </w:pPr>
            <w:r>
              <w:t>379</w:t>
            </w:r>
          </w:p>
        </w:tc>
        <w:tc>
          <w:tcPr>
            <w:tcW w:w="1156" w:type="pct"/>
          </w:tcPr>
          <w:p w:rsidR="00B1693F" w:rsidRPr="005B53B6" w:rsidRDefault="00B1693F" w:rsidP="005B53B6">
            <w:pPr>
              <w:pStyle w:val="Tabelki"/>
              <w:spacing w:before="120" w:after="120"/>
              <w:jc w:val="center"/>
              <w:rPr>
                <w:color w:val="1F497D" w:themeColor="text2"/>
              </w:rPr>
            </w:pPr>
            <w:r>
              <w:rPr>
                <w:color w:val="1F497D" w:themeColor="text2"/>
              </w:rPr>
              <w:t>-22%</w:t>
            </w:r>
          </w:p>
        </w:tc>
        <w:tc>
          <w:tcPr>
            <w:tcW w:w="1156" w:type="pct"/>
            <w:noWrap/>
            <w:hideMark/>
          </w:tcPr>
          <w:p w:rsidR="00B1693F" w:rsidRPr="00DD5A63" w:rsidRDefault="00B1693F" w:rsidP="00DD5A63">
            <w:pPr>
              <w:pStyle w:val="Tabelki"/>
              <w:spacing w:before="120" w:after="120"/>
              <w:jc w:val="center"/>
              <w:rPr>
                <w:color w:val="1F497D" w:themeColor="text2"/>
              </w:rPr>
            </w:pPr>
            <w:r>
              <w:rPr>
                <w:color w:val="1F497D" w:themeColor="text2"/>
              </w:rPr>
              <w:t>1.69</w:t>
            </w:r>
          </w:p>
        </w:tc>
        <w:tc>
          <w:tcPr>
            <w:tcW w:w="1156"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-21%</w:t>
            </w:r>
          </w:p>
        </w:tc>
      </w:tr>
      <w:tr w:rsidR="00B1693F" w:rsidRPr="00DB4F81" w:rsidTr="006A7FAD">
        <w:trPr>
          <w:trHeight w:val="255"/>
        </w:trPr>
        <w:tc>
          <w:tcPr>
            <w:tcW w:w="378" w:type="pct"/>
            <w:tcBorders>
              <w:left w:val="double" w:sz="4" w:space="0" w:color="auto"/>
            </w:tcBorders>
            <w:noWrap/>
            <w:hideMark/>
          </w:tcPr>
          <w:p w:rsidR="00B1693F" w:rsidRPr="00DB4F81" w:rsidRDefault="00B1693F" w:rsidP="00DD5A63">
            <w:pPr>
              <w:pStyle w:val="DoNotTranslateExternal1"/>
            </w:pPr>
            <w:r>
              <w:t>2013</w:t>
            </w:r>
          </w:p>
        </w:tc>
        <w:tc>
          <w:tcPr>
            <w:tcW w:w="1155" w:type="pct"/>
            <w:noWrap/>
            <w:hideMark/>
          </w:tcPr>
          <w:p w:rsidR="00B1693F" w:rsidRPr="00DB4F81" w:rsidRDefault="00B1693F" w:rsidP="00DD5A63">
            <w:pPr>
              <w:pStyle w:val="DoNotTranslateExternal1"/>
            </w:pPr>
            <w:r>
              <w:t>328</w:t>
            </w:r>
          </w:p>
        </w:tc>
        <w:tc>
          <w:tcPr>
            <w:tcW w:w="1156" w:type="pct"/>
          </w:tcPr>
          <w:p w:rsidR="00B1693F" w:rsidRPr="005B53B6" w:rsidRDefault="00B1693F" w:rsidP="005B53B6">
            <w:pPr>
              <w:pStyle w:val="Tabelki"/>
              <w:spacing w:before="120" w:after="120"/>
              <w:jc w:val="center"/>
              <w:rPr>
                <w:color w:val="1F497D" w:themeColor="text2"/>
              </w:rPr>
            </w:pPr>
            <w:r>
              <w:rPr>
                <w:color w:val="1F497D" w:themeColor="text2"/>
              </w:rPr>
              <w:t>-13%</w:t>
            </w:r>
          </w:p>
        </w:tc>
        <w:tc>
          <w:tcPr>
            <w:tcW w:w="1156" w:type="pct"/>
            <w:noWrap/>
            <w:hideMark/>
          </w:tcPr>
          <w:p w:rsidR="00B1693F" w:rsidRPr="00DD5A63" w:rsidRDefault="00B1693F" w:rsidP="00DD5A63">
            <w:pPr>
              <w:pStyle w:val="Tabelki"/>
              <w:spacing w:before="120" w:after="120"/>
              <w:jc w:val="center"/>
              <w:rPr>
                <w:color w:val="1F497D" w:themeColor="text2"/>
              </w:rPr>
            </w:pPr>
            <w:r>
              <w:rPr>
                <w:color w:val="1F497D" w:themeColor="text2"/>
              </w:rPr>
              <w:t>1.51</w:t>
            </w:r>
          </w:p>
        </w:tc>
        <w:tc>
          <w:tcPr>
            <w:tcW w:w="1156" w:type="pct"/>
            <w:tcBorders>
              <w:right w:val="double" w:sz="4" w:space="0" w:color="auto"/>
            </w:tcBorders>
          </w:tcPr>
          <w:p w:rsidR="00B1693F" w:rsidRPr="005B53B6" w:rsidRDefault="00B1693F" w:rsidP="005B53B6">
            <w:pPr>
              <w:pStyle w:val="Tabelki"/>
              <w:spacing w:before="120" w:after="120"/>
              <w:jc w:val="center"/>
              <w:rPr>
                <w:color w:val="1F497D" w:themeColor="text2"/>
              </w:rPr>
            </w:pPr>
            <w:r>
              <w:rPr>
                <w:color w:val="1F497D" w:themeColor="text2"/>
              </w:rPr>
              <w:t>-11%</w:t>
            </w:r>
          </w:p>
        </w:tc>
      </w:tr>
      <w:tr w:rsidR="00B1693F" w:rsidRPr="00DB4F81" w:rsidTr="006A7FAD">
        <w:trPr>
          <w:trHeight w:val="255"/>
        </w:trPr>
        <w:tc>
          <w:tcPr>
            <w:tcW w:w="378" w:type="pct"/>
            <w:tcBorders>
              <w:left w:val="double" w:sz="4" w:space="0" w:color="auto"/>
              <w:bottom w:val="double" w:sz="4" w:space="0" w:color="auto"/>
            </w:tcBorders>
            <w:noWrap/>
          </w:tcPr>
          <w:p w:rsidR="00B1693F" w:rsidRPr="00DB4F81" w:rsidRDefault="00B1693F" w:rsidP="00DD5A63">
            <w:pPr>
              <w:pStyle w:val="DoNotTranslateExternal1"/>
            </w:pPr>
            <w:r>
              <w:t>2014</w:t>
            </w:r>
          </w:p>
        </w:tc>
        <w:tc>
          <w:tcPr>
            <w:tcW w:w="1155" w:type="pct"/>
            <w:tcBorders>
              <w:bottom w:val="double" w:sz="4" w:space="0" w:color="auto"/>
            </w:tcBorders>
            <w:noWrap/>
          </w:tcPr>
          <w:p w:rsidR="00B1693F" w:rsidRPr="00DB4F81" w:rsidRDefault="00B1693F" w:rsidP="00DD5A63">
            <w:pPr>
              <w:pStyle w:val="DoNotTranslateExternal1"/>
            </w:pPr>
            <w:r>
              <w:t>313</w:t>
            </w:r>
          </w:p>
        </w:tc>
        <w:tc>
          <w:tcPr>
            <w:tcW w:w="1156" w:type="pct"/>
            <w:tcBorders>
              <w:bottom w:val="double" w:sz="4" w:space="0" w:color="auto"/>
            </w:tcBorders>
          </w:tcPr>
          <w:p w:rsidR="00B1693F" w:rsidRPr="005B53B6" w:rsidRDefault="00B647F6" w:rsidP="005B53B6">
            <w:pPr>
              <w:pStyle w:val="Tabelki"/>
              <w:spacing w:before="120" w:after="120"/>
              <w:jc w:val="center"/>
              <w:rPr>
                <w:color w:val="1F497D" w:themeColor="text2"/>
              </w:rPr>
            </w:pPr>
            <w:r>
              <w:rPr>
                <w:color w:val="1F497D" w:themeColor="text2"/>
              </w:rPr>
              <w:t>-5%</w:t>
            </w:r>
          </w:p>
        </w:tc>
        <w:tc>
          <w:tcPr>
            <w:tcW w:w="1156" w:type="pct"/>
            <w:tcBorders>
              <w:bottom w:val="double" w:sz="4" w:space="0" w:color="auto"/>
            </w:tcBorders>
            <w:noWrap/>
          </w:tcPr>
          <w:p w:rsidR="00B1693F" w:rsidRPr="00DD5A63" w:rsidRDefault="00B1693F" w:rsidP="00DD5A63">
            <w:pPr>
              <w:pStyle w:val="Tabelki"/>
              <w:spacing w:before="120" w:after="120"/>
              <w:jc w:val="center"/>
              <w:rPr>
                <w:color w:val="1F497D" w:themeColor="text2"/>
              </w:rPr>
            </w:pPr>
            <w:r>
              <w:rPr>
                <w:color w:val="1F497D" w:themeColor="text2"/>
              </w:rPr>
              <w:t>1.47</w:t>
            </w:r>
          </w:p>
        </w:tc>
        <w:tc>
          <w:tcPr>
            <w:tcW w:w="1156" w:type="pct"/>
            <w:tcBorders>
              <w:bottom w:val="double" w:sz="4" w:space="0" w:color="auto"/>
              <w:right w:val="double" w:sz="4" w:space="0" w:color="auto"/>
            </w:tcBorders>
          </w:tcPr>
          <w:p w:rsidR="00B1693F" w:rsidRPr="005B53B6" w:rsidRDefault="00B647F6" w:rsidP="005B53B6">
            <w:pPr>
              <w:pStyle w:val="Tabelki"/>
              <w:spacing w:before="120" w:after="120"/>
              <w:jc w:val="center"/>
              <w:rPr>
                <w:color w:val="1F497D" w:themeColor="text2"/>
              </w:rPr>
            </w:pPr>
            <w:r>
              <w:rPr>
                <w:color w:val="1F497D" w:themeColor="text2"/>
              </w:rPr>
              <w:t>-3%</w:t>
            </w:r>
          </w:p>
        </w:tc>
      </w:tr>
    </w:tbl>
    <w:p w:rsidR="00B1693F" w:rsidRPr="00DB4F81" w:rsidRDefault="00B1693F" w:rsidP="00B1693F">
      <w:pPr>
        <w:pStyle w:val="rda"/>
        <w:rPr>
          <w:color w:val="1F497D" w:themeColor="text2"/>
          <w:szCs w:val="18"/>
        </w:rPr>
      </w:pPr>
      <w:r>
        <w:rPr>
          <w:color w:val="1F497D" w:themeColor="text2"/>
        </w:rPr>
        <w:t>Source: own work.</w:t>
      </w:r>
    </w:p>
    <w:tbl>
      <w:tblPr>
        <w:tblStyle w:val="TableGrid"/>
        <w:tblW w:w="0" w:type="auto"/>
        <w:tblLook w:val="04A0" w:firstRow="1" w:lastRow="0" w:firstColumn="1" w:lastColumn="0" w:noHBand="0" w:noVBand="1"/>
      </w:tblPr>
      <w:tblGrid>
        <w:gridCol w:w="9934"/>
      </w:tblGrid>
      <w:tr w:rsidR="00B1693F" w:rsidRPr="00DB4F81" w:rsidTr="006A7FAD">
        <w:trPr>
          <w:cantSplit/>
        </w:trPr>
        <w:tc>
          <w:tcPr>
            <w:tcW w:w="9858" w:type="dxa"/>
            <w:tcBorders>
              <w:top w:val="nil"/>
              <w:left w:val="nil"/>
              <w:bottom w:val="nil"/>
              <w:right w:val="nil"/>
            </w:tcBorders>
          </w:tcPr>
          <w:p w:rsidR="00B1693F" w:rsidRPr="00DB4F81" w:rsidRDefault="00B1693F" w:rsidP="00B1693F">
            <w:pPr>
              <w:pStyle w:val="Rysunek0"/>
              <w:rPr>
                <w:color w:val="1F497D" w:themeColor="text2"/>
              </w:rPr>
            </w:pPr>
            <w:r>
              <w:rPr>
                <w:color w:val="1F497D" w:themeColor="text2"/>
              </w:rPr>
              <w:t xml:space="preserve">Number of significant accidents in 2009 – 2014 </w:t>
            </w:r>
          </w:p>
          <w:p w:rsidR="00B1693F" w:rsidRPr="00DB4F81" w:rsidRDefault="00B1693F" w:rsidP="00B1693F">
            <w:pPr>
              <w:rPr>
                <w:color w:val="1F497D" w:themeColor="text2"/>
              </w:rPr>
            </w:pPr>
            <w:r>
              <w:rPr>
                <w:noProof/>
                <w:color w:val="1F497D" w:themeColor="text2"/>
                <w:lang w:val="fr-LU" w:eastAsia="fr-LU" w:bidi="ar-SA"/>
              </w:rPr>
              <w:drawing>
                <wp:inline distT="0" distB="0" distL="0" distR="0" wp14:anchorId="4A6E9F62" wp14:editId="10E54D58">
                  <wp:extent cx="6172200" cy="1828800"/>
                  <wp:effectExtent l="0" t="0" r="0" b="0"/>
                  <wp:docPr id="32"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r w:rsidR="00B1693F" w:rsidRPr="00DB4F81" w:rsidTr="006A7FAD">
        <w:trPr>
          <w:cantSplit/>
        </w:trPr>
        <w:tc>
          <w:tcPr>
            <w:tcW w:w="9858" w:type="dxa"/>
            <w:tcBorders>
              <w:top w:val="nil"/>
              <w:left w:val="nil"/>
              <w:bottom w:val="nil"/>
              <w:right w:val="nil"/>
            </w:tcBorders>
          </w:tcPr>
          <w:p w:rsidR="00B1693F" w:rsidRPr="00DB4F81" w:rsidRDefault="00B1693F" w:rsidP="00B1693F">
            <w:pPr>
              <w:pStyle w:val="Rysunek0"/>
              <w:rPr>
                <w:color w:val="1F497D" w:themeColor="text2"/>
              </w:rPr>
            </w:pPr>
            <w:r>
              <w:rPr>
                <w:color w:val="1F497D" w:themeColor="text2"/>
              </w:rPr>
              <w:t>Number of significant accidents per million train</w:t>
            </w:r>
            <w:r>
              <w:noBreakHyphen/>
            </w:r>
            <w:r>
              <w:rPr>
                <w:color w:val="1F497D" w:themeColor="text2"/>
              </w:rPr>
              <w:t>km in 2009 – 2014</w:t>
            </w:r>
          </w:p>
          <w:p w:rsidR="00B1693F" w:rsidRPr="00DB4F81" w:rsidRDefault="00B1693F" w:rsidP="00B1693F">
            <w:pPr>
              <w:rPr>
                <w:color w:val="1F497D" w:themeColor="text2"/>
              </w:rPr>
            </w:pPr>
            <w:r>
              <w:rPr>
                <w:noProof/>
                <w:color w:val="1F497D" w:themeColor="text2"/>
                <w:lang w:val="fr-LU" w:eastAsia="fr-LU" w:bidi="ar-SA"/>
              </w:rPr>
              <w:drawing>
                <wp:inline distT="0" distB="0" distL="0" distR="0" wp14:anchorId="47D4DB2C" wp14:editId="4BE8F549">
                  <wp:extent cx="6172200" cy="2057400"/>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693F" w:rsidRPr="00DB4F81" w:rsidRDefault="00B1693F" w:rsidP="00B1693F">
            <w:pPr>
              <w:pStyle w:val="rda"/>
              <w:rPr>
                <w:color w:val="1F497D" w:themeColor="text2"/>
                <w:szCs w:val="18"/>
              </w:rPr>
            </w:pPr>
            <w:r>
              <w:rPr>
                <w:color w:val="1F497D" w:themeColor="text2"/>
              </w:rPr>
              <w:t>Source: own work.</w:t>
            </w:r>
          </w:p>
        </w:tc>
      </w:tr>
    </w:tbl>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A similar trend can be observed in the number of significant accidents per million train</w:t>
      </w:r>
      <w:r>
        <w:noBreakHyphen/>
      </w:r>
      <w:r>
        <w:rPr>
          <w:rFonts w:ascii="Arial" w:hAnsi="Arial"/>
          <w:color w:val="1F497D" w:themeColor="text2"/>
        </w:rPr>
        <w:t>km, which is presented in the diagram above. The number of significant accidents per million train</w:t>
      </w:r>
      <w:r>
        <w:noBreakHyphen/>
      </w:r>
      <w:r>
        <w:rPr>
          <w:rFonts w:ascii="Arial" w:hAnsi="Arial"/>
          <w:color w:val="1F497D" w:themeColor="text2"/>
        </w:rPr>
        <w:t>km in 2014 fell by 3% compared with 2013, i.e. from 1.51 to 1.47.</w:t>
      </w:r>
    </w:p>
    <w:p w:rsidR="00B1693F" w:rsidRPr="00DB4F81" w:rsidRDefault="00B1693F" w:rsidP="00B1693F">
      <w:pPr>
        <w:pStyle w:val="Heading3"/>
        <w:spacing w:after="120"/>
        <w:rPr>
          <w:color w:val="1F497D" w:themeColor="text2"/>
          <w:sz w:val="18"/>
          <w:szCs w:val="18"/>
        </w:rPr>
      </w:pPr>
      <w:r>
        <w:rPr>
          <w:color w:val="1F497D" w:themeColor="text2"/>
          <w:sz w:val="18"/>
        </w:rPr>
        <w:lastRenderedPageBreak/>
        <w:t>Number of precursors of accidents</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The categories constituting the common safety indicators comprise indicators regarding precursors of accidents. Precursors include the following types of occurrences:</w:t>
      </w:r>
    </w:p>
    <w:p w:rsidR="00B1693F" w:rsidRPr="00DB4F81" w:rsidRDefault="00B1693F" w:rsidP="00B1693F">
      <w:pPr>
        <w:pStyle w:val="Wypunktowanie"/>
        <w:ind w:left="567"/>
        <w:contextualSpacing w:val="0"/>
        <w:rPr>
          <w:color w:val="1F497D" w:themeColor="text2"/>
          <w:szCs w:val="18"/>
        </w:rPr>
      </w:pPr>
      <w:r>
        <w:rPr>
          <w:color w:val="1F497D" w:themeColor="text2"/>
        </w:rPr>
        <w:t>Broken rails;</w:t>
      </w:r>
    </w:p>
    <w:p w:rsidR="00B1693F" w:rsidRPr="00DB4F81" w:rsidRDefault="00F47FE6" w:rsidP="00B1693F">
      <w:pPr>
        <w:pStyle w:val="Wypunktowanie"/>
        <w:ind w:left="567"/>
        <w:contextualSpacing w:val="0"/>
        <w:rPr>
          <w:color w:val="1F497D" w:themeColor="text2"/>
          <w:szCs w:val="18"/>
        </w:rPr>
      </w:pPr>
      <w:r>
        <w:rPr>
          <w:color w:val="1F497D" w:themeColor="text2"/>
        </w:rPr>
        <w:t>Track buckling</w:t>
      </w:r>
      <w:r w:rsidR="00B1693F">
        <w:rPr>
          <w:color w:val="1F497D" w:themeColor="text2"/>
        </w:rPr>
        <w:t>;</w:t>
      </w:r>
    </w:p>
    <w:p w:rsidR="00B1693F" w:rsidRPr="00DB4F81" w:rsidRDefault="00B1693F" w:rsidP="00B1693F">
      <w:pPr>
        <w:pStyle w:val="Wypunktowanie"/>
        <w:ind w:left="567"/>
        <w:contextualSpacing w:val="0"/>
        <w:rPr>
          <w:color w:val="1F497D" w:themeColor="text2"/>
          <w:szCs w:val="18"/>
        </w:rPr>
      </w:pPr>
      <w:r>
        <w:rPr>
          <w:color w:val="1F497D" w:themeColor="text2"/>
        </w:rPr>
        <w:t>Signalling failure;</w:t>
      </w:r>
    </w:p>
    <w:p w:rsidR="00B1693F" w:rsidRPr="00DB4F81" w:rsidRDefault="00B1693F" w:rsidP="00B1693F">
      <w:pPr>
        <w:pStyle w:val="Wypunktowanie"/>
        <w:ind w:left="567"/>
        <w:contextualSpacing w:val="0"/>
        <w:rPr>
          <w:color w:val="1F497D" w:themeColor="text2"/>
          <w:szCs w:val="18"/>
        </w:rPr>
      </w:pPr>
      <w:r>
        <w:rPr>
          <w:color w:val="1F497D" w:themeColor="text2"/>
        </w:rPr>
        <w:t>‘Stop’ signal or other signals passed at danger (information from automatic train protection systems, as well as e.g. those forwarded verbally);</w:t>
      </w:r>
    </w:p>
    <w:p w:rsidR="00B1693F" w:rsidRPr="00DB4F81" w:rsidRDefault="00B1693F" w:rsidP="00B1693F">
      <w:pPr>
        <w:pStyle w:val="Wypunktowanie"/>
        <w:ind w:left="567"/>
        <w:contextualSpacing w:val="0"/>
        <w:rPr>
          <w:color w:val="1F497D" w:themeColor="text2"/>
          <w:szCs w:val="18"/>
        </w:rPr>
      </w:pPr>
      <w:r>
        <w:rPr>
          <w:color w:val="1F497D" w:themeColor="text2"/>
        </w:rPr>
        <w:t>Broken vehicle wheels;</w:t>
      </w:r>
    </w:p>
    <w:p w:rsidR="00B1693F" w:rsidRPr="00DB4F81" w:rsidRDefault="00B1693F" w:rsidP="00B1693F">
      <w:pPr>
        <w:pStyle w:val="Wypunktowanie"/>
        <w:ind w:left="567"/>
        <w:contextualSpacing w:val="0"/>
        <w:rPr>
          <w:color w:val="1F497D" w:themeColor="text2"/>
          <w:szCs w:val="18"/>
        </w:rPr>
      </w:pPr>
      <w:r>
        <w:rPr>
          <w:color w:val="1F497D" w:themeColor="text2"/>
        </w:rPr>
        <w:t xml:space="preserve">Broken vehicle axles; </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Precursors of accidents also include registered occurrences that did not result in negative consequences thanks to the correct functioning of all procedures (e.g. passing a ‘Stop’ signal and the train being stopped by a train dispatcher), as well as those resulting in accidents (e.g. passing a ‘Stop’ signal resulting in derailment of a train). The gathering of this type of data allows the monitoring of trends in areas in which there are potential risks and enables preventive measures aimed at minimising such risks.</w:t>
      </w:r>
    </w:p>
    <w:p w:rsidR="00B1693F" w:rsidRPr="00DB4F81" w:rsidRDefault="00B1693F" w:rsidP="00B1693F">
      <w:pPr>
        <w:pStyle w:val="Tekstzwyky"/>
        <w:rPr>
          <w:rFonts w:ascii="Arial" w:hAnsi="Arial" w:cs="Arial"/>
          <w:color w:val="1F497D" w:themeColor="text2"/>
          <w:szCs w:val="18"/>
        </w:rPr>
      </w:pPr>
      <w:r>
        <w:rPr>
          <w:rFonts w:ascii="Arial" w:hAnsi="Arial"/>
          <w:color w:val="1F497D" w:themeColor="text2"/>
        </w:rPr>
        <w:t>The group of precursors of accidents, which must be reported, was developed at Community level. Its scope includes occurrences characterised by a high incidence and high likelihood of negative consequences in the form of a significant accident in the event of a failure of relevant procedures or a failure to detect damage to infrastructure or a vehicle, which is critical from the point of view of rail traffic safety.</w:t>
      </w:r>
    </w:p>
    <w:p w:rsidR="00B1693F" w:rsidRDefault="00B1693F" w:rsidP="00B1693F">
      <w:pPr>
        <w:pStyle w:val="Tekstzwyky"/>
        <w:rPr>
          <w:rFonts w:ascii="Arial" w:hAnsi="Arial" w:cs="Arial"/>
          <w:color w:val="1F497D" w:themeColor="text2"/>
          <w:szCs w:val="18"/>
        </w:rPr>
      </w:pPr>
      <w:r>
        <w:rPr>
          <w:rFonts w:ascii="Arial" w:hAnsi="Arial"/>
          <w:color w:val="1F497D" w:themeColor="text2"/>
        </w:rPr>
        <w:t>The table below presents the number of individual precursors of accidents taking into account percentage changes.</w:t>
      </w:r>
    </w:p>
    <w:p w:rsidR="00B1693F" w:rsidRPr="00DB4F81" w:rsidRDefault="00B1693F" w:rsidP="00B1693F">
      <w:pPr>
        <w:pStyle w:val="Tabele"/>
        <w:rPr>
          <w:color w:val="1F497D" w:themeColor="text2"/>
        </w:rPr>
      </w:pPr>
      <w:r>
        <w:rPr>
          <w:color w:val="1F497D" w:themeColor="text2"/>
        </w:rPr>
        <w:t>Precursors of accidents in 2009 – 2014.</w:t>
      </w:r>
    </w:p>
    <w:tbl>
      <w:tblPr>
        <w:tblStyle w:val="TableGrid"/>
        <w:tblW w:w="4977" w:type="pct"/>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710"/>
        <w:gridCol w:w="660"/>
        <w:gridCol w:w="667"/>
        <w:gridCol w:w="730"/>
        <w:gridCol w:w="687"/>
        <w:gridCol w:w="575"/>
        <w:gridCol w:w="842"/>
        <w:gridCol w:w="427"/>
        <w:gridCol w:w="711"/>
        <w:gridCol w:w="568"/>
        <w:gridCol w:w="568"/>
        <w:gridCol w:w="425"/>
        <w:gridCol w:w="709"/>
        <w:gridCol w:w="850"/>
        <w:gridCol w:w="658"/>
      </w:tblGrid>
      <w:tr w:rsidR="00B1693F" w:rsidRPr="00DB4F81" w:rsidTr="005948F0">
        <w:trPr>
          <w:trHeight w:val="199"/>
        </w:trPr>
        <w:tc>
          <w:tcPr>
            <w:tcW w:w="363" w:type="pct"/>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Year</w:t>
            </w:r>
          </w:p>
        </w:tc>
        <w:tc>
          <w:tcPr>
            <w:tcW w:w="678"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Broken rails</w:t>
            </w:r>
          </w:p>
        </w:tc>
        <w:tc>
          <w:tcPr>
            <w:tcW w:w="724"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F47FE6">
            <w:pPr>
              <w:pStyle w:val="Tabelki"/>
              <w:spacing w:before="120" w:after="120"/>
              <w:jc w:val="center"/>
              <w:rPr>
                <w:b/>
                <w:color w:val="1F497D" w:themeColor="text2"/>
              </w:rPr>
            </w:pPr>
            <w:r>
              <w:rPr>
                <w:b/>
                <w:color w:val="1F497D" w:themeColor="text2"/>
              </w:rPr>
              <w:t>Track buckl</w:t>
            </w:r>
            <w:r w:rsidR="00F47FE6">
              <w:rPr>
                <w:b/>
                <w:color w:val="1F497D" w:themeColor="text2"/>
              </w:rPr>
              <w:t>ing</w:t>
            </w:r>
          </w:p>
        </w:tc>
        <w:tc>
          <w:tcPr>
            <w:tcW w:w="724"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Signalling failures</w:t>
            </w:r>
          </w:p>
        </w:tc>
        <w:tc>
          <w:tcPr>
            <w:tcW w:w="581" w:type="pct"/>
            <w:gridSpan w:val="2"/>
            <w:tcBorders>
              <w:top w:val="double" w:sz="4" w:space="0" w:color="auto"/>
              <w:bottom w:val="double" w:sz="4" w:space="0" w:color="auto"/>
            </w:tcBorders>
            <w:shd w:val="clear" w:color="auto" w:fill="BFBFBF" w:themeFill="background1" w:themeFillShade="BF"/>
            <w:tcMar>
              <w:left w:w="85" w:type="dxa"/>
              <w:right w:w="85" w:type="dxa"/>
            </w:tcMar>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Passing a ‘Stop’ signal</w:t>
            </w:r>
          </w:p>
        </w:tc>
        <w:tc>
          <w:tcPr>
            <w:tcW w:w="580"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Broken wheels</w:t>
            </w:r>
          </w:p>
        </w:tc>
        <w:tc>
          <w:tcPr>
            <w:tcW w:w="579"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Broken axles</w:t>
            </w:r>
          </w:p>
        </w:tc>
        <w:tc>
          <w:tcPr>
            <w:tcW w:w="770" w:type="pct"/>
            <w:gridSpan w:val="2"/>
            <w:tcBorders>
              <w:top w:val="double" w:sz="4" w:space="0" w:color="auto"/>
              <w:bottom w:val="double" w:sz="4" w:space="0" w:color="auto"/>
            </w:tcBorders>
            <w:shd w:val="clear" w:color="auto" w:fill="BFBFBF" w:themeFill="background1" w:themeFillShade="BF"/>
            <w:vAlign w:val="center"/>
            <w:hideMark/>
          </w:tcPr>
          <w:p w:rsidR="00B1693F" w:rsidRPr="00DB4F81" w:rsidRDefault="00B1693F" w:rsidP="005948F0">
            <w:pPr>
              <w:pStyle w:val="Tabelki"/>
              <w:spacing w:before="120" w:after="120"/>
              <w:jc w:val="center"/>
              <w:rPr>
                <w:b/>
                <w:color w:val="1F497D" w:themeColor="text2"/>
              </w:rPr>
            </w:pPr>
            <w:r>
              <w:rPr>
                <w:b/>
                <w:color w:val="1F497D" w:themeColor="text2"/>
              </w:rPr>
              <w:t>Total</w:t>
            </w:r>
          </w:p>
        </w:tc>
      </w:tr>
      <w:tr w:rsidR="00B1693F" w:rsidRPr="00DB4F81" w:rsidTr="005948F0">
        <w:trPr>
          <w:trHeight w:val="255"/>
        </w:trPr>
        <w:tc>
          <w:tcPr>
            <w:tcW w:w="363" w:type="pct"/>
            <w:tcBorders>
              <w:top w:val="double" w:sz="4" w:space="0" w:color="auto"/>
            </w:tcBorders>
            <w:noWrap/>
            <w:vAlign w:val="center"/>
            <w:hideMark/>
          </w:tcPr>
          <w:p w:rsidR="00B1693F" w:rsidRPr="00DB4F81" w:rsidRDefault="00B1693F" w:rsidP="00DD5A63">
            <w:pPr>
              <w:pStyle w:val="DoNotTranslateExternal1"/>
            </w:pPr>
            <w:r>
              <w:t>2009</w:t>
            </w:r>
          </w:p>
        </w:tc>
        <w:tc>
          <w:tcPr>
            <w:tcW w:w="337" w:type="pct"/>
            <w:tcBorders>
              <w:top w:val="double" w:sz="4" w:space="0" w:color="auto"/>
            </w:tcBorders>
            <w:noWrap/>
            <w:vAlign w:val="center"/>
            <w:hideMark/>
          </w:tcPr>
          <w:p w:rsidR="00B1693F" w:rsidRPr="00DB4F81" w:rsidRDefault="00B1693F" w:rsidP="00DD5A63">
            <w:pPr>
              <w:pStyle w:val="DoNotTranslateExternal1"/>
            </w:pPr>
            <w:r>
              <w:t>1506</w:t>
            </w:r>
          </w:p>
        </w:tc>
        <w:tc>
          <w:tcPr>
            <w:tcW w:w="341" w:type="pct"/>
            <w:tcBorders>
              <w:top w:val="double" w:sz="4" w:space="0" w:color="auto"/>
            </w:tcBorders>
            <w:vAlign w:val="center"/>
          </w:tcPr>
          <w:p w:rsidR="00B1693F" w:rsidRPr="00DB4F81" w:rsidRDefault="00B1693F" w:rsidP="00DD5A63">
            <w:pPr>
              <w:pStyle w:val="DoNotTranslateExternal1"/>
            </w:pPr>
            <w:r>
              <w:t>-</w:t>
            </w:r>
          </w:p>
        </w:tc>
        <w:tc>
          <w:tcPr>
            <w:tcW w:w="373" w:type="pct"/>
            <w:tcBorders>
              <w:top w:val="double" w:sz="4" w:space="0" w:color="auto"/>
            </w:tcBorders>
            <w:noWrap/>
            <w:vAlign w:val="center"/>
            <w:hideMark/>
          </w:tcPr>
          <w:p w:rsidR="00B1693F" w:rsidRPr="00DB4F81" w:rsidRDefault="00B1693F" w:rsidP="00DD5A63">
            <w:pPr>
              <w:pStyle w:val="DoNotTranslateExternal1"/>
            </w:pPr>
            <w:r>
              <w:t>22</w:t>
            </w:r>
          </w:p>
        </w:tc>
        <w:tc>
          <w:tcPr>
            <w:tcW w:w="351" w:type="pct"/>
            <w:tcBorders>
              <w:top w:val="double" w:sz="4" w:space="0" w:color="auto"/>
            </w:tcBorders>
            <w:vAlign w:val="center"/>
          </w:tcPr>
          <w:p w:rsidR="00B1693F" w:rsidRPr="00DB4F81" w:rsidRDefault="00B1693F" w:rsidP="00DD5A63">
            <w:pPr>
              <w:pStyle w:val="DoNotTranslateExternal1"/>
            </w:pPr>
            <w:r>
              <w:t>-</w:t>
            </w:r>
          </w:p>
        </w:tc>
        <w:tc>
          <w:tcPr>
            <w:tcW w:w="294" w:type="pct"/>
            <w:tcBorders>
              <w:top w:val="double" w:sz="4" w:space="0" w:color="auto"/>
            </w:tcBorders>
            <w:noWrap/>
            <w:vAlign w:val="center"/>
            <w:hideMark/>
          </w:tcPr>
          <w:p w:rsidR="00B1693F" w:rsidRPr="00DB4F81" w:rsidRDefault="00B1693F" w:rsidP="00DD5A63">
            <w:pPr>
              <w:pStyle w:val="DoNotTranslateExternal1"/>
            </w:pPr>
            <w:r>
              <w:t>21</w:t>
            </w:r>
          </w:p>
        </w:tc>
        <w:tc>
          <w:tcPr>
            <w:tcW w:w="430" w:type="pct"/>
            <w:tcBorders>
              <w:top w:val="double" w:sz="4" w:space="0" w:color="auto"/>
            </w:tcBorders>
            <w:vAlign w:val="center"/>
          </w:tcPr>
          <w:p w:rsidR="00B1693F" w:rsidRPr="00DB4F81" w:rsidRDefault="00B1693F" w:rsidP="00DD5A63">
            <w:pPr>
              <w:pStyle w:val="DoNotTranslateExternal1"/>
            </w:pPr>
            <w:r>
              <w:t>-</w:t>
            </w:r>
          </w:p>
        </w:tc>
        <w:tc>
          <w:tcPr>
            <w:tcW w:w="218" w:type="pct"/>
            <w:tcBorders>
              <w:top w:val="double" w:sz="4" w:space="0" w:color="auto"/>
            </w:tcBorders>
            <w:noWrap/>
            <w:vAlign w:val="center"/>
            <w:hideMark/>
          </w:tcPr>
          <w:p w:rsidR="00B1693F" w:rsidRPr="00DB4F81" w:rsidRDefault="00B1693F" w:rsidP="00DD5A63">
            <w:pPr>
              <w:pStyle w:val="DoNotTranslateExternal1"/>
            </w:pPr>
            <w:r>
              <w:t>13</w:t>
            </w:r>
          </w:p>
        </w:tc>
        <w:tc>
          <w:tcPr>
            <w:tcW w:w="363" w:type="pct"/>
            <w:tcBorders>
              <w:top w:val="double" w:sz="4" w:space="0" w:color="auto"/>
            </w:tcBorders>
            <w:vAlign w:val="center"/>
          </w:tcPr>
          <w:p w:rsidR="00B1693F" w:rsidRPr="00DB4F81" w:rsidRDefault="00B1693F" w:rsidP="00DD5A63">
            <w:pPr>
              <w:pStyle w:val="DoNotTranslateExternal1"/>
            </w:pPr>
            <w:r>
              <w:t>-</w:t>
            </w:r>
          </w:p>
        </w:tc>
        <w:tc>
          <w:tcPr>
            <w:tcW w:w="290" w:type="pct"/>
            <w:tcBorders>
              <w:top w:val="double" w:sz="4" w:space="0" w:color="auto"/>
            </w:tcBorders>
            <w:noWrap/>
            <w:vAlign w:val="center"/>
            <w:hideMark/>
          </w:tcPr>
          <w:p w:rsidR="00B1693F" w:rsidRPr="00DB4F81" w:rsidRDefault="00B1693F" w:rsidP="00DD5A63">
            <w:pPr>
              <w:pStyle w:val="DoNotTranslateExternal1"/>
            </w:pPr>
            <w:r>
              <w:rPr>
                <w:color w:val="1F497D"/>
              </w:rPr>
              <w:t>105</w:t>
            </w:r>
          </w:p>
        </w:tc>
        <w:tc>
          <w:tcPr>
            <w:tcW w:w="290" w:type="pct"/>
            <w:tcBorders>
              <w:top w:val="double" w:sz="4" w:space="0" w:color="auto"/>
            </w:tcBorders>
            <w:vAlign w:val="center"/>
          </w:tcPr>
          <w:p w:rsidR="00B1693F" w:rsidRPr="00DB4F81" w:rsidRDefault="00B1693F" w:rsidP="00DD5A63">
            <w:pPr>
              <w:pStyle w:val="DoNotTranslateExternal1"/>
            </w:pPr>
            <w:r>
              <w:t>-</w:t>
            </w:r>
          </w:p>
        </w:tc>
        <w:tc>
          <w:tcPr>
            <w:tcW w:w="217" w:type="pct"/>
            <w:tcBorders>
              <w:top w:val="double" w:sz="4" w:space="0" w:color="auto"/>
            </w:tcBorders>
            <w:noWrap/>
            <w:vAlign w:val="center"/>
            <w:hideMark/>
          </w:tcPr>
          <w:p w:rsidR="00B1693F" w:rsidRPr="00DB4F81" w:rsidRDefault="00B1693F" w:rsidP="00DD5A63">
            <w:pPr>
              <w:pStyle w:val="DoNotTranslateExternal1"/>
            </w:pPr>
            <w:r>
              <w:t>12</w:t>
            </w:r>
          </w:p>
        </w:tc>
        <w:tc>
          <w:tcPr>
            <w:tcW w:w="362" w:type="pct"/>
            <w:tcBorders>
              <w:top w:val="double" w:sz="4" w:space="0" w:color="auto"/>
            </w:tcBorders>
            <w:vAlign w:val="center"/>
          </w:tcPr>
          <w:p w:rsidR="00B1693F" w:rsidRPr="00DB4F81" w:rsidRDefault="00B1693F" w:rsidP="00DD5A63">
            <w:pPr>
              <w:pStyle w:val="DoNotTranslateExternal1"/>
            </w:pPr>
            <w:r>
              <w:t>-</w:t>
            </w:r>
          </w:p>
        </w:tc>
        <w:tc>
          <w:tcPr>
            <w:tcW w:w="434" w:type="pct"/>
            <w:tcBorders>
              <w:top w:val="double" w:sz="4" w:space="0" w:color="auto"/>
            </w:tcBorders>
            <w:noWrap/>
            <w:vAlign w:val="center"/>
            <w:hideMark/>
          </w:tcPr>
          <w:p w:rsidR="00B1693F" w:rsidRPr="00DB4F81" w:rsidRDefault="00B1693F" w:rsidP="00DD5A63">
            <w:pPr>
              <w:pStyle w:val="DoNotTranslateExternal1"/>
            </w:pPr>
            <w:r>
              <w:t>1679</w:t>
            </w:r>
          </w:p>
        </w:tc>
        <w:tc>
          <w:tcPr>
            <w:tcW w:w="336" w:type="pct"/>
            <w:tcBorders>
              <w:top w:val="double" w:sz="4" w:space="0" w:color="auto"/>
            </w:tcBorders>
            <w:vAlign w:val="center"/>
          </w:tcPr>
          <w:p w:rsidR="00B1693F" w:rsidRPr="00DB4F81" w:rsidRDefault="00B1693F" w:rsidP="00DD5A63">
            <w:pPr>
              <w:pStyle w:val="DoNotTranslateExternal1"/>
            </w:pPr>
            <w:r>
              <w:t>-</w:t>
            </w:r>
          </w:p>
        </w:tc>
      </w:tr>
      <w:tr w:rsidR="00B1693F" w:rsidRPr="00DB4F81" w:rsidTr="005948F0">
        <w:trPr>
          <w:trHeight w:val="255"/>
        </w:trPr>
        <w:tc>
          <w:tcPr>
            <w:tcW w:w="363" w:type="pct"/>
            <w:noWrap/>
            <w:vAlign w:val="center"/>
            <w:hideMark/>
          </w:tcPr>
          <w:p w:rsidR="00B1693F" w:rsidRPr="00DB4F81" w:rsidRDefault="00B1693F" w:rsidP="00DD5A63">
            <w:pPr>
              <w:pStyle w:val="DoNotTranslateExternal1"/>
            </w:pPr>
            <w:r>
              <w:t>2010</w:t>
            </w:r>
          </w:p>
        </w:tc>
        <w:tc>
          <w:tcPr>
            <w:tcW w:w="337" w:type="pct"/>
            <w:noWrap/>
            <w:vAlign w:val="center"/>
            <w:hideMark/>
          </w:tcPr>
          <w:p w:rsidR="00B1693F" w:rsidRPr="00DB4F81" w:rsidRDefault="00B1693F" w:rsidP="00DD5A63">
            <w:pPr>
              <w:pStyle w:val="DoNotTranslateExternal1"/>
            </w:pPr>
            <w:r>
              <w:t>1461</w:t>
            </w:r>
          </w:p>
        </w:tc>
        <w:tc>
          <w:tcPr>
            <w:tcW w:w="341" w:type="pct"/>
            <w:vAlign w:val="center"/>
          </w:tcPr>
          <w:p w:rsidR="00B1693F" w:rsidRPr="000F24AD" w:rsidRDefault="00B1693F" w:rsidP="005B53B6">
            <w:pPr>
              <w:pStyle w:val="Tabelki"/>
              <w:jc w:val="center"/>
              <w:rPr>
                <w:color w:val="1F497D"/>
              </w:rPr>
            </w:pPr>
            <w:r>
              <w:rPr>
                <w:color w:val="1F497D"/>
              </w:rPr>
              <w:t>-3%</w:t>
            </w:r>
          </w:p>
        </w:tc>
        <w:tc>
          <w:tcPr>
            <w:tcW w:w="373" w:type="pct"/>
            <w:noWrap/>
            <w:vAlign w:val="center"/>
            <w:hideMark/>
          </w:tcPr>
          <w:p w:rsidR="00B1693F" w:rsidRPr="00DB4F81" w:rsidRDefault="00B1693F" w:rsidP="00DD5A63">
            <w:pPr>
              <w:pStyle w:val="DoNotTranslateExternal1"/>
            </w:pPr>
            <w:r>
              <w:t>23</w:t>
            </w:r>
          </w:p>
        </w:tc>
        <w:tc>
          <w:tcPr>
            <w:tcW w:w="351" w:type="pct"/>
            <w:vAlign w:val="center"/>
          </w:tcPr>
          <w:p w:rsidR="00B1693F" w:rsidRPr="000F24AD" w:rsidRDefault="00B1693F" w:rsidP="005B53B6">
            <w:pPr>
              <w:pStyle w:val="Tabelki"/>
              <w:jc w:val="center"/>
              <w:rPr>
                <w:color w:val="1F497D"/>
              </w:rPr>
            </w:pPr>
            <w:r>
              <w:rPr>
                <w:color w:val="1F497D"/>
              </w:rPr>
              <w:t>5%</w:t>
            </w:r>
          </w:p>
        </w:tc>
        <w:tc>
          <w:tcPr>
            <w:tcW w:w="294" w:type="pct"/>
            <w:noWrap/>
            <w:vAlign w:val="center"/>
            <w:hideMark/>
          </w:tcPr>
          <w:p w:rsidR="00B1693F" w:rsidRPr="00DB4F81" w:rsidRDefault="00B1693F" w:rsidP="00DD5A63">
            <w:pPr>
              <w:pStyle w:val="DoNotTranslateExternal1"/>
            </w:pPr>
            <w:r>
              <w:t>16</w:t>
            </w:r>
          </w:p>
        </w:tc>
        <w:tc>
          <w:tcPr>
            <w:tcW w:w="430" w:type="pct"/>
            <w:vAlign w:val="center"/>
          </w:tcPr>
          <w:p w:rsidR="00B1693F" w:rsidRPr="000F24AD" w:rsidRDefault="00B1693F" w:rsidP="005B53B6">
            <w:pPr>
              <w:pStyle w:val="Tabelki"/>
              <w:jc w:val="center"/>
              <w:rPr>
                <w:color w:val="1F497D"/>
              </w:rPr>
            </w:pPr>
            <w:r>
              <w:rPr>
                <w:color w:val="1F497D"/>
              </w:rPr>
              <w:t>-24%</w:t>
            </w:r>
          </w:p>
        </w:tc>
        <w:tc>
          <w:tcPr>
            <w:tcW w:w="218" w:type="pct"/>
            <w:noWrap/>
            <w:vAlign w:val="center"/>
            <w:hideMark/>
          </w:tcPr>
          <w:p w:rsidR="00B1693F" w:rsidRPr="00DB4F81" w:rsidRDefault="00B1693F" w:rsidP="00DD5A63">
            <w:pPr>
              <w:pStyle w:val="DoNotTranslateExternal1"/>
            </w:pPr>
            <w:r>
              <w:t>13</w:t>
            </w:r>
          </w:p>
        </w:tc>
        <w:tc>
          <w:tcPr>
            <w:tcW w:w="363" w:type="pct"/>
            <w:vAlign w:val="center"/>
          </w:tcPr>
          <w:p w:rsidR="00B1693F" w:rsidRPr="000F24AD" w:rsidRDefault="00B1693F" w:rsidP="005B53B6">
            <w:pPr>
              <w:pStyle w:val="Tabelki"/>
              <w:jc w:val="center"/>
              <w:rPr>
                <w:color w:val="1F497D"/>
              </w:rPr>
            </w:pPr>
            <w:r>
              <w:rPr>
                <w:color w:val="1F497D"/>
              </w:rPr>
              <w:t>0%</w:t>
            </w:r>
          </w:p>
        </w:tc>
        <w:tc>
          <w:tcPr>
            <w:tcW w:w="290" w:type="pct"/>
            <w:noWrap/>
            <w:vAlign w:val="center"/>
            <w:hideMark/>
          </w:tcPr>
          <w:p w:rsidR="00B1693F" w:rsidRPr="00DB4F81" w:rsidRDefault="00B1693F" w:rsidP="00DD5A63">
            <w:pPr>
              <w:pStyle w:val="DoNotTranslateExternal1"/>
            </w:pPr>
            <w:r>
              <w:t>23</w:t>
            </w:r>
          </w:p>
        </w:tc>
        <w:tc>
          <w:tcPr>
            <w:tcW w:w="290" w:type="pct"/>
            <w:vAlign w:val="center"/>
          </w:tcPr>
          <w:p w:rsidR="00B1693F" w:rsidRPr="000F24AD" w:rsidRDefault="00B1693F" w:rsidP="005B53B6">
            <w:pPr>
              <w:pStyle w:val="Tabelki"/>
              <w:jc w:val="center"/>
              <w:rPr>
                <w:color w:val="1F497D"/>
              </w:rPr>
            </w:pPr>
            <w:r>
              <w:rPr>
                <w:color w:val="1F497D"/>
              </w:rPr>
              <w:t>-78%</w:t>
            </w:r>
          </w:p>
        </w:tc>
        <w:tc>
          <w:tcPr>
            <w:tcW w:w="217" w:type="pct"/>
            <w:noWrap/>
            <w:vAlign w:val="center"/>
            <w:hideMark/>
          </w:tcPr>
          <w:p w:rsidR="00B1693F" w:rsidRPr="00DB4F81" w:rsidRDefault="00B1693F" w:rsidP="00DD5A63">
            <w:pPr>
              <w:pStyle w:val="DoNotTranslateExternal1"/>
            </w:pPr>
            <w:r>
              <w:t>3</w:t>
            </w:r>
          </w:p>
        </w:tc>
        <w:tc>
          <w:tcPr>
            <w:tcW w:w="362" w:type="pct"/>
            <w:vAlign w:val="center"/>
          </w:tcPr>
          <w:p w:rsidR="00B1693F" w:rsidRPr="000F24AD" w:rsidRDefault="00B1693F" w:rsidP="005B53B6">
            <w:pPr>
              <w:pStyle w:val="Tabelki"/>
              <w:jc w:val="center"/>
              <w:rPr>
                <w:color w:val="1F497D"/>
              </w:rPr>
            </w:pPr>
            <w:r>
              <w:rPr>
                <w:color w:val="1F497D"/>
              </w:rPr>
              <w:t>-75%</w:t>
            </w:r>
          </w:p>
        </w:tc>
        <w:tc>
          <w:tcPr>
            <w:tcW w:w="434" w:type="pct"/>
            <w:noWrap/>
            <w:vAlign w:val="center"/>
            <w:hideMark/>
          </w:tcPr>
          <w:p w:rsidR="00B1693F" w:rsidRPr="00DB4F81" w:rsidRDefault="00B1693F" w:rsidP="00DD5A63">
            <w:pPr>
              <w:pStyle w:val="DoNotTranslateExternal1"/>
            </w:pPr>
            <w:r>
              <w:t>1539</w:t>
            </w:r>
          </w:p>
        </w:tc>
        <w:tc>
          <w:tcPr>
            <w:tcW w:w="336" w:type="pct"/>
            <w:vAlign w:val="center"/>
          </w:tcPr>
          <w:p w:rsidR="00B1693F" w:rsidRPr="000F24AD" w:rsidRDefault="00B1693F" w:rsidP="005B53B6">
            <w:pPr>
              <w:pStyle w:val="Tabelki"/>
              <w:jc w:val="center"/>
              <w:rPr>
                <w:color w:val="1F497D"/>
              </w:rPr>
            </w:pPr>
            <w:r>
              <w:rPr>
                <w:color w:val="1F497D"/>
              </w:rPr>
              <w:t>-8%</w:t>
            </w:r>
          </w:p>
        </w:tc>
      </w:tr>
      <w:tr w:rsidR="00B1693F" w:rsidRPr="00DB4F81" w:rsidTr="005948F0">
        <w:trPr>
          <w:trHeight w:val="255"/>
        </w:trPr>
        <w:tc>
          <w:tcPr>
            <w:tcW w:w="363" w:type="pct"/>
            <w:noWrap/>
            <w:vAlign w:val="center"/>
            <w:hideMark/>
          </w:tcPr>
          <w:p w:rsidR="00B1693F" w:rsidRPr="00DB4F81" w:rsidRDefault="00B1693F" w:rsidP="00DD5A63">
            <w:pPr>
              <w:pStyle w:val="DoNotTranslateExternal1"/>
            </w:pPr>
            <w:r>
              <w:t>2011</w:t>
            </w:r>
          </w:p>
        </w:tc>
        <w:tc>
          <w:tcPr>
            <w:tcW w:w="337" w:type="pct"/>
            <w:noWrap/>
            <w:vAlign w:val="center"/>
            <w:hideMark/>
          </w:tcPr>
          <w:p w:rsidR="00B1693F" w:rsidRPr="00DB4F81" w:rsidRDefault="00B1693F" w:rsidP="00DD5A63">
            <w:pPr>
              <w:pStyle w:val="DoNotTranslateExternal1"/>
            </w:pPr>
            <w:r>
              <w:t>1564</w:t>
            </w:r>
          </w:p>
        </w:tc>
        <w:tc>
          <w:tcPr>
            <w:tcW w:w="341" w:type="pct"/>
            <w:vAlign w:val="center"/>
          </w:tcPr>
          <w:p w:rsidR="00B1693F" w:rsidRPr="000F24AD" w:rsidRDefault="00B1693F" w:rsidP="005B53B6">
            <w:pPr>
              <w:pStyle w:val="Tabelki"/>
              <w:jc w:val="center"/>
              <w:rPr>
                <w:color w:val="1F497D"/>
              </w:rPr>
            </w:pPr>
            <w:r>
              <w:rPr>
                <w:color w:val="1F497D"/>
              </w:rPr>
              <w:t>7%</w:t>
            </w:r>
          </w:p>
        </w:tc>
        <w:tc>
          <w:tcPr>
            <w:tcW w:w="373" w:type="pct"/>
            <w:noWrap/>
            <w:vAlign w:val="center"/>
            <w:hideMark/>
          </w:tcPr>
          <w:p w:rsidR="00B1693F" w:rsidRPr="00DB4F81" w:rsidRDefault="00B1693F" w:rsidP="00DD5A63">
            <w:pPr>
              <w:pStyle w:val="DoNotTranslateExternal1"/>
            </w:pPr>
            <w:r>
              <w:t>20</w:t>
            </w:r>
          </w:p>
        </w:tc>
        <w:tc>
          <w:tcPr>
            <w:tcW w:w="351" w:type="pct"/>
            <w:vAlign w:val="center"/>
          </w:tcPr>
          <w:p w:rsidR="00B1693F" w:rsidRPr="000F24AD" w:rsidRDefault="00B1693F" w:rsidP="005B53B6">
            <w:pPr>
              <w:pStyle w:val="Tabelki"/>
              <w:jc w:val="center"/>
              <w:rPr>
                <w:color w:val="1F497D"/>
              </w:rPr>
            </w:pPr>
            <w:r>
              <w:rPr>
                <w:color w:val="1F497D"/>
              </w:rPr>
              <w:t>-13%</w:t>
            </w:r>
          </w:p>
        </w:tc>
        <w:tc>
          <w:tcPr>
            <w:tcW w:w="294" w:type="pct"/>
            <w:noWrap/>
            <w:vAlign w:val="center"/>
            <w:hideMark/>
          </w:tcPr>
          <w:p w:rsidR="00B1693F" w:rsidRPr="00DB4F81" w:rsidRDefault="00B1693F" w:rsidP="00DD5A63">
            <w:pPr>
              <w:pStyle w:val="DoNotTranslateExternal1"/>
            </w:pPr>
            <w:r>
              <w:t>0</w:t>
            </w:r>
          </w:p>
        </w:tc>
        <w:tc>
          <w:tcPr>
            <w:tcW w:w="430" w:type="pct"/>
            <w:vAlign w:val="center"/>
          </w:tcPr>
          <w:p w:rsidR="00B1693F" w:rsidRPr="000F24AD" w:rsidRDefault="00B1693F" w:rsidP="005B53B6">
            <w:pPr>
              <w:pStyle w:val="Tabelki"/>
              <w:jc w:val="center"/>
              <w:rPr>
                <w:color w:val="1F497D"/>
              </w:rPr>
            </w:pPr>
            <w:r>
              <w:rPr>
                <w:color w:val="1F497D"/>
              </w:rPr>
              <w:t>-100%</w:t>
            </w:r>
          </w:p>
        </w:tc>
        <w:tc>
          <w:tcPr>
            <w:tcW w:w="218" w:type="pct"/>
            <w:noWrap/>
            <w:vAlign w:val="center"/>
            <w:hideMark/>
          </w:tcPr>
          <w:p w:rsidR="00B1693F" w:rsidRPr="00DB4F81" w:rsidRDefault="00B1693F" w:rsidP="00DD5A63">
            <w:pPr>
              <w:pStyle w:val="DoNotTranslateExternal1"/>
            </w:pPr>
            <w:r>
              <w:t>29</w:t>
            </w:r>
          </w:p>
        </w:tc>
        <w:tc>
          <w:tcPr>
            <w:tcW w:w="363" w:type="pct"/>
            <w:vAlign w:val="center"/>
          </w:tcPr>
          <w:p w:rsidR="00B1693F" w:rsidRPr="000F24AD" w:rsidRDefault="00B1693F" w:rsidP="005B53B6">
            <w:pPr>
              <w:pStyle w:val="Tabelki"/>
              <w:jc w:val="center"/>
              <w:rPr>
                <w:color w:val="1F497D"/>
              </w:rPr>
            </w:pPr>
            <w:r>
              <w:rPr>
                <w:color w:val="1F497D"/>
              </w:rPr>
              <w:t>123%</w:t>
            </w:r>
          </w:p>
        </w:tc>
        <w:tc>
          <w:tcPr>
            <w:tcW w:w="290" w:type="pct"/>
            <w:noWrap/>
            <w:vAlign w:val="center"/>
            <w:hideMark/>
          </w:tcPr>
          <w:p w:rsidR="00B1693F" w:rsidRPr="00DB4F81" w:rsidRDefault="00B1693F" w:rsidP="00DD5A63">
            <w:pPr>
              <w:pStyle w:val="DoNotTranslateExternal1"/>
            </w:pPr>
            <w:r>
              <w:t>3</w:t>
            </w:r>
          </w:p>
        </w:tc>
        <w:tc>
          <w:tcPr>
            <w:tcW w:w="290" w:type="pct"/>
            <w:vAlign w:val="center"/>
          </w:tcPr>
          <w:p w:rsidR="00B1693F" w:rsidRPr="000F24AD" w:rsidRDefault="00B1693F" w:rsidP="005B53B6">
            <w:pPr>
              <w:pStyle w:val="Tabelki"/>
              <w:jc w:val="center"/>
              <w:rPr>
                <w:color w:val="1F497D"/>
              </w:rPr>
            </w:pPr>
            <w:r>
              <w:rPr>
                <w:color w:val="1F497D"/>
              </w:rPr>
              <w:t>-87%</w:t>
            </w:r>
          </w:p>
        </w:tc>
        <w:tc>
          <w:tcPr>
            <w:tcW w:w="217" w:type="pct"/>
            <w:noWrap/>
            <w:vAlign w:val="center"/>
            <w:hideMark/>
          </w:tcPr>
          <w:p w:rsidR="00B1693F" w:rsidRPr="00DB4F81" w:rsidRDefault="00B1693F" w:rsidP="00DD5A63">
            <w:pPr>
              <w:pStyle w:val="DoNotTranslateExternal1"/>
            </w:pPr>
            <w:r>
              <w:t>2</w:t>
            </w:r>
          </w:p>
        </w:tc>
        <w:tc>
          <w:tcPr>
            <w:tcW w:w="362" w:type="pct"/>
            <w:vAlign w:val="center"/>
          </w:tcPr>
          <w:p w:rsidR="00B1693F" w:rsidRPr="000F24AD" w:rsidRDefault="00B1693F" w:rsidP="005B53B6">
            <w:pPr>
              <w:pStyle w:val="Tabelki"/>
              <w:jc w:val="center"/>
              <w:rPr>
                <w:color w:val="1F497D"/>
              </w:rPr>
            </w:pPr>
            <w:r>
              <w:rPr>
                <w:color w:val="1F497D"/>
              </w:rPr>
              <w:t>-33%</w:t>
            </w:r>
          </w:p>
        </w:tc>
        <w:tc>
          <w:tcPr>
            <w:tcW w:w="434" w:type="pct"/>
            <w:noWrap/>
            <w:vAlign w:val="center"/>
            <w:hideMark/>
          </w:tcPr>
          <w:p w:rsidR="00B1693F" w:rsidRPr="00DB4F81" w:rsidRDefault="00B1693F" w:rsidP="00DD5A63">
            <w:pPr>
              <w:pStyle w:val="DoNotTranslateExternal1"/>
            </w:pPr>
            <w:r>
              <w:t>1618</w:t>
            </w:r>
          </w:p>
        </w:tc>
        <w:tc>
          <w:tcPr>
            <w:tcW w:w="336" w:type="pct"/>
            <w:vAlign w:val="center"/>
          </w:tcPr>
          <w:p w:rsidR="00B1693F" w:rsidRPr="000F24AD" w:rsidRDefault="00B1693F" w:rsidP="005B53B6">
            <w:pPr>
              <w:pStyle w:val="Tabelki"/>
              <w:jc w:val="center"/>
              <w:rPr>
                <w:color w:val="1F497D"/>
              </w:rPr>
            </w:pPr>
            <w:r>
              <w:rPr>
                <w:color w:val="1F497D"/>
              </w:rPr>
              <w:t>5%</w:t>
            </w:r>
          </w:p>
        </w:tc>
      </w:tr>
      <w:tr w:rsidR="00B1693F" w:rsidRPr="00DB4F81" w:rsidTr="005948F0">
        <w:trPr>
          <w:trHeight w:val="255"/>
        </w:trPr>
        <w:tc>
          <w:tcPr>
            <w:tcW w:w="363" w:type="pct"/>
            <w:noWrap/>
            <w:vAlign w:val="center"/>
            <w:hideMark/>
          </w:tcPr>
          <w:p w:rsidR="00B1693F" w:rsidRPr="00DB4F81" w:rsidRDefault="00B1693F" w:rsidP="00DD5A63">
            <w:pPr>
              <w:pStyle w:val="DoNotTranslateExternal1"/>
            </w:pPr>
            <w:r>
              <w:t>2012</w:t>
            </w:r>
          </w:p>
        </w:tc>
        <w:tc>
          <w:tcPr>
            <w:tcW w:w="337" w:type="pct"/>
            <w:noWrap/>
            <w:vAlign w:val="center"/>
            <w:hideMark/>
          </w:tcPr>
          <w:p w:rsidR="00B1693F" w:rsidRPr="00DB4F81" w:rsidRDefault="00B1693F" w:rsidP="00DD5A63">
            <w:pPr>
              <w:pStyle w:val="DoNotTranslateExternal1"/>
            </w:pPr>
            <w:r>
              <w:t>1800</w:t>
            </w:r>
          </w:p>
        </w:tc>
        <w:tc>
          <w:tcPr>
            <w:tcW w:w="341" w:type="pct"/>
            <w:vAlign w:val="center"/>
          </w:tcPr>
          <w:p w:rsidR="00B1693F" w:rsidRPr="000F24AD" w:rsidRDefault="00B1693F" w:rsidP="005B53B6">
            <w:pPr>
              <w:pStyle w:val="Tabelki"/>
              <w:jc w:val="center"/>
              <w:rPr>
                <w:color w:val="1F497D"/>
              </w:rPr>
            </w:pPr>
            <w:r>
              <w:rPr>
                <w:color w:val="1F497D"/>
              </w:rPr>
              <w:t>15%</w:t>
            </w:r>
          </w:p>
        </w:tc>
        <w:tc>
          <w:tcPr>
            <w:tcW w:w="373" w:type="pct"/>
            <w:noWrap/>
            <w:vAlign w:val="center"/>
            <w:hideMark/>
          </w:tcPr>
          <w:p w:rsidR="00B1693F" w:rsidRPr="00DB4F81" w:rsidRDefault="00B1693F" w:rsidP="00DD5A63">
            <w:pPr>
              <w:pStyle w:val="DoNotTranslateExternal1"/>
            </w:pPr>
            <w:r>
              <w:t>53</w:t>
            </w:r>
          </w:p>
        </w:tc>
        <w:tc>
          <w:tcPr>
            <w:tcW w:w="351" w:type="pct"/>
            <w:vAlign w:val="center"/>
          </w:tcPr>
          <w:p w:rsidR="00B1693F" w:rsidRPr="000F24AD" w:rsidRDefault="00B1693F" w:rsidP="005B53B6">
            <w:pPr>
              <w:pStyle w:val="Tabelki"/>
              <w:jc w:val="center"/>
              <w:rPr>
                <w:color w:val="1F497D"/>
              </w:rPr>
            </w:pPr>
            <w:r>
              <w:rPr>
                <w:color w:val="1F497D"/>
              </w:rPr>
              <w:t>165%</w:t>
            </w:r>
          </w:p>
        </w:tc>
        <w:tc>
          <w:tcPr>
            <w:tcW w:w="294" w:type="pct"/>
            <w:noWrap/>
            <w:vAlign w:val="center"/>
            <w:hideMark/>
          </w:tcPr>
          <w:p w:rsidR="00B1693F" w:rsidRPr="00DB4F81" w:rsidRDefault="00B1693F" w:rsidP="00DD5A63">
            <w:pPr>
              <w:pStyle w:val="DoNotTranslateExternal1"/>
            </w:pPr>
            <w:r>
              <w:t>5</w:t>
            </w:r>
          </w:p>
        </w:tc>
        <w:tc>
          <w:tcPr>
            <w:tcW w:w="430" w:type="pct"/>
            <w:vAlign w:val="center"/>
          </w:tcPr>
          <w:p w:rsidR="00B1693F" w:rsidRPr="00DB4F81" w:rsidRDefault="00B1693F" w:rsidP="00DD5A63">
            <w:pPr>
              <w:pStyle w:val="DoNotTranslateExternal1"/>
            </w:pPr>
            <w:r>
              <w:t>-</w:t>
            </w:r>
          </w:p>
        </w:tc>
        <w:tc>
          <w:tcPr>
            <w:tcW w:w="218" w:type="pct"/>
            <w:noWrap/>
            <w:vAlign w:val="center"/>
            <w:hideMark/>
          </w:tcPr>
          <w:p w:rsidR="00B1693F" w:rsidRPr="00DB4F81" w:rsidRDefault="00B1693F" w:rsidP="00DD5A63">
            <w:pPr>
              <w:pStyle w:val="DoNotTranslateExternal1"/>
            </w:pPr>
            <w:r>
              <w:t>33</w:t>
            </w:r>
          </w:p>
        </w:tc>
        <w:tc>
          <w:tcPr>
            <w:tcW w:w="363" w:type="pct"/>
            <w:vAlign w:val="center"/>
          </w:tcPr>
          <w:p w:rsidR="00B1693F" w:rsidRPr="000F24AD" w:rsidRDefault="00B1693F" w:rsidP="005B53B6">
            <w:pPr>
              <w:pStyle w:val="Tabelki"/>
              <w:jc w:val="center"/>
              <w:rPr>
                <w:color w:val="1F497D"/>
              </w:rPr>
            </w:pPr>
            <w:r>
              <w:rPr>
                <w:color w:val="1F497D"/>
              </w:rPr>
              <w:t>14%</w:t>
            </w:r>
          </w:p>
        </w:tc>
        <w:tc>
          <w:tcPr>
            <w:tcW w:w="290" w:type="pct"/>
            <w:noWrap/>
            <w:vAlign w:val="center"/>
            <w:hideMark/>
          </w:tcPr>
          <w:p w:rsidR="00B1693F" w:rsidRPr="00DB4F81" w:rsidRDefault="00B1693F" w:rsidP="00DD5A63">
            <w:pPr>
              <w:pStyle w:val="DoNotTranslateExternal1"/>
            </w:pPr>
            <w:r>
              <w:t>3</w:t>
            </w:r>
          </w:p>
        </w:tc>
        <w:tc>
          <w:tcPr>
            <w:tcW w:w="290" w:type="pct"/>
            <w:vAlign w:val="center"/>
          </w:tcPr>
          <w:p w:rsidR="00B1693F" w:rsidRPr="000F24AD" w:rsidRDefault="00B1693F" w:rsidP="005B53B6">
            <w:pPr>
              <w:pStyle w:val="Tabelki"/>
              <w:jc w:val="center"/>
              <w:rPr>
                <w:color w:val="1F497D"/>
              </w:rPr>
            </w:pPr>
            <w:r>
              <w:rPr>
                <w:color w:val="1F497D"/>
              </w:rPr>
              <w:t>0%</w:t>
            </w:r>
          </w:p>
        </w:tc>
        <w:tc>
          <w:tcPr>
            <w:tcW w:w="217" w:type="pct"/>
            <w:noWrap/>
            <w:vAlign w:val="center"/>
            <w:hideMark/>
          </w:tcPr>
          <w:p w:rsidR="00B1693F" w:rsidRPr="00DB4F81" w:rsidRDefault="00B1693F" w:rsidP="00DD5A63">
            <w:pPr>
              <w:pStyle w:val="DoNotTranslateExternal1"/>
            </w:pPr>
            <w:r>
              <w:t>4</w:t>
            </w:r>
          </w:p>
        </w:tc>
        <w:tc>
          <w:tcPr>
            <w:tcW w:w="362" w:type="pct"/>
            <w:vAlign w:val="center"/>
          </w:tcPr>
          <w:p w:rsidR="00B1693F" w:rsidRPr="000F24AD" w:rsidRDefault="00B1693F" w:rsidP="005B53B6">
            <w:pPr>
              <w:pStyle w:val="Tabelki"/>
              <w:jc w:val="center"/>
              <w:rPr>
                <w:color w:val="1F497D"/>
              </w:rPr>
            </w:pPr>
            <w:r>
              <w:rPr>
                <w:color w:val="1F497D"/>
              </w:rPr>
              <w:t>100%</w:t>
            </w:r>
          </w:p>
        </w:tc>
        <w:tc>
          <w:tcPr>
            <w:tcW w:w="434" w:type="pct"/>
            <w:noWrap/>
            <w:vAlign w:val="center"/>
            <w:hideMark/>
          </w:tcPr>
          <w:p w:rsidR="00B1693F" w:rsidRPr="00DB4F81" w:rsidRDefault="00B1693F" w:rsidP="00DD5A63">
            <w:pPr>
              <w:pStyle w:val="DoNotTranslateExternal1"/>
            </w:pPr>
            <w:r>
              <w:t>1898</w:t>
            </w:r>
          </w:p>
        </w:tc>
        <w:tc>
          <w:tcPr>
            <w:tcW w:w="336" w:type="pct"/>
            <w:vAlign w:val="center"/>
          </w:tcPr>
          <w:p w:rsidR="00B1693F" w:rsidRPr="000F24AD" w:rsidRDefault="00B1693F" w:rsidP="005B53B6">
            <w:pPr>
              <w:pStyle w:val="Tabelki"/>
              <w:jc w:val="center"/>
              <w:rPr>
                <w:color w:val="1F497D"/>
              </w:rPr>
            </w:pPr>
            <w:r>
              <w:rPr>
                <w:color w:val="1F497D"/>
              </w:rPr>
              <w:t>17%</w:t>
            </w:r>
          </w:p>
        </w:tc>
      </w:tr>
      <w:tr w:rsidR="00B1693F" w:rsidRPr="00DB4F81" w:rsidTr="005948F0">
        <w:trPr>
          <w:trHeight w:val="255"/>
        </w:trPr>
        <w:tc>
          <w:tcPr>
            <w:tcW w:w="363" w:type="pct"/>
            <w:noWrap/>
            <w:vAlign w:val="center"/>
            <w:hideMark/>
          </w:tcPr>
          <w:p w:rsidR="00B1693F" w:rsidRPr="00DB4F81" w:rsidRDefault="00B1693F" w:rsidP="00DD5A63">
            <w:pPr>
              <w:pStyle w:val="DoNotTranslateExternal1"/>
            </w:pPr>
            <w:r>
              <w:t>2013</w:t>
            </w:r>
          </w:p>
        </w:tc>
        <w:tc>
          <w:tcPr>
            <w:tcW w:w="337" w:type="pct"/>
            <w:noWrap/>
            <w:vAlign w:val="center"/>
            <w:hideMark/>
          </w:tcPr>
          <w:p w:rsidR="00B1693F" w:rsidRPr="00DB4F81" w:rsidRDefault="00B1693F" w:rsidP="00DD5A63">
            <w:pPr>
              <w:pStyle w:val="DoNotTranslateExternal1"/>
            </w:pPr>
            <w:r>
              <w:t>1145</w:t>
            </w:r>
          </w:p>
        </w:tc>
        <w:tc>
          <w:tcPr>
            <w:tcW w:w="341" w:type="pct"/>
            <w:vAlign w:val="center"/>
          </w:tcPr>
          <w:p w:rsidR="00B1693F" w:rsidRPr="000F24AD" w:rsidRDefault="00B1693F" w:rsidP="005B53B6">
            <w:pPr>
              <w:pStyle w:val="Tabelki"/>
              <w:jc w:val="center"/>
              <w:rPr>
                <w:color w:val="1F497D"/>
              </w:rPr>
            </w:pPr>
            <w:r>
              <w:rPr>
                <w:color w:val="1F497D"/>
              </w:rPr>
              <w:t>-36%</w:t>
            </w:r>
          </w:p>
        </w:tc>
        <w:tc>
          <w:tcPr>
            <w:tcW w:w="373" w:type="pct"/>
            <w:noWrap/>
            <w:vAlign w:val="center"/>
            <w:hideMark/>
          </w:tcPr>
          <w:p w:rsidR="00B1693F" w:rsidRPr="00DB4F81" w:rsidRDefault="00B1693F" w:rsidP="00DD5A63">
            <w:pPr>
              <w:pStyle w:val="DoNotTranslateExternal1"/>
            </w:pPr>
            <w:r>
              <w:t>83</w:t>
            </w:r>
          </w:p>
        </w:tc>
        <w:tc>
          <w:tcPr>
            <w:tcW w:w="351" w:type="pct"/>
            <w:vAlign w:val="center"/>
          </w:tcPr>
          <w:p w:rsidR="00B1693F" w:rsidRPr="000F24AD" w:rsidRDefault="00B1693F" w:rsidP="005B53B6">
            <w:pPr>
              <w:pStyle w:val="Tabelki"/>
              <w:jc w:val="center"/>
              <w:rPr>
                <w:color w:val="1F497D"/>
              </w:rPr>
            </w:pPr>
            <w:r>
              <w:rPr>
                <w:color w:val="1F497D"/>
              </w:rPr>
              <w:t>57%</w:t>
            </w:r>
          </w:p>
        </w:tc>
        <w:tc>
          <w:tcPr>
            <w:tcW w:w="294" w:type="pct"/>
            <w:noWrap/>
            <w:vAlign w:val="center"/>
            <w:hideMark/>
          </w:tcPr>
          <w:p w:rsidR="00B1693F" w:rsidRPr="00DB4F81" w:rsidRDefault="00B1693F" w:rsidP="00DD5A63">
            <w:pPr>
              <w:pStyle w:val="DoNotTranslateExternal1"/>
            </w:pPr>
            <w:r>
              <w:t>13</w:t>
            </w:r>
          </w:p>
        </w:tc>
        <w:tc>
          <w:tcPr>
            <w:tcW w:w="430" w:type="pct"/>
            <w:vAlign w:val="center"/>
          </w:tcPr>
          <w:p w:rsidR="00B1693F" w:rsidRPr="000F24AD" w:rsidRDefault="00B1693F" w:rsidP="005B53B6">
            <w:pPr>
              <w:pStyle w:val="Tabelki"/>
              <w:jc w:val="center"/>
              <w:rPr>
                <w:color w:val="1F497D"/>
              </w:rPr>
            </w:pPr>
            <w:r>
              <w:rPr>
                <w:color w:val="1F497D"/>
              </w:rPr>
              <w:t>160%</w:t>
            </w:r>
          </w:p>
        </w:tc>
        <w:tc>
          <w:tcPr>
            <w:tcW w:w="218" w:type="pct"/>
            <w:noWrap/>
            <w:vAlign w:val="center"/>
            <w:hideMark/>
          </w:tcPr>
          <w:p w:rsidR="00B1693F" w:rsidRPr="00DB4F81" w:rsidRDefault="00B1693F" w:rsidP="00DD5A63">
            <w:pPr>
              <w:pStyle w:val="DoNotTranslateExternal1"/>
            </w:pPr>
            <w:r>
              <w:t>34</w:t>
            </w:r>
          </w:p>
        </w:tc>
        <w:tc>
          <w:tcPr>
            <w:tcW w:w="363" w:type="pct"/>
            <w:vAlign w:val="center"/>
          </w:tcPr>
          <w:p w:rsidR="00B1693F" w:rsidRPr="000F24AD" w:rsidRDefault="00B1693F" w:rsidP="005B53B6">
            <w:pPr>
              <w:pStyle w:val="Tabelki"/>
              <w:jc w:val="center"/>
              <w:rPr>
                <w:color w:val="1F497D"/>
              </w:rPr>
            </w:pPr>
            <w:r>
              <w:rPr>
                <w:color w:val="1F497D"/>
              </w:rPr>
              <w:t>3%</w:t>
            </w:r>
          </w:p>
        </w:tc>
        <w:tc>
          <w:tcPr>
            <w:tcW w:w="290" w:type="pct"/>
            <w:noWrap/>
            <w:vAlign w:val="center"/>
            <w:hideMark/>
          </w:tcPr>
          <w:p w:rsidR="00B1693F" w:rsidRPr="00DB4F81" w:rsidRDefault="00B1693F" w:rsidP="00DD5A63">
            <w:pPr>
              <w:pStyle w:val="DoNotTranslateExternal1"/>
            </w:pPr>
            <w:r>
              <w:t>1</w:t>
            </w:r>
          </w:p>
        </w:tc>
        <w:tc>
          <w:tcPr>
            <w:tcW w:w="290" w:type="pct"/>
            <w:vAlign w:val="center"/>
          </w:tcPr>
          <w:p w:rsidR="00B1693F" w:rsidRPr="000F24AD" w:rsidRDefault="00B1693F" w:rsidP="005B53B6">
            <w:pPr>
              <w:pStyle w:val="Tabelki"/>
              <w:jc w:val="center"/>
              <w:rPr>
                <w:color w:val="1F497D"/>
              </w:rPr>
            </w:pPr>
            <w:r>
              <w:rPr>
                <w:color w:val="1F497D"/>
              </w:rPr>
              <w:t>-67%</w:t>
            </w:r>
          </w:p>
        </w:tc>
        <w:tc>
          <w:tcPr>
            <w:tcW w:w="217" w:type="pct"/>
            <w:noWrap/>
            <w:vAlign w:val="center"/>
            <w:hideMark/>
          </w:tcPr>
          <w:p w:rsidR="00B1693F" w:rsidRPr="00DB4F81" w:rsidRDefault="00B1693F" w:rsidP="00DD5A63">
            <w:pPr>
              <w:pStyle w:val="DoNotTranslateExternal1"/>
            </w:pPr>
            <w:r>
              <w:t>2</w:t>
            </w:r>
          </w:p>
        </w:tc>
        <w:tc>
          <w:tcPr>
            <w:tcW w:w="362" w:type="pct"/>
            <w:vAlign w:val="center"/>
          </w:tcPr>
          <w:p w:rsidR="00B1693F" w:rsidRPr="000F24AD" w:rsidRDefault="00B1693F" w:rsidP="005B53B6">
            <w:pPr>
              <w:pStyle w:val="Tabelki"/>
              <w:jc w:val="center"/>
              <w:rPr>
                <w:color w:val="1F497D"/>
              </w:rPr>
            </w:pPr>
            <w:r>
              <w:rPr>
                <w:color w:val="1F497D"/>
              </w:rPr>
              <w:t>-50%</w:t>
            </w:r>
          </w:p>
        </w:tc>
        <w:tc>
          <w:tcPr>
            <w:tcW w:w="434" w:type="pct"/>
            <w:noWrap/>
            <w:vAlign w:val="center"/>
            <w:hideMark/>
          </w:tcPr>
          <w:p w:rsidR="00B1693F" w:rsidRPr="00DB4F81" w:rsidRDefault="00B1693F" w:rsidP="00DD5A63">
            <w:pPr>
              <w:pStyle w:val="DoNotTranslateExternal1"/>
            </w:pPr>
            <w:r>
              <w:t>1278</w:t>
            </w:r>
          </w:p>
        </w:tc>
        <w:tc>
          <w:tcPr>
            <w:tcW w:w="336" w:type="pct"/>
            <w:vAlign w:val="center"/>
          </w:tcPr>
          <w:p w:rsidR="00B1693F" w:rsidRPr="000F24AD" w:rsidRDefault="00B1693F" w:rsidP="005B53B6">
            <w:pPr>
              <w:pStyle w:val="Tabelki"/>
              <w:jc w:val="center"/>
              <w:rPr>
                <w:color w:val="1F497D"/>
              </w:rPr>
            </w:pPr>
            <w:r>
              <w:rPr>
                <w:color w:val="1F497D"/>
              </w:rPr>
              <w:t>-33%</w:t>
            </w:r>
          </w:p>
        </w:tc>
      </w:tr>
      <w:tr w:rsidR="00B1693F" w:rsidRPr="00DB4F81" w:rsidTr="005948F0">
        <w:trPr>
          <w:trHeight w:val="349"/>
        </w:trPr>
        <w:tc>
          <w:tcPr>
            <w:tcW w:w="363" w:type="pct"/>
            <w:noWrap/>
            <w:vAlign w:val="center"/>
          </w:tcPr>
          <w:p w:rsidR="00B1693F" w:rsidRPr="00DB4F81" w:rsidRDefault="00B1693F" w:rsidP="00DD5A63">
            <w:pPr>
              <w:pStyle w:val="DoNotTranslateExternal1"/>
            </w:pPr>
            <w:r>
              <w:t>2014</w:t>
            </w:r>
          </w:p>
        </w:tc>
        <w:tc>
          <w:tcPr>
            <w:tcW w:w="337" w:type="pct"/>
            <w:noWrap/>
            <w:vAlign w:val="center"/>
          </w:tcPr>
          <w:p w:rsidR="00B1693F" w:rsidRPr="00DB4F81" w:rsidRDefault="00B1693F" w:rsidP="00DD5A63">
            <w:pPr>
              <w:pStyle w:val="DoNotTranslateExternal1"/>
            </w:pPr>
            <w:r>
              <w:t>1293</w:t>
            </w:r>
          </w:p>
        </w:tc>
        <w:tc>
          <w:tcPr>
            <w:tcW w:w="341" w:type="pct"/>
            <w:vAlign w:val="center"/>
          </w:tcPr>
          <w:p w:rsidR="00B1693F" w:rsidRPr="000F24AD" w:rsidRDefault="00B1693F" w:rsidP="005B53B6">
            <w:pPr>
              <w:pStyle w:val="Tabelki"/>
              <w:jc w:val="center"/>
              <w:rPr>
                <w:color w:val="1F497D"/>
              </w:rPr>
            </w:pPr>
            <w:r>
              <w:rPr>
                <w:color w:val="1F497D"/>
              </w:rPr>
              <w:t>13%</w:t>
            </w:r>
          </w:p>
        </w:tc>
        <w:tc>
          <w:tcPr>
            <w:tcW w:w="373" w:type="pct"/>
            <w:noWrap/>
            <w:vAlign w:val="center"/>
          </w:tcPr>
          <w:p w:rsidR="00B1693F" w:rsidRPr="00DB4F81" w:rsidRDefault="00B1693F" w:rsidP="00DD5A63">
            <w:pPr>
              <w:pStyle w:val="DoNotTranslateExternal1"/>
            </w:pPr>
            <w:r>
              <w:t>77</w:t>
            </w:r>
          </w:p>
        </w:tc>
        <w:tc>
          <w:tcPr>
            <w:tcW w:w="351" w:type="pct"/>
            <w:vAlign w:val="center"/>
          </w:tcPr>
          <w:p w:rsidR="00B1693F" w:rsidRPr="000F24AD" w:rsidRDefault="00B1693F" w:rsidP="005B53B6">
            <w:pPr>
              <w:pStyle w:val="Tabelki"/>
              <w:jc w:val="center"/>
              <w:rPr>
                <w:color w:val="1F497D"/>
              </w:rPr>
            </w:pPr>
            <w:r>
              <w:rPr>
                <w:color w:val="1F497D"/>
              </w:rPr>
              <w:t>-7%</w:t>
            </w:r>
          </w:p>
        </w:tc>
        <w:tc>
          <w:tcPr>
            <w:tcW w:w="294" w:type="pct"/>
            <w:noWrap/>
            <w:vAlign w:val="center"/>
          </w:tcPr>
          <w:p w:rsidR="00B1693F" w:rsidRPr="00DB4F81" w:rsidRDefault="008D1B4D" w:rsidP="00DD5A63">
            <w:pPr>
              <w:pStyle w:val="DoNotTranslateExternal1"/>
            </w:pPr>
            <w:r>
              <w:t>10</w:t>
            </w:r>
          </w:p>
        </w:tc>
        <w:tc>
          <w:tcPr>
            <w:tcW w:w="430" w:type="pct"/>
            <w:vAlign w:val="center"/>
          </w:tcPr>
          <w:p w:rsidR="00B1693F" w:rsidRPr="000F24AD" w:rsidRDefault="008D1B4D" w:rsidP="005B53B6">
            <w:pPr>
              <w:pStyle w:val="Tabelki"/>
              <w:jc w:val="center"/>
              <w:rPr>
                <w:color w:val="1F497D"/>
              </w:rPr>
            </w:pPr>
            <w:r>
              <w:rPr>
                <w:color w:val="1F497D"/>
              </w:rPr>
              <w:t>-21.3%</w:t>
            </w:r>
          </w:p>
        </w:tc>
        <w:tc>
          <w:tcPr>
            <w:tcW w:w="218" w:type="pct"/>
            <w:noWrap/>
            <w:vAlign w:val="center"/>
          </w:tcPr>
          <w:p w:rsidR="00B1693F" w:rsidRPr="00DB4F81" w:rsidRDefault="00B1693F" w:rsidP="00DD5A63">
            <w:pPr>
              <w:pStyle w:val="DoNotTranslateExternal1"/>
            </w:pPr>
            <w:r>
              <w:t>64</w:t>
            </w:r>
          </w:p>
        </w:tc>
        <w:tc>
          <w:tcPr>
            <w:tcW w:w="363" w:type="pct"/>
            <w:vAlign w:val="center"/>
          </w:tcPr>
          <w:p w:rsidR="00B1693F" w:rsidRPr="000F24AD" w:rsidRDefault="00B1693F" w:rsidP="005B53B6">
            <w:pPr>
              <w:pStyle w:val="Tabelki"/>
              <w:jc w:val="center"/>
              <w:rPr>
                <w:color w:val="1F497D"/>
              </w:rPr>
            </w:pPr>
            <w:r>
              <w:rPr>
                <w:color w:val="1F497D"/>
              </w:rPr>
              <w:t>88%</w:t>
            </w:r>
          </w:p>
        </w:tc>
        <w:tc>
          <w:tcPr>
            <w:tcW w:w="290" w:type="pct"/>
            <w:noWrap/>
            <w:vAlign w:val="center"/>
          </w:tcPr>
          <w:p w:rsidR="00B1693F" w:rsidRPr="00DB4F81" w:rsidRDefault="00B1693F" w:rsidP="00DD5A63">
            <w:pPr>
              <w:pStyle w:val="DoNotTranslateExternal1"/>
            </w:pPr>
            <w:r>
              <w:t>1</w:t>
            </w:r>
          </w:p>
        </w:tc>
        <w:tc>
          <w:tcPr>
            <w:tcW w:w="290" w:type="pct"/>
            <w:vAlign w:val="center"/>
          </w:tcPr>
          <w:p w:rsidR="00B1693F" w:rsidRPr="000F24AD" w:rsidRDefault="00B1693F" w:rsidP="005B53B6">
            <w:pPr>
              <w:pStyle w:val="Tabelki"/>
              <w:jc w:val="center"/>
              <w:rPr>
                <w:color w:val="1F497D"/>
              </w:rPr>
            </w:pPr>
            <w:r>
              <w:rPr>
                <w:color w:val="1F497D"/>
              </w:rPr>
              <w:t>0%</w:t>
            </w:r>
          </w:p>
        </w:tc>
        <w:tc>
          <w:tcPr>
            <w:tcW w:w="217" w:type="pct"/>
            <w:noWrap/>
            <w:vAlign w:val="center"/>
          </w:tcPr>
          <w:p w:rsidR="00B1693F" w:rsidRPr="00DB4F81" w:rsidRDefault="00B1693F" w:rsidP="00DD5A63">
            <w:pPr>
              <w:pStyle w:val="DoNotTranslateExternal1"/>
            </w:pPr>
            <w:r>
              <w:t>0</w:t>
            </w:r>
          </w:p>
        </w:tc>
        <w:tc>
          <w:tcPr>
            <w:tcW w:w="362" w:type="pct"/>
            <w:vAlign w:val="center"/>
          </w:tcPr>
          <w:p w:rsidR="00B1693F" w:rsidRPr="000F24AD" w:rsidRDefault="00B1693F" w:rsidP="005B53B6">
            <w:pPr>
              <w:pStyle w:val="Tabelki"/>
              <w:jc w:val="center"/>
              <w:rPr>
                <w:color w:val="1F497D"/>
              </w:rPr>
            </w:pPr>
            <w:r>
              <w:rPr>
                <w:color w:val="1F497D"/>
              </w:rPr>
              <w:t>-100%</w:t>
            </w:r>
          </w:p>
        </w:tc>
        <w:tc>
          <w:tcPr>
            <w:tcW w:w="434" w:type="pct"/>
            <w:noWrap/>
            <w:vAlign w:val="center"/>
          </w:tcPr>
          <w:p w:rsidR="00B1693F" w:rsidRPr="00DB4F81" w:rsidRDefault="00EB362A" w:rsidP="00DD5A63">
            <w:pPr>
              <w:pStyle w:val="DoNotTranslateExternal1"/>
            </w:pPr>
            <w:r>
              <w:t>1445</w:t>
            </w:r>
          </w:p>
        </w:tc>
        <w:tc>
          <w:tcPr>
            <w:tcW w:w="336" w:type="pct"/>
            <w:vAlign w:val="center"/>
          </w:tcPr>
          <w:p w:rsidR="00B1693F" w:rsidRPr="000F24AD" w:rsidRDefault="00B1693F" w:rsidP="005B53B6">
            <w:pPr>
              <w:pStyle w:val="Tabelki"/>
              <w:jc w:val="center"/>
              <w:rPr>
                <w:color w:val="1F497D"/>
              </w:rPr>
            </w:pPr>
            <w:r>
              <w:rPr>
                <w:color w:val="1F497D"/>
              </w:rPr>
              <w:t>37%</w:t>
            </w:r>
          </w:p>
        </w:tc>
      </w:tr>
    </w:tbl>
    <w:p w:rsidR="00B1693F" w:rsidRPr="00DB4F81" w:rsidRDefault="00B1693F" w:rsidP="00B1693F">
      <w:pPr>
        <w:pStyle w:val="rda"/>
        <w:rPr>
          <w:color w:val="1F497D" w:themeColor="text2"/>
          <w:szCs w:val="18"/>
        </w:rPr>
      </w:pPr>
      <w:r>
        <w:rPr>
          <w:color w:val="1F497D" w:themeColor="text2"/>
        </w:rPr>
        <w:t>Source: own work.</w:t>
      </w:r>
    </w:p>
    <w:p w:rsidR="006A185C" w:rsidRDefault="00B1693F" w:rsidP="005704D2">
      <w:pPr>
        <w:pStyle w:val="Tekstzwyky"/>
        <w:keepLines/>
        <w:rPr>
          <w:rFonts w:ascii="Arial" w:hAnsi="Arial"/>
          <w:color w:val="1F497D" w:themeColor="text2"/>
        </w:rPr>
      </w:pPr>
      <w:r>
        <w:rPr>
          <w:rFonts w:ascii="Arial" w:hAnsi="Arial"/>
          <w:color w:val="1F497D" w:themeColor="text2"/>
        </w:rPr>
        <w:t xml:space="preserve">The overall number of precursors of accidents in 2014 </w:t>
      </w:r>
      <w:r>
        <w:rPr>
          <w:rFonts w:ascii="Arial" w:hAnsi="Arial"/>
          <w:b/>
          <w:color w:val="1F497D" w:themeColor="text2"/>
        </w:rPr>
        <w:t>increased by</w:t>
      </w:r>
      <w:r>
        <w:rPr>
          <w:rFonts w:ascii="Arial" w:hAnsi="Arial"/>
          <w:color w:val="1F497D" w:themeColor="text2"/>
        </w:rPr>
        <w:t xml:space="preserve"> 37% compared with 2013, i.e. from a total of 1 278 to 1 748 (an increase of 470 precursors). In all the years listed in the table, broken rails comprised the largest group of precursors of accidents, accounting for 74% of all precursors in 2014. The number of occurrences related to passing a signal at danger also increased; this was the subject of meetings of UTK representatives with rail market entities.</w:t>
      </w:r>
    </w:p>
    <w:p w:rsidR="006A185C" w:rsidRDefault="006A185C">
      <w:pPr>
        <w:spacing w:before="0" w:after="0" w:line="240" w:lineRule="auto"/>
        <w:jc w:val="left"/>
        <w:rPr>
          <w:rFonts w:cs="Times New Roman"/>
          <w:color w:val="1F497D" w:themeColor="text2"/>
          <w:szCs w:val="20"/>
        </w:rPr>
      </w:pPr>
      <w:r>
        <w:rPr>
          <w:color w:val="1F497D" w:themeColor="text2"/>
        </w:rPr>
        <w:br w:type="page"/>
      </w:r>
    </w:p>
    <w:p w:rsidR="00B1693F" w:rsidRDefault="00B1693F" w:rsidP="005704D2">
      <w:pPr>
        <w:pStyle w:val="Tekstzwyky"/>
        <w:keepLines/>
        <w:rPr>
          <w:rFonts w:ascii="Arial" w:hAnsi="Arial" w:cs="Arial"/>
          <w:color w:val="1F497D" w:themeColor="text2"/>
          <w:szCs w:val="18"/>
        </w:rPr>
      </w:pPr>
    </w:p>
    <w:p w:rsidR="007F5DC2" w:rsidRPr="00DB4F81" w:rsidRDefault="007F5DC2" w:rsidP="007F5DC2">
      <w:pPr>
        <w:pStyle w:val="Rysunek0"/>
        <w:rPr>
          <w:color w:val="1F497D" w:themeColor="text2"/>
        </w:rPr>
      </w:pPr>
      <w:r>
        <w:rPr>
          <w:color w:val="1F497D" w:themeColor="text2"/>
        </w:rPr>
        <w:t>Number of precursors of accidents in 2009 – 2014</w:t>
      </w:r>
    </w:p>
    <w:tbl>
      <w:tblPr>
        <w:tblStyle w:val="TableGrid"/>
        <w:tblW w:w="0" w:type="auto"/>
        <w:tblLook w:val="04A0" w:firstRow="1" w:lastRow="0" w:firstColumn="1" w:lastColumn="0" w:noHBand="0" w:noVBand="1"/>
      </w:tblPr>
      <w:tblGrid>
        <w:gridCol w:w="9858"/>
      </w:tblGrid>
      <w:tr w:rsidR="006A185C" w:rsidTr="006A185C">
        <w:trPr>
          <w:cantSplit/>
        </w:trPr>
        <w:tc>
          <w:tcPr>
            <w:tcW w:w="9858" w:type="dxa"/>
            <w:tcBorders>
              <w:top w:val="nil"/>
              <w:left w:val="nil"/>
              <w:bottom w:val="nil"/>
              <w:right w:val="nil"/>
            </w:tcBorders>
            <w:hideMark/>
          </w:tcPr>
          <w:p w:rsidR="006A185C" w:rsidRDefault="006A185C">
            <w:pPr>
              <w:pStyle w:val="Tekstzwyky"/>
              <w:spacing w:before="0"/>
              <w:rPr>
                <w:rFonts w:ascii="Arial" w:hAnsi="Arial" w:cs="Arial"/>
                <w:color w:val="1F497D" w:themeColor="text2"/>
                <w:szCs w:val="18"/>
              </w:rPr>
            </w:pPr>
            <w:r>
              <w:rPr>
                <w:noProof/>
                <w:lang w:val="fr-LU" w:eastAsia="fr-LU" w:bidi="ar-SA"/>
              </w:rPr>
              <mc:AlternateContent>
                <mc:Choice Requires="wps">
                  <w:drawing>
                    <wp:anchor distT="0" distB="0" distL="114300" distR="114300" simplePos="0" relativeHeight="251657216" behindDoc="0" locked="0" layoutInCell="1" allowOverlap="1">
                      <wp:simplePos x="0" y="0"/>
                      <wp:positionH relativeFrom="column">
                        <wp:posOffset>4689475</wp:posOffset>
                      </wp:positionH>
                      <wp:positionV relativeFrom="paragraph">
                        <wp:posOffset>187325</wp:posOffset>
                      </wp:positionV>
                      <wp:extent cx="466725" cy="248285"/>
                      <wp:effectExtent l="0" t="0" r="0" b="0"/>
                      <wp:wrapNone/>
                      <wp:docPr id="41" name="Rectangle 41"/>
                      <wp:cNvGraphicFramePr/>
                      <a:graphic xmlns:a="http://schemas.openxmlformats.org/drawingml/2006/main">
                        <a:graphicData uri="http://schemas.microsoft.com/office/word/2010/wordprocessingShape">
                          <wps:wsp>
                            <wps:cNvSpPr/>
                            <wps:spPr>
                              <a:xfrm>
                                <a:off x="0" y="0"/>
                                <a:ext cx="466725" cy="248285"/>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20F8" w:rsidRDefault="00AC20F8" w:rsidP="006A185C">
                                  <w:pPr>
                                    <w:spacing w:before="0" w:after="0" w:line="240" w:lineRule="auto"/>
                                    <w:jc w:val="center"/>
                                    <w:rPr>
                                      <w:color w:val="000000" w:themeColor="text1"/>
                                      <w:sz w:val="16"/>
                                      <w:szCs w:val="16"/>
                                    </w:rPr>
                                  </w:pPr>
                                  <w:r>
                                    <w:rPr>
                                      <w:color w:val="000000" w:themeColor="text1"/>
                                      <w:sz w:val="16"/>
                                      <w:szCs w:val="16"/>
                                    </w:rPr>
                                    <w:t>1445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left:0;text-align:left;margin-left:369.25pt;margin-top:14.75pt;width:36.7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" fillcolor="white [3212]" stroked="f" strokeweight="2pt">
                      <v:fill opacity="0"/>
                      <v:textbox>
                        <w:txbxContent>
                          <w:p w:rsidR="00AC20F8" w:rsidRDefault="00AC20F8" w:rsidP="006A185C">
                            <w:pPr>
                              <w:spacing w:before="0" w:after="0" w:line="240" w:lineRule="auto"/>
                              <w:jc w:val="center"/>
                              <w:rPr>
                                <w:color w:val="000000" w:themeColor="text1"/>
                                <w:sz w:val="16"/>
                                <w:szCs w:val="16"/>
                              </w:rPr>
                            </w:pPr>
                            <w:r>
                              <w:rPr>
                                <w:color w:val="000000" w:themeColor="text1"/>
                                <w:sz w:val="16"/>
                                <w:szCs w:val="16"/>
                              </w:rPr>
                              <w:t>1445</w:t>
                            </w:r>
                          </w:p>
                        </w:txbxContent>
                      </v:textbox>
                    </v:rect>
                  </w:pict>
                </mc:Fallback>
              </mc:AlternateContent>
            </w:r>
            <w:r>
              <w:rPr>
                <w:noProof/>
                <w:lang w:val="fr-LU" w:eastAsia="fr-LU" w:bidi="ar-SA"/>
              </w:rPr>
              <mc:AlternateContent>
                <mc:Choice Requires="wps">
                  <w:drawing>
                    <wp:anchor distT="0" distB="0" distL="114300" distR="114300" simplePos="0" relativeHeight="251658240" behindDoc="0" locked="0" layoutInCell="1" allowOverlap="1">
                      <wp:simplePos x="0" y="0"/>
                      <wp:positionH relativeFrom="column">
                        <wp:posOffset>3872230</wp:posOffset>
                      </wp:positionH>
                      <wp:positionV relativeFrom="paragraph">
                        <wp:posOffset>333375</wp:posOffset>
                      </wp:positionV>
                      <wp:extent cx="466725" cy="248285"/>
                      <wp:effectExtent l="0" t="0" r="0" b="0"/>
                      <wp:wrapNone/>
                      <wp:docPr id="40" name="Rectangle 40"/>
                      <wp:cNvGraphicFramePr/>
                      <a:graphic xmlns:a="http://schemas.openxmlformats.org/drawingml/2006/main">
                        <a:graphicData uri="http://schemas.microsoft.com/office/word/2010/wordprocessingShape">
                          <wps:wsp>
                            <wps:cNvSpPr/>
                            <wps:spPr>
                              <a:xfrm>
                                <a:off x="0" y="0"/>
                                <a:ext cx="466725" cy="248285"/>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20F8" w:rsidRDefault="00AC20F8" w:rsidP="006A185C">
                                  <w:pPr>
                                    <w:spacing w:before="0" w:after="0" w:line="240" w:lineRule="auto"/>
                                    <w:jc w:val="center"/>
                                    <w:rPr>
                                      <w:color w:val="000000" w:themeColor="text1"/>
                                      <w:sz w:val="16"/>
                                      <w:szCs w:val="16"/>
                                    </w:rPr>
                                  </w:pPr>
                                  <w:r>
                                    <w:rPr>
                                      <w:color w:val="000000" w:themeColor="text1"/>
                                      <w:sz w:val="16"/>
                                      <w:szCs w:val="16"/>
                                    </w:rPr>
                                    <w:t>1278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left:0;text-align:left;margin-left:304.9pt;margin-top:26.25pt;width:36.7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" fillcolor="white [3212]" stroked="f" strokeweight="2pt">
                      <v:fill opacity="0"/>
                      <v:textbox>
                        <w:txbxContent>
                          <w:p w:rsidR="00AC20F8" w:rsidRDefault="00AC20F8" w:rsidP="006A185C">
                            <w:pPr>
                              <w:spacing w:before="0" w:after="0" w:line="240" w:lineRule="auto"/>
                              <w:jc w:val="center"/>
                              <w:rPr>
                                <w:color w:val="000000" w:themeColor="text1"/>
                                <w:sz w:val="16"/>
                                <w:szCs w:val="16"/>
                              </w:rPr>
                            </w:pPr>
                            <w:r>
                              <w:rPr>
                                <w:color w:val="000000" w:themeColor="text1"/>
                                <w:sz w:val="16"/>
                                <w:szCs w:val="16"/>
                              </w:rPr>
                              <w:t>1278</w:t>
                            </w:r>
                          </w:p>
                        </w:txbxContent>
                      </v:textbox>
                    </v:rect>
                  </w:pict>
                </mc:Fallback>
              </mc:AlternateContent>
            </w:r>
            <w:r>
              <w:rPr>
                <w:noProof/>
                <w:color w:val="1F497D" w:themeColor="text2"/>
                <w:lang w:val="fr-LU" w:eastAsia="fr-LU" w:bidi="ar-SA"/>
              </w:rPr>
              <w:drawing>
                <wp:inline distT="0" distB="0" distL="0" distR="0">
                  <wp:extent cx="5486400" cy="2122805"/>
                  <wp:effectExtent l="0" t="0" r="0" b="1079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A185C" w:rsidRDefault="006A185C">
            <w:pPr>
              <w:pStyle w:val="rda"/>
              <w:rPr>
                <w:color w:val="1F497D" w:themeColor="text2"/>
                <w:szCs w:val="18"/>
              </w:rPr>
            </w:pPr>
          </w:p>
        </w:tc>
      </w:tr>
    </w:tbl>
    <w:p w:rsidR="003A26DF" w:rsidRPr="003A26DF" w:rsidRDefault="006A185C" w:rsidP="006A185C">
      <w:pPr>
        <w:keepLines/>
        <w:spacing w:after="0"/>
        <w:rPr>
          <w:color w:val="1F497D" w:themeColor="text2"/>
        </w:rPr>
      </w:pPr>
      <w:r>
        <w:rPr>
          <w:noProof/>
          <w:lang w:val="fr-LU" w:eastAsia="fr-LU" w:bidi="ar-SA"/>
        </w:rPr>
        <w:t xml:space="preserve"> </w:t>
      </w:r>
      <w:r w:rsidR="003A26DF">
        <w:rPr>
          <w:color w:val="1F497D" w:themeColor="text2"/>
        </w:rPr>
        <w:t>Source: own work.</w:t>
      </w:r>
    </w:p>
    <w:p w:rsidR="00B1693F" w:rsidRPr="00DB4F81" w:rsidRDefault="00B1693F" w:rsidP="00B1693F">
      <w:pPr>
        <w:pStyle w:val="Heading3"/>
        <w:spacing w:after="120"/>
        <w:rPr>
          <w:color w:val="1F497D" w:themeColor="text2"/>
          <w:sz w:val="18"/>
          <w:szCs w:val="18"/>
        </w:rPr>
      </w:pPr>
      <w:r>
        <w:rPr>
          <w:color w:val="1F497D" w:themeColor="text2"/>
          <w:sz w:val="18"/>
        </w:rPr>
        <w:t>Cost of significant accidents</w:t>
      </w:r>
    </w:p>
    <w:p w:rsidR="00B1693F" w:rsidRDefault="00B1693F" w:rsidP="00B1693F">
      <w:pPr>
        <w:pStyle w:val="Tekstzwyky"/>
        <w:rPr>
          <w:rFonts w:ascii="Arial" w:hAnsi="Arial" w:cs="Arial"/>
          <w:color w:val="1F497D" w:themeColor="text2"/>
          <w:szCs w:val="18"/>
        </w:rPr>
      </w:pPr>
      <w:r>
        <w:rPr>
          <w:rFonts w:ascii="Arial" w:hAnsi="Arial"/>
          <w:color w:val="1F497D" w:themeColor="text2"/>
        </w:rPr>
        <w:t xml:space="preserve">The cost of significant accidents reached a peak in 2011; however, since then, a clear </w:t>
      </w:r>
      <w:r>
        <w:rPr>
          <w:rFonts w:ascii="Arial" w:hAnsi="Arial"/>
          <w:b/>
          <w:color w:val="1F497D" w:themeColor="text2"/>
        </w:rPr>
        <w:t>downward</w:t>
      </w:r>
      <w:r>
        <w:rPr>
          <w:rFonts w:ascii="Arial" w:hAnsi="Arial"/>
          <w:color w:val="1F497D" w:themeColor="text2"/>
        </w:rPr>
        <w:t xml:space="preserve"> trend can be observed. In 2014, these costs decreased by 6% compared with 2013, i.e. from EUR 189.82 million to EUR 170.22 million (a drop of EUR 10.01 million). The decreasing cost of accidents is due to the decreasing number of occurrences qualifying as significant accidents, and to a more accurate calculation of costs by all rail sector entities.</w:t>
      </w:r>
    </w:p>
    <w:p w:rsidR="00B1693F" w:rsidRPr="00DB4F81" w:rsidRDefault="00B1693F" w:rsidP="00B1693F">
      <w:pPr>
        <w:pStyle w:val="Tabele"/>
        <w:rPr>
          <w:color w:val="1F497D" w:themeColor="text2"/>
        </w:rPr>
      </w:pPr>
      <w:r>
        <w:rPr>
          <w:color w:val="1F497D" w:themeColor="text2"/>
        </w:rPr>
        <w:t>Cost of significant accidents in EUR in 2009 – 2014</w:t>
      </w:r>
    </w:p>
    <w:tbl>
      <w:tblPr>
        <w:tblStyle w:val="TableGrid"/>
        <w:tblW w:w="5000" w:type="pct"/>
        <w:tblLook w:val="04A0" w:firstRow="1" w:lastRow="0" w:firstColumn="1" w:lastColumn="0" w:noHBand="0" w:noVBand="1"/>
      </w:tblPr>
      <w:tblGrid>
        <w:gridCol w:w="1318"/>
        <w:gridCol w:w="6729"/>
        <w:gridCol w:w="1887"/>
      </w:tblGrid>
      <w:tr w:rsidR="00B1693F" w:rsidRPr="00DB4F81" w:rsidTr="006A7FAD">
        <w:trPr>
          <w:trHeight w:val="317"/>
        </w:trPr>
        <w:tc>
          <w:tcPr>
            <w:tcW w:w="663" w:type="pct"/>
            <w:tcBorders>
              <w:top w:val="double" w:sz="4" w:space="0" w:color="auto"/>
              <w:left w:val="double" w:sz="4" w:space="0" w:color="auto"/>
              <w:bottom w:val="double" w:sz="4" w:space="0" w:color="auto"/>
            </w:tcBorders>
            <w:shd w:val="clear" w:color="auto" w:fill="BFBFBF" w:themeFill="background1" w:themeFillShade="BF"/>
            <w:noWrap/>
            <w:hideMark/>
          </w:tcPr>
          <w:p w:rsidR="00B1693F" w:rsidRPr="00DB4F81" w:rsidRDefault="00B1693F" w:rsidP="005948F0">
            <w:pPr>
              <w:pStyle w:val="Tabelki"/>
              <w:spacing w:before="120" w:after="120"/>
              <w:jc w:val="center"/>
              <w:rPr>
                <w:b/>
                <w:color w:val="1F497D" w:themeColor="text2"/>
              </w:rPr>
            </w:pPr>
            <w:r>
              <w:rPr>
                <w:b/>
                <w:color w:val="1F497D" w:themeColor="text2"/>
              </w:rPr>
              <w:t>Year</w:t>
            </w:r>
          </w:p>
        </w:tc>
        <w:tc>
          <w:tcPr>
            <w:tcW w:w="3387" w:type="pct"/>
            <w:tcBorders>
              <w:top w:val="double" w:sz="4" w:space="0" w:color="auto"/>
              <w:bottom w:val="double" w:sz="4" w:space="0" w:color="auto"/>
            </w:tcBorders>
            <w:shd w:val="clear" w:color="auto" w:fill="BFBFBF" w:themeFill="background1" w:themeFillShade="BF"/>
            <w:noWrap/>
            <w:hideMark/>
          </w:tcPr>
          <w:p w:rsidR="00B1693F" w:rsidRPr="00DB4F81" w:rsidRDefault="00B1693F" w:rsidP="005948F0">
            <w:pPr>
              <w:pStyle w:val="Tabelki"/>
              <w:spacing w:before="120" w:after="120"/>
              <w:jc w:val="center"/>
              <w:rPr>
                <w:b/>
                <w:color w:val="1F497D" w:themeColor="text2"/>
              </w:rPr>
            </w:pPr>
            <w:r>
              <w:rPr>
                <w:b/>
                <w:color w:val="1F497D" w:themeColor="text2"/>
              </w:rPr>
              <w:t>Cost of significant accidents (EUR)</w:t>
            </w:r>
          </w:p>
        </w:tc>
        <w:tc>
          <w:tcPr>
            <w:tcW w:w="950" w:type="pct"/>
            <w:tcBorders>
              <w:top w:val="double" w:sz="4" w:space="0" w:color="auto"/>
              <w:bottom w:val="double" w:sz="4" w:space="0" w:color="auto"/>
              <w:right w:val="double" w:sz="4" w:space="0" w:color="auto"/>
            </w:tcBorders>
            <w:shd w:val="clear" w:color="auto" w:fill="BFBFBF" w:themeFill="background1" w:themeFillShade="BF"/>
          </w:tcPr>
          <w:p w:rsidR="00B1693F" w:rsidRPr="00DB4F81" w:rsidRDefault="00B1693F" w:rsidP="005948F0">
            <w:pPr>
              <w:pStyle w:val="Tabelki"/>
              <w:spacing w:before="120" w:after="120"/>
              <w:jc w:val="center"/>
              <w:rPr>
                <w:b/>
                <w:color w:val="1F497D" w:themeColor="text2"/>
              </w:rPr>
            </w:pPr>
            <w:r>
              <w:rPr>
                <w:b/>
                <w:color w:val="1F497D" w:themeColor="text2"/>
              </w:rPr>
              <w:t>Change</w:t>
            </w:r>
          </w:p>
        </w:tc>
      </w:tr>
      <w:tr w:rsidR="00B1693F" w:rsidRPr="00DB4F81" w:rsidTr="006A7FAD">
        <w:trPr>
          <w:trHeight w:val="255"/>
        </w:trPr>
        <w:tc>
          <w:tcPr>
            <w:tcW w:w="663" w:type="pct"/>
            <w:tcBorders>
              <w:top w:val="double" w:sz="4" w:space="0" w:color="auto"/>
              <w:left w:val="double" w:sz="4" w:space="0" w:color="auto"/>
            </w:tcBorders>
            <w:noWrap/>
            <w:hideMark/>
          </w:tcPr>
          <w:p w:rsidR="00B1693F" w:rsidRPr="00DB4F81" w:rsidRDefault="00B1693F" w:rsidP="00D75A46">
            <w:pPr>
              <w:pStyle w:val="DoNotTranslateExternal1"/>
            </w:pPr>
            <w:r>
              <w:t>2009</w:t>
            </w:r>
          </w:p>
        </w:tc>
        <w:tc>
          <w:tcPr>
            <w:tcW w:w="3387" w:type="pct"/>
            <w:tcBorders>
              <w:top w:val="double" w:sz="4" w:space="0" w:color="auto"/>
            </w:tcBorders>
            <w:noWrap/>
            <w:hideMark/>
          </w:tcPr>
          <w:p w:rsidR="00B1693F" w:rsidRPr="00DB4F81" w:rsidRDefault="00B1693F" w:rsidP="00D75A46">
            <w:pPr>
              <w:pStyle w:val="DoNotTranslateExternal1"/>
            </w:pPr>
            <w:r>
              <w:t>-</w:t>
            </w:r>
          </w:p>
        </w:tc>
        <w:tc>
          <w:tcPr>
            <w:tcW w:w="950" w:type="pct"/>
            <w:tcBorders>
              <w:top w:val="double" w:sz="4" w:space="0" w:color="auto"/>
              <w:right w:val="double" w:sz="4" w:space="0" w:color="auto"/>
            </w:tcBorders>
          </w:tcPr>
          <w:p w:rsidR="00B1693F" w:rsidRPr="00DB4F81" w:rsidRDefault="00B1693F" w:rsidP="00D75A46">
            <w:pPr>
              <w:pStyle w:val="DoNotTranslateExternal1"/>
            </w:pPr>
            <w:r>
              <w:t>-</w:t>
            </w:r>
          </w:p>
        </w:tc>
      </w:tr>
      <w:tr w:rsidR="00B1693F" w:rsidRPr="00DB4F81" w:rsidTr="006A7FAD">
        <w:trPr>
          <w:trHeight w:val="255"/>
        </w:trPr>
        <w:tc>
          <w:tcPr>
            <w:tcW w:w="663" w:type="pct"/>
            <w:tcBorders>
              <w:left w:val="double" w:sz="4" w:space="0" w:color="auto"/>
            </w:tcBorders>
            <w:noWrap/>
            <w:hideMark/>
          </w:tcPr>
          <w:p w:rsidR="00B1693F" w:rsidRPr="00DB4F81" w:rsidRDefault="00B1693F" w:rsidP="00D75A46">
            <w:pPr>
              <w:pStyle w:val="DoNotTranslateExternal1"/>
            </w:pPr>
            <w:r>
              <w:t>2010</w:t>
            </w:r>
          </w:p>
        </w:tc>
        <w:tc>
          <w:tcPr>
            <w:tcW w:w="3387" w:type="pct"/>
            <w:noWrap/>
            <w:hideMark/>
          </w:tcPr>
          <w:p w:rsidR="00B1693F" w:rsidRPr="00DB4F81" w:rsidRDefault="00B1693F" w:rsidP="00D75A46">
            <w:pPr>
              <w:pStyle w:val="DoNotTranslateExternal1"/>
            </w:pPr>
            <w:r>
              <w:t>195 644 579</w:t>
            </w:r>
          </w:p>
        </w:tc>
        <w:tc>
          <w:tcPr>
            <w:tcW w:w="950" w:type="pct"/>
            <w:tcBorders>
              <w:right w:val="double" w:sz="4" w:space="0" w:color="auto"/>
            </w:tcBorders>
          </w:tcPr>
          <w:p w:rsidR="00B1693F" w:rsidRPr="00DB4F81" w:rsidRDefault="00B1693F" w:rsidP="00D75A46">
            <w:pPr>
              <w:pStyle w:val="DoNotTranslateExternal1"/>
            </w:pPr>
            <w:r>
              <w:t>-</w:t>
            </w:r>
          </w:p>
        </w:tc>
      </w:tr>
      <w:tr w:rsidR="00B1693F" w:rsidRPr="00DB4F81" w:rsidTr="006A7FAD">
        <w:trPr>
          <w:trHeight w:val="255"/>
        </w:trPr>
        <w:tc>
          <w:tcPr>
            <w:tcW w:w="663" w:type="pct"/>
            <w:tcBorders>
              <w:left w:val="double" w:sz="4" w:space="0" w:color="auto"/>
            </w:tcBorders>
            <w:noWrap/>
            <w:hideMark/>
          </w:tcPr>
          <w:p w:rsidR="00B1693F" w:rsidRPr="00DB4F81" w:rsidRDefault="00B1693F" w:rsidP="00D75A46">
            <w:pPr>
              <w:pStyle w:val="DoNotTranslateExternal1"/>
            </w:pPr>
            <w:r>
              <w:t>2011</w:t>
            </w:r>
          </w:p>
        </w:tc>
        <w:tc>
          <w:tcPr>
            <w:tcW w:w="3387" w:type="pct"/>
            <w:noWrap/>
            <w:hideMark/>
          </w:tcPr>
          <w:p w:rsidR="00B1693F" w:rsidRPr="00DB4F81" w:rsidRDefault="00B1693F" w:rsidP="00D75A46">
            <w:pPr>
              <w:pStyle w:val="DoNotTranslateExternal1"/>
            </w:pPr>
            <w:r>
              <w:t>236 523 677</w:t>
            </w:r>
          </w:p>
        </w:tc>
        <w:tc>
          <w:tcPr>
            <w:tcW w:w="950" w:type="pct"/>
            <w:tcBorders>
              <w:right w:val="double" w:sz="4" w:space="0" w:color="auto"/>
            </w:tcBorders>
          </w:tcPr>
          <w:p w:rsidR="00B1693F" w:rsidRPr="000F24AD" w:rsidRDefault="00B1693F" w:rsidP="005B53B6">
            <w:pPr>
              <w:pStyle w:val="Tabelki"/>
              <w:jc w:val="center"/>
              <w:rPr>
                <w:color w:val="1F497D"/>
              </w:rPr>
            </w:pPr>
            <w:r>
              <w:rPr>
                <w:color w:val="1F497D"/>
              </w:rPr>
              <w:t>21%</w:t>
            </w:r>
          </w:p>
        </w:tc>
      </w:tr>
      <w:tr w:rsidR="00B1693F" w:rsidRPr="00DB4F81" w:rsidTr="006A7FAD">
        <w:trPr>
          <w:trHeight w:val="255"/>
        </w:trPr>
        <w:tc>
          <w:tcPr>
            <w:tcW w:w="663" w:type="pct"/>
            <w:tcBorders>
              <w:left w:val="double" w:sz="4" w:space="0" w:color="auto"/>
            </w:tcBorders>
            <w:noWrap/>
            <w:hideMark/>
          </w:tcPr>
          <w:p w:rsidR="00B1693F" w:rsidRPr="00DB4F81" w:rsidRDefault="00B1693F" w:rsidP="00D75A46">
            <w:pPr>
              <w:pStyle w:val="DoNotTranslateExternal1"/>
            </w:pPr>
            <w:r>
              <w:t>2012</w:t>
            </w:r>
          </w:p>
        </w:tc>
        <w:tc>
          <w:tcPr>
            <w:tcW w:w="3387" w:type="pct"/>
            <w:noWrap/>
            <w:hideMark/>
          </w:tcPr>
          <w:p w:rsidR="00B1693F" w:rsidRPr="00DB4F81" w:rsidRDefault="00B1693F" w:rsidP="00D75A46">
            <w:pPr>
              <w:pStyle w:val="DoNotTranslateExternal1"/>
            </w:pPr>
            <w:r>
              <w:t>189 819 756</w:t>
            </w:r>
          </w:p>
        </w:tc>
        <w:tc>
          <w:tcPr>
            <w:tcW w:w="950" w:type="pct"/>
            <w:tcBorders>
              <w:right w:val="double" w:sz="4" w:space="0" w:color="auto"/>
            </w:tcBorders>
          </w:tcPr>
          <w:p w:rsidR="00B1693F" w:rsidRPr="000F24AD" w:rsidRDefault="00B1693F" w:rsidP="005B53B6">
            <w:pPr>
              <w:pStyle w:val="Tabelki"/>
              <w:jc w:val="center"/>
              <w:rPr>
                <w:color w:val="1F497D"/>
              </w:rPr>
            </w:pPr>
            <w:r>
              <w:rPr>
                <w:color w:val="1F497D"/>
              </w:rPr>
              <w:t>-20%</w:t>
            </w:r>
          </w:p>
        </w:tc>
      </w:tr>
      <w:tr w:rsidR="00B1693F" w:rsidRPr="00DB4F81" w:rsidTr="006A7FAD">
        <w:trPr>
          <w:trHeight w:val="255"/>
        </w:trPr>
        <w:tc>
          <w:tcPr>
            <w:tcW w:w="663" w:type="pct"/>
            <w:tcBorders>
              <w:left w:val="double" w:sz="4" w:space="0" w:color="auto"/>
            </w:tcBorders>
            <w:noWrap/>
            <w:hideMark/>
          </w:tcPr>
          <w:p w:rsidR="00B1693F" w:rsidRPr="00DB4F81" w:rsidRDefault="00B1693F" w:rsidP="00D75A46">
            <w:pPr>
              <w:pStyle w:val="DoNotTranslateExternal1"/>
            </w:pPr>
            <w:r>
              <w:t>2013</w:t>
            </w:r>
          </w:p>
        </w:tc>
        <w:tc>
          <w:tcPr>
            <w:tcW w:w="3387" w:type="pct"/>
            <w:noWrap/>
            <w:hideMark/>
          </w:tcPr>
          <w:p w:rsidR="00B1693F" w:rsidRPr="00DB4F81" w:rsidRDefault="00B1693F" w:rsidP="00D75A46">
            <w:pPr>
              <w:pStyle w:val="DoNotTranslateExternal1"/>
            </w:pPr>
            <w:r>
              <w:t>170 223 520</w:t>
            </w:r>
          </w:p>
        </w:tc>
        <w:tc>
          <w:tcPr>
            <w:tcW w:w="950" w:type="pct"/>
            <w:tcBorders>
              <w:right w:val="double" w:sz="4" w:space="0" w:color="auto"/>
            </w:tcBorders>
          </w:tcPr>
          <w:p w:rsidR="00B1693F" w:rsidRPr="000F24AD" w:rsidRDefault="00B1693F" w:rsidP="005B53B6">
            <w:pPr>
              <w:pStyle w:val="Tabelki"/>
              <w:jc w:val="center"/>
              <w:rPr>
                <w:color w:val="1F497D"/>
              </w:rPr>
            </w:pPr>
            <w:r>
              <w:rPr>
                <w:color w:val="1F497D"/>
              </w:rPr>
              <w:t>-10%</w:t>
            </w:r>
          </w:p>
        </w:tc>
      </w:tr>
      <w:tr w:rsidR="00B1693F" w:rsidRPr="00DB4F81" w:rsidTr="006A7FAD">
        <w:trPr>
          <w:trHeight w:val="255"/>
        </w:trPr>
        <w:tc>
          <w:tcPr>
            <w:tcW w:w="663" w:type="pct"/>
            <w:tcBorders>
              <w:left w:val="double" w:sz="4" w:space="0" w:color="auto"/>
              <w:bottom w:val="double" w:sz="4" w:space="0" w:color="auto"/>
            </w:tcBorders>
            <w:noWrap/>
          </w:tcPr>
          <w:p w:rsidR="00B1693F" w:rsidRPr="00DB4F81" w:rsidRDefault="00B1693F" w:rsidP="00D75A46">
            <w:pPr>
              <w:pStyle w:val="DoNotTranslateExternal1"/>
            </w:pPr>
            <w:r>
              <w:t>2014</w:t>
            </w:r>
          </w:p>
        </w:tc>
        <w:tc>
          <w:tcPr>
            <w:tcW w:w="3387" w:type="pct"/>
            <w:tcBorders>
              <w:bottom w:val="double" w:sz="4" w:space="0" w:color="auto"/>
            </w:tcBorders>
            <w:noWrap/>
          </w:tcPr>
          <w:p w:rsidR="00B1693F" w:rsidRPr="00DB4F81" w:rsidRDefault="00B1693F" w:rsidP="00D75A46">
            <w:pPr>
              <w:pStyle w:val="DoNotTranslateExternal1"/>
            </w:pPr>
            <w:r>
              <w:t>160 215 127</w:t>
            </w:r>
          </w:p>
        </w:tc>
        <w:tc>
          <w:tcPr>
            <w:tcW w:w="950" w:type="pct"/>
            <w:tcBorders>
              <w:bottom w:val="double" w:sz="4" w:space="0" w:color="auto"/>
              <w:right w:val="double" w:sz="4" w:space="0" w:color="auto"/>
            </w:tcBorders>
          </w:tcPr>
          <w:p w:rsidR="00B1693F" w:rsidRPr="000F24AD" w:rsidRDefault="00B1693F" w:rsidP="005B53B6">
            <w:pPr>
              <w:pStyle w:val="Tabelki"/>
              <w:jc w:val="center"/>
              <w:rPr>
                <w:color w:val="1F497D"/>
              </w:rPr>
            </w:pPr>
            <w:r>
              <w:rPr>
                <w:color w:val="1F497D"/>
              </w:rPr>
              <w:t>-6%</w:t>
            </w:r>
          </w:p>
        </w:tc>
      </w:tr>
    </w:tbl>
    <w:p w:rsidR="00B1693F" w:rsidRPr="00DB4F81" w:rsidRDefault="00B1693F" w:rsidP="00B1693F">
      <w:pPr>
        <w:pStyle w:val="rda"/>
        <w:rPr>
          <w:color w:val="1F497D" w:themeColor="text2"/>
          <w:szCs w:val="18"/>
        </w:rPr>
      </w:pPr>
      <w:r>
        <w:rPr>
          <w:color w:val="1F497D" w:themeColor="text2"/>
        </w:rPr>
        <w:t xml:space="preserve">Source: own work. </w:t>
      </w:r>
    </w:p>
    <w:tbl>
      <w:tblPr>
        <w:tblStyle w:val="TableGrid"/>
        <w:tblW w:w="0" w:type="auto"/>
        <w:tblLook w:val="04A0" w:firstRow="1" w:lastRow="0" w:firstColumn="1" w:lastColumn="0" w:noHBand="0" w:noVBand="1"/>
      </w:tblPr>
      <w:tblGrid>
        <w:gridCol w:w="9934"/>
      </w:tblGrid>
      <w:tr w:rsidR="00B1693F" w:rsidRPr="00DB4F81" w:rsidTr="006A7FAD">
        <w:trPr>
          <w:cantSplit/>
        </w:trPr>
        <w:tc>
          <w:tcPr>
            <w:tcW w:w="9858" w:type="dxa"/>
            <w:tcBorders>
              <w:top w:val="nil"/>
              <w:left w:val="nil"/>
              <w:bottom w:val="nil"/>
              <w:right w:val="nil"/>
            </w:tcBorders>
          </w:tcPr>
          <w:p w:rsidR="00B1693F" w:rsidRPr="00DB4F81" w:rsidRDefault="00B1693F" w:rsidP="00B1693F">
            <w:pPr>
              <w:pStyle w:val="Rysunek0"/>
              <w:rPr>
                <w:color w:val="1F497D" w:themeColor="text2"/>
              </w:rPr>
            </w:pPr>
            <w:r>
              <w:rPr>
                <w:color w:val="1F497D" w:themeColor="text2"/>
              </w:rPr>
              <w:lastRenderedPageBreak/>
              <w:t>Cost of significant accidents in million EUR in 2009 – 2014</w:t>
            </w:r>
          </w:p>
          <w:p w:rsidR="00B1693F" w:rsidRPr="00DB4F81" w:rsidRDefault="00B1693F" w:rsidP="00B1693F">
            <w:pPr>
              <w:rPr>
                <w:color w:val="1F497D" w:themeColor="text2"/>
              </w:rPr>
            </w:pPr>
            <w:r>
              <w:rPr>
                <w:noProof/>
                <w:color w:val="1F497D" w:themeColor="text2"/>
                <w:lang w:val="fr-LU" w:eastAsia="fr-LU" w:bidi="ar-SA"/>
              </w:rPr>
              <w:drawing>
                <wp:inline distT="0" distB="0" distL="0" distR="0" wp14:anchorId="705FD87E" wp14:editId="28015123">
                  <wp:extent cx="6172200" cy="1819275"/>
                  <wp:effectExtent l="0" t="0" r="0" b="0"/>
                  <wp:docPr id="1"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5A46" w:rsidRPr="00DB4F81" w:rsidRDefault="00B1693F" w:rsidP="00F47FE6">
            <w:pPr>
              <w:pStyle w:val="rda"/>
              <w:rPr>
                <w:color w:val="1F497D" w:themeColor="text2"/>
                <w:szCs w:val="18"/>
              </w:rPr>
            </w:pPr>
            <w:r>
              <w:rPr>
                <w:color w:val="1F497D" w:themeColor="text2"/>
              </w:rPr>
              <w:t>Source: own work.</w:t>
            </w:r>
          </w:p>
        </w:tc>
      </w:tr>
    </w:tbl>
    <w:p w:rsidR="00113D7F" w:rsidRPr="00DB4F81" w:rsidRDefault="00C24EC4" w:rsidP="003A26DF">
      <w:pPr>
        <w:pStyle w:val="Heading2"/>
        <w:numPr>
          <w:ilvl w:val="0"/>
          <w:numId w:val="9"/>
        </w:numPr>
        <w:spacing w:before="240"/>
        <w:rPr>
          <w:color w:val="1F497D" w:themeColor="text2"/>
        </w:rPr>
      </w:pPr>
      <w:bookmarkStart w:id="23" w:name="_Toc435539925"/>
      <w:bookmarkStart w:id="24" w:name="_Toc441736861"/>
      <w:r>
        <w:rPr>
          <w:color w:val="1F497D" w:themeColor="text2"/>
        </w:rPr>
        <w:t>Results of safety recommendations</w:t>
      </w:r>
      <w:bookmarkEnd w:id="23"/>
      <w:bookmarkEnd w:id="24"/>
    </w:p>
    <w:p w:rsidR="00F66322" w:rsidRPr="00DB4F81" w:rsidRDefault="00F66322" w:rsidP="00F66322">
      <w:pPr>
        <w:pStyle w:val="Tekstzwyky"/>
        <w:rPr>
          <w:rFonts w:ascii="Arial" w:hAnsi="Arial" w:cs="Arial"/>
          <w:color w:val="1F497D" w:themeColor="text2"/>
        </w:rPr>
      </w:pPr>
      <w:r>
        <w:rPr>
          <w:rFonts w:ascii="Arial" w:hAnsi="Arial"/>
          <w:color w:val="1F497D" w:themeColor="text2"/>
        </w:rPr>
        <w:t>Pursuant to the Annex to Commission Regulation (EU) No 1158/2010 of 9 December 2010 on a common safety method for assessing conformity with the requirements for obtaining railway safety certificates, and to Commission Regulation (EU) No 1169/2010 of 10 December 2010 on a common safety method for assessing conformity with the requirements for obtaining a railway safety authorisation, rail operators and infrastructure managers operating based on the safety management system are required to establish procedures to ensure that the recommendations from the national safety authority and national investigating body are evaluated and implemented if appropriate or mandated (criterion Q2 of the common safety method for assessing conformity).</w:t>
      </w:r>
    </w:p>
    <w:p w:rsidR="00F66322" w:rsidRPr="00DB4F81" w:rsidRDefault="00F66322" w:rsidP="00F66322">
      <w:pPr>
        <w:pStyle w:val="Tekstzwyky"/>
        <w:rPr>
          <w:rFonts w:ascii="Arial" w:hAnsi="Arial" w:cs="Arial"/>
          <w:color w:val="1F497D" w:themeColor="text2"/>
        </w:rPr>
      </w:pPr>
      <w:r>
        <w:rPr>
          <w:rFonts w:ascii="Arial" w:hAnsi="Arial"/>
          <w:color w:val="1F497D" w:themeColor="text2"/>
        </w:rPr>
        <w:t>Pursuant to Article 13(1)(a)(4) of the Rail Transport Act (consolidated text: Polish Journal of Laws of 2013, item 1594, as amended), by executing their tasks the President of the Rail Transport Office systematically oversees compliance with the conditions or requirements of safety certificates and safety authorisations, including requirements regarding rail sector entities’ compliance with the safety recommendations issued by the investigating body.</w:t>
      </w:r>
    </w:p>
    <w:p w:rsidR="00F66322" w:rsidRPr="00DB4F81" w:rsidRDefault="00F66322" w:rsidP="00F66322">
      <w:pPr>
        <w:pStyle w:val="Tekstzwyky"/>
        <w:rPr>
          <w:rFonts w:ascii="Arial" w:hAnsi="Arial" w:cs="Arial"/>
          <w:color w:val="1F497D" w:themeColor="text2"/>
        </w:rPr>
      </w:pPr>
      <w:r>
        <w:rPr>
          <w:rFonts w:ascii="Arial" w:hAnsi="Arial"/>
          <w:color w:val="1F497D" w:themeColor="text2"/>
        </w:rPr>
        <w:t>Given the above information and the requirements imposed on rail sector entities as regards safety recommendations, rail entities – which include infrastructure managers and rail operators – operating based on a safety certificate or authorisation issued by the President of the UTK were requested to provide information on the state of implementation of the following post</w:t>
      </w:r>
      <w:r>
        <w:noBreakHyphen/>
      </w:r>
      <w:r>
        <w:rPr>
          <w:rFonts w:ascii="Arial" w:hAnsi="Arial"/>
          <w:color w:val="1F497D" w:themeColor="text2"/>
        </w:rPr>
        <w:t>accident recommendations issued by the Chairman of the PKBWK (State Commission for Investigation of Railway Accidents) in 2014:</w:t>
      </w:r>
    </w:p>
    <w:p w:rsidR="00F66322" w:rsidRPr="00DB4F81" w:rsidRDefault="00F66322" w:rsidP="00D75A46">
      <w:pPr>
        <w:pStyle w:val="Tekstzwyky"/>
        <w:numPr>
          <w:ilvl w:val="2"/>
          <w:numId w:val="34"/>
        </w:numPr>
        <w:tabs>
          <w:tab w:val="left" w:pos="284"/>
        </w:tabs>
        <w:ind w:left="0" w:firstLine="0"/>
        <w:rPr>
          <w:rFonts w:ascii="Arial" w:hAnsi="Arial" w:cs="Arial"/>
          <w:color w:val="1F497D" w:themeColor="text2"/>
        </w:rPr>
      </w:pPr>
      <w:r>
        <w:rPr>
          <w:rFonts w:ascii="Arial" w:hAnsi="Arial"/>
          <w:color w:val="1F497D" w:themeColor="text2"/>
        </w:rPr>
        <w:t>Recommendations published in the 2013 Annual report pursuant to Article 281(6) of the Rail Transport Act of 28 March 2003.</w:t>
      </w:r>
    </w:p>
    <w:p w:rsidR="00F66322" w:rsidRPr="000F6639" w:rsidRDefault="000F6639" w:rsidP="00D75A46">
      <w:pPr>
        <w:pStyle w:val="Tekstzwyky"/>
        <w:numPr>
          <w:ilvl w:val="2"/>
          <w:numId w:val="34"/>
        </w:numPr>
        <w:tabs>
          <w:tab w:val="left" w:pos="284"/>
        </w:tabs>
        <w:ind w:left="0" w:firstLine="0"/>
        <w:rPr>
          <w:rFonts w:ascii="Arial" w:hAnsi="Arial" w:cs="Arial"/>
          <w:color w:val="1F497D" w:themeColor="text2"/>
        </w:rPr>
      </w:pPr>
      <w:r>
        <w:rPr>
          <w:rFonts w:ascii="Arial" w:hAnsi="Arial"/>
          <w:color w:val="1F497D" w:themeColor="text2"/>
        </w:rPr>
        <w:t>Preventive measures issued by the internal railway accident investigation team immediately following the category A18 accident at the level crossing located on the Grodzisk Mazowiecki – Żyrardów route that occurred on 30 September 2013 that necessitated immediate measures, as published in Report No PKBWK/1/2014.</w:t>
      </w:r>
    </w:p>
    <w:p w:rsidR="00F66322" w:rsidRPr="00DB4F81" w:rsidRDefault="000F6639" w:rsidP="00D75A46">
      <w:pPr>
        <w:pStyle w:val="Tekstzwyky"/>
        <w:numPr>
          <w:ilvl w:val="2"/>
          <w:numId w:val="34"/>
        </w:numPr>
        <w:tabs>
          <w:tab w:val="left" w:pos="284"/>
        </w:tabs>
        <w:ind w:left="0" w:firstLine="0"/>
        <w:rPr>
          <w:rFonts w:ascii="Arial" w:hAnsi="Arial" w:cs="Arial"/>
          <w:color w:val="1F497D" w:themeColor="text2"/>
        </w:rPr>
      </w:pPr>
      <w:r>
        <w:rPr>
          <w:rFonts w:ascii="Arial" w:hAnsi="Arial"/>
          <w:color w:val="1F497D" w:themeColor="text2"/>
        </w:rPr>
        <w:t>Preventive measures aimed at avoiding similar accidents in the future, or limiting the effects thereof, as published in Report No PKBWK/1/2014.</w:t>
      </w:r>
    </w:p>
    <w:p w:rsidR="00F66322" w:rsidRPr="00DB4F81" w:rsidRDefault="00F66322" w:rsidP="00F66322">
      <w:pPr>
        <w:pStyle w:val="Tekstzwyky"/>
        <w:rPr>
          <w:rFonts w:ascii="Arial" w:hAnsi="Arial" w:cs="Arial"/>
          <w:color w:val="1F497D" w:themeColor="text2"/>
        </w:rPr>
      </w:pPr>
      <w:r>
        <w:rPr>
          <w:rFonts w:ascii="Arial" w:hAnsi="Arial"/>
          <w:color w:val="1F497D" w:themeColor="text2"/>
        </w:rPr>
        <w:t>Pursuant to the obligation arising under Article 281(9) of the Rail Transport Act of 28 March 2003 regarding supervision exercised by the President of the Rail Transport Office, measures taken by rail sector entities in the field related to the performance of safety recommendations were verified during 288 supervisory activities (12% of all supervisory activities) conducted in 2014 and 2015; the implementation of the recommendations issued in 2014, i.e. in Report No PKBWK/1/2014, was verified during three of these activities, during which no irregularities were found.</w:t>
      </w:r>
    </w:p>
    <w:p w:rsidR="008B00DC" w:rsidRPr="00DB4F81" w:rsidRDefault="008B00DC" w:rsidP="008B00DC">
      <w:pPr>
        <w:pStyle w:val="Tekstzwyky"/>
        <w:rPr>
          <w:rFonts w:ascii="Arial" w:hAnsi="Arial" w:cs="Arial"/>
          <w:color w:val="1F497D" w:themeColor="text2"/>
        </w:rPr>
      </w:pPr>
      <w:r>
        <w:rPr>
          <w:rFonts w:ascii="Arial" w:hAnsi="Arial"/>
          <w:color w:val="1F497D" w:themeColor="text2"/>
        </w:rPr>
        <w:lastRenderedPageBreak/>
        <w:t>Rail sector entities submitted information to the President of the UTK regarding the status of the implementation of the post</w:t>
      </w:r>
      <w:r>
        <w:noBreakHyphen/>
      </w:r>
      <w:r>
        <w:rPr>
          <w:rFonts w:ascii="Arial" w:hAnsi="Arial"/>
          <w:color w:val="1F497D" w:themeColor="text2"/>
        </w:rPr>
        <w:t>accident recommendations issued by the Chairman of the PKBWK in 2014, to the extent concerning them. The table below provides a list of essential safety recommendations issued by the Chairman of the PKBWK in 2014 and their implementation status, including a description of the measures implemented.</w:t>
      </w:r>
    </w:p>
    <w:p w:rsidR="003A26DF" w:rsidRDefault="003A26DF" w:rsidP="00223B48">
      <w:pPr>
        <w:pStyle w:val="Tekstzwyky"/>
        <w:rPr>
          <w:rFonts w:ascii="Arial" w:hAnsi="Arial" w:cs="Arial"/>
          <w:color w:val="1F497D" w:themeColor="text2"/>
        </w:rPr>
      </w:pPr>
    </w:p>
    <w:p w:rsidR="003A26DF" w:rsidRDefault="003A26DF" w:rsidP="00223B48">
      <w:pPr>
        <w:pStyle w:val="Tekstzwyky"/>
        <w:rPr>
          <w:rFonts w:ascii="Arial" w:hAnsi="Arial" w:cs="Arial"/>
          <w:color w:val="1F497D" w:themeColor="text2"/>
        </w:rPr>
        <w:sectPr w:rsidR="003A26DF" w:rsidSect="00241F97">
          <w:headerReference w:type="default" r:id="rId22"/>
          <w:footerReference w:type="default" r:id="rId23"/>
          <w:footerReference w:type="first" r:id="rId24"/>
          <w:type w:val="continuous"/>
          <w:pgSz w:w="11906" w:h="16838"/>
          <w:pgMar w:top="686" w:right="992" w:bottom="1134" w:left="1196" w:header="709" w:footer="376" w:gutter="0"/>
          <w:cols w:space="708"/>
          <w:titlePg/>
          <w:docGrid w:linePitch="360"/>
        </w:sectPr>
      </w:pPr>
    </w:p>
    <w:p w:rsidR="008B00DC" w:rsidRPr="00DB4F81" w:rsidRDefault="008B00DC" w:rsidP="00223B48">
      <w:pPr>
        <w:pStyle w:val="Tekstzwyky"/>
        <w:rPr>
          <w:rFonts w:ascii="Arial" w:hAnsi="Arial" w:cs="Arial"/>
          <w:color w:val="1F497D" w:themeColor="text2"/>
        </w:rPr>
      </w:pPr>
    </w:p>
    <w:p w:rsidR="00223B48" w:rsidRPr="00124ABA" w:rsidRDefault="009C656D" w:rsidP="009C656D">
      <w:pPr>
        <w:pStyle w:val="Tabele"/>
        <w:rPr>
          <w:color w:val="1F497D" w:themeColor="text2"/>
        </w:rPr>
      </w:pPr>
      <w:r>
        <w:rPr>
          <w:color w:val="1F497D" w:themeColor="text2"/>
        </w:rPr>
        <w:t xml:space="preserve">Essential safety recommendations issued by the Chairman of the PKBWK in 2014 </w:t>
      </w:r>
    </w:p>
    <w:tbl>
      <w:tblPr>
        <w:tblStyle w:val="TableGrid"/>
        <w:tblW w:w="5000" w:type="pct"/>
        <w:tblLayout w:type="fixed"/>
        <w:tblLook w:val="04A0" w:firstRow="1" w:lastRow="0" w:firstColumn="1" w:lastColumn="0" w:noHBand="0" w:noVBand="1"/>
      </w:tblPr>
      <w:tblGrid>
        <w:gridCol w:w="4467"/>
        <w:gridCol w:w="6769"/>
        <w:gridCol w:w="3998"/>
      </w:tblGrid>
      <w:tr w:rsidR="009C656D" w:rsidRPr="00124ABA" w:rsidTr="0087293C">
        <w:trPr>
          <w:trHeight w:val="20"/>
          <w:tblHeader/>
        </w:trPr>
        <w:tc>
          <w:tcPr>
            <w:tcW w:w="4418" w:type="dxa"/>
            <w:tcBorders>
              <w:top w:val="double" w:sz="4" w:space="0" w:color="auto"/>
              <w:left w:val="double" w:sz="4" w:space="0" w:color="auto"/>
              <w:bottom w:val="double" w:sz="4" w:space="0" w:color="auto"/>
            </w:tcBorders>
            <w:shd w:val="clear" w:color="auto" w:fill="BFBFBF" w:themeFill="background1" w:themeFillShade="BF"/>
            <w:vAlign w:val="center"/>
          </w:tcPr>
          <w:p w:rsidR="009C656D" w:rsidRPr="00124ABA" w:rsidRDefault="009C656D" w:rsidP="009C656D">
            <w:pPr>
              <w:spacing w:before="60" w:after="60" w:line="240" w:lineRule="auto"/>
              <w:jc w:val="center"/>
              <w:rPr>
                <w:b/>
                <w:color w:val="1F497D" w:themeColor="text2"/>
              </w:rPr>
            </w:pPr>
            <w:r>
              <w:rPr>
                <w:b/>
                <w:color w:val="1F497D" w:themeColor="text2"/>
              </w:rPr>
              <w:t>Safety recommendation</w:t>
            </w:r>
          </w:p>
        </w:tc>
        <w:tc>
          <w:tcPr>
            <w:tcW w:w="6696" w:type="dxa"/>
            <w:tcBorders>
              <w:top w:val="double" w:sz="4" w:space="0" w:color="auto"/>
              <w:bottom w:val="double" w:sz="4" w:space="0" w:color="auto"/>
            </w:tcBorders>
            <w:shd w:val="clear" w:color="auto" w:fill="BFBFBF" w:themeFill="background1" w:themeFillShade="BF"/>
            <w:vAlign w:val="center"/>
          </w:tcPr>
          <w:p w:rsidR="009C656D" w:rsidRPr="00124ABA" w:rsidRDefault="009C656D" w:rsidP="009C656D">
            <w:pPr>
              <w:spacing w:before="60" w:after="60" w:line="240" w:lineRule="auto"/>
              <w:jc w:val="center"/>
              <w:rPr>
                <w:b/>
                <w:color w:val="1F497D" w:themeColor="text2"/>
              </w:rPr>
            </w:pPr>
            <w:r>
              <w:rPr>
                <w:b/>
                <w:color w:val="1F497D" w:themeColor="text2"/>
              </w:rPr>
              <w:t>Method of implementation of the recommendation</w:t>
            </w:r>
          </w:p>
        </w:tc>
        <w:tc>
          <w:tcPr>
            <w:tcW w:w="3955" w:type="dxa"/>
            <w:tcBorders>
              <w:top w:val="double" w:sz="4" w:space="0" w:color="auto"/>
              <w:bottom w:val="double" w:sz="4" w:space="0" w:color="auto"/>
              <w:right w:val="double" w:sz="4" w:space="0" w:color="auto"/>
            </w:tcBorders>
            <w:shd w:val="clear" w:color="auto" w:fill="BFBFBF" w:themeFill="background1" w:themeFillShade="BF"/>
            <w:vAlign w:val="center"/>
          </w:tcPr>
          <w:p w:rsidR="009C656D" w:rsidRPr="00124ABA" w:rsidRDefault="009C656D" w:rsidP="009C656D">
            <w:pPr>
              <w:spacing w:before="60" w:after="60" w:line="240" w:lineRule="auto"/>
              <w:jc w:val="center"/>
              <w:rPr>
                <w:b/>
                <w:color w:val="1F497D" w:themeColor="text2"/>
              </w:rPr>
            </w:pPr>
            <w:r>
              <w:rPr>
                <w:b/>
                <w:color w:val="1F497D" w:themeColor="text2"/>
              </w:rPr>
              <w:t>Status of implementation</w:t>
            </w:r>
          </w:p>
        </w:tc>
      </w:tr>
      <w:tr w:rsidR="00F66322" w:rsidRPr="00124ABA" w:rsidTr="0087293C">
        <w:trPr>
          <w:trHeight w:val="20"/>
        </w:trPr>
        <w:tc>
          <w:tcPr>
            <w:tcW w:w="4418" w:type="dxa"/>
            <w:tcBorders>
              <w:top w:val="double" w:sz="4" w:space="0" w:color="auto"/>
              <w:left w:val="double" w:sz="4" w:space="0" w:color="auto"/>
            </w:tcBorders>
          </w:tcPr>
          <w:p w:rsidR="00F66322" w:rsidRPr="00124ABA" w:rsidRDefault="00F66322" w:rsidP="00A740EC">
            <w:pPr>
              <w:spacing w:before="60" w:after="0"/>
              <w:ind w:left="34"/>
              <w:jc w:val="left"/>
              <w:rPr>
                <w:color w:val="1F497D" w:themeColor="text2"/>
              </w:rPr>
            </w:pPr>
            <w:r>
              <w:rPr>
                <w:color w:val="1F497D" w:themeColor="text2"/>
              </w:rPr>
              <w:t>Infrastructure manager PKP Polskie Linie Kolejowe S.A. shall conduct an additional six</w:t>
            </w:r>
            <w:r>
              <w:noBreakHyphen/>
            </w:r>
            <w:r>
              <w:rPr>
                <w:color w:val="1F497D" w:themeColor="text2"/>
              </w:rPr>
              <w:t xml:space="preserve">hour training course (or broaden the scope of periodic training), during which the following issues shall be discussed: </w:t>
            </w:r>
          </w:p>
          <w:p w:rsidR="00F66322" w:rsidRPr="00124ABA" w:rsidRDefault="00F66322" w:rsidP="0043129E">
            <w:pPr>
              <w:pStyle w:val="ListParagraph"/>
              <w:numPr>
                <w:ilvl w:val="0"/>
                <w:numId w:val="21"/>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the rules for using substitute signals by block signal box employees, </w:t>
            </w:r>
          </w:p>
          <w:p w:rsidR="00F66322" w:rsidRPr="00124ABA" w:rsidRDefault="00F66322" w:rsidP="0043129E">
            <w:pPr>
              <w:pStyle w:val="ListParagraph"/>
              <w:numPr>
                <w:ilvl w:val="0"/>
                <w:numId w:val="21"/>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the rules for preparing routes for train journeys and shunting, </w:t>
            </w:r>
          </w:p>
          <w:p w:rsidR="00F66322" w:rsidRPr="00124ABA" w:rsidRDefault="00F66322" w:rsidP="0043129E">
            <w:pPr>
              <w:pStyle w:val="ListParagraph"/>
              <w:numPr>
                <w:ilvl w:val="0"/>
                <w:numId w:val="21"/>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the rules for conversations using radiocommunications devices with particular emphasis on the correct formulation of radio messages, </w:t>
            </w:r>
          </w:p>
          <w:p w:rsidR="00F66322" w:rsidRPr="00124ABA" w:rsidRDefault="00F66322" w:rsidP="0043129E">
            <w:pPr>
              <w:pStyle w:val="ListParagraph"/>
              <w:numPr>
                <w:ilvl w:val="0"/>
                <w:numId w:val="21"/>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discussion of three occurrences related to dispatching and receiving a rail vehicle on an incorrectly prepared route and premature opening of a route, including changing the position of the switch under rolling stock. </w:t>
            </w:r>
          </w:p>
        </w:tc>
        <w:tc>
          <w:tcPr>
            <w:tcW w:w="6696" w:type="dxa"/>
            <w:tcBorders>
              <w:top w:val="double" w:sz="4" w:space="0" w:color="auto"/>
            </w:tcBorders>
          </w:tcPr>
          <w:p w:rsidR="00F66322" w:rsidRPr="00124ABA" w:rsidRDefault="00F66322" w:rsidP="00A740EC">
            <w:pPr>
              <w:spacing w:before="60" w:after="0"/>
              <w:ind w:left="34"/>
              <w:jc w:val="left"/>
              <w:rPr>
                <w:color w:val="1F497D" w:themeColor="text2"/>
              </w:rPr>
            </w:pPr>
            <w:r>
              <w:rPr>
                <w:color w:val="1F497D" w:themeColor="text2"/>
              </w:rPr>
              <w:t>Pursuant to Section 17 of the Handbook on the Preparation and Professional Development of PKP Polskie Linie Kolejowe S.A. Employees Ia</w:t>
            </w:r>
            <w:r>
              <w:noBreakHyphen/>
            </w:r>
            <w:r>
              <w:rPr>
                <w:color w:val="1F497D" w:themeColor="text2"/>
              </w:rPr>
              <w:t>5, a list of positions subject to periodic training together with guidelines for organising periodic training were prepared for 2015. In the light of the above, it was recommended that the issues referred to in the recommendation be discussed with the group of employees employed in positions directly related to the preparation of routes and driving of rail vehicles as part of the basic maximum number of hours dedicated to periodic training (six hours).</w:t>
            </w:r>
          </w:p>
        </w:tc>
        <w:tc>
          <w:tcPr>
            <w:tcW w:w="3955" w:type="dxa"/>
            <w:tcBorders>
              <w:top w:val="double" w:sz="4" w:space="0" w:color="auto"/>
              <w:right w:val="double" w:sz="4" w:space="0" w:color="auto"/>
            </w:tcBorders>
          </w:tcPr>
          <w:p w:rsidR="00F66322" w:rsidRPr="00124ABA" w:rsidRDefault="00F66322" w:rsidP="00A740EC">
            <w:pPr>
              <w:spacing w:before="60" w:after="0"/>
              <w:ind w:left="34"/>
              <w:jc w:val="left"/>
              <w:rPr>
                <w:color w:val="1F497D" w:themeColor="text2"/>
              </w:rPr>
            </w:pPr>
            <w:r>
              <w:rPr>
                <w:b/>
                <w:color w:val="1F497D" w:themeColor="text2"/>
              </w:rPr>
              <w:t>The recommendation was implemented.</w:t>
            </w:r>
          </w:p>
        </w:tc>
      </w:tr>
      <w:tr w:rsidR="00F66322" w:rsidRPr="00124ABA" w:rsidTr="0087293C">
        <w:trPr>
          <w:trHeight w:val="20"/>
        </w:trPr>
        <w:tc>
          <w:tcPr>
            <w:tcW w:w="4418" w:type="dxa"/>
            <w:tcBorders>
              <w:left w:val="double" w:sz="4" w:space="0" w:color="auto"/>
            </w:tcBorders>
          </w:tcPr>
          <w:p w:rsidR="00F66322" w:rsidRPr="00124ABA" w:rsidRDefault="00F66322" w:rsidP="00A740EC">
            <w:pPr>
              <w:spacing w:before="60" w:after="0"/>
              <w:ind w:left="34"/>
              <w:jc w:val="left"/>
              <w:rPr>
                <w:color w:val="1F497D" w:themeColor="text2"/>
              </w:rPr>
            </w:pPr>
            <w:r>
              <w:rPr>
                <w:color w:val="1F497D" w:themeColor="text2"/>
              </w:rPr>
              <w:t>To analyse and further successively eliminate the use of substitute signals at block signal boxes as a high risk factor.</w:t>
            </w:r>
          </w:p>
        </w:tc>
        <w:tc>
          <w:tcPr>
            <w:tcW w:w="6696" w:type="dxa"/>
          </w:tcPr>
          <w:p w:rsidR="00F66322" w:rsidRPr="00124ABA" w:rsidRDefault="00F66322" w:rsidP="00A740EC">
            <w:pPr>
              <w:spacing w:before="60" w:after="0"/>
              <w:ind w:left="34"/>
              <w:jc w:val="left"/>
              <w:rPr>
                <w:color w:val="1F497D" w:themeColor="text2"/>
              </w:rPr>
            </w:pPr>
            <w:r>
              <w:rPr>
                <w:color w:val="1F497D" w:themeColor="text2"/>
              </w:rPr>
              <w:t>As part of the supervision over the maintenance of railway traffic control devices, PKP Polskie Linie Kolejowe conducts detailed analyses of the failure frequency of railway traffic control devices, speed limits and block signal boxes at which traffic is controlled using substitute signals, as well as the reasons for directing traffic onto a substitute signal. Measures are being undertaken to limit the duration of failures of railway infrastructure devices that require the use of substitute signals. By way of the recommendation of letter IAT1a</w:t>
            </w:r>
            <w:r>
              <w:noBreakHyphen/>
            </w:r>
            <w:r>
              <w:rPr>
                <w:color w:val="1F497D" w:themeColor="text2"/>
              </w:rPr>
              <w:t xml:space="preserve">5474/13 of 10 April 2013, cases of using substitute signals at semaphores throughout the entire network managed </w:t>
            </w:r>
            <w:r>
              <w:rPr>
                <w:color w:val="1F497D" w:themeColor="text2"/>
              </w:rPr>
              <w:lastRenderedPageBreak/>
              <w:t>by PKP PLK S.A. to direct train traffic that continuously last a minimum of three days are also monitored. In addition, a discussion on issues related to conducting an analysis and successive elimination of the reasons for the use of substitute signals at block signal boxes as a high risk factor was also attached.</w:t>
            </w:r>
          </w:p>
        </w:tc>
        <w:tc>
          <w:tcPr>
            <w:tcW w:w="3955" w:type="dxa"/>
            <w:tcBorders>
              <w:right w:val="double" w:sz="4" w:space="0" w:color="auto"/>
            </w:tcBorders>
          </w:tcPr>
          <w:p w:rsidR="00F66322" w:rsidRPr="00124ABA" w:rsidRDefault="00F66322" w:rsidP="00A740EC">
            <w:pPr>
              <w:spacing w:before="60" w:after="0"/>
              <w:ind w:left="34"/>
              <w:jc w:val="left"/>
              <w:rPr>
                <w:color w:val="1F497D" w:themeColor="text2"/>
              </w:rPr>
            </w:pPr>
            <w:r>
              <w:rPr>
                <w:b/>
                <w:color w:val="1F497D" w:themeColor="text2"/>
              </w:rPr>
              <w:lastRenderedPageBreak/>
              <w:t>The recommendation was implemented.</w:t>
            </w:r>
          </w:p>
        </w:tc>
      </w:tr>
      <w:tr w:rsidR="00F66322" w:rsidRPr="00124ABA" w:rsidTr="0087293C">
        <w:trPr>
          <w:trHeight w:val="20"/>
        </w:trPr>
        <w:tc>
          <w:tcPr>
            <w:tcW w:w="4418" w:type="dxa"/>
            <w:tcBorders>
              <w:left w:val="double" w:sz="4" w:space="0" w:color="auto"/>
            </w:tcBorders>
          </w:tcPr>
          <w:p w:rsidR="00F66322" w:rsidRPr="00124ABA" w:rsidRDefault="00F66322" w:rsidP="00A740EC">
            <w:pPr>
              <w:spacing w:before="60" w:after="0"/>
              <w:ind w:left="34"/>
              <w:jc w:val="left"/>
              <w:rPr>
                <w:color w:val="1F497D" w:themeColor="text2"/>
              </w:rPr>
            </w:pPr>
            <w:r>
              <w:rPr>
                <w:color w:val="1F497D" w:themeColor="text2"/>
              </w:rPr>
              <w:lastRenderedPageBreak/>
              <w:t>Infrastructure manager PKP Polskie Linie Kolejowe S.A. and other infrastructure managers shall update travel figures and the ratio of rail and road traffic at level crossings, conduct a risk analysis and, if the result is negative, collectively conduct a correct reclassification of the level crossing category.</w:t>
            </w:r>
          </w:p>
        </w:tc>
        <w:tc>
          <w:tcPr>
            <w:tcW w:w="6696" w:type="dxa"/>
          </w:tcPr>
          <w:p w:rsidR="00F66322" w:rsidRPr="00124ABA" w:rsidRDefault="00F66322" w:rsidP="00A740EC">
            <w:pPr>
              <w:spacing w:before="60" w:after="0"/>
              <w:ind w:left="34"/>
              <w:jc w:val="left"/>
              <w:rPr>
                <w:color w:val="1F497D" w:themeColor="text2"/>
              </w:rPr>
            </w:pPr>
            <w:r>
              <w:rPr>
                <w:color w:val="1F497D" w:themeColor="text2"/>
              </w:rPr>
              <w:t>The travel figures and the ratio of rail and road traffic at rail crossings were updated. A risk analysis and verification of the level crossing category have been conducted.</w:t>
            </w:r>
          </w:p>
          <w:p w:rsidR="00F66322" w:rsidRPr="00124ABA" w:rsidRDefault="00F66322" w:rsidP="00124ABA">
            <w:pPr>
              <w:spacing w:before="0" w:after="0"/>
              <w:jc w:val="left"/>
              <w:rPr>
                <w:color w:val="1F497D" w:themeColor="text2"/>
              </w:rPr>
            </w:pPr>
          </w:p>
          <w:p w:rsidR="00F66322" w:rsidRPr="00124ABA" w:rsidRDefault="00F66322" w:rsidP="00124ABA">
            <w:pPr>
              <w:spacing w:before="0" w:after="0"/>
              <w:jc w:val="left"/>
              <w:rPr>
                <w:color w:val="1F497D" w:themeColor="text2"/>
              </w:rPr>
            </w:pPr>
            <w:r>
              <w:rPr>
                <w:color w:val="1F497D" w:themeColor="text2"/>
              </w:rPr>
              <w:t>Data regarding travel figures or level crossings are kept up to date and checked during field trips with the participation of representatives of Zakład Linii Kolejowych, the highways administration and the Police. Furthermore, part of the data regarding level crossings is recorded in the IT system known as the Rail Trip Database (Baza Przejazdów Kolejowych), and any irregularities noticed during its operation are immediately corrected by employees of Zakład Linii Kolejowych, both in the system and in the travel/level crossing figures. A procedure was implemented to update the data in the Rail Level Crossing Database, which requires employees of Zakład Linii Kolejowych to record changes in the Database within 10 days of their occurrence. Each year, Rail Operators send letters regarding the measurements of road traffic volume to road managers that have not conducted them for at least five years, or if the load at a level crossing, be it from cars or trains, has changed significantly.</w:t>
            </w:r>
          </w:p>
        </w:tc>
        <w:tc>
          <w:tcPr>
            <w:tcW w:w="3955" w:type="dxa"/>
            <w:tcBorders>
              <w:right w:val="double" w:sz="4" w:space="0" w:color="auto"/>
            </w:tcBorders>
          </w:tcPr>
          <w:p w:rsidR="00F66322" w:rsidRPr="00124ABA" w:rsidRDefault="00F66322" w:rsidP="00A740EC">
            <w:pPr>
              <w:spacing w:before="60" w:after="0"/>
              <w:ind w:left="34"/>
              <w:jc w:val="left"/>
              <w:rPr>
                <w:b/>
                <w:color w:val="1F497D" w:themeColor="text2"/>
              </w:rPr>
            </w:pPr>
            <w:r>
              <w:rPr>
                <w:b/>
                <w:color w:val="1F497D" w:themeColor="text2"/>
              </w:rPr>
              <w:t>The recommendation has been implemented by four entities.</w:t>
            </w:r>
          </w:p>
          <w:p w:rsidR="00F66322" w:rsidRPr="00124ABA" w:rsidRDefault="00F66322" w:rsidP="00124ABA">
            <w:pPr>
              <w:spacing w:before="0" w:after="0"/>
              <w:jc w:val="left"/>
              <w:rPr>
                <w:b/>
                <w:color w:val="1F497D" w:themeColor="text2"/>
              </w:rPr>
            </w:pPr>
          </w:p>
          <w:p w:rsidR="00F66322" w:rsidRPr="00124ABA" w:rsidRDefault="00F66322" w:rsidP="00124ABA">
            <w:pPr>
              <w:spacing w:before="0" w:after="0"/>
              <w:jc w:val="left"/>
              <w:rPr>
                <w:color w:val="1F497D" w:themeColor="text2"/>
              </w:rPr>
            </w:pPr>
            <w:r>
              <w:rPr>
                <w:b/>
                <w:color w:val="1F497D" w:themeColor="text2"/>
              </w:rPr>
              <w:t>The recommendation is being implemented by five entities.</w:t>
            </w:r>
          </w:p>
        </w:tc>
      </w:tr>
      <w:tr w:rsidR="00F66322" w:rsidRPr="00124ABA" w:rsidTr="0087293C">
        <w:trPr>
          <w:trHeight w:val="20"/>
        </w:trPr>
        <w:tc>
          <w:tcPr>
            <w:tcW w:w="4418" w:type="dxa"/>
            <w:tcBorders>
              <w:left w:val="double" w:sz="4" w:space="0" w:color="auto"/>
            </w:tcBorders>
          </w:tcPr>
          <w:p w:rsidR="00F66322" w:rsidRPr="00124ABA" w:rsidRDefault="00F66322" w:rsidP="00A740EC">
            <w:pPr>
              <w:spacing w:before="60" w:after="0"/>
              <w:ind w:left="34"/>
              <w:jc w:val="left"/>
              <w:rPr>
                <w:color w:val="1F497D" w:themeColor="text2"/>
              </w:rPr>
            </w:pPr>
            <w:r>
              <w:rPr>
                <w:color w:val="1F497D" w:themeColor="text2"/>
              </w:rPr>
              <w:t>Rail operators and infrastructure managers shall broaden the periodic training to cover proceedings relating to occurrences including, inter alia:</w:t>
            </w:r>
          </w:p>
          <w:p w:rsidR="00F66322" w:rsidRPr="00124ABA" w:rsidRDefault="00F66322" w:rsidP="0043129E">
            <w:pPr>
              <w:pStyle w:val="ListParagraph"/>
              <w:numPr>
                <w:ilvl w:val="0"/>
                <w:numId w:val="22"/>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applicable provisions as regards occurrence investigation,</w:t>
            </w:r>
          </w:p>
          <w:p w:rsidR="00F66322" w:rsidRPr="00124ABA" w:rsidRDefault="00F66322" w:rsidP="0043129E">
            <w:pPr>
              <w:pStyle w:val="ListParagraph"/>
              <w:numPr>
                <w:ilvl w:val="0"/>
                <w:numId w:val="22"/>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conduct after an occurrence has taken place,</w:t>
            </w:r>
          </w:p>
          <w:p w:rsidR="00F66322" w:rsidRPr="00124ABA" w:rsidRDefault="00F66322" w:rsidP="0043129E">
            <w:pPr>
              <w:pStyle w:val="ListParagraph"/>
              <w:numPr>
                <w:ilvl w:val="0"/>
                <w:numId w:val="22"/>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the obligations of railway accident investigation </w:t>
            </w:r>
            <w:r>
              <w:rPr>
                <w:rFonts w:ascii="Arial" w:hAnsi="Arial"/>
                <w:color w:val="1F497D" w:themeColor="text2"/>
                <w:sz w:val="18"/>
              </w:rPr>
              <w:lastRenderedPageBreak/>
              <w:t xml:space="preserve">teams and measurement of rolling stock and infrastructure at sites of occurrences and in later phases of the proceedings arising under applicable national provisions and the internal provisions of rail operators, </w:t>
            </w:r>
          </w:p>
          <w:p w:rsidR="00F66322" w:rsidRPr="00124ABA" w:rsidRDefault="00F66322" w:rsidP="0043129E">
            <w:pPr>
              <w:pStyle w:val="ListParagraph"/>
              <w:numPr>
                <w:ilvl w:val="0"/>
                <w:numId w:val="22"/>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the manner for conducting and documenting proceedings by a railway accident investigation team, </w:t>
            </w:r>
          </w:p>
          <w:p w:rsidR="00F66322" w:rsidRPr="00124ABA" w:rsidRDefault="00F66322" w:rsidP="0043129E">
            <w:pPr>
              <w:pStyle w:val="ListParagraph"/>
              <w:numPr>
                <w:ilvl w:val="0"/>
                <w:numId w:val="22"/>
              </w:numPr>
              <w:spacing w:before="0" w:after="0" w:line="360" w:lineRule="auto"/>
              <w:contextualSpacing w:val="0"/>
              <w:jc w:val="left"/>
              <w:rPr>
                <w:rFonts w:ascii="Arial" w:hAnsi="Arial"/>
                <w:color w:val="1F497D" w:themeColor="text2"/>
                <w:sz w:val="18"/>
                <w:szCs w:val="18"/>
              </w:rPr>
            </w:pPr>
            <w:r>
              <w:rPr>
                <w:rFonts w:ascii="Arial" w:hAnsi="Arial"/>
                <w:color w:val="1F497D" w:themeColor="text2"/>
                <w:sz w:val="18"/>
              </w:rPr>
              <w:t xml:space="preserve">cooperation with the Chairman of the PKBWK and the conduct of railway accident investigation teams if the causes of an occurrence cannot be agreed on. </w:t>
            </w:r>
          </w:p>
          <w:p w:rsidR="00F66322" w:rsidRPr="00124ABA" w:rsidRDefault="00F66322" w:rsidP="00124ABA">
            <w:pPr>
              <w:spacing w:before="0" w:after="0"/>
              <w:jc w:val="left"/>
              <w:rPr>
                <w:color w:val="1F497D" w:themeColor="text2"/>
              </w:rPr>
            </w:pPr>
            <w:r>
              <w:rPr>
                <w:color w:val="1F497D" w:themeColor="text2"/>
              </w:rPr>
              <w:t>An additional eight hours of training per year shall be dedicated to the above</w:t>
            </w:r>
            <w:r>
              <w:noBreakHyphen/>
            </w:r>
            <w:r>
              <w:rPr>
                <w:color w:val="1F497D" w:themeColor="text2"/>
              </w:rPr>
              <w:t>mentioned topic.</w:t>
            </w:r>
          </w:p>
        </w:tc>
        <w:tc>
          <w:tcPr>
            <w:tcW w:w="6696" w:type="dxa"/>
          </w:tcPr>
          <w:p w:rsidR="00F66322" w:rsidRPr="00124ABA" w:rsidRDefault="00F66322" w:rsidP="00A740EC">
            <w:pPr>
              <w:spacing w:before="60" w:after="0"/>
              <w:ind w:left="34"/>
              <w:jc w:val="left"/>
              <w:rPr>
                <w:color w:val="1F497D" w:themeColor="text2"/>
              </w:rPr>
            </w:pPr>
            <w:r>
              <w:rPr>
                <w:color w:val="1F497D" w:themeColor="text2"/>
              </w:rPr>
              <w:lastRenderedPageBreak/>
              <w:t>As part of the recommendation, infrastructure managers and rail operators broadened the scope of periodic training to include the aforesaid topics, and they declared that they would continue to discuss the issues.</w:t>
            </w:r>
          </w:p>
          <w:p w:rsidR="00F66322" w:rsidRPr="00124ABA" w:rsidRDefault="00F66322" w:rsidP="00124ABA">
            <w:pPr>
              <w:spacing w:before="0" w:after="0"/>
              <w:jc w:val="left"/>
              <w:rPr>
                <w:color w:val="1F497D" w:themeColor="text2"/>
              </w:rPr>
            </w:pPr>
            <w:r>
              <w:rPr>
                <w:color w:val="1F497D" w:themeColor="text2"/>
              </w:rPr>
              <w:t>Some of the entities are in the process of conducting periodic training.</w:t>
            </w:r>
          </w:p>
          <w:p w:rsidR="00F66322" w:rsidRPr="00124ABA" w:rsidRDefault="00F66322" w:rsidP="00124ABA">
            <w:pPr>
              <w:spacing w:before="0" w:after="0"/>
              <w:jc w:val="left"/>
              <w:rPr>
                <w:color w:val="1F497D" w:themeColor="text2"/>
              </w:rPr>
            </w:pPr>
            <w:r>
              <w:rPr>
                <w:color w:val="1F497D" w:themeColor="text2"/>
              </w:rPr>
              <w:t>The entities that took alternative measures discussed the issue during training.</w:t>
            </w:r>
          </w:p>
        </w:tc>
        <w:tc>
          <w:tcPr>
            <w:tcW w:w="3955" w:type="dxa"/>
            <w:tcBorders>
              <w:right w:val="double" w:sz="4" w:space="0" w:color="auto"/>
            </w:tcBorders>
          </w:tcPr>
          <w:p w:rsidR="00F66322" w:rsidRPr="00124ABA" w:rsidRDefault="00F66322" w:rsidP="00A740EC">
            <w:pPr>
              <w:spacing w:before="60" w:after="0"/>
              <w:ind w:left="34"/>
              <w:jc w:val="left"/>
              <w:rPr>
                <w:b/>
                <w:color w:val="1F497D" w:themeColor="text2"/>
              </w:rPr>
            </w:pPr>
            <w:r>
              <w:rPr>
                <w:b/>
                <w:color w:val="1F497D" w:themeColor="text2"/>
              </w:rPr>
              <w:t>The recommendation was implemented by 24 entities.</w:t>
            </w:r>
          </w:p>
          <w:p w:rsidR="00F66322" w:rsidRPr="00124ABA" w:rsidRDefault="00F66322" w:rsidP="00124ABA">
            <w:pPr>
              <w:spacing w:before="0" w:after="0"/>
              <w:jc w:val="left"/>
              <w:rPr>
                <w:b/>
                <w:color w:val="1F497D" w:themeColor="text2"/>
              </w:rPr>
            </w:pPr>
          </w:p>
          <w:p w:rsidR="00F66322" w:rsidRPr="00124ABA" w:rsidRDefault="00F66322" w:rsidP="00124ABA">
            <w:pPr>
              <w:spacing w:before="0" w:after="0"/>
              <w:jc w:val="left"/>
              <w:rPr>
                <w:b/>
                <w:color w:val="1F497D" w:themeColor="text2"/>
              </w:rPr>
            </w:pPr>
            <w:r>
              <w:rPr>
                <w:b/>
                <w:color w:val="1F497D" w:themeColor="text2"/>
              </w:rPr>
              <w:t>The recommendation is being implemented by 40 entities.</w:t>
            </w:r>
          </w:p>
          <w:p w:rsidR="00F66322" w:rsidRPr="00124ABA" w:rsidRDefault="00F66322" w:rsidP="00124ABA">
            <w:pPr>
              <w:spacing w:before="0" w:after="0"/>
              <w:jc w:val="left"/>
              <w:rPr>
                <w:b/>
                <w:color w:val="1F497D" w:themeColor="text2"/>
              </w:rPr>
            </w:pPr>
          </w:p>
          <w:p w:rsidR="00F66322" w:rsidRPr="00124ABA" w:rsidRDefault="00F66322" w:rsidP="00AB710E">
            <w:pPr>
              <w:spacing w:before="0" w:after="0"/>
              <w:jc w:val="left"/>
              <w:rPr>
                <w:color w:val="1F497D" w:themeColor="text2"/>
              </w:rPr>
            </w:pPr>
            <w:r>
              <w:rPr>
                <w:b/>
                <w:color w:val="1F497D" w:themeColor="text2"/>
              </w:rPr>
              <w:t xml:space="preserve">Alternative measures relating to the </w:t>
            </w:r>
            <w:r>
              <w:rPr>
                <w:b/>
                <w:color w:val="1F497D" w:themeColor="text2"/>
              </w:rPr>
              <w:lastRenderedPageBreak/>
              <w:t>recommendation have been taken by 23 entities.</w:t>
            </w:r>
          </w:p>
        </w:tc>
      </w:tr>
      <w:tr w:rsidR="00F66322" w:rsidRPr="00124ABA" w:rsidTr="0087293C">
        <w:trPr>
          <w:trHeight w:val="20"/>
        </w:trPr>
        <w:tc>
          <w:tcPr>
            <w:tcW w:w="4418" w:type="dxa"/>
            <w:tcBorders>
              <w:left w:val="double" w:sz="4" w:space="0" w:color="auto"/>
            </w:tcBorders>
          </w:tcPr>
          <w:p w:rsidR="00F66322" w:rsidRPr="00124ABA" w:rsidRDefault="00F66322" w:rsidP="00A740EC">
            <w:pPr>
              <w:spacing w:before="60" w:after="0" w:line="336" w:lineRule="auto"/>
              <w:ind w:left="34"/>
              <w:jc w:val="left"/>
              <w:rPr>
                <w:color w:val="1F497D" w:themeColor="text2"/>
              </w:rPr>
            </w:pPr>
            <w:r>
              <w:rPr>
                <w:color w:val="1F497D" w:themeColor="text2"/>
              </w:rPr>
              <w:lastRenderedPageBreak/>
              <w:t>Conduct, as part of the infrastructure manager safety management system, a risk analysis at category A level crossings and consider equipping level crossings with a high risk of occurrences with a device indicating the approach of a train, and installing a RADIO</w:t>
            </w:r>
            <w:r>
              <w:noBreakHyphen/>
            </w:r>
            <w:r>
              <w:rPr>
                <w:color w:val="1F497D" w:themeColor="text2"/>
              </w:rPr>
              <w:t>STOP system.</w:t>
            </w:r>
          </w:p>
        </w:tc>
        <w:tc>
          <w:tcPr>
            <w:tcW w:w="6696" w:type="dxa"/>
          </w:tcPr>
          <w:p w:rsidR="00F66322" w:rsidRPr="00124ABA" w:rsidRDefault="00F66322" w:rsidP="00A740EC">
            <w:pPr>
              <w:spacing w:before="60" w:after="0" w:line="336" w:lineRule="auto"/>
              <w:ind w:left="34"/>
              <w:jc w:val="left"/>
              <w:rPr>
                <w:color w:val="1F497D" w:themeColor="text2"/>
              </w:rPr>
            </w:pPr>
            <w:r>
              <w:rPr>
                <w:color w:val="1F497D" w:themeColor="text2"/>
              </w:rPr>
              <w:t>As part of the implementation of the project equipping level crossings with radio communications devices, as a result of a risk analysis conducted for lines with two or more tracks at 17 Railway Operators, PKP Polskie Linie Kolejowe S.A. identified 78 category A level crossings in the areas of operation of Rail Operators in Bydgoszcz, Częstochowa, Gdynia, Kielce, Kraków, Lublin, Łódź, Olsztyn, Opole, Ostrów Wielkopolski, Poznań, Rzeszów, Siedlce, Skarżysko Kamienna, Sosnowiec, Tarnowskie Góry and Warsaw in order to equip these level crossing gatehouses with base telephones with a RADIO</w:t>
            </w:r>
            <w:r>
              <w:noBreakHyphen/>
            </w:r>
            <w:r>
              <w:rPr>
                <w:color w:val="1F497D" w:themeColor="text2"/>
              </w:rPr>
              <w:t>STOP system. The installation of radio telephones will, in the event of a hazard at a level crossing, enable the level crossing gateman to display the RADIO</w:t>
            </w:r>
            <w:r>
              <w:noBreakHyphen/>
            </w:r>
            <w:r>
              <w:rPr>
                <w:color w:val="1F497D" w:themeColor="text2"/>
              </w:rPr>
              <w:t>STOP signal.  Furthermore, Rail Operators are in the process of conducting risk analyses of category A level crossings to identify further locations at which radio telephones with a RADIO</w:t>
            </w:r>
            <w:r>
              <w:noBreakHyphen/>
            </w:r>
            <w:r>
              <w:rPr>
                <w:color w:val="1F497D" w:themeColor="text2"/>
              </w:rPr>
              <w:t>STOP system will be installed in 2015. A risk analysis is being conducted on a total of 575 level crossings operated by level crossing gatemen.</w:t>
            </w:r>
          </w:p>
        </w:tc>
        <w:tc>
          <w:tcPr>
            <w:tcW w:w="3955" w:type="dxa"/>
            <w:tcBorders>
              <w:right w:val="double" w:sz="4" w:space="0" w:color="auto"/>
            </w:tcBorders>
          </w:tcPr>
          <w:p w:rsidR="00F66322" w:rsidRPr="00124ABA" w:rsidRDefault="00F66322" w:rsidP="00A740EC">
            <w:pPr>
              <w:spacing w:before="60" w:after="0" w:line="336" w:lineRule="auto"/>
              <w:ind w:left="34"/>
              <w:jc w:val="left"/>
              <w:rPr>
                <w:color w:val="1F497D" w:themeColor="text2"/>
              </w:rPr>
            </w:pPr>
            <w:r>
              <w:rPr>
                <w:b/>
                <w:color w:val="1F497D" w:themeColor="text2"/>
              </w:rPr>
              <w:t>The recommendation is being implemented.</w:t>
            </w:r>
          </w:p>
        </w:tc>
      </w:tr>
      <w:tr w:rsidR="00F66322" w:rsidRPr="00124ABA" w:rsidTr="0087293C">
        <w:trPr>
          <w:trHeight w:val="20"/>
        </w:trPr>
        <w:tc>
          <w:tcPr>
            <w:tcW w:w="4418" w:type="dxa"/>
            <w:tcBorders>
              <w:left w:val="double" w:sz="4" w:space="0" w:color="auto"/>
            </w:tcBorders>
          </w:tcPr>
          <w:p w:rsidR="00F66322" w:rsidRPr="00124ABA" w:rsidRDefault="00F66322" w:rsidP="00A740EC">
            <w:pPr>
              <w:spacing w:before="60" w:after="0" w:line="336" w:lineRule="auto"/>
              <w:ind w:left="34"/>
              <w:jc w:val="left"/>
              <w:rPr>
                <w:color w:val="1F497D" w:themeColor="text2"/>
              </w:rPr>
            </w:pPr>
            <w:r>
              <w:rPr>
                <w:color w:val="1F497D" w:themeColor="text2"/>
              </w:rPr>
              <w:t xml:space="preserve">During the next inspections of level crossing </w:t>
            </w:r>
            <w:r>
              <w:rPr>
                <w:color w:val="1F497D" w:themeColor="text2"/>
              </w:rPr>
              <w:lastRenderedPageBreak/>
              <w:t>gatehouses at all category A level crossings, PKP PLK S.A. will check the visibility of the danger zone of the level crossing from where barrier devices are operated, and the route from the position of the gateman, as well as the visibility of the displayed D</w:t>
            </w:r>
            <w:r>
              <w:noBreakHyphen/>
            </w:r>
            <w:r>
              <w:rPr>
                <w:color w:val="1F497D" w:themeColor="text2"/>
              </w:rPr>
              <w:t>8 signal from the position of the train driver and, if this visibility is limited, will apply the appropriate remedies.</w:t>
            </w:r>
          </w:p>
        </w:tc>
        <w:tc>
          <w:tcPr>
            <w:tcW w:w="6696" w:type="dxa"/>
          </w:tcPr>
          <w:p w:rsidR="00F66322" w:rsidRPr="00124ABA" w:rsidRDefault="00F66322" w:rsidP="00B05820">
            <w:pPr>
              <w:spacing w:before="60" w:after="0" w:line="336" w:lineRule="auto"/>
              <w:ind w:left="34"/>
              <w:jc w:val="left"/>
              <w:rPr>
                <w:color w:val="1F497D" w:themeColor="text2"/>
              </w:rPr>
            </w:pPr>
            <w:r>
              <w:rPr>
                <w:color w:val="1F497D" w:themeColor="text2"/>
              </w:rPr>
              <w:lastRenderedPageBreak/>
              <w:t xml:space="preserve">Based on reports sent to the </w:t>
            </w:r>
            <w:r w:rsidR="00B05820">
              <w:rPr>
                <w:color w:val="1F497D" w:themeColor="text2"/>
              </w:rPr>
              <w:t>Polish chamber of statutory auditors (IBR)</w:t>
            </w:r>
            <w:r>
              <w:rPr>
                <w:color w:val="1F497D" w:themeColor="text2"/>
              </w:rPr>
              <w:t xml:space="preserve">, Rail </w:t>
            </w:r>
            <w:r>
              <w:rPr>
                <w:color w:val="1F497D" w:themeColor="text2"/>
              </w:rPr>
              <w:lastRenderedPageBreak/>
              <w:t>Operators informed that they had checked the visibility of the danger zone of the level crossings from where the barrier devices are operated and the route from the position of the level crossing gateman.</w:t>
            </w:r>
          </w:p>
        </w:tc>
        <w:tc>
          <w:tcPr>
            <w:tcW w:w="3955" w:type="dxa"/>
            <w:tcBorders>
              <w:right w:val="double" w:sz="4" w:space="0" w:color="auto"/>
            </w:tcBorders>
          </w:tcPr>
          <w:p w:rsidR="00F66322" w:rsidRPr="00124ABA" w:rsidRDefault="00F66322" w:rsidP="00A740EC">
            <w:pPr>
              <w:spacing w:before="60" w:after="0" w:line="336" w:lineRule="auto"/>
              <w:ind w:left="34"/>
              <w:jc w:val="left"/>
              <w:rPr>
                <w:color w:val="1F497D" w:themeColor="text2"/>
              </w:rPr>
            </w:pPr>
            <w:r>
              <w:rPr>
                <w:b/>
                <w:color w:val="1F497D" w:themeColor="text2"/>
              </w:rPr>
              <w:lastRenderedPageBreak/>
              <w:t>The recommendation was implemented.</w:t>
            </w:r>
          </w:p>
        </w:tc>
      </w:tr>
    </w:tbl>
    <w:p w:rsidR="00FA13C5" w:rsidRDefault="00FE02A1" w:rsidP="00FA13C5">
      <w:pPr>
        <w:pStyle w:val="rda"/>
        <w:rPr>
          <w:color w:val="1F497D" w:themeColor="text2"/>
        </w:rPr>
      </w:pPr>
      <w:r>
        <w:rPr>
          <w:color w:val="1F497D" w:themeColor="text2"/>
        </w:rPr>
        <w:lastRenderedPageBreak/>
        <w:t xml:space="preserve">Source: own work. </w:t>
      </w:r>
      <w:bookmarkStart w:id="25" w:name="_Toc435539926"/>
    </w:p>
    <w:p w:rsidR="003A26DF" w:rsidRDefault="003A26DF" w:rsidP="00FA13C5">
      <w:pPr>
        <w:pStyle w:val="rda"/>
        <w:rPr>
          <w:color w:val="1F497D" w:themeColor="text2"/>
        </w:rPr>
        <w:sectPr w:rsidR="003A26DF" w:rsidSect="003A26DF">
          <w:headerReference w:type="first" r:id="rId25"/>
          <w:pgSz w:w="16838" w:h="11906" w:orient="landscape" w:code="9"/>
          <w:pgMar w:top="1196" w:right="686" w:bottom="992" w:left="1134" w:header="709" w:footer="374" w:gutter="0"/>
          <w:cols w:space="708"/>
          <w:titlePg/>
          <w:docGrid w:linePitch="360"/>
        </w:sectPr>
      </w:pPr>
    </w:p>
    <w:p w:rsidR="00C24EC4" w:rsidRPr="00124ABA" w:rsidRDefault="00C24EC4" w:rsidP="003A26DF">
      <w:pPr>
        <w:pStyle w:val="Heading2"/>
        <w:numPr>
          <w:ilvl w:val="0"/>
          <w:numId w:val="9"/>
        </w:numPr>
        <w:spacing w:before="240"/>
        <w:rPr>
          <w:color w:val="1F497D" w:themeColor="text2"/>
        </w:rPr>
      </w:pPr>
      <w:bookmarkStart w:id="26" w:name="_Toc441736862"/>
      <w:r>
        <w:rPr>
          <w:color w:val="1F497D" w:themeColor="text2"/>
        </w:rPr>
        <w:lastRenderedPageBreak/>
        <w:t>Implemented measures not related to safety recommendations</w:t>
      </w:r>
      <w:bookmarkEnd w:id="25"/>
      <w:bookmarkEnd w:id="26"/>
    </w:p>
    <w:p w:rsidR="00DC4253" w:rsidRPr="00124ABA" w:rsidRDefault="00DC4253" w:rsidP="00FE590D">
      <w:pPr>
        <w:pStyle w:val="Tekstzwyky"/>
        <w:rPr>
          <w:rFonts w:ascii="Arial" w:hAnsi="Arial" w:cs="Arial"/>
          <w:color w:val="1F497D" w:themeColor="text2"/>
        </w:rPr>
      </w:pPr>
      <w:r>
        <w:rPr>
          <w:rFonts w:ascii="Arial" w:hAnsi="Arial"/>
          <w:color w:val="1F497D" w:themeColor="text2"/>
        </w:rPr>
        <w:t>The table below contains a list of essential safety measures introduced by the Rail Transport Office as the national safety authority, together with a description of the reasons for their introduction.</w:t>
      </w:r>
    </w:p>
    <w:p w:rsidR="00A3455B" w:rsidRPr="00124ABA" w:rsidRDefault="00A3455B" w:rsidP="00A3455B">
      <w:pPr>
        <w:pStyle w:val="Tabele"/>
        <w:rPr>
          <w:color w:val="1F497D" w:themeColor="text2"/>
        </w:rPr>
      </w:pPr>
      <w:r>
        <w:rPr>
          <w:color w:val="1F497D" w:themeColor="text2"/>
        </w:rPr>
        <w:t xml:space="preserve">Essential safety measures introduced by the national safety authority </w:t>
      </w:r>
    </w:p>
    <w:tbl>
      <w:tblPr>
        <w:tblStyle w:val="TableGrid"/>
        <w:tblW w:w="4867" w:type="pct"/>
        <w:tblInd w:w="108" w:type="dxa"/>
        <w:tblLook w:val="0020" w:firstRow="1" w:lastRow="0" w:firstColumn="0" w:lastColumn="0" w:noHBand="0" w:noVBand="0"/>
      </w:tblPr>
      <w:tblGrid>
        <w:gridCol w:w="1648"/>
        <w:gridCol w:w="2742"/>
        <w:gridCol w:w="4195"/>
        <w:gridCol w:w="1085"/>
      </w:tblGrid>
      <w:tr w:rsidR="0015033B" w:rsidTr="000C3A85">
        <w:trPr>
          <w:trHeight w:val="716"/>
        </w:trPr>
        <w:tc>
          <w:tcPr>
            <w:tcW w:w="852" w:type="pct"/>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hideMark/>
          </w:tcPr>
          <w:p w:rsidR="0015033B" w:rsidRDefault="0015033B">
            <w:pPr>
              <w:pStyle w:val="Tabelki"/>
              <w:jc w:val="center"/>
              <w:rPr>
                <w:b/>
                <w:color w:val="1F497D" w:themeColor="text2"/>
              </w:rPr>
            </w:pPr>
            <w:r>
              <w:rPr>
                <w:b/>
                <w:color w:val="1F497D" w:themeColor="text2"/>
              </w:rPr>
              <w:t>Area covered by the measure</w:t>
            </w:r>
          </w:p>
        </w:tc>
        <w:tc>
          <w:tcPr>
            <w:tcW w:w="1418" w:type="pc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15033B" w:rsidRDefault="0015033B">
            <w:pPr>
              <w:pStyle w:val="Tabelki"/>
              <w:jc w:val="center"/>
              <w:rPr>
                <w:b/>
                <w:color w:val="1F497D" w:themeColor="text2"/>
              </w:rPr>
            </w:pPr>
            <w:r>
              <w:rPr>
                <w:b/>
                <w:color w:val="1F497D" w:themeColor="text2"/>
              </w:rPr>
              <w:t>Description of the reasons for introduction of the measure</w:t>
            </w:r>
          </w:p>
        </w:tc>
        <w:tc>
          <w:tcPr>
            <w:tcW w:w="2169" w:type="pct"/>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hideMark/>
          </w:tcPr>
          <w:p w:rsidR="0015033B" w:rsidRDefault="0015033B">
            <w:pPr>
              <w:pStyle w:val="Tabelki"/>
              <w:jc w:val="center"/>
              <w:rPr>
                <w:b/>
                <w:color w:val="1F497D" w:themeColor="text2"/>
              </w:rPr>
            </w:pPr>
            <w:r>
              <w:rPr>
                <w:b/>
                <w:color w:val="1F497D" w:themeColor="text2"/>
              </w:rPr>
              <w:t>Safety measure introduced</w:t>
            </w:r>
          </w:p>
        </w:tc>
        <w:tc>
          <w:tcPr>
            <w:tcW w:w="562" w:type="pct"/>
            <w:tcBorders>
              <w:top w:val="double" w:sz="4" w:space="0" w:color="auto"/>
              <w:left w:val="single" w:sz="4" w:space="0" w:color="auto"/>
              <w:bottom w:val="double" w:sz="4" w:space="0" w:color="auto"/>
              <w:right w:val="double" w:sz="4" w:space="0" w:color="auto"/>
            </w:tcBorders>
            <w:shd w:val="clear" w:color="auto" w:fill="BFBFBF" w:themeFill="background1" w:themeFillShade="BF"/>
            <w:hideMark/>
          </w:tcPr>
          <w:p w:rsidR="0015033B" w:rsidRDefault="0015033B">
            <w:pPr>
              <w:pStyle w:val="Tabelki"/>
              <w:jc w:val="center"/>
              <w:rPr>
                <w:b/>
                <w:color w:val="1F497D" w:themeColor="text2"/>
              </w:rPr>
            </w:pPr>
            <w:r>
              <w:rPr>
                <w:b/>
                <w:color w:val="1F497D" w:themeColor="text2"/>
              </w:rPr>
              <w:t>Number of decisions issued</w:t>
            </w:r>
          </w:p>
        </w:tc>
      </w:tr>
      <w:tr w:rsidR="0015033B" w:rsidTr="00AB710E">
        <w:trPr>
          <w:trHeight w:val="969"/>
        </w:trPr>
        <w:tc>
          <w:tcPr>
            <w:tcW w:w="852" w:type="pct"/>
            <w:vMerge w:val="restart"/>
            <w:tcBorders>
              <w:top w:val="double" w:sz="4" w:space="0" w:color="auto"/>
              <w:left w:val="double" w:sz="4" w:space="0" w:color="auto"/>
              <w:bottom w:val="single" w:sz="4" w:space="0" w:color="auto"/>
              <w:right w:val="single" w:sz="4" w:space="0" w:color="auto"/>
            </w:tcBorders>
            <w:vAlign w:val="center"/>
          </w:tcPr>
          <w:p w:rsidR="0015033B" w:rsidRDefault="0015033B" w:rsidP="00AB710E">
            <w:pPr>
              <w:pStyle w:val="Tabelki"/>
              <w:jc w:val="left"/>
              <w:rPr>
                <w:color w:val="1F497D" w:themeColor="text2"/>
              </w:rPr>
            </w:pPr>
            <w:r>
              <w:rPr>
                <w:color w:val="1F497D" w:themeColor="text2"/>
              </w:rPr>
              <w:t>Operation of rail vehicles</w:t>
            </w:r>
          </w:p>
        </w:tc>
        <w:tc>
          <w:tcPr>
            <w:tcW w:w="1418" w:type="pct"/>
            <w:tcBorders>
              <w:top w:val="double" w:sz="4" w:space="0" w:color="auto"/>
              <w:left w:val="single" w:sz="4" w:space="0" w:color="auto"/>
              <w:bottom w:val="single" w:sz="4" w:space="0" w:color="auto"/>
              <w:right w:val="single" w:sz="4" w:space="0" w:color="auto"/>
            </w:tcBorders>
            <w:hideMark/>
          </w:tcPr>
          <w:p w:rsidR="0015033B" w:rsidRDefault="0015033B">
            <w:pPr>
              <w:pStyle w:val="Tabelki"/>
              <w:rPr>
                <w:color w:val="1F497D" w:themeColor="text2"/>
              </w:rPr>
            </w:pPr>
            <w:r>
              <w:rPr>
                <w:color w:val="1F497D" w:themeColor="text2"/>
              </w:rPr>
              <w:t>Violation of provisions on the maintenance of rail vehicles creating a threat to life or health.</w:t>
            </w:r>
          </w:p>
        </w:tc>
        <w:tc>
          <w:tcPr>
            <w:tcW w:w="2169" w:type="pct"/>
            <w:tcBorders>
              <w:top w:val="double" w:sz="4" w:space="0" w:color="auto"/>
              <w:left w:val="single" w:sz="4" w:space="0" w:color="auto"/>
              <w:bottom w:val="single" w:sz="4" w:space="0" w:color="auto"/>
              <w:right w:val="double" w:sz="4" w:space="0" w:color="auto"/>
            </w:tcBorders>
          </w:tcPr>
          <w:p w:rsidR="0015033B" w:rsidRDefault="0015033B" w:rsidP="00AB710E">
            <w:pPr>
              <w:pStyle w:val="Tabelki"/>
              <w:ind w:left="32"/>
              <w:rPr>
                <w:color w:val="1F497D" w:themeColor="text2"/>
              </w:rPr>
            </w:pPr>
            <w:r>
              <w:rPr>
                <w:color w:val="1F497D" w:themeColor="text2"/>
              </w:rPr>
              <w:t>Administrative decisions on the decommissioning or limitation of use of vehicles.</w:t>
            </w:r>
          </w:p>
        </w:tc>
        <w:tc>
          <w:tcPr>
            <w:tcW w:w="562" w:type="pct"/>
            <w:tcBorders>
              <w:top w:val="double" w:sz="4" w:space="0" w:color="auto"/>
              <w:left w:val="single" w:sz="4" w:space="0" w:color="auto"/>
              <w:bottom w:val="single" w:sz="4" w:space="0" w:color="auto"/>
              <w:right w:val="double" w:sz="4" w:space="0" w:color="auto"/>
            </w:tcBorders>
          </w:tcPr>
          <w:p w:rsidR="0015033B" w:rsidRDefault="0015033B" w:rsidP="00A409A8">
            <w:pPr>
              <w:pStyle w:val="DoNotTranslateExternal1"/>
            </w:pPr>
            <w:r>
              <w:t>623</w:t>
            </w:r>
          </w:p>
        </w:tc>
      </w:tr>
      <w:tr w:rsidR="0015033B" w:rsidTr="000C3A85">
        <w:trPr>
          <w:trHeight w:val="969"/>
        </w:trPr>
        <w:tc>
          <w:tcPr>
            <w:tcW w:w="0" w:type="auto"/>
            <w:vMerge/>
            <w:tcBorders>
              <w:top w:val="double" w:sz="4" w:space="0" w:color="auto"/>
              <w:left w:val="double" w:sz="4" w:space="0" w:color="auto"/>
              <w:bottom w:val="single" w:sz="4" w:space="0" w:color="auto"/>
              <w:right w:val="single" w:sz="4" w:space="0" w:color="auto"/>
            </w:tcBorders>
            <w:vAlign w:val="center"/>
            <w:hideMark/>
          </w:tcPr>
          <w:p w:rsidR="0015033B" w:rsidRDefault="0015033B">
            <w:pPr>
              <w:spacing w:before="0" w:after="0" w:line="240" w:lineRule="auto"/>
              <w:jc w:val="left"/>
              <w:rPr>
                <w:color w:val="1F497D" w:themeColor="text2"/>
              </w:rPr>
            </w:pPr>
          </w:p>
        </w:tc>
        <w:tc>
          <w:tcPr>
            <w:tcW w:w="1418" w:type="pct"/>
            <w:tcBorders>
              <w:top w:val="single" w:sz="4" w:space="0" w:color="auto"/>
              <w:left w:val="single" w:sz="4" w:space="0" w:color="auto"/>
              <w:bottom w:val="single" w:sz="4" w:space="0" w:color="auto"/>
              <w:right w:val="single" w:sz="4" w:space="0" w:color="auto"/>
            </w:tcBorders>
            <w:hideMark/>
          </w:tcPr>
          <w:p w:rsidR="0015033B" w:rsidRDefault="0015033B">
            <w:pPr>
              <w:pStyle w:val="Tabelki"/>
              <w:rPr>
                <w:color w:val="1F497D" w:themeColor="text2"/>
              </w:rPr>
            </w:pPr>
            <w:r>
              <w:rPr>
                <w:color w:val="1F497D" w:themeColor="text2"/>
              </w:rPr>
              <w:t xml:space="preserve">Violation of provisions on the maintenance of rail vehicles. </w:t>
            </w:r>
          </w:p>
        </w:tc>
        <w:tc>
          <w:tcPr>
            <w:tcW w:w="2169" w:type="pct"/>
            <w:tcBorders>
              <w:top w:val="single" w:sz="4" w:space="0" w:color="auto"/>
              <w:left w:val="single" w:sz="4" w:space="0" w:color="auto"/>
              <w:bottom w:val="single" w:sz="4" w:space="0" w:color="auto"/>
              <w:right w:val="double" w:sz="4" w:space="0" w:color="auto"/>
            </w:tcBorders>
            <w:hideMark/>
          </w:tcPr>
          <w:p w:rsidR="0015033B" w:rsidRDefault="0015033B">
            <w:pPr>
              <w:pStyle w:val="Tabelki"/>
              <w:ind w:left="32"/>
              <w:rPr>
                <w:color w:val="1F497D" w:themeColor="text2"/>
              </w:rPr>
            </w:pPr>
            <w:r>
              <w:rPr>
                <w:color w:val="1F497D" w:themeColor="text2"/>
              </w:rPr>
              <w:t>Administrative decisions regarding the finding of violations of provisions on the maintenance of rail vehicles together with an order to eliminate them.</w:t>
            </w:r>
          </w:p>
        </w:tc>
        <w:tc>
          <w:tcPr>
            <w:tcW w:w="562" w:type="pct"/>
            <w:tcBorders>
              <w:top w:val="single" w:sz="4" w:space="0" w:color="auto"/>
              <w:left w:val="single" w:sz="4" w:space="0" w:color="auto"/>
              <w:bottom w:val="single" w:sz="4" w:space="0" w:color="auto"/>
              <w:right w:val="double" w:sz="4" w:space="0" w:color="auto"/>
            </w:tcBorders>
            <w:hideMark/>
          </w:tcPr>
          <w:p w:rsidR="0015033B" w:rsidRDefault="0015033B" w:rsidP="00A409A8">
            <w:pPr>
              <w:pStyle w:val="DoNotTranslateExternal1"/>
            </w:pPr>
            <w:r>
              <w:t>17</w:t>
            </w:r>
          </w:p>
        </w:tc>
      </w:tr>
      <w:tr w:rsidR="0015033B" w:rsidTr="00AB710E">
        <w:trPr>
          <w:trHeight w:val="162"/>
        </w:trPr>
        <w:tc>
          <w:tcPr>
            <w:tcW w:w="852" w:type="pct"/>
            <w:vMerge w:val="restart"/>
            <w:tcBorders>
              <w:top w:val="single" w:sz="4" w:space="0" w:color="auto"/>
              <w:left w:val="double" w:sz="4" w:space="0" w:color="auto"/>
              <w:bottom w:val="single" w:sz="4" w:space="0" w:color="auto"/>
              <w:right w:val="single" w:sz="4" w:space="0" w:color="auto"/>
            </w:tcBorders>
            <w:vAlign w:val="center"/>
          </w:tcPr>
          <w:p w:rsidR="0015033B" w:rsidRDefault="0015033B" w:rsidP="00AB710E">
            <w:pPr>
              <w:pStyle w:val="Tabelki"/>
              <w:jc w:val="left"/>
              <w:rPr>
                <w:color w:val="1F497D" w:themeColor="text2"/>
              </w:rPr>
            </w:pPr>
            <w:r>
              <w:rPr>
                <w:color w:val="1F497D" w:themeColor="text2"/>
              </w:rPr>
              <w:t>Safety management systems.</w:t>
            </w:r>
          </w:p>
        </w:tc>
        <w:tc>
          <w:tcPr>
            <w:tcW w:w="1418" w:type="pct"/>
            <w:vMerge w:val="restart"/>
            <w:tcBorders>
              <w:top w:val="single" w:sz="4" w:space="0" w:color="auto"/>
              <w:left w:val="single" w:sz="4" w:space="0" w:color="auto"/>
              <w:bottom w:val="single" w:sz="4" w:space="0" w:color="auto"/>
              <w:right w:val="single" w:sz="4" w:space="0" w:color="auto"/>
            </w:tcBorders>
            <w:vAlign w:val="center"/>
          </w:tcPr>
          <w:p w:rsidR="0015033B" w:rsidRDefault="0015033B" w:rsidP="00AB710E">
            <w:pPr>
              <w:pStyle w:val="Tabelki"/>
              <w:jc w:val="left"/>
              <w:rPr>
                <w:color w:val="1F497D" w:themeColor="text2"/>
              </w:rPr>
            </w:pPr>
            <w:r>
              <w:rPr>
                <w:color w:val="1F497D" w:themeColor="text2"/>
              </w:rPr>
              <w:t>Violation of provisions on using safety management systems.</w:t>
            </w:r>
          </w:p>
        </w:tc>
        <w:tc>
          <w:tcPr>
            <w:tcW w:w="2169" w:type="pct"/>
            <w:tcBorders>
              <w:top w:val="single" w:sz="4" w:space="0" w:color="auto"/>
              <w:left w:val="single" w:sz="4" w:space="0" w:color="auto"/>
              <w:bottom w:val="single" w:sz="4" w:space="0" w:color="auto"/>
              <w:right w:val="double" w:sz="4" w:space="0" w:color="auto"/>
            </w:tcBorders>
            <w:hideMark/>
          </w:tcPr>
          <w:p w:rsidR="0015033B" w:rsidRDefault="0015033B">
            <w:pPr>
              <w:pStyle w:val="Tabelki"/>
              <w:rPr>
                <w:color w:val="1F497D" w:themeColor="text2"/>
              </w:rPr>
            </w:pPr>
            <w:r>
              <w:rPr>
                <w:color w:val="1F497D" w:themeColor="text2"/>
              </w:rPr>
              <w:t>Administrative decisions regarding the finding of violations of provisions on the maintenance of rail vehicles together with an order to eliminate them.</w:t>
            </w:r>
          </w:p>
        </w:tc>
        <w:tc>
          <w:tcPr>
            <w:tcW w:w="562" w:type="pct"/>
            <w:tcBorders>
              <w:top w:val="single" w:sz="4" w:space="0" w:color="auto"/>
              <w:left w:val="single" w:sz="4" w:space="0" w:color="auto"/>
              <w:bottom w:val="single" w:sz="4" w:space="0" w:color="auto"/>
              <w:right w:val="double" w:sz="4" w:space="0" w:color="auto"/>
            </w:tcBorders>
            <w:hideMark/>
          </w:tcPr>
          <w:p w:rsidR="0015033B" w:rsidRDefault="0015033B" w:rsidP="00A409A8">
            <w:pPr>
              <w:pStyle w:val="DoNotTranslateExternal1"/>
            </w:pPr>
            <w:r>
              <w:t>14</w:t>
            </w:r>
          </w:p>
        </w:tc>
      </w:tr>
      <w:tr w:rsidR="0015033B" w:rsidTr="000C3A85">
        <w:trPr>
          <w:trHeight w:val="162"/>
        </w:trPr>
        <w:tc>
          <w:tcPr>
            <w:tcW w:w="0" w:type="auto"/>
            <w:vMerge/>
            <w:tcBorders>
              <w:top w:val="single" w:sz="4" w:space="0" w:color="auto"/>
              <w:left w:val="double" w:sz="4" w:space="0" w:color="auto"/>
              <w:bottom w:val="single" w:sz="4" w:space="0" w:color="auto"/>
              <w:right w:val="single" w:sz="4" w:space="0" w:color="auto"/>
            </w:tcBorders>
            <w:vAlign w:val="center"/>
            <w:hideMark/>
          </w:tcPr>
          <w:p w:rsidR="0015033B" w:rsidRDefault="0015033B">
            <w:pPr>
              <w:spacing w:before="0" w:after="0" w:line="240" w:lineRule="auto"/>
              <w:jc w:val="left"/>
              <w:rPr>
                <w:color w:val="1F497D" w:themeColor="text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33B" w:rsidRDefault="0015033B">
            <w:pPr>
              <w:spacing w:before="0" w:after="0" w:line="240" w:lineRule="auto"/>
              <w:jc w:val="left"/>
              <w:rPr>
                <w:color w:val="1F497D" w:themeColor="text2"/>
              </w:rPr>
            </w:pPr>
          </w:p>
        </w:tc>
        <w:tc>
          <w:tcPr>
            <w:tcW w:w="2169" w:type="pct"/>
            <w:tcBorders>
              <w:top w:val="single" w:sz="4" w:space="0" w:color="auto"/>
              <w:left w:val="single" w:sz="4" w:space="0" w:color="auto"/>
              <w:bottom w:val="single" w:sz="4" w:space="0" w:color="auto"/>
              <w:right w:val="double" w:sz="4" w:space="0" w:color="auto"/>
            </w:tcBorders>
            <w:hideMark/>
          </w:tcPr>
          <w:p w:rsidR="0015033B" w:rsidRDefault="0015033B">
            <w:pPr>
              <w:pStyle w:val="Tabelki"/>
              <w:rPr>
                <w:color w:val="1F497D" w:themeColor="text2"/>
              </w:rPr>
            </w:pPr>
            <w:r>
              <w:rPr>
                <w:color w:val="1F497D" w:themeColor="text2"/>
              </w:rPr>
              <w:t>Administrative decisions on withdrawal of certificates.</w:t>
            </w:r>
          </w:p>
        </w:tc>
        <w:tc>
          <w:tcPr>
            <w:tcW w:w="562" w:type="pct"/>
            <w:tcBorders>
              <w:top w:val="single" w:sz="4" w:space="0" w:color="auto"/>
              <w:left w:val="single" w:sz="4" w:space="0" w:color="auto"/>
              <w:bottom w:val="single" w:sz="4" w:space="0" w:color="auto"/>
              <w:right w:val="double" w:sz="4" w:space="0" w:color="auto"/>
            </w:tcBorders>
            <w:hideMark/>
          </w:tcPr>
          <w:p w:rsidR="0015033B" w:rsidRDefault="0015033B" w:rsidP="00A409A8">
            <w:pPr>
              <w:pStyle w:val="DoNotTranslateExternal1"/>
            </w:pPr>
            <w:r>
              <w:t>3</w:t>
            </w:r>
          </w:p>
        </w:tc>
      </w:tr>
      <w:tr w:rsidR="0015033B" w:rsidTr="00AB710E">
        <w:trPr>
          <w:trHeight w:val="877"/>
        </w:trPr>
        <w:tc>
          <w:tcPr>
            <w:tcW w:w="852" w:type="pct"/>
            <w:vMerge w:val="restart"/>
            <w:tcBorders>
              <w:top w:val="single" w:sz="4" w:space="0" w:color="auto"/>
              <w:left w:val="double" w:sz="4" w:space="0" w:color="auto"/>
              <w:bottom w:val="single" w:sz="4" w:space="0" w:color="auto"/>
              <w:right w:val="single" w:sz="4" w:space="0" w:color="auto"/>
            </w:tcBorders>
            <w:vAlign w:val="center"/>
          </w:tcPr>
          <w:p w:rsidR="0015033B" w:rsidRDefault="0015033B" w:rsidP="00AB710E">
            <w:pPr>
              <w:pStyle w:val="Tabelki"/>
              <w:jc w:val="left"/>
              <w:rPr>
                <w:color w:val="1F497D" w:themeColor="text2"/>
              </w:rPr>
            </w:pPr>
            <w:r>
              <w:rPr>
                <w:color w:val="1F497D" w:themeColor="text2"/>
              </w:rPr>
              <w:t>Rail infrastructure maintenance.</w:t>
            </w:r>
          </w:p>
        </w:tc>
        <w:tc>
          <w:tcPr>
            <w:tcW w:w="1418" w:type="pct"/>
            <w:vMerge w:val="restart"/>
            <w:tcBorders>
              <w:top w:val="single" w:sz="4" w:space="0" w:color="auto"/>
              <w:left w:val="single" w:sz="4" w:space="0" w:color="auto"/>
              <w:bottom w:val="single" w:sz="4" w:space="0" w:color="auto"/>
              <w:right w:val="single" w:sz="4" w:space="0" w:color="auto"/>
            </w:tcBorders>
            <w:vAlign w:val="center"/>
          </w:tcPr>
          <w:p w:rsidR="0015033B" w:rsidRDefault="0015033B" w:rsidP="00AB710E">
            <w:pPr>
              <w:pStyle w:val="Tabelki"/>
              <w:jc w:val="left"/>
              <w:rPr>
                <w:color w:val="1F497D" w:themeColor="text2"/>
              </w:rPr>
            </w:pPr>
            <w:r>
              <w:rPr>
                <w:color w:val="1F497D" w:themeColor="text2"/>
              </w:rPr>
              <w:t>Irregularities in infrastructure maintenance.</w:t>
            </w:r>
          </w:p>
        </w:tc>
        <w:tc>
          <w:tcPr>
            <w:tcW w:w="2169" w:type="pct"/>
            <w:tcBorders>
              <w:top w:val="single" w:sz="4" w:space="0" w:color="auto"/>
              <w:left w:val="single" w:sz="4" w:space="0" w:color="auto"/>
              <w:bottom w:val="single" w:sz="4" w:space="0" w:color="auto"/>
              <w:right w:val="double" w:sz="4" w:space="0" w:color="auto"/>
            </w:tcBorders>
          </w:tcPr>
          <w:p w:rsidR="0015033B" w:rsidRDefault="0015033B" w:rsidP="00AB710E">
            <w:pPr>
              <w:pStyle w:val="Tabelki"/>
              <w:rPr>
                <w:color w:val="1F497D" w:themeColor="text2"/>
              </w:rPr>
            </w:pPr>
            <w:r>
              <w:rPr>
                <w:color w:val="1F497D" w:themeColor="text2"/>
              </w:rPr>
              <w:t>Administrative decisions regarding the finding of violations of provisions on the maintenance of infrastructure together with an order to eliminate them.</w:t>
            </w:r>
          </w:p>
        </w:tc>
        <w:tc>
          <w:tcPr>
            <w:tcW w:w="562" w:type="pct"/>
            <w:tcBorders>
              <w:top w:val="single" w:sz="4" w:space="0" w:color="auto"/>
              <w:left w:val="single" w:sz="4" w:space="0" w:color="auto"/>
              <w:bottom w:val="single" w:sz="4" w:space="0" w:color="auto"/>
              <w:right w:val="double" w:sz="4" w:space="0" w:color="auto"/>
            </w:tcBorders>
          </w:tcPr>
          <w:p w:rsidR="0015033B" w:rsidRDefault="0015033B" w:rsidP="00A409A8">
            <w:pPr>
              <w:pStyle w:val="DoNotTranslateExternal1"/>
            </w:pPr>
            <w:r>
              <w:t>82</w:t>
            </w:r>
          </w:p>
        </w:tc>
      </w:tr>
      <w:tr w:rsidR="0015033B" w:rsidTr="000C3A85">
        <w:trPr>
          <w:trHeight w:val="725"/>
        </w:trPr>
        <w:tc>
          <w:tcPr>
            <w:tcW w:w="0" w:type="auto"/>
            <w:vMerge/>
            <w:tcBorders>
              <w:top w:val="single" w:sz="4" w:space="0" w:color="auto"/>
              <w:left w:val="double" w:sz="4" w:space="0" w:color="auto"/>
              <w:bottom w:val="single" w:sz="4" w:space="0" w:color="auto"/>
              <w:right w:val="single" w:sz="4" w:space="0" w:color="auto"/>
            </w:tcBorders>
            <w:vAlign w:val="center"/>
            <w:hideMark/>
          </w:tcPr>
          <w:p w:rsidR="0015033B" w:rsidRDefault="0015033B">
            <w:pPr>
              <w:spacing w:before="0" w:after="0" w:line="240" w:lineRule="auto"/>
              <w:jc w:val="left"/>
              <w:rPr>
                <w:color w:val="1F497D" w:themeColor="text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33B" w:rsidRDefault="0015033B">
            <w:pPr>
              <w:spacing w:before="0" w:after="0" w:line="240" w:lineRule="auto"/>
              <w:jc w:val="left"/>
              <w:rPr>
                <w:color w:val="1F497D" w:themeColor="text2"/>
              </w:rPr>
            </w:pPr>
          </w:p>
        </w:tc>
        <w:tc>
          <w:tcPr>
            <w:tcW w:w="2169" w:type="pct"/>
            <w:tcBorders>
              <w:top w:val="single" w:sz="4" w:space="0" w:color="auto"/>
              <w:left w:val="single" w:sz="4" w:space="0" w:color="auto"/>
              <w:bottom w:val="single" w:sz="4" w:space="0" w:color="auto"/>
              <w:right w:val="double" w:sz="4" w:space="0" w:color="auto"/>
            </w:tcBorders>
          </w:tcPr>
          <w:p w:rsidR="0015033B" w:rsidRDefault="0015033B" w:rsidP="00AB710E">
            <w:pPr>
              <w:pStyle w:val="Tabelki"/>
              <w:rPr>
                <w:color w:val="1F497D" w:themeColor="text2"/>
              </w:rPr>
            </w:pPr>
            <w:r>
              <w:rPr>
                <w:color w:val="1F497D" w:themeColor="text2"/>
              </w:rPr>
              <w:t>Administrative decisions suspending or limiting rail traffic on sections of railway lines or sidings.</w:t>
            </w:r>
          </w:p>
        </w:tc>
        <w:tc>
          <w:tcPr>
            <w:tcW w:w="562" w:type="pct"/>
            <w:tcBorders>
              <w:top w:val="single" w:sz="4" w:space="0" w:color="auto"/>
              <w:left w:val="single" w:sz="4" w:space="0" w:color="auto"/>
              <w:bottom w:val="single" w:sz="4" w:space="0" w:color="auto"/>
              <w:right w:val="double" w:sz="4" w:space="0" w:color="auto"/>
            </w:tcBorders>
            <w:hideMark/>
          </w:tcPr>
          <w:p w:rsidR="0015033B" w:rsidRDefault="0015033B" w:rsidP="00A409A8">
            <w:pPr>
              <w:pStyle w:val="DoNotTranslateExternal1"/>
            </w:pPr>
            <w:r>
              <w:t>16</w:t>
            </w:r>
          </w:p>
        </w:tc>
      </w:tr>
      <w:tr w:rsidR="0015033B" w:rsidTr="000C3A85">
        <w:trPr>
          <w:trHeight w:val="585"/>
        </w:trPr>
        <w:tc>
          <w:tcPr>
            <w:tcW w:w="852" w:type="pct"/>
            <w:tcBorders>
              <w:top w:val="single" w:sz="4" w:space="0" w:color="auto"/>
              <w:left w:val="double" w:sz="4" w:space="0" w:color="auto"/>
              <w:bottom w:val="single" w:sz="4" w:space="0" w:color="auto"/>
              <w:right w:val="single" w:sz="4" w:space="0" w:color="auto"/>
            </w:tcBorders>
            <w:hideMark/>
          </w:tcPr>
          <w:p w:rsidR="0015033B" w:rsidRDefault="0015033B">
            <w:pPr>
              <w:pStyle w:val="Tabelki"/>
              <w:rPr>
                <w:color w:val="1F497D" w:themeColor="text2"/>
              </w:rPr>
            </w:pPr>
            <w:r>
              <w:rPr>
                <w:color w:val="1F497D" w:themeColor="text2"/>
              </w:rPr>
              <w:t>Financial penalties.</w:t>
            </w:r>
          </w:p>
        </w:tc>
        <w:tc>
          <w:tcPr>
            <w:tcW w:w="1418" w:type="pct"/>
            <w:tcBorders>
              <w:top w:val="single" w:sz="4" w:space="0" w:color="auto"/>
              <w:left w:val="single" w:sz="4" w:space="0" w:color="auto"/>
              <w:bottom w:val="single" w:sz="4" w:space="0" w:color="auto"/>
              <w:right w:val="single" w:sz="4" w:space="0" w:color="auto"/>
            </w:tcBorders>
            <w:hideMark/>
          </w:tcPr>
          <w:p w:rsidR="0015033B" w:rsidRDefault="0015033B">
            <w:pPr>
              <w:pStyle w:val="Tabelki"/>
              <w:rPr>
                <w:color w:val="1F497D" w:themeColor="text2"/>
              </w:rPr>
            </w:pPr>
            <w:r>
              <w:rPr>
                <w:color w:val="1F497D" w:themeColor="text2"/>
              </w:rPr>
              <w:t>Violations subject to a financial penalty based on the provision of the Rail Transport Act or the Act on the Transport of Dangerous Goods.</w:t>
            </w:r>
          </w:p>
        </w:tc>
        <w:tc>
          <w:tcPr>
            <w:tcW w:w="2169" w:type="pct"/>
            <w:tcBorders>
              <w:top w:val="single" w:sz="4" w:space="0" w:color="auto"/>
              <w:left w:val="single" w:sz="4" w:space="0" w:color="auto"/>
              <w:bottom w:val="single" w:sz="4" w:space="0" w:color="auto"/>
              <w:right w:val="double" w:sz="4" w:space="0" w:color="auto"/>
            </w:tcBorders>
            <w:hideMark/>
          </w:tcPr>
          <w:p w:rsidR="0015033B" w:rsidRDefault="0015033B">
            <w:pPr>
              <w:pStyle w:val="Tabelki"/>
              <w:rPr>
                <w:color w:val="1F497D" w:themeColor="text2"/>
              </w:rPr>
            </w:pPr>
            <w:r>
              <w:rPr>
                <w:color w:val="1F497D" w:themeColor="text2"/>
              </w:rPr>
              <w:t>Decisions regarding imposing a financial penalty for the violations found (including decisions discontinuing proceedings and decisions after reconsideration).</w:t>
            </w:r>
          </w:p>
        </w:tc>
        <w:tc>
          <w:tcPr>
            <w:tcW w:w="562" w:type="pct"/>
            <w:tcBorders>
              <w:top w:val="single" w:sz="4" w:space="0" w:color="auto"/>
              <w:left w:val="single" w:sz="4" w:space="0" w:color="auto"/>
              <w:bottom w:val="single" w:sz="4" w:space="0" w:color="auto"/>
              <w:right w:val="double" w:sz="4" w:space="0" w:color="auto"/>
            </w:tcBorders>
            <w:hideMark/>
          </w:tcPr>
          <w:p w:rsidR="0015033B" w:rsidRDefault="0015033B" w:rsidP="00A409A8">
            <w:pPr>
              <w:pStyle w:val="DoNotTranslateExternal1"/>
            </w:pPr>
            <w:r>
              <w:t>76</w:t>
            </w:r>
          </w:p>
        </w:tc>
      </w:tr>
    </w:tbl>
    <w:p w:rsidR="000C3A85" w:rsidRDefault="00FE02A1" w:rsidP="00FE02A1">
      <w:pPr>
        <w:pStyle w:val="rda"/>
        <w:rPr>
          <w:color w:val="1F497D" w:themeColor="text2"/>
        </w:rPr>
      </w:pPr>
      <w:r>
        <w:rPr>
          <w:color w:val="1F497D" w:themeColor="text2"/>
        </w:rPr>
        <w:t xml:space="preserve">Source: own work. </w:t>
      </w:r>
    </w:p>
    <w:p w:rsidR="00FA13C5" w:rsidRDefault="00FA13C5" w:rsidP="00FE02A1">
      <w:pPr>
        <w:pStyle w:val="rda"/>
        <w:rPr>
          <w:color w:val="1F497D" w:themeColor="text2"/>
        </w:rPr>
      </w:pPr>
    </w:p>
    <w:p w:rsidR="0093002E" w:rsidRPr="00124ABA" w:rsidRDefault="00A3455B" w:rsidP="009B1787">
      <w:pPr>
        <w:pStyle w:val="Heading1"/>
        <w:rPr>
          <w:color w:val="1F497D" w:themeColor="text2"/>
        </w:rPr>
      </w:pPr>
      <w:bookmarkStart w:id="27" w:name="_Toc435539927"/>
      <w:bookmarkStart w:id="28" w:name="_Toc441736863"/>
      <w:r>
        <w:rPr>
          <w:color w:val="1F497D" w:themeColor="text2"/>
        </w:rPr>
        <w:lastRenderedPageBreak/>
        <w:t>Supervision</w:t>
      </w:r>
      <w:bookmarkEnd w:id="27"/>
      <w:bookmarkEnd w:id="28"/>
    </w:p>
    <w:p w:rsidR="00270A59" w:rsidRPr="00124ABA" w:rsidRDefault="009558ED" w:rsidP="003103C4">
      <w:pPr>
        <w:pStyle w:val="Heading2"/>
        <w:numPr>
          <w:ilvl w:val="0"/>
          <w:numId w:val="8"/>
        </w:numPr>
        <w:rPr>
          <w:color w:val="1F497D" w:themeColor="text2"/>
        </w:rPr>
      </w:pPr>
      <w:bookmarkStart w:id="29" w:name="_Toc435539928"/>
      <w:bookmarkStart w:id="30" w:name="_Toc441736864"/>
      <w:r>
        <w:rPr>
          <w:color w:val="1F497D" w:themeColor="text2"/>
        </w:rPr>
        <w:t>Strategy and plans</w:t>
      </w:r>
      <w:bookmarkEnd w:id="29"/>
      <w:bookmarkEnd w:id="30"/>
    </w:p>
    <w:p w:rsidR="009D6A6F" w:rsidRPr="00124ABA" w:rsidRDefault="009D6A6F" w:rsidP="009D6A6F">
      <w:pPr>
        <w:spacing w:after="0" w:line="280" w:lineRule="exact"/>
        <w:rPr>
          <w:rFonts w:eastAsia="Times New Roman"/>
          <w:color w:val="1F497D" w:themeColor="text2"/>
        </w:rPr>
      </w:pPr>
      <w:r>
        <w:rPr>
          <w:color w:val="1F497D" w:themeColor="text2"/>
        </w:rPr>
        <w:t>The priorities supervised in 2015 were specified, first and foremost, based on analyses conducted, including accident rates, maintenance work, certificate validity periods, analysis of the impact of service difficulties and the degree of degradation to rail infrastructure.</w:t>
      </w:r>
    </w:p>
    <w:p w:rsidR="009D6A6F" w:rsidRPr="00124ABA" w:rsidRDefault="009D6A6F" w:rsidP="000C3A85">
      <w:pPr>
        <w:pStyle w:val="Tabele"/>
        <w:ind w:left="851" w:hanging="851"/>
        <w:rPr>
          <w:color w:val="1F497D" w:themeColor="text2"/>
        </w:rPr>
      </w:pPr>
      <w:r>
        <w:rPr>
          <w:color w:val="1F497D" w:themeColor="text2"/>
        </w:rPr>
        <w:t xml:space="preserve">Priorities for supervision of the President of the Rail Transport Office for 2015 </w:t>
      </w:r>
    </w:p>
    <w:tbl>
      <w:tblPr>
        <w:tblStyle w:val="Tabela-Siatka2"/>
        <w:tblW w:w="9550"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750"/>
        <w:gridCol w:w="8800"/>
      </w:tblGrid>
      <w:tr w:rsidR="009D6A6F" w:rsidRPr="00124ABA" w:rsidTr="00FA13C5">
        <w:trPr>
          <w:trHeight w:val="440"/>
          <w:tblHeader/>
          <w:jc w:val="center"/>
        </w:trPr>
        <w:tc>
          <w:tcPr>
            <w:tcW w:w="750" w:type="dxa"/>
            <w:tcBorders>
              <w:top w:val="single" w:sz="12" w:space="0" w:color="0070C0"/>
              <w:left w:val="single" w:sz="12" w:space="0" w:color="0070C0"/>
              <w:bottom w:val="single" w:sz="12" w:space="0" w:color="FFFFFF" w:themeColor="background1"/>
              <w:right w:val="single" w:sz="4" w:space="0" w:color="FFFFFF" w:themeColor="background1"/>
            </w:tcBorders>
            <w:shd w:val="clear" w:color="auto" w:fill="BFBFBF" w:themeFill="background1" w:themeFillShade="BF"/>
            <w:vAlign w:val="center"/>
          </w:tcPr>
          <w:p w:rsidR="009D6A6F" w:rsidRPr="00124ABA" w:rsidRDefault="009D6A6F" w:rsidP="00CC533F">
            <w:pPr>
              <w:spacing w:before="0" w:after="0" w:line="240" w:lineRule="auto"/>
              <w:jc w:val="center"/>
              <w:rPr>
                <w:color w:val="1F497D" w:themeColor="text2"/>
                <w:sz w:val="16"/>
                <w:szCs w:val="16"/>
              </w:rPr>
            </w:pPr>
            <w:r>
              <w:rPr>
                <w:color w:val="1F497D" w:themeColor="text2"/>
                <w:sz w:val="16"/>
              </w:rPr>
              <w:t>No</w:t>
            </w:r>
          </w:p>
        </w:tc>
        <w:tc>
          <w:tcPr>
            <w:tcW w:w="8800" w:type="dxa"/>
            <w:tcBorders>
              <w:top w:val="single" w:sz="12" w:space="0" w:color="0070C0"/>
              <w:left w:val="single" w:sz="4" w:space="0" w:color="FFFFFF" w:themeColor="background1"/>
              <w:bottom w:val="single" w:sz="12" w:space="0" w:color="FFFFFF" w:themeColor="background1"/>
              <w:right w:val="single" w:sz="12" w:space="0" w:color="0070C0"/>
            </w:tcBorders>
            <w:shd w:val="clear" w:color="auto" w:fill="BFBFBF" w:themeFill="background1" w:themeFillShade="BF"/>
            <w:vAlign w:val="center"/>
          </w:tcPr>
          <w:p w:rsidR="009D6A6F" w:rsidRPr="00124ABA" w:rsidRDefault="009D6A6F" w:rsidP="00CC533F">
            <w:pPr>
              <w:spacing w:before="0" w:after="0" w:line="240" w:lineRule="auto"/>
              <w:ind w:left="425" w:hanging="425"/>
              <w:jc w:val="center"/>
              <w:rPr>
                <w:color w:val="1F497D" w:themeColor="text2"/>
                <w:sz w:val="16"/>
                <w:szCs w:val="16"/>
              </w:rPr>
            </w:pPr>
            <w:r>
              <w:rPr>
                <w:b/>
                <w:color w:val="1F497D" w:themeColor="text2"/>
                <w:sz w:val="16"/>
              </w:rPr>
              <w:t>THEMATIC SCOPE OF SUPERVISORY ACTIVITIES</w:t>
            </w:r>
          </w:p>
        </w:tc>
      </w:tr>
      <w:tr w:rsidR="009D6A6F" w:rsidRPr="00124ABA" w:rsidTr="00FA13C5">
        <w:trPr>
          <w:trHeight w:val="283"/>
          <w:jc w:val="center"/>
        </w:trPr>
        <w:tc>
          <w:tcPr>
            <w:tcW w:w="750" w:type="dxa"/>
            <w:tcBorders>
              <w:top w:val="single" w:sz="12" w:space="0" w:color="FFFFFF" w:themeColor="background1"/>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w:t>
            </w:r>
          </w:p>
        </w:tc>
        <w:tc>
          <w:tcPr>
            <w:tcW w:w="8800" w:type="dxa"/>
            <w:tcBorders>
              <w:top w:val="single" w:sz="12" w:space="0" w:color="FFFFFF" w:themeColor="background1"/>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technical condition, maintenance process and classification of crossings of railway lines and public roads (including ‘unauthorised’ crossings) and verification of the provisions contained in documentation regarding rail crossings compared with the facts, with a particular emphasis on level crossings at which rail occurrences took place.</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preparation and implementation of the transport process together with elements of infrastructure maintenance.</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working hours of train drivers employed by several entities at the same time.</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4</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entities with safety authorisations and safety certificates in the process of recertification, including of selected criteria of safety management systems.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5</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safety of the operation of railway sidings.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6</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condition of infrastructure and of the maintenance process as regards safety management systems.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7</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transport of dangerous goods via rail.</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8</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strategic elements of line and point infrastructure used in the transport of dangerous goods.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9</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work of examining committees.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10</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preparation and implementation of the transport process together with observance of passenger rights (ensuring adequate levels of quality and passenger safety).</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11</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technical condition of rail vehicles (technical inspections).</w:t>
            </w:r>
          </w:p>
        </w:tc>
      </w:tr>
      <w:tr w:rsidR="009D6A6F" w:rsidRPr="00124ABA" w:rsidTr="00FA13C5">
        <w:trPr>
          <w:trHeight w:val="283"/>
          <w:jc w:val="center"/>
        </w:trPr>
        <w:tc>
          <w:tcPr>
            <w:tcW w:w="750" w:type="dxa"/>
            <w:tcBorders>
              <w:top w:val="dotted" w:sz="4" w:space="0" w:color="0070C0"/>
              <w:left w:val="single" w:sz="12" w:space="0" w:color="0070C0"/>
              <w:bottom w:val="single" w:sz="12" w:space="0" w:color="0070C0"/>
              <w:right w:val="single" w:sz="4" w:space="0" w:color="0070C0"/>
            </w:tcBorders>
            <w:shd w:val="clear" w:color="auto" w:fill="auto"/>
            <w:vAlign w:val="center"/>
          </w:tcPr>
          <w:p w:rsidR="009D6A6F" w:rsidRPr="00A409A8" w:rsidRDefault="009D6A6F" w:rsidP="00A409A8">
            <w:pPr>
              <w:pStyle w:val="DoNotTranslateExternal3"/>
            </w:pPr>
            <w:r>
              <w:t>12</w:t>
            </w:r>
          </w:p>
        </w:tc>
        <w:tc>
          <w:tcPr>
            <w:tcW w:w="8800" w:type="dxa"/>
            <w:tcBorders>
              <w:top w:val="dotted" w:sz="4" w:space="0" w:color="0070C0"/>
              <w:left w:val="single" w:sz="4" w:space="0" w:color="0070C0"/>
              <w:bottom w:val="single" w:sz="12"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products used in the railway industry.</w:t>
            </w:r>
          </w:p>
        </w:tc>
      </w:tr>
      <w:tr w:rsidR="009D6A6F" w:rsidRPr="00124ABA" w:rsidTr="00FA13C5">
        <w:trPr>
          <w:trHeight w:val="283"/>
          <w:jc w:val="center"/>
        </w:trPr>
        <w:tc>
          <w:tcPr>
            <w:tcW w:w="750" w:type="dxa"/>
            <w:tcBorders>
              <w:top w:val="single" w:sz="12"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13</w:t>
            </w:r>
          </w:p>
        </w:tc>
        <w:tc>
          <w:tcPr>
            <w:tcW w:w="8800" w:type="dxa"/>
            <w:tcBorders>
              <w:top w:val="single" w:sz="12"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certificates issued to entities responsible for maintenance of vehicles and certificates issued for maintenance.</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14</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safety of rail transport during investigations being conducted on rail infrastructure.</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15</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compliance with licensing terms.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16</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implementation of recommendations of post</w:t>
            </w:r>
            <w:r>
              <w:noBreakHyphen/>
            </w:r>
            <w:r>
              <w:rPr>
                <w:color w:val="1F497D" w:themeColor="text2"/>
                <w:sz w:val="16"/>
              </w:rPr>
              <w:t>audit statements and administrative decisions.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17</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relevance of the use of substitute signals and written commands.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18</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functioning of and reaction to information from systems for detecting emergency statuses in railway rolling stock during travel (</w:t>
            </w:r>
            <w:r>
              <w:rPr>
                <w:caps/>
                <w:color w:val="1F497D" w:themeColor="text2"/>
                <w:sz w:val="16"/>
              </w:rPr>
              <w:t>asdek</w:t>
            </w:r>
            <w:r>
              <w:rPr>
                <w:color w:val="1F497D" w:themeColor="text2"/>
                <w:sz w:val="16"/>
              </w:rPr>
              <w:t>).</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19</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technical condition and process for maintenance of the system for powering railway traffic control devices.</w:t>
            </w:r>
          </w:p>
        </w:tc>
      </w:tr>
      <w:tr w:rsidR="009D6A6F" w:rsidRPr="00124ABA" w:rsidTr="00FA13C5">
        <w:trPr>
          <w:trHeight w:val="283"/>
          <w:jc w:val="center"/>
        </w:trPr>
        <w:tc>
          <w:tcPr>
            <w:tcW w:w="750" w:type="dxa"/>
            <w:tcBorders>
              <w:top w:val="dotted" w:sz="4" w:space="0" w:color="auto"/>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20</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technical and maintenance condition of railway traffic control devices.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21</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training centres that are on the list of entities authorised to train and test persons applying for train driver’s licences or certificates, as well as the mode of operation of test committees in these centres.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22</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transport process in international transport (including at border stations).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23</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technical condition of and maintenance process for overhead contact lines.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24</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maintenance process for rail vehicles in terms of safety management systems.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25</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implementation of the recommendations of the State Commission for Investigation of Railway Accidents.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26</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E94E2C">
            <w:pPr>
              <w:spacing w:before="0" w:after="0" w:line="240" w:lineRule="auto"/>
              <w:jc w:val="left"/>
              <w:rPr>
                <w:color w:val="1F497D" w:themeColor="text2"/>
                <w:sz w:val="16"/>
                <w:szCs w:val="16"/>
              </w:rPr>
            </w:pPr>
            <w:r>
              <w:rPr>
                <w:color w:val="1F497D" w:themeColor="text2"/>
                <w:sz w:val="16"/>
              </w:rPr>
              <w:t>Checking the efficiency of the HVAC (Heating, Ventilation and Air Conditioning) system.</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27</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products used in the railway industry (in terms of rail interoperability).</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28</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degree of preparedness to operate in winter conditions as regards safety management systems.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29</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compliance with the terms of issue of licences for the provision of traction services.</w:t>
            </w:r>
          </w:p>
        </w:tc>
      </w:tr>
      <w:tr w:rsidR="009D6A6F" w:rsidRPr="00124ABA" w:rsidTr="00FA13C5">
        <w:trPr>
          <w:trHeight w:val="283"/>
          <w:jc w:val="center"/>
        </w:trPr>
        <w:tc>
          <w:tcPr>
            <w:tcW w:w="750"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30</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The functioning of the dynamic passenger information system (at selected railway stations).</w:t>
            </w:r>
          </w:p>
        </w:tc>
      </w:tr>
    </w:tbl>
    <w:p w:rsidR="00FA13C5" w:rsidRDefault="00FA13C5">
      <w:r>
        <w:br w:type="page"/>
      </w:r>
    </w:p>
    <w:tbl>
      <w:tblPr>
        <w:tblStyle w:val="Tabela-Siatka2"/>
        <w:tblW w:w="9382"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82"/>
        <w:gridCol w:w="8800"/>
      </w:tblGrid>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lastRenderedPageBreak/>
              <w:t>31</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Availability and reliability of the official timetable (in poster form) at selected passenger platforms.</w:t>
            </w:r>
          </w:p>
        </w:tc>
      </w:tr>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32</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Announcements on international trains – in accordance with the requirements of Annex II Part II of Regulation (EC) No 1371/2007.</w:t>
            </w:r>
          </w:p>
        </w:tc>
      </w:tr>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33</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notified bodies.</w:t>
            </w:r>
          </w:p>
        </w:tc>
      </w:tr>
      <w:tr w:rsidR="009D6A6F" w:rsidRPr="00124ABA" w:rsidTr="00FA13C5">
        <w:trPr>
          <w:trHeight w:val="283"/>
          <w:jc w:val="center"/>
        </w:trPr>
        <w:tc>
          <w:tcPr>
            <w:tcW w:w="582" w:type="dxa"/>
            <w:tcBorders>
              <w:top w:val="dotted" w:sz="4" w:space="0" w:color="0070C0"/>
              <w:left w:val="single" w:sz="12" w:space="0" w:color="0070C0"/>
              <w:bottom w:val="single" w:sz="12" w:space="0" w:color="0070C0"/>
              <w:right w:val="single" w:sz="4" w:space="0" w:color="0070C0"/>
            </w:tcBorders>
            <w:shd w:val="clear" w:color="auto" w:fill="auto"/>
            <w:vAlign w:val="center"/>
          </w:tcPr>
          <w:p w:rsidR="009D6A6F" w:rsidRPr="00A409A8" w:rsidRDefault="009D6A6F" w:rsidP="00A409A8">
            <w:pPr>
              <w:pStyle w:val="DoNotTranslateExternal3"/>
            </w:pPr>
            <w:r>
              <w:t>34</w:t>
            </w:r>
          </w:p>
        </w:tc>
        <w:tc>
          <w:tcPr>
            <w:tcW w:w="8800" w:type="dxa"/>
            <w:tcBorders>
              <w:top w:val="dotted" w:sz="4" w:space="0" w:color="0070C0"/>
              <w:left w:val="single" w:sz="4" w:space="0" w:color="0070C0"/>
              <w:bottom w:val="single" w:sz="12"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pressure equipment.</w:t>
            </w:r>
          </w:p>
        </w:tc>
      </w:tr>
      <w:tr w:rsidR="009D6A6F" w:rsidRPr="00124ABA" w:rsidTr="00FA13C5">
        <w:trPr>
          <w:trHeight w:val="283"/>
          <w:jc w:val="center"/>
        </w:trPr>
        <w:tc>
          <w:tcPr>
            <w:tcW w:w="582" w:type="dxa"/>
            <w:tcBorders>
              <w:top w:val="single" w:sz="12"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35</w:t>
            </w:r>
          </w:p>
        </w:tc>
        <w:tc>
          <w:tcPr>
            <w:tcW w:w="8800" w:type="dxa"/>
            <w:tcBorders>
              <w:top w:val="single" w:sz="12"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compliance with fundamental requirements by cable cars.</w:t>
            </w:r>
          </w:p>
        </w:tc>
      </w:tr>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36</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entities authorised to conduct medical and psychological evaluations.</w:t>
            </w:r>
          </w:p>
        </w:tc>
      </w:tr>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37</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causes of SPADs (signals passed at danger).</w:t>
            </w:r>
          </w:p>
        </w:tc>
      </w:tr>
      <w:tr w:rsidR="009D6A6F" w:rsidRPr="00124ABA" w:rsidTr="00FA13C5">
        <w:trPr>
          <w:trHeight w:val="283"/>
          <w:jc w:val="center"/>
        </w:trPr>
        <w:tc>
          <w:tcPr>
            <w:tcW w:w="582" w:type="dxa"/>
            <w:tcBorders>
              <w:top w:val="dotted" w:sz="4" w:space="0" w:color="0070C0"/>
              <w:left w:val="single" w:sz="12" w:space="0" w:color="0070C0"/>
              <w:bottom w:val="dotted" w:sz="4" w:space="0" w:color="0070C0"/>
              <w:right w:val="single" w:sz="4" w:space="0" w:color="0070C0"/>
            </w:tcBorders>
            <w:shd w:val="clear" w:color="auto" w:fill="auto"/>
            <w:vAlign w:val="center"/>
          </w:tcPr>
          <w:p w:rsidR="009D6A6F" w:rsidRPr="00A409A8" w:rsidRDefault="009D6A6F" w:rsidP="00A409A8">
            <w:pPr>
              <w:pStyle w:val="DoNotTranslateExternal3"/>
            </w:pPr>
            <w:r>
              <w:t>38</w:t>
            </w:r>
          </w:p>
        </w:tc>
        <w:tc>
          <w:tcPr>
            <w:tcW w:w="8800" w:type="dxa"/>
            <w:tcBorders>
              <w:top w:val="dotted" w:sz="4" w:space="0" w:color="0070C0"/>
              <w:left w:val="single" w:sz="4" w:space="0" w:color="0070C0"/>
              <w:bottom w:val="dotted" w:sz="4"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functioning of technical rescue teams of infrastructure managers in terms of safety management systems.</w:t>
            </w:r>
          </w:p>
        </w:tc>
      </w:tr>
      <w:tr w:rsidR="009D6A6F" w:rsidRPr="00124ABA" w:rsidTr="00FA13C5">
        <w:trPr>
          <w:trHeight w:val="283"/>
          <w:jc w:val="center"/>
        </w:trPr>
        <w:tc>
          <w:tcPr>
            <w:tcW w:w="582" w:type="dxa"/>
            <w:tcBorders>
              <w:top w:val="dotted" w:sz="4" w:space="0" w:color="0070C0"/>
              <w:left w:val="single" w:sz="12" w:space="0" w:color="0070C0"/>
              <w:bottom w:val="single" w:sz="12" w:space="0" w:color="0070C0"/>
              <w:right w:val="single" w:sz="4" w:space="0" w:color="0070C0"/>
            </w:tcBorders>
            <w:shd w:val="clear" w:color="auto" w:fill="auto"/>
            <w:vAlign w:val="center"/>
          </w:tcPr>
          <w:p w:rsidR="009D6A6F" w:rsidRPr="00A409A8" w:rsidRDefault="009D6A6F" w:rsidP="00A409A8">
            <w:pPr>
              <w:pStyle w:val="DoNotTranslateExternal3"/>
            </w:pPr>
            <w:r>
              <w:t>39</w:t>
            </w:r>
          </w:p>
        </w:tc>
        <w:tc>
          <w:tcPr>
            <w:tcW w:w="8800" w:type="dxa"/>
            <w:tcBorders>
              <w:top w:val="dotted" w:sz="4" w:space="0" w:color="0070C0"/>
              <w:left w:val="single" w:sz="4" w:space="0" w:color="0070C0"/>
              <w:bottom w:val="single" w:sz="12" w:space="0" w:color="0070C0"/>
              <w:right w:val="single" w:sz="12" w:space="0" w:color="0070C0"/>
            </w:tcBorders>
            <w:vAlign w:val="center"/>
          </w:tcPr>
          <w:p w:rsidR="009D6A6F" w:rsidRPr="00124ABA" w:rsidRDefault="009D6A6F" w:rsidP="00CC533F">
            <w:pPr>
              <w:spacing w:before="0" w:after="0" w:line="240" w:lineRule="auto"/>
              <w:jc w:val="left"/>
              <w:rPr>
                <w:color w:val="1F497D" w:themeColor="text2"/>
                <w:sz w:val="16"/>
                <w:szCs w:val="16"/>
              </w:rPr>
            </w:pPr>
            <w:r>
              <w:rPr>
                <w:color w:val="1F497D" w:themeColor="text2"/>
                <w:sz w:val="16"/>
              </w:rPr>
              <w:t>Supervision of the safety of the metro.</w:t>
            </w:r>
          </w:p>
        </w:tc>
      </w:tr>
    </w:tbl>
    <w:p w:rsidR="009D6A6F" w:rsidRPr="009B57DB" w:rsidRDefault="009D6A6F" w:rsidP="009D6A6F">
      <w:pPr>
        <w:spacing w:after="0" w:line="280" w:lineRule="exact"/>
        <w:rPr>
          <w:rFonts w:eastAsia="Times New Roman"/>
          <w:color w:val="1F497D" w:themeColor="text2"/>
        </w:rPr>
      </w:pPr>
      <w:r>
        <w:rPr>
          <w:color w:val="1F497D" w:themeColor="text2"/>
        </w:rPr>
        <w:t>Given the length of the document constituting the supervision plan for 2015, this file has been included in Annex 1.</w:t>
      </w:r>
    </w:p>
    <w:p w:rsidR="009D6A6F" w:rsidRPr="00124ABA" w:rsidRDefault="009D6A6F" w:rsidP="009D6A6F">
      <w:pPr>
        <w:spacing w:after="0" w:line="280" w:lineRule="exact"/>
        <w:rPr>
          <w:rFonts w:eastAsia="Times New Roman"/>
          <w:color w:val="1F497D" w:themeColor="text2"/>
        </w:rPr>
      </w:pPr>
      <w:r>
        <w:rPr>
          <w:color w:val="1F497D" w:themeColor="text2"/>
        </w:rPr>
        <w:t>The process for planned supervision operated by the President of the UTK is illustrated in the diagram below.</w:t>
      </w:r>
    </w:p>
    <w:p w:rsidR="009D6A6F" w:rsidRPr="00124ABA" w:rsidRDefault="009D6A6F" w:rsidP="009D6A6F">
      <w:pPr>
        <w:spacing w:after="0" w:line="280" w:lineRule="exact"/>
        <w:rPr>
          <w:rFonts w:eastAsia="Times New Roman"/>
          <w:color w:val="1F497D" w:themeColor="text2"/>
        </w:rPr>
      </w:pPr>
    </w:p>
    <w:p w:rsidR="009D6A6F" w:rsidRDefault="009D6A6F" w:rsidP="009D6A6F">
      <w:pPr>
        <w:spacing w:before="0" w:after="0" w:line="240" w:lineRule="auto"/>
        <w:jc w:val="left"/>
        <w:rPr>
          <w:color w:val="1F497D" w:themeColor="text2"/>
        </w:rPr>
      </w:pPr>
      <w:r>
        <w:rPr>
          <w:noProof/>
          <w:color w:val="1F497D" w:themeColor="text2"/>
          <w:sz w:val="22"/>
          <w:lang w:val="fr-LU" w:eastAsia="fr-LU" w:bidi="ar-SA"/>
        </w:rPr>
        <w:drawing>
          <wp:inline distT="0" distB="0" distL="0" distR="0" wp14:anchorId="37229FDC" wp14:editId="465B8912">
            <wp:extent cx="5860800" cy="3715200"/>
            <wp:effectExtent l="0" t="19050" r="0" b="5715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1A28F6" w:rsidRPr="00124ABA" w:rsidRDefault="001A28F6" w:rsidP="001A28F6">
      <w:pPr>
        <w:spacing w:after="0" w:line="280" w:lineRule="exact"/>
        <w:rPr>
          <w:rFonts w:eastAsia="Times New Roman"/>
          <w:color w:val="1F497D" w:themeColor="text2"/>
        </w:rPr>
      </w:pPr>
      <w:r>
        <w:rPr>
          <w:color w:val="1F497D" w:themeColor="text2"/>
        </w:rPr>
        <w:t>Supervision of entities whose activities impact rail traffic safety and railway operation is implemented through the performance of the tasks specified in the annual supervision plan of the President of the Rail Transport Office or in the form of ad</w:t>
      </w:r>
      <w:r>
        <w:noBreakHyphen/>
      </w:r>
      <w:r>
        <w:rPr>
          <w:color w:val="1F497D" w:themeColor="text2"/>
        </w:rPr>
        <w:t>hoc activities; measures implemented outside of the plan include, first and foremost, activities undertaken as a result of declarations received by the Office, as well as rail occurrences that have taken place. It must be highlighted that all supervisory activities carried out by the President of the Rail Transport Office are aimed at ensuring the proper functioning of the rail market; however, ad-hoc activities require immediate intervention due to the high likelihood of a threat to the safety of rail traffic and, therefore, are impossible to plan.</w:t>
      </w:r>
    </w:p>
    <w:p w:rsidR="00F0651E" w:rsidRDefault="00C156EF" w:rsidP="00C156EF">
      <w:pPr>
        <w:spacing w:after="0" w:line="280" w:lineRule="exact"/>
        <w:rPr>
          <w:color w:val="1F497D" w:themeColor="text2"/>
        </w:rPr>
      </w:pPr>
      <w:r>
        <w:rPr>
          <w:color w:val="1F497D" w:themeColor="text2"/>
        </w:rPr>
        <w:t>Given the detailed scope of the activities carried out by the President of the UTK, it must be stated that proportionally the largest share of activities related to the working hours of employees (over 17%), as well as inspection runs and measures related to ensuring adequate levels of quality and passenger safety. In addition, a series of activities were carried out in relation to the maintenance of rail vehicles and infrastructure, transport of dangerous goods and the operation of railway sidings.</w:t>
      </w:r>
    </w:p>
    <w:p w:rsidR="00F0651E" w:rsidRDefault="00F0651E">
      <w:pPr>
        <w:spacing w:before="0" w:after="0" w:line="240" w:lineRule="auto"/>
        <w:jc w:val="left"/>
        <w:rPr>
          <w:color w:val="1F497D" w:themeColor="text2"/>
        </w:rPr>
      </w:pPr>
      <w:r>
        <w:rPr>
          <w:color w:val="1F497D" w:themeColor="text2"/>
        </w:rPr>
        <w:br w:type="page"/>
      </w:r>
    </w:p>
    <w:p w:rsidR="00C156EF" w:rsidRPr="00124ABA" w:rsidRDefault="00C156EF" w:rsidP="00C156EF">
      <w:pPr>
        <w:spacing w:after="0" w:line="280" w:lineRule="exact"/>
        <w:rPr>
          <w:color w:val="1F497D" w:themeColor="text2"/>
        </w:rPr>
      </w:pPr>
    </w:p>
    <w:p w:rsidR="00C156EF" w:rsidRPr="00F0651E" w:rsidRDefault="00C156EF" w:rsidP="004B0BE7">
      <w:pPr>
        <w:pStyle w:val="Rysunki"/>
        <w:numPr>
          <w:ilvl w:val="0"/>
          <w:numId w:val="43"/>
        </w:numPr>
      </w:pPr>
      <w:r w:rsidRPr="004B0BE7">
        <w:rPr>
          <w:rFonts w:eastAsia="Times New Roman"/>
          <w:b/>
          <w:color w:val="1F497D" w:themeColor="text2"/>
        </w:rPr>
        <w:t>Breakdown of individual supervisory activities carried out by the President of the UTK in 2014 – taking into account activities whose total number exceeded 60.</w:t>
      </w:r>
    </w:p>
    <w:p w:rsidR="00C156EF" w:rsidRPr="00124ABA" w:rsidRDefault="00C156EF" w:rsidP="00C156EF">
      <w:pPr>
        <w:jc w:val="center"/>
        <w:rPr>
          <w:rFonts w:eastAsia="Times New Roman"/>
          <w:noProof/>
          <w:color w:val="1F497D" w:themeColor="text2"/>
          <w:sz w:val="22"/>
        </w:rPr>
      </w:pPr>
      <w:r>
        <w:rPr>
          <w:noProof/>
          <w:color w:val="1F497D" w:themeColor="text2"/>
          <w:sz w:val="22"/>
          <w:lang w:val="fr-LU" w:eastAsia="fr-LU" w:bidi="ar-SA"/>
        </w:rPr>
        <w:drawing>
          <wp:inline distT="0" distB="0" distL="0" distR="0" wp14:anchorId="40A662B0" wp14:editId="4A24CA09">
            <wp:extent cx="5629523" cy="3172570"/>
            <wp:effectExtent l="0" t="0" r="0" b="889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156EF" w:rsidRDefault="00C156EF" w:rsidP="00C156EF">
      <w:pPr>
        <w:spacing w:line="240" w:lineRule="auto"/>
        <w:rPr>
          <w:color w:val="1F497D" w:themeColor="text2"/>
          <w:sz w:val="16"/>
          <w:szCs w:val="16"/>
        </w:rPr>
      </w:pPr>
      <w:r>
        <w:rPr>
          <w:color w:val="1F497D" w:themeColor="text2"/>
          <w:sz w:val="16"/>
        </w:rPr>
        <w:t>*Activities related to the supervision of Safety Management Systems are carried out in a comprehensive manner, i.e. individual SMS procedures and processes are subjected to a thorough verification.</w:t>
      </w:r>
    </w:p>
    <w:p w:rsidR="00AB710E" w:rsidRDefault="00AB710E">
      <w:pPr>
        <w:spacing w:before="0" w:after="0" w:line="240" w:lineRule="auto"/>
        <w:jc w:val="left"/>
        <w:rPr>
          <w:color w:val="1F497D" w:themeColor="text2"/>
          <w:sz w:val="16"/>
          <w:szCs w:val="16"/>
        </w:rPr>
      </w:pPr>
    </w:p>
    <w:p w:rsidR="00AB710E" w:rsidRPr="00124ABA" w:rsidRDefault="00AB710E" w:rsidP="00C156EF">
      <w:pPr>
        <w:spacing w:line="240" w:lineRule="auto"/>
        <w:rPr>
          <w:color w:val="1F497D" w:themeColor="text2"/>
          <w:sz w:val="16"/>
          <w:szCs w:val="16"/>
        </w:rPr>
      </w:pPr>
    </w:p>
    <w:p w:rsidR="00C156EF" w:rsidRPr="0043129E" w:rsidRDefault="00C156EF" w:rsidP="00F0651E">
      <w:pPr>
        <w:pStyle w:val="Rysunki"/>
      </w:pPr>
      <w:r w:rsidRPr="00F0651E">
        <w:rPr>
          <w:rFonts w:eastAsia="Times New Roman"/>
          <w:b/>
          <w:color w:val="1F497D" w:themeColor="text2"/>
        </w:rPr>
        <w:t>Activities implemented by the President of the UTK in 2014 broken down by type of entity being supervised – taking into account activities whose total number exceeded five.</w:t>
      </w:r>
    </w:p>
    <w:p w:rsidR="00CE2412" w:rsidRDefault="00C156EF" w:rsidP="00C156EF">
      <w:pPr>
        <w:spacing w:after="0" w:line="240" w:lineRule="auto"/>
        <w:jc w:val="center"/>
        <w:rPr>
          <w:b/>
          <w:color w:val="1F497D" w:themeColor="text2"/>
          <w:sz w:val="24"/>
          <w:szCs w:val="24"/>
        </w:rPr>
      </w:pPr>
      <w:r>
        <w:rPr>
          <w:noProof/>
          <w:color w:val="1F497D" w:themeColor="text2"/>
          <w:sz w:val="22"/>
          <w:lang w:val="fr-LU" w:eastAsia="fr-LU" w:bidi="ar-SA"/>
        </w:rPr>
        <w:drawing>
          <wp:inline distT="0" distB="0" distL="0" distR="0" wp14:anchorId="00679BC8" wp14:editId="21CFF956">
            <wp:extent cx="5797061" cy="3059724"/>
            <wp:effectExtent l="0" t="0" r="0" b="762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A13C5" w:rsidRDefault="00FA13C5" w:rsidP="00C156EF">
      <w:pPr>
        <w:kinsoku w:val="0"/>
        <w:overflowPunct w:val="0"/>
        <w:spacing w:after="0" w:line="280" w:lineRule="exact"/>
        <w:rPr>
          <w:rFonts w:eastAsia="Times New Roman"/>
          <w:color w:val="1F497D" w:themeColor="text2"/>
        </w:rPr>
      </w:pPr>
    </w:p>
    <w:p w:rsidR="00FA13C5" w:rsidRDefault="00FA13C5">
      <w:pPr>
        <w:spacing w:before="0" w:after="0" w:line="240" w:lineRule="auto"/>
        <w:jc w:val="left"/>
        <w:rPr>
          <w:rFonts w:eastAsia="Times New Roman"/>
          <w:color w:val="1F497D" w:themeColor="text2"/>
        </w:rPr>
      </w:pPr>
      <w:r>
        <w:br w:type="page"/>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lastRenderedPageBreak/>
        <w:t>It must be highlighted that in 2014 there was a significant increase in the number of supervisory activities undertaken in relation to rail traffic safety. There was double the number of activities compared with 2013 (a supervisory activity means an activity of varying levels of work and time required – e.g. an inspection run on a rail vehicle and multi</w:t>
      </w:r>
      <w:r>
        <w:noBreakHyphen/>
      </w:r>
      <w:r>
        <w:rPr>
          <w:color w:val="1F497D" w:themeColor="text2"/>
        </w:rPr>
        <w:t>aspect supervision of the implementation of the safety management system).</w:t>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Such a significant increase, both in the number and quality of the supervisory activities carried out by the President of the Rail Transport Office was achieved, inter alia, thanks to the prioritisation of supervisory activities, significant improvement and systematisation of the inspection process, the conduct of multi</w:t>
      </w:r>
      <w:r>
        <w:noBreakHyphen/>
      </w:r>
      <w:r>
        <w:rPr>
          <w:color w:val="1F497D" w:themeColor="text2"/>
        </w:rPr>
        <w:t>aspect substantive training of employees carrying out inspection activities, the introduction of detailed supervisory procedures, and the rationalisation of the use of human resources by the Rail Transport Office.</w:t>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An important aspect of the supervisory activities of the President of the UTK lies in inspections of the technical condition of rail infrastructure and the maintenance process and quality of maintenance carried out by infrastructure managers. In 2014, irregularities that required immediate elimination by railway operators were found in several hundred cases. Thanks to these measures, not only were potential threats to traffic safety eliminated, but also, in many instances, managers were obliged to restore the original technical parameters of lines, which, in turn, contributed to an increase in the quality of services rendered by operators.</w:t>
      </w:r>
    </w:p>
    <w:p w:rsidR="00C156EF" w:rsidRPr="00124ABA" w:rsidRDefault="00C156EF" w:rsidP="00C156EF">
      <w:pPr>
        <w:spacing w:before="0" w:after="0" w:line="276" w:lineRule="auto"/>
        <w:rPr>
          <w:b/>
          <w:color w:val="1F497D" w:themeColor="text2"/>
        </w:rPr>
      </w:pPr>
    </w:p>
    <w:p w:rsidR="00C156EF" w:rsidRPr="00F0651E" w:rsidRDefault="00C156EF" w:rsidP="00F0651E">
      <w:pPr>
        <w:pStyle w:val="Rysunki"/>
        <w:rPr>
          <w:rFonts w:eastAsia="Times New Roman"/>
          <w:b/>
          <w:color w:val="1F497D" w:themeColor="text2"/>
        </w:rPr>
      </w:pPr>
      <w:r w:rsidRPr="00F0651E">
        <w:rPr>
          <w:rFonts w:eastAsia="Times New Roman"/>
          <w:b/>
          <w:color w:val="1F497D" w:themeColor="text2"/>
        </w:rPr>
        <w:t>Post</w:t>
      </w:r>
      <w:r w:rsidRPr="00F0651E">
        <w:rPr>
          <w:rFonts w:eastAsia="Times New Roman"/>
          <w:b/>
          <w:color w:val="1F497D" w:themeColor="text2"/>
        </w:rPr>
        <w:noBreakHyphen/>
        <w:t>audit recommendations issued by the President of the Rail Transport Office in 2013 – 2014</w:t>
      </w:r>
    </w:p>
    <w:p w:rsidR="00C156EF" w:rsidRPr="00124ABA" w:rsidRDefault="00F0651E" w:rsidP="00787CBD">
      <w:pPr>
        <w:spacing w:before="0" w:line="276" w:lineRule="auto"/>
        <w:jc w:val="center"/>
        <w:rPr>
          <w:color w:val="1F497D" w:themeColor="text2"/>
        </w:rPr>
      </w:pPr>
      <w:r>
        <w:rPr>
          <w:noProof/>
          <w:lang w:val="fr-LU" w:eastAsia="fr-LU" w:bidi="ar-SA"/>
        </w:rPr>
        <w:drawing>
          <wp:inline distT="0" distB="0" distL="0" distR="0" wp14:anchorId="61FF1AE3" wp14:editId="1D909203">
            <wp:extent cx="4464685" cy="1403350"/>
            <wp:effectExtent l="0" t="0" r="1206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Based on the results of the activities carried out, the President of the Rail Transport Office issued a total of 3 906 post</w:t>
      </w:r>
      <w:r>
        <w:noBreakHyphen/>
      </w:r>
      <w:r>
        <w:rPr>
          <w:color w:val="1F497D" w:themeColor="text2"/>
        </w:rPr>
        <w:t>audit recommendations in 2014 (an increase of 142% compared with 2013), which for the number of supervisory activities implemented gives an average of 1.4.</w:t>
      </w:r>
    </w:p>
    <w:p w:rsidR="00C156EF" w:rsidRPr="00124ABA" w:rsidRDefault="00C156EF" w:rsidP="00C156EF">
      <w:pPr>
        <w:spacing w:before="0" w:after="0" w:line="276" w:lineRule="auto"/>
        <w:rPr>
          <w:rFonts w:eastAsia="Times New Roman"/>
          <w:color w:val="1F497D" w:themeColor="text2"/>
        </w:rPr>
      </w:pPr>
    </w:p>
    <w:p w:rsidR="00C156EF" w:rsidRPr="00124ABA" w:rsidRDefault="00C156EF" w:rsidP="00C156EF">
      <w:pPr>
        <w:pStyle w:val="Heading2"/>
        <w:spacing w:before="0" w:line="276" w:lineRule="auto"/>
        <w:rPr>
          <w:color w:val="1F497D" w:themeColor="text2"/>
          <w:sz w:val="18"/>
          <w:szCs w:val="18"/>
          <w:u w:val="single"/>
        </w:rPr>
      </w:pPr>
      <w:bookmarkStart w:id="31" w:name="_Toc435539929"/>
      <w:bookmarkStart w:id="32" w:name="_Toc441736865"/>
      <w:r>
        <w:rPr>
          <w:color w:val="1F497D" w:themeColor="text2"/>
          <w:sz w:val="18"/>
          <w:u w:val="single"/>
        </w:rPr>
        <w:t>Supervision of management systems in railway transport</w:t>
      </w:r>
      <w:bookmarkEnd w:id="31"/>
      <w:bookmarkEnd w:id="32"/>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 xml:space="preserve">In recent years, the President of the Rail Transport Office intensified supervisory activities regarding rail traffic safety in Poland, which is demonstrated, inter alia, by the increase in the number of inspections of Safety Management Systems (SMS) carried out – in 2012 there were 6 such inspections, in 2013 there were 33 (an increase of 450%), and in 2014 there were 75 (an increase of 127.3% compared with 2013). </w:t>
      </w:r>
    </w:p>
    <w:p w:rsidR="000C3A85" w:rsidRDefault="00C156EF" w:rsidP="00C156EF">
      <w:pPr>
        <w:kinsoku w:val="0"/>
        <w:overflowPunct w:val="0"/>
        <w:spacing w:after="0" w:line="280" w:lineRule="exact"/>
        <w:rPr>
          <w:rFonts w:eastAsia="Times New Roman"/>
          <w:color w:val="1F497D" w:themeColor="text2"/>
        </w:rPr>
      </w:pPr>
      <w:r>
        <w:rPr>
          <w:color w:val="1F497D" w:themeColor="text2"/>
        </w:rPr>
        <w:t>It must be added that all inspections planned for 2015 (84 in total) as part of supervision of Safety Management Systems will be carried out in a comprehensive manner. In addition, it must be highlighted that the other supervisory activities being carried out by rail operators and infrastructure managers will also refer to the Safety Management Systems, including an in</w:t>
      </w:r>
      <w:r>
        <w:noBreakHyphen/>
      </w:r>
      <w:r>
        <w:rPr>
          <w:color w:val="1F497D" w:themeColor="text2"/>
        </w:rPr>
        <w:t>depth analysis of the individual processes and procedures of such systems, e.g. maintenance of rail vehicles; employee qualifications; and reporting and analysing rail occurrences, occurrences that could potentially have been accidents and other potentially dangerous occurrences.</w:t>
      </w:r>
    </w:p>
    <w:p w:rsidR="00FA13C5" w:rsidRDefault="00FA13C5">
      <w:pPr>
        <w:spacing w:before="0" w:after="0" w:line="240" w:lineRule="auto"/>
        <w:jc w:val="left"/>
        <w:rPr>
          <w:b/>
          <w:color w:val="1F497D" w:themeColor="text2"/>
        </w:rPr>
      </w:pPr>
      <w:r>
        <w:br w:type="page"/>
      </w:r>
    </w:p>
    <w:p w:rsidR="00C156EF" w:rsidRPr="00F0651E" w:rsidRDefault="00C156EF" w:rsidP="00F0651E">
      <w:pPr>
        <w:pStyle w:val="Rysunki"/>
        <w:rPr>
          <w:rFonts w:eastAsia="Times New Roman"/>
          <w:b/>
          <w:color w:val="1F497D" w:themeColor="text2"/>
        </w:rPr>
      </w:pPr>
      <w:r w:rsidRPr="00F0651E">
        <w:rPr>
          <w:rFonts w:eastAsia="Times New Roman"/>
          <w:b/>
          <w:color w:val="1F497D" w:themeColor="text2"/>
        </w:rPr>
        <w:lastRenderedPageBreak/>
        <w:t>Number of inspections related to Safety Management Systems carried out by the President of the Rail Transport Office in 2012 – 2014</w:t>
      </w:r>
    </w:p>
    <w:p w:rsidR="00C156EF" w:rsidRPr="00124ABA" w:rsidRDefault="00C156EF" w:rsidP="00C156EF">
      <w:pPr>
        <w:kinsoku w:val="0"/>
        <w:overflowPunct w:val="0"/>
        <w:spacing w:before="0" w:after="0" w:line="276" w:lineRule="auto"/>
        <w:rPr>
          <w:rFonts w:eastAsia="Times New Roman"/>
          <w:color w:val="1F497D" w:themeColor="text2"/>
        </w:rPr>
      </w:pPr>
    </w:p>
    <w:p w:rsidR="00C156EF" w:rsidRPr="005A4A06" w:rsidRDefault="00787CBD" w:rsidP="00C156EF">
      <w:pPr>
        <w:kinsoku w:val="0"/>
        <w:overflowPunct w:val="0"/>
        <w:spacing w:after="0"/>
        <w:jc w:val="center"/>
        <w:rPr>
          <w:noProof/>
          <w:color w:val="1F497D" w:themeColor="text2"/>
        </w:rPr>
      </w:pPr>
      <w:r>
        <w:rPr>
          <w:noProof/>
          <w:lang w:val="fr-LU" w:eastAsia="fr-LU" w:bidi="ar-SA"/>
        </w:rPr>
        <w:drawing>
          <wp:inline distT="0" distB="0" distL="0" distR="0" wp14:anchorId="6E71814E" wp14:editId="5BD1C421">
            <wp:extent cx="4295775" cy="1123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295775" cy="1123950"/>
                    </a:xfrm>
                    <a:prstGeom prst="rect">
                      <a:avLst/>
                    </a:prstGeom>
                  </pic:spPr>
                </pic:pic>
              </a:graphicData>
            </a:graphic>
          </wp:inline>
        </w:drawing>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 xml:space="preserve">It should be noted that already in the second half of 2013, a new approach was introduced for the supervision of management systems used in rail transport (SMS and MMS), which are characterised by the following elements: </w:t>
      </w:r>
    </w:p>
    <w:p w:rsidR="00C156EF" w:rsidRPr="00124ABA" w:rsidRDefault="00C156EF" w:rsidP="0043129E">
      <w:pPr>
        <w:numPr>
          <w:ilvl w:val="0"/>
          <w:numId w:val="18"/>
        </w:numPr>
        <w:tabs>
          <w:tab w:val="num" w:pos="426"/>
        </w:tabs>
        <w:kinsoku w:val="0"/>
        <w:overflowPunct w:val="0"/>
        <w:spacing w:before="0" w:after="0" w:line="280" w:lineRule="exact"/>
        <w:ind w:left="426" w:hanging="426"/>
        <w:jc w:val="left"/>
        <w:rPr>
          <w:rFonts w:eastAsia="Times New Roman"/>
          <w:color w:val="1F497D" w:themeColor="text2"/>
        </w:rPr>
      </w:pPr>
      <w:r>
        <w:rPr>
          <w:color w:val="1F497D" w:themeColor="text2"/>
        </w:rPr>
        <w:t>a process</w:t>
      </w:r>
      <w:r>
        <w:noBreakHyphen/>
      </w:r>
      <w:r>
        <w:rPr>
          <w:color w:val="1F497D" w:themeColor="text2"/>
        </w:rPr>
        <w:t>based approach,</w:t>
      </w:r>
    </w:p>
    <w:p w:rsidR="00C156EF" w:rsidRPr="00124ABA" w:rsidRDefault="00C156EF" w:rsidP="0043129E">
      <w:pPr>
        <w:numPr>
          <w:ilvl w:val="0"/>
          <w:numId w:val="18"/>
        </w:numPr>
        <w:tabs>
          <w:tab w:val="num" w:pos="426"/>
        </w:tabs>
        <w:kinsoku w:val="0"/>
        <w:overflowPunct w:val="0"/>
        <w:spacing w:before="0" w:after="0" w:line="280" w:lineRule="exact"/>
        <w:ind w:left="426" w:hanging="426"/>
        <w:jc w:val="left"/>
        <w:rPr>
          <w:rFonts w:eastAsia="Times New Roman"/>
          <w:color w:val="1F497D" w:themeColor="text2"/>
        </w:rPr>
      </w:pPr>
      <w:r>
        <w:rPr>
          <w:color w:val="1F497D" w:themeColor="text2"/>
        </w:rPr>
        <w:t>the use of an audit</w:t>
      </w:r>
      <w:r>
        <w:noBreakHyphen/>
      </w:r>
      <w:r>
        <w:rPr>
          <w:color w:val="1F497D" w:themeColor="text2"/>
        </w:rPr>
        <w:t>based approach</w:t>
      </w:r>
    </w:p>
    <w:p w:rsidR="00C156EF" w:rsidRPr="00124ABA" w:rsidRDefault="00C156EF" w:rsidP="0043129E">
      <w:pPr>
        <w:numPr>
          <w:ilvl w:val="0"/>
          <w:numId w:val="18"/>
        </w:numPr>
        <w:tabs>
          <w:tab w:val="num" w:pos="426"/>
        </w:tabs>
        <w:kinsoku w:val="0"/>
        <w:overflowPunct w:val="0"/>
        <w:spacing w:before="0" w:after="0" w:line="280" w:lineRule="exact"/>
        <w:ind w:left="426" w:hanging="426"/>
        <w:jc w:val="left"/>
        <w:rPr>
          <w:rFonts w:eastAsia="Times New Roman"/>
          <w:color w:val="1F497D" w:themeColor="text2"/>
        </w:rPr>
      </w:pPr>
      <w:r>
        <w:rPr>
          <w:color w:val="1F497D" w:themeColor="text2"/>
        </w:rPr>
        <w:t>the use of uniform assessment criteria,</w:t>
      </w:r>
    </w:p>
    <w:p w:rsidR="00C156EF" w:rsidRPr="00124ABA" w:rsidRDefault="00C156EF" w:rsidP="0043129E">
      <w:pPr>
        <w:numPr>
          <w:ilvl w:val="0"/>
          <w:numId w:val="18"/>
        </w:numPr>
        <w:tabs>
          <w:tab w:val="num" w:pos="426"/>
        </w:tabs>
        <w:kinsoku w:val="0"/>
        <w:overflowPunct w:val="0"/>
        <w:spacing w:before="0" w:after="0" w:line="280" w:lineRule="exact"/>
        <w:ind w:left="425" w:hanging="425"/>
        <w:jc w:val="left"/>
        <w:rPr>
          <w:rFonts w:eastAsia="Times New Roman"/>
          <w:color w:val="1F497D" w:themeColor="text2"/>
        </w:rPr>
      </w:pPr>
      <w:r>
        <w:rPr>
          <w:color w:val="1F497D" w:themeColor="text2"/>
        </w:rPr>
        <w:t>relevant competences for employees (auditor certificates, analytical skills)</w:t>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The use of such a supervisory methodology requires a team that is experienced and constantly improving its skills. Employees exercising supervision must develop their skills at a pace at least equivalent to the level of knowledge in this area on the market. To this end, employees participate in workshops on Safety Management Systems.</w:t>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The implementation of the above changes enables the exercise of actual supervision of entities that function mainly based on established and implemented Safety Management Systems that, thanks to competent staff, can be supervised in an objective manner. There is an emerging risk that the best</w:t>
      </w:r>
      <w:r>
        <w:noBreakHyphen/>
      </w:r>
      <w:r>
        <w:rPr>
          <w:color w:val="1F497D" w:themeColor="text2"/>
        </w:rPr>
        <w:t>qualified and most</w:t>
      </w:r>
      <w:r>
        <w:noBreakHyphen/>
      </w:r>
      <w:r>
        <w:rPr>
          <w:color w:val="1F497D" w:themeColor="text2"/>
        </w:rPr>
        <w:t>experienced employees may choose to go and work for rail market entities that offer significantly better working conditions. This is particularly significant for new issues, such as management systems in rail transport.</w:t>
      </w:r>
    </w:p>
    <w:p w:rsidR="00C156EF" w:rsidRPr="00124ABA" w:rsidRDefault="00C156EF" w:rsidP="00C156EF">
      <w:pPr>
        <w:kinsoku w:val="0"/>
        <w:overflowPunct w:val="0"/>
        <w:spacing w:after="0" w:line="280" w:lineRule="exact"/>
        <w:rPr>
          <w:rFonts w:eastAsia="Times New Roman"/>
          <w:color w:val="1F497D" w:themeColor="text2"/>
        </w:rPr>
      </w:pPr>
      <w:r>
        <w:rPr>
          <w:color w:val="1F497D" w:themeColor="text2"/>
        </w:rPr>
        <w:t>As a result of the SMS inspections conducted, a series of irregularities were found – often, during initial inspections, these were related to the adequacy of documentation, as well as the degree of its implementation. This made it possible to give the right impetus for improvements in the rail market as regards compliance with safety rules. Detailed conclusions from these inspections are presented below.</w:t>
      </w:r>
    </w:p>
    <w:p w:rsidR="00C156EF" w:rsidRPr="000C3A85" w:rsidRDefault="00C156EF" w:rsidP="000C3A85">
      <w:pPr>
        <w:pStyle w:val="Tabele"/>
        <w:ind w:left="851" w:hanging="851"/>
        <w:rPr>
          <w:color w:val="1F497D" w:themeColor="text2"/>
        </w:rPr>
      </w:pPr>
      <w:r>
        <w:rPr>
          <w:color w:val="1F497D" w:themeColor="text2"/>
        </w:rPr>
        <w:t xml:space="preserve">List of irregularities found during inspections of Safety Management Systems (SMS) – based on 2014 data; taking into account irregularities with a share of over 1% </w:t>
      </w:r>
    </w:p>
    <w:tbl>
      <w:tblPr>
        <w:tblStyle w:val="Tabela-Siatka11"/>
        <w:tblW w:w="9464" w:type="dxa"/>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34"/>
        <w:gridCol w:w="7277"/>
        <w:gridCol w:w="1653"/>
      </w:tblGrid>
      <w:tr w:rsidR="00C156EF" w:rsidRPr="00124ABA" w:rsidTr="00CE2412">
        <w:trPr>
          <w:trHeight w:val="510"/>
          <w:tblHeader/>
          <w:jc w:val="center"/>
        </w:trPr>
        <w:tc>
          <w:tcPr>
            <w:tcW w:w="534" w:type="dxa"/>
            <w:tcBorders>
              <w:top w:val="single" w:sz="12" w:space="0" w:color="0070C0"/>
              <w:left w:val="single" w:sz="12" w:space="0" w:color="0070C0"/>
              <w:bottom w:val="single" w:sz="12" w:space="0" w:color="FFFFFF" w:themeColor="background1"/>
              <w:right w:val="single" w:sz="4" w:space="0" w:color="FFFFFF" w:themeColor="background1"/>
            </w:tcBorders>
            <w:shd w:val="clear" w:color="auto" w:fill="0070C0"/>
            <w:vAlign w:val="center"/>
          </w:tcPr>
          <w:p w:rsidR="00C156EF" w:rsidRPr="00124ABA" w:rsidRDefault="00C156EF" w:rsidP="003647AB">
            <w:pPr>
              <w:spacing w:before="0" w:after="0" w:line="240" w:lineRule="auto"/>
              <w:jc w:val="center"/>
              <w:rPr>
                <w:b/>
                <w:color w:val="1F497D" w:themeColor="text2"/>
              </w:rPr>
            </w:pPr>
            <w:r>
              <w:rPr>
                <w:b/>
                <w:color w:val="1F497D" w:themeColor="text2"/>
              </w:rPr>
              <w:t>No</w:t>
            </w:r>
          </w:p>
        </w:tc>
        <w:tc>
          <w:tcPr>
            <w:tcW w:w="7277" w:type="dxa"/>
            <w:tcBorders>
              <w:top w:val="single" w:sz="12" w:space="0" w:color="0070C0"/>
              <w:left w:val="single" w:sz="4" w:space="0" w:color="FFFFFF" w:themeColor="background1"/>
              <w:bottom w:val="single" w:sz="12" w:space="0" w:color="FFFFFF" w:themeColor="background1"/>
              <w:right w:val="single" w:sz="12" w:space="0" w:color="FFFFFF" w:themeColor="background1"/>
            </w:tcBorders>
            <w:shd w:val="clear" w:color="auto" w:fill="0070C0"/>
            <w:vAlign w:val="center"/>
          </w:tcPr>
          <w:p w:rsidR="00C156EF" w:rsidRPr="00124ABA" w:rsidRDefault="00C156EF" w:rsidP="003647AB">
            <w:pPr>
              <w:spacing w:before="0" w:after="0" w:line="240" w:lineRule="auto"/>
              <w:jc w:val="center"/>
              <w:rPr>
                <w:b/>
                <w:color w:val="1F497D" w:themeColor="text2"/>
              </w:rPr>
            </w:pPr>
            <w:r>
              <w:rPr>
                <w:b/>
                <w:color w:val="1F497D" w:themeColor="text2"/>
              </w:rPr>
              <w:t>Scope of violation</w:t>
            </w:r>
          </w:p>
        </w:tc>
        <w:tc>
          <w:tcPr>
            <w:tcW w:w="1653" w:type="dxa"/>
            <w:tcBorders>
              <w:top w:val="single" w:sz="12" w:space="0" w:color="0070C0"/>
              <w:left w:val="single" w:sz="12" w:space="0" w:color="FFFFFF" w:themeColor="background1"/>
              <w:bottom w:val="single" w:sz="12" w:space="0" w:color="FFFFFF" w:themeColor="background1"/>
              <w:right w:val="single" w:sz="12" w:space="0" w:color="0070C0"/>
            </w:tcBorders>
            <w:shd w:val="clear" w:color="auto" w:fill="0070C0"/>
            <w:vAlign w:val="center"/>
          </w:tcPr>
          <w:p w:rsidR="00C156EF" w:rsidRPr="00124ABA" w:rsidRDefault="00C156EF" w:rsidP="003647AB">
            <w:pPr>
              <w:spacing w:before="0" w:after="0" w:line="240" w:lineRule="auto"/>
              <w:jc w:val="center"/>
              <w:rPr>
                <w:b/>
                <w:color w:val="1F497D" w:themeColor="text2"/>
              </w:rPr>
            </w:pPr>
            <w:r>
              <w:rPr>
                <w:b/>
                <w:color w:val="1F497D" w:themeColor="text2"/>
              </w:rPr>
              <w:t>Share of individual violations</w:t>
            </w:r>
          </w:p>
        </w:tc>
      </w:tr>
      <w:tr w:rsidR="00C156EF" w:rsidRPr="00124ABA" w:rsidTr="003647AB">
        <w:trPr>
          <w:trHeight w:val="283"/>
          <w:jc w:val="center"/>
        </w:trPr>
        <w:tc>
          <w:tcPr>
            <w:tcW w:w="534" w:type="dxa"/>
            <w:tcBorders>
              <w:top w:val="single" w:sz="12" w:space="0" w:color="FFFFFF" w:themeColor="background1"/>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1</w:t>
            </w:r>
          </w:p>
        </w:tc>
        <w:tc>
          <w:tcPr>
            <w:tcW w:w="7277" w:type="dxa"/>
            <w:tcBorders>
              <w:top w:val="single" w:sz="12" w:space="0" w:color="FFFFFF" w:themeColor="background1"/>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Annex II(B) – Commission Regulation (EU) No 1158/2010</w:t>
            </w:r>
            <w:r>
              <w:rPr>
                <w:i/>
                <w:color w:val="1F497D" w:themeColor="text2"/>
                <w:sz w:val="16"/>
              </w:rPr>
              <w:t xml:space="preserve"> Vehicle maintenance</w:t>
            </w:r>
          </w:p>
        </w:tc>
        <w:tc>
          <w:tcPr>
            <w:tcW w:w="1653" w:type="dxa"/>
            <w:tcBorders>
              <w:top w:val="single" w:sz="12" w:space="0" w:color="FFFFFF" w:themeColor="background1"/>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i/>
                <w:color w:val="1F497D" w:themeColor="text2"/>
                <w:sz w:val="16"/>
                <w:szCs w:val="16"/>
              </w:rPr>
            </w:pPr>
            <w:r>
              <w:rPr>
                <w:b/>
                <w:i/>
                <w:color w:val="1F497D" w:themeColor="text2"/>
                <w:sz w:val="16"/>
              </w:rPr>
              <w:t>13.9%</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2</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Annex II(A) – Commission Regulation (EU) No 1158/2010</w:t>
            </w:r>
            <w:r>
              <w:rPr>
                <w:i/>
                <w:color w:val="1F497D" w:themeColor="text2"/>
                <w:sz w:val="16"/>
              </w:rPr>
              <w:t xml:space="preserve"> Risk management</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11.7%</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3</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II(C) – Commission Regulation (EU) No 1158/2010 </w:t>
            </w:r>
            <w:r>
              <w:rPr>
                <w:i/>
                <w:color w:val="1F497D" w:themeColor="text2"/>
                <w:sz w:val="16"/>
              </w:rPr>
              <w:t>Control of suppliers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7.1%</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4</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II(L) – Commission Regulation (EU) No 1158/2010 </w:t>
            </w:r>
            <w:r>
              <w:rPr>
                <w:i/>
                <w:color w:val="1F497D" w:themeColor="text2"/>
                <w:sz w:val="16"/>
              </w:rPr>
              <w:t>Meeting standards and conditions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6.0%</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5</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II(S) – Commission Regulation (EU) No 1158/2010 </w:t>
            </w:r>
            <w:r>
              <w:rPr>
                <w:i/>
                <w:color w:val="1F497D" w:themeColor="text2"/>
                <w:sz w:val="16"/>
              </w:rPr>
              <w:t>Audits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5.0%</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C8215D" w:rsidRDefault="00C156EF" w:rsidP="00C8215D">
            <w:pPr>
              <w:pStyle w:val="DoNotTranslateExternal3"/>
            </w:pPr>
            <w:r>
              <w:t>6</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Annex II(P) – Commission Regulation (EU) No 1158/2010</w:t>
            </w:r>
            <w:r>
              <w:rPr>
                <w:i/>
                <w:color w:val="1F497D" w:themeColor="text2"/>
                <w:sz w:val="16"/>
              </w:rPr>
              <w:t xml:space="preserve"> Managing documentation</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4.8%</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7</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Annex II(Q) – Commission Regulation (EU) No 1158/2010 ‘Rail occurrences’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4.7%</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8</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II(R) – Commission Regulation (EU) No 1158/2010 </w:t>
            </w:r>
            <w:r>
              <w:rPr>
                <w:i/>
                <w:color w:val="1F497D" w:themeColor="text2"/>
                <w:sz w:val="16"/>
              </w:rPr>
              <w:t>Emergencies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4.6%</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9</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II(F) – Commission Regulation (EU) No 1158/2010 </w:t>
            </w:r>
            <w:r>
              <w:rPr>
                <w:i/>
                <w:color w:val="1F497D" w:themeColor="text2"/>
                <w:sz w:val="16"/>
              </w:rPr>
              <w:t>Distribution of responsibilities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4.1%</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10</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II(M) – Commission Regulation (EU) No 1158/2010 </w:t>
            </w:r>
            <w:r>
              <w:rPr>
                <w:i/>
                <w:color w:val="1F497D" w:themeColor="text2"/>
                <w:sz w:val="16"/>
              </w:rPr>
              <w:t>Managing change</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4.0%</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11</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II(G) – Commission Regulation (EU) No 1158/2010 </w:t>
            </w:r>
            <w:r>
              <w:rPr>
                <w:i/>
                <w:color w:val="1F497D" w:themeColor="text2"/>
                <w:sz w:val="16"/>
              </w:rPr>
              <w:t>Control by management</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3.9%</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12</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b/>
                <w:i/>
                <w:color w:val="1F497D" w:themeColor="text2"/>
                <w:sz w:val="16"/>
                <w:szCs w:val="16"/>
              </w:rPr>
            </w:pPr>
            <w:r>
              <w:rPr>
                <w:b/>
                <w:i/>
                <w:color w:val="1F497D" w:themeColor="text2"/>
                <w:sz w:val="16"/>
              </w:rPr>
              <w:t xml:space="preserve">Annex II(N) – Commission Regulation (EU) No 1158/2010 </w:t>
            </w:r>
            <w:r>
              <w:rPr>
                <w:i/>
                <w:color w:val="1F497D" w:themeColor="text2"/>
                <w:sz w:val="16"/>
              </w:rPr>
              <w:t>Maintenance of staff competence</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3.8%</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lastRenderedPageBreak/>
              <w:t>13</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II(K) – Commission Regulation (EU) No 1158/2010 </w:t>
            </w:r>
            <w:r>
              <w:rPr>
                <w:i/>
                <w:color w:val="1F497D" w:themeColor="text2"/>
                <w:sz w:val="16"/>
              </w:rPr>
              <w:t>Targets of the organisation</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2.1%</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14</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b/>
                <w:i/>
                <w:color w:val="1F497D" w:themeColor="text2"/>
                <w:sz w:val="16"/>
                <w:szCs w:val="16"/>
              </w:rPr>
            </w:pPr>
            <w:r>
              <w:rPr>
                <w:b/>
                <w:i/>
                <w:color w:val="1F497D" w:themeColor="text2"/>
                <w:sz w:val="16"/>
              </w:rPr>
              <w:t>Rail Transport Act of 28 March 2003</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1.9%</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15</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502545" w:rsidRDefault="00C156EF" w:rsidP="003647AB">
            <w:pPr>
              <w:spacing w:before="0" w:after="0" w:line="240" w:lineRule="auto"/>
              <w:jc w:val="left"/>
              <w:rPr>
                <w:i/>
                <w:color w:val="1F497D" w:themeColor="text2"/>
                <w:sz w:val="16"/>
                <w:szCs w:val="16"/>
                <w:lang w:val="fr-LU"/>
              </w:rPr>
            </w:pPr>
            <w:r w:rsidRPr="00502545">
              <w:rPr>
                <w:b/>
                <w:i/>
                <w:color w:val="1F497D" w:themeColor="text2"/>
                <w:sz w:val="16"/>
                <w:lang w:val="fr-LU"/>
              </w:rPr>
              <w:t xml:space="preserve">Annex II(E) – Commission Regulation (EU) No 1158/2010 </w:t>
            </w:r>
            <w:r w:rsidRPr="00502545">
              <w:rPr>
                <w:i/>
                <w:color w:val="1F497D" w:themeColor="text2"/>
                <w:sz w:val="16"/>
                <w:lang w:val="fr-LU"/>
              </w:rPr>
              <w:t>Documentation model</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1.8%</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16</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II(O) – Commission Regulation (EU) No 1158/2010 </w:t>
            </w:r>
            <w:r>
              <w:rPr>
                <w:i/>
                <w:color w:val="1F497D" w:themeColor="text2"/>
                <w:sz w:val="16"/>
              </w:rPr>
              <w:t>Information</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1.8%</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17</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II(I) – Commission Regulation (EU) No 1158/2010 </w:t>
            </w:r>
            <w:r>
              <w:rPr>
                <w:i/>
                <w:color w:val="1F497D" w:themeColor="text2"/>
                <w:sz w:val="16"/>
              </w:rPr>
              <w:t>Continuous improvement</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1.8%</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18</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Regulation of the Minister for Infrastructure on the general technical conditions for operation of rail vehicles</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1.7%</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19</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 xml:space="preserve">Annex II(H) – Commission Regulation (EU) No 1158/2010 </w:t>
            </w:r>
            <w:r>
              <w:rPr>
                <w:i/>
                <w:color w:val="1F497D" w:themeColor="text2"/>
                <w:sz w:val="16"/>
              </w:rPr>
              <w:t>Involving staff</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1.4%</w:t>
            </w:r>
          </w:p>
        </w:tc>
      </w:tr>
      <w:tr w:rsidR="00C156EF" w:rsidRPr="00124ABA" w:rsidTr="003647AB">
        <w:trPr>
          <w:trHeight w:val="283"/>
          <w:jc w:val="center"/>
        </w:trPr>
        <w:tc>
          <w:tcPr>
            <w:tcW w:w="534" w:type="dxa"/>
            <w:tcBorders>
              <w:top w:val="dotted" w:sz="4" w:space="0" w:color="0070C0"/>
              <w:left w:val="single" w:sz="12" w:space="0" w:color="0070C0"/>
              <w:bottom w:val="dotted" w:sz="4" w:space="0" w:color="0070C0"/>
              <w:right w:val="single" w:sz="4" w:space="0" w:color="0070C0"/>
            </w:tcBorders>
            <w:shd w:val="clear" w:color="auto" w:fill="auto"/>
            <w:vAlign w:val="center"/>
          </w:tcPr>
          <w:p w:rsidR="00C156EF" w:rsidRPr="00124ABA" w:rsidRDefault="00C156EF" w:rsidP="00FD790F">
            <w:pPr>
              <w:pStyle w:val="DoNotTranslateExternal3"/>
            </w:pPr>
            <w:r>
              <w:t>20</w:t>
            </w:r>
          </w:p>
        </w:tc>
        <w:tc>
          <w:tcPr>
            <w:tcW w:w="7277" w:type="dxa"/>
            <w:tcBorders>
              <w:top w:val="dotted" w:sz="4" w:space="0" w:color="0070C0"/>
              <w:left w:val="single" w:sz="4" w:space="0" w:color="0070C0"/>
              <w:bottom w:val="dotted" w:sz="4"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i/>
                <w:color w:val="1F497D" w:themeColor="text2"/>
                <w:sz w:val="16"/>
                <w:szCs w:val="16"/>
              </w:rPr>
            </w:pPr>
            <w:r>
              <w:rPr>
                <w:b/>
                <w:i/>
                <w:color w:val="1F497D" w:themeColor="text2"/>
                <w:sz w:val="16"/>
              </w:rPr>
              <w:t>Annex II(A) – Commission Regulation (EU) No 1169/2010</w:t>
            </w:r>
            <w:r>
              <w:rPr>
                <w:i/>
                <w:color w:val="1F497D" w:themeColor="text2"/>
                <w:sz w:val="16"/>
              </w:rPr>
              <w:t xml:space="preserve"> Risk management</w:t>
            </w:r>
          </w:p>
        </w:tc>
        <w:tc>
          <w:tcPr>
            <w:tcW w:w="1653" w:type="dxa"/>
            <w:tcBorders>
              <w:top w:val="dotted" w:sz="4" w:space="0" w:color="0070C0"/>
              <w:left w:val="single" w:sz="12" w:space="0" w:color="0070C0"/>
              <w:bottom w:val="dotted" w:sz="4"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1.2%</w:t>
            </w:r>
          </w:p>
        </w:tc>
      </w:tr>
      <w:tr w:rsidR="00C156EF" w:rsidRPr="00124ABA" w:rsidTr="003647AB">
        <w:trPr>
          <w:trHeight w:val="283"/>
          <w:jc w:val="center"/>
        </w:trPr>
        <w:tc>
          <w:tcPr>
            <w:tcW w:w="534" w:type="dxa"/>
            <w:tcBorders>
              <w:top w:val="dotted" w:sz="4" w:space="0" w:color="0070C0"/>
              <w:left w:val="single" w:sz="12" w:space="0" w:color="0070C0"/>
              <w:bottom w:val="single" w:sz="12" w:space="0" w:color="0070C0"/>
              <w:right w:val="single" w:sz="4" w:space="0" w:color="0070C0"/>
            </w:tcBorders>
            <w:shd w:val="clear" w:color="auto" w:fill="auto"/>
            <w:vAlign w:val="center"/>
          </w:tcPr>
          <w:p w:rsidR="00C156EF" w:rsidRPr="00124ABA" w:rsidRDefault="00C156EF" w:rsidP="00FD790F">
            <w:pPr>
              <w:pStyle w:val="DoNotTranslateExternal3"/>
            </w:pPr>
            <w:r>
              <w:t>21</w:t>
            </w:r>
          </w:p>
        </w:tc>
        <w:tc>
          <w:tcPr>
            <w:tcW w:w="7277" w:type="dxa"/>
            <w:tcBorders>
              <w:top w:val="dotted" w:sz="4" w:space="0" w:color="0070C0"/>
              <w:left w:val="single" w:sz="4" w:space="0" w:color="0070C0"/>
              <w:bottom w:val="single" w:sz="12" w:space="0" w:color="0070C0"/>
              <w:right w:val="single" w:sz="12" w:space="0" w:color="0070C0"/>
            </w:tcBorders>
            <w:shd w:val="clear" w:color="auto" w:fill="auto"/>
            <w:vAlign w:val="center"/>
          </w:tcPr>
          <w:p w:rsidR="00C156EF" w:rsidRPr="00124ABA" w:rsidRDefault="00C156EF" w:rsidP="003647AB">
            <w:pPr>
              <w:spacing w:before="0" w:after="0" w:line="240" w:lineRule="auto"/>
              <w:jc w:val="left"/>
              <w:rPr>
                <w:b/>
                <w:i/>
                <w:color w:val="1F497D" w:themeColor="text2"/>
                <w:sz w:val="16"/>
                <w:szCs w:val="16"/>
              </w:rPr>
            </w:pPr>
            <w:r>
              <w:rPr>
                <w:b/>
                <w:i/>
                <w:color w:val="1F497D" w:themeColor="text2"/>
                <w:sz w:val="16"/>
              </w:rPr>
              <w:t>Regulation of the Minister for Transport, Construction and Maritime Economy of 3 January 2013 on the method for keeping the rail vehicle register and the method of marking rail vehicles</w:t>
            </w:r>
          </w:p>
        </w:tc>
        <w:tc>
          <w:tcPr>
            <w:tcW w:w="1653" w:type="dxa"/>
            <w:tcBorders>
              <w:top w:val="dotted" w:sz="4" w:space="0" w:color="0070C0"/>
              <w:left w:val="single" w:sz="12" w:space="0" w:color="0070C0"/>
              <w:bottom w:val="single" w:sz="12" w:space="0" w:color="0070C0"/>
              <w:right w:val="single" w:sz="12" w:space="0" w:color="0070C0"/>
            </w:tcBorders>
            <w:vAlign w:val="center"/>
          </w:tcPr>
          <w:p w:rsidR="00C156EF" w:rsidRPr="00124ABA" w:rsidRDefault="00C156EF" w:rsidP="003647AB">
            <w:pPr>
              <w:spacing w:after="0" w:line="276" w:lineRule="auto"/>
              <w:jc w:val="center"/>
              <w:rPr>
                <w:b/>
                <w:bCs/>
                <w:i/>
                <w:color w:val="1F497D" w:themeColor="text2"/>
                <w:sz w:val="16"/>
                <w:szCs w:val="16"/>
              </w:rPr>
            </w:pPr>
            <w:r>
              <w:rPr>
                <w:b/>
                <w:i/>
                <w:color w:val="1F497D" w:themeColor="text2"/>
                <w:sz w:val="16"/>
              </w:rPr>
              <w:t>1.2%</w:t>
            </w:r>
          </w:p>
        </w:tc>
      </w:tr>
    </w:tbl>
    <w:p w:rsidR="00C156EF" w:rsidRPr="00124ABA" w:rsidRDefault="00C156EF" w:rsidP="00124ABA">
      <w:pPr>
        <w:ind w:left="709" w:hanging="709"/>
        <w:rPr>
          <w:b/>
          <w:bCs/>
          <w:color w:val="1F497D" w:themeColor="text2"/>
        </w:rPr>
      </w:pPr>
      <w:r>
        <w:rPr>
          <w:b/>
          <w:color w:val="1F497D" w:themeColor="text2"/>
        </w:rPr>
        <w:t>Main problems of the market in terms of systemic safety management:</w:t>
      </w:r>
    </w:p>
    <w:p w:rsidR="00C156EF" w:rsidRPr="00124ABA" w:rsidRDefault="00C156EF" w:rsidP="0043129E">
      <w:pPr>
        <w:numPr>
          <w:ilvl w:val="0"/>
          <w:numId w:val="19"/>
        </w:numPr>
        <w:ind w:left="425" w:hanging="425"/>
        <w:rPr>
          <w:bCs/>
          <w:color w:val="1F497D" w:themeColor="text2"/>
        </w:rPr>
      </w:pPr>
      <w:r>
        <w:rPr>
          <w:color w:val="1F497D" w:themeColor="text2"/>
        </w:rPr>
        <w:t>failure to understand the proactive approach to safety management (thinking in terms of a reactive approach – inferring on the basis of (waiting for) effects, failing to consider the potential of threats),</w:t>
      </w:r>
    </w:p>
    <w:p w:rsidR="00C156EF" w:rsidRPr="00124ABA" w:rsidRDefault="00C156EF" w:rsidP="0043129E">
      <w:pPr>
        <w:numPr>
          <w:ilvl w:val="0"/>
          <w:numId w:val="20"/>
        </w:numPr>
        <w:ind w:left="425" w:hanging="425"/>
        <w:rPr>
          <w:bCs/>
          <w:color w:val="1F497D" w:themeColor="text2"/>
        </w:rPr>
      </w:pPr>
      <w:r>
        <w:rPr>
          <w:color w:val="1F497D" w:themeColor="text2"/>
        </w:rPr>
        <w:t>‘protection’ of operational employees from SMS elements (e.g. access to procedures, building on internal regulations),</w:t>
      </w:r>
    </w:p>
    <w:p w:rsidR="00C156EF" w:rsidRPr="00124ABA" w:rsidRDefault="00C156EF" w:rsidP="0043129E">
      <w:pPr>
        <w:numPr>
          <w:ilvl w:val="0"/>
          <w:numId w:val="20"/>
        </w:numPr>
        <w:ind w:left="425" w:hanging="425"/>
        <w:rPr>
          <w:bCs/>
          <w:color w:val="1F497D" w:themeColor="text2"/>
        </w:rPr>
      </w:pPr>
      <w:r>
        <w:rPr>
          <w:color w:val="1F497D" w:themeColor="text2"/>
        </w:rPr>
        <w:t>inconsistent treatment of documents that form part of the SMS (management and supervision by decisions, resolutions or internal regulations as opposed to procedures),</w:t>
      </w:r>
    </w:p>
    <w:p w:rsidR="00C156EF" w:rsidRPr="00124ABA" w:rsidRDefault="00C156EF" w:rsidP="0043129E">
      <w:pPr>
        <w:numPr>
          <w:ilvl w:val="0"/>
          <w:numId w:val="20"/>
        </w:numPr>
        <w:ind w:left="425" w:hanging="425"/>
        <w:rPr>
          <w:bCs/>
          <w:color w:val="1F497D" w:themeColor="text2"/>
        </w:rPr>
      </w:pPr>
      <w:r>
        <w:rPr>
          <w:color w:val="1F497D" w:themeColor="text2"/>
        </w:rPr>
        <w:t>incomplete supervision of the SMS – lack of management reviews, audits,</w:t>
      </w:r>
    </w:p>
    <w:p w:rsidR="00C156EF" w:rsidRPr="00124ABA" w:rsidRDefault="00C156EF" w:rsidP="0043129E">
      <w:pPr>
        <w:numPr>
          <w:ilvl w:val="0"/>
          <w:numId w:val="20"/>
        </w:numPr>
        <w:ind w:left="425" w:hanging="425"/>
        <w:rPr>
          <w:bCs/>
          <w:color w:val="1F497D" w:themeColor="text2"/>
        </w:rPr>
      </w:pPr>
      <w:r>
        <w:rPr>
          <w:color w:val="1F497D" w:themeColor="text2"/>
        </w:rPr>
        <w:t>the use of ‘risk assessment’ to ‘rationalise’ violation of provisions,</w:t>
      </w:r>
    </w:p>
    <w:p w:rsidR="00C156EF" w:rsidRPr="00124ABA" w:rsidRDefault="00C156EF" w:rsidP="0043129E">
      <w:pPr>
        <w:numPr>
          <w:ilvl w:val="0"/>
          <w:numId w:val="20"/>
        </w:numPr>
        <w:ind w:left="425" w:hanging="425"/>
        <w:rPr>
          <w:bCs/>
          <w:color w:val="1F497D" w:themeColor="text2"/>
        </w:rPr>
      </w:pPr>
      <w:r>
        <w:rPr>
          <w:color w:val="1F497D" w:themeColor="text2"/>
        </w:rPr>
        <w:t>lack of monitoring of the effectiveness of risk management measures,</w:t>
      </w:r>
    </w:p>
    <w:p w:rsidR="00C156EF" w:rsidRPr="00124ABA" w:rsidRDefault="00C156EF" w:rsidP="0043129E">
      <w:pPr>
        <w:numPr>
          <w:ilvl w:val="0"/>
          <w:numId w:val="20"/>
        </w:numPr>
        <w:ind w:left="425" w:hanging="425"/>
        <w:rPr>
          <w:bCs/>
          <w:color w:val="1F497D" w:themeColor="text2"/>
        </w:rPr>
      </w:pPr>
      <w:r>
        <w:rPr>
          <w:color w:val="1F497D" w:themeColor="text2"/>
        </w:rPr>
        <w:t>removing risk assessment from the actual values assumed by individual parameters in the organisation (e.g. indicator of the likelihood of a threat in relation to recorded cases of occurrence),</w:t>
      </w:r>
    </w:p>
    <w:p w:rsidR="00C156EF" w:rsidRPr="00124ABA" w:rsidRDefault="00C156EF" w:rsidP="0043129E">
      <w:pPr>
        <w:numPr>
          <w:ilvl w:val="0"/>
          <w:numId w:val="20"/>
        </w:numPr>
        <w:ind w:left="425" w:hanging="425"/>
        <w:rPr>
          <w:bCs/>
          <w:color w:val="1F497D" w:themeColor="text2"/>
        </w:rPr>
      </w:pPr>
      <w:r>
        <w:rPr>
          <w:color w:val="1F497D" w:themeColor="text2"/>
        </w:rPr>
        <w:t>failure to use all occurrences and events to improve the SMS.</w:t>
      </w:r>
    </w:p>
    <w:p w:rsidR="00F24FBE" w:rsidRPr="00124ABA" w:rsidRDefault="006E7B0E" w:rsidP="001F40E3">
      <w:pPr>
        <w:pStyle w:val="Heading2"/>
        <w:rPr>
          <w:color w:val="1F497D" w:themeColor="text2"/>
        </w:rPr>
      </w:pPr>
      <w:bookmarkStart w:id="33" w:name="_Toc435539930"/>
      <w:bookmarkStart w:id="34" w:name="_Toc441736866"/>
      <w:r>
        <w:rPr>
          <w:color w:val="1F497D" w:themeColor="text2"/>
        </w:rPr>
        <w:t>Human resources</w:t>
      </w:r>
      <w:bookmarkEnd w:id="33"/>
      <w:bookmarkEnd w:id="34"/>
    </w:p>
    <w:p w:rsidR="006E7B0E" w:rsidRPr="00124ABA" w:rsidRDefault="001A28F6" w:rsidP="006E7B0E">
      <w:pPr>
        <w:pStyle w:val="Tekstzwyky"/>
        <w:rPr>
          <w:rFonts w:ascii="Arial" w:hAnsi="Arial" w:cs="Arial"/>
          <w:color w:val="1F497D" w:themeColor="text2"/>
        </w:rPr>
      </w:pPr>
      <w:r>
        <w:rPr>
          <w:rFonts w:ascii="Arial" w:hAnsi="Arial"/>
          <w:color w:val="1F497D" w:themeColor="text2"/>
        </w:rPr>
        <w:t>Estimated data characterising the supervision process in 2014 within the context of human resources is as follows:</w:t>
      </w:r>
    </w:p>
    <w:p w:rsidR="006E7B0E" w:rsidRPr="00124ABA" w:rsidRDefault="006E7B0E" w:rsidP="00C9774E">
      <w:pPr>
        <w:pStyle w:val="Wypunktowanie"/>
        <w:ind w:left="567"/>
        <w:rPr>
          <w:color w:val="1F497D" w:themeColor="text2"/>
        </w:rPr>
      </w:pPr>
      <w:r>
        <w:rPr>
          <w:color w:val="1F497D" w:themeColor="text2"/>
        </w:rPr>
        <w:t>the total number of hours of inspections and audits carried out was 80 520 hours;</w:t>
      </w:r>
    </w:p>
    <w:p w:rsidR="006E7B0E" w:rsidRPr="00124ABA" w:rsidRDefault="006E7B0E" w:rsidP="00C9774E">
      <w:pPr>
        <w:pStyle w:val="Wypunktowanie"/>
        <w:ind w:left="567"/>
        <w:rPr>
          <w:color w:val="1F497D" w:themeColor="text2"/>
        </w:rPr>
      </w:pPr>
      <w:r>
        <w:rPr>
          <w:color w:val="1F497D" w:themeColor="text2"/>
        </w:rPr>
        <w:t>the number of inspections and audits carried out per employee amounted to 1 258 hours;</w:t>
      </w:r>
    </w:p>
    <w:p w:rsidR="006E7B0E" w:rsidRPr="00124ABA" w:rsidRDefault="006E7B0E" w:rsidP="00C9774E">
      <w:pPr>
        <w:pStyle w:val="Wypunktowanie"/>
        <w:ind w:left="567"/>
        <w:rPr>
          <w:color w:val="1F497D" w:themeColor="text2"/>
        </w:rPr>
      </w:pPr>
      <w:r>
        <w:rPr>
          <w:color w:val="1F497D" w:themeColor="text2"/>
        </w:rPr>
        <w:t>the percentage of time spent by employees on conducting inspections and audits was 65.5%.</w:t>
      </w:r>
    </w:p>
    <w:p w:rsidR="001A28F6" w:rsidRDefault="001A28F6" w:rsidP="001A28F6">
      <w:pPr>
        <w:pStyle w:val="Wypunktowanie"/>
        <w:numPr>
          <w:ilvl w:val="0"/>
          <w:numId w:val="0"/>
        </w:numPr>
        <w:rPr>
          <w:color w:val="1F497D" w:themeColor="text2"/>
        </w:rPr>
      </w:pPr>
      <w:r>
        <w:rPr>
          <w:color w:val="1F497D" w:themeColor="text2"/>
        </w:rPr>
        <w:t>It should be highlighted that this value includes only actual time spent on supervisory activities, while the other part is made up of activities related to analysis and development of post</w:t>
      </w:r>
      <w:r>
        <w:noBreakHyphen/>
      </w:r>
      <w:r>
        <w:rPr>
          <w:color w:val="1F497D" w:themeColor="text2"/>
        </w:rPr>
        <w:t>audit documentation.</w:t>
      </w:r>
    </w:p>
    <w:p w:rsidR="006E7B0E" w:rsidRPr="00124ABA" w:rsidRDefault="006E7B0E" w:rsidP="001F40E3">
      <w:pPr>
        <w:pStyle w:val="Heading2"/>
        <w:rPr>
          <w:color w:val="1F497D" w:themeColor="text2"/>
        </w:rPr>
      </w:pPr>
      <w:bookmarkStart w:id="35" w:name="_Toc435539931"/>
      <w:bookmarkStart w:id="36" w:name="_Toc441736867"/>
      <w:r>
        <w:rPr>
          <w:color w:val="1F497D" w:themeColor="text2"/>
        </w:rPr>
        <w:t>Competences</w:t>
      </w:r>
      <w:bookmarkEnd w:id="35"/>
      <w:bookmarkEnd w:id="36"/>
    </w:p>
    <w:p w:rsidR="00804238" w:rsidRPr="00124ABA" w:rsidRDefault="00064402" w:rsidP="00804238">
      <w:pPr>
        <w:pStyle w:val="Tekstzwyky"/>
        <w:rPr>
          <w:rFonts w:ascii="Arial" w:hAnsi="Arial" w:cs="Arial"/>
          <w:color w:val="1F497D" w:themeColor="text2"/>
        </w:rPr>
      </w:pPr>
      <w:r>
        <w:rPr>
          <w:rFonts w:ascii="Arial" w:hAnsi="Arial"/>
          <w:color w:val="1F497D" w:themeColor="text2"/>
        </w:rPr>
        <w:t>Pursuant to the provisions of national legislation, employees of the Rail Transport Office are classified as civil servants governed by other laws, i.e. the Law on Civil Servants. The said legal act introduces certain elements of the competence management system common to all civil servants.</w:t>
      </w:r>
    </w:p>
    <w:p w:rsidR="00664C94" w:rsidRPr="00124ABA" w:rsidRDefault="00AC473A" w:rsidP="00804238">
      <w:pPr>
        <w:pStyle w:val="Tekstzwyky"/>
        <w:rPr>
          <w:rFonts w:ascii="Arial" w:hAnsi="Arial" w:cs="Arial"/>
          <w:color w:val="1F497D" w:themeColor="text2"/>
        </w:rPr>
      </w:pPr>
      <w:r>
        <w:rPr>
          <w:rFonts w:ascii="Arial" w:hAnsi="Arial"/>
          <w:color w:val="1F497D" w:themeColor="text2"/>
        </w:rPr>
        <w:lastRenderedPageBreak/>
        <w:t>Each position in an office should have its own description containing basic information regarding that position, with particular focus on the tasks of that position and the responsibilities and competences required. The descriptions also show the  position held in the organisation and describe its impact on end goals.</w:t>
      </w:r>
    </w:p>
    <w:p w:rsidR="00850883" w:rsidRPr="00124ABA" w:rsidRDefault="00AC473A" w:rsidP="00804238">
      <w:pPr>
        <w:pStyle w:val="Tekstzwyky"/>
        <w:rPr>
          <w:rFonts w:ascii="Arial" w:hAnsi="Arial" w:cs="Arial"/>
          <w:color w:val="1F497D" w:themeColor="text2"/>
        </w:rPr>
      </w:pPr>
      <w:r>
        <w:rPr>
          <w:rFonts w:ascii="Arial" w:hAnsi="Arial"/>
          <w:color w:val="1F497D" w:themeColor="text2"/>
        </w:rPr>
        <w:t>The job descriptions are a starting point for many processes and tools that help manage competences in an organisation. For example, the information they contain is very helpful in the recruitment process, as it enables the specification of requirements for the candidates sought. The performance of the tasks specified in the job description forms the basis for periodic employee appraisals carried out every two years.</w:t>
      </w:r>
    </w:p>
    <w:p w:rsidR="00664C94" w:rsidRPr="00124ABA" w:rsidRDefault="00850883" w:rsidP="00804238">
      <w:pPr>
        <w:pStyle w:val="Tekstzwyky"/>
        <w:rPr>
          <w:rFonts w:ascii="Arial" w:hAnsi="Arial" w:cs="Arial"/>
          <w:color w:val="1F497D" w:themeColor="text2"/>
        </w:rPr>
      </w:pPr>
      <w:r>
        <w:rPr>
          <w:rFonts w:ascii="Arial" w:hAnsi="Arial"/>
          <w:color w:val="1F497D" w:themeColor="text2"/>
        </w:rPr>
        <w:t>In addition to the execution of tasks, the periodic appraisal covers a package of four mandatory criteria concerning reliability and timeliness, knowledge possessed, focus on achieving goals, and professional development, as well as criteria chosen by the employee, which may concern, inter alia, foreign language skills, communication skills, resource management, cooperation skills and creativity skills. Each criterion is assigned point values from one to five, and then a final assessment is formulated based on the average of the results.</w:t>
      </w:r>
    </w:p>
    <w:p w:rsidR="00154E96" w:rsidRPr="00124ABA" w:rsidRDefault="0081586C" w:rsidP="00804238">
      <w:pPr>
        <w:pStyle w:val="Tekstzwyky"/>
        <w:rPr>
          <w:rFonts w:ascii="Arial" w:hAnsi="Arial" w:cs="Arial"/>
          <w:color w:val="1F497D" w:themeColor="text2"/>
        </w:rPr>
      </w:pPr>
      <w:r>
        <w:rPr>
          <w:rFonts w:ascii="Arial" w:hAnsi="Arial"/>
          <w:color w:val="1F497D" w:themeColor="text2"/>
        </w:rPr>
        <w:t>Another element of a periodic appraisal is the formulation of conclusions regarding an employee’s individual development programme that specifies the employee’s professional development path and planned development activities (in the form of external training and exchange of work experience).</w:t>
      </w:r>
    </w:p>
    <w:p w:rsidR="00B57535" w:rsidRPr="00124ABA" w:rsidRDefault="00B57535" w:rsidP="00B57535">
      <w:pPr>
        <w:pStyle w:val="Tekstzwyky"/>
        <w:rPr>
          <w:rFonts w:ascii="Arial" w:eastAsia="Times New Roman" w:hAnsi="Arial" w:cs="Arial"/>
          <w:color w:val="1F497D" w:themeColor="text2"/>
          <w:szCs w:val="18"/>
        </w:rPr>
      </w:pPr>
      <w:r>
        <w:rPr>
          <w:rFonts w:ascii="Arial" w:hAnsi="Arial"/>
          <w:color w:val="1F497D" w:themeColor="text2"/>
        </w:rPr>
        <w:t>In order to improve the qualifications of employees carrying out supervisory activities, multi</w:t>
      </w:r>
      <w:r>
        <w:noBreakHyphen/>
      </w:r>
      <w:r>
        <w:rPr>
          <w:rFonts w:ascii="Arial" w:hAnsi="Arial"/>
          <w:color w:val="1F497D" w:themeColor="text2"/>
        </w:rPr>
        <w:t>aspect substantive training has been introduced. It includes the following issues: transport of dangerous goods by rail, analysis of risk in rail transport, new legal, technical and economic issues as regards rail transport, rail transport safety, analysis of rail occurrences, etc. In addition, periodic training is carried out on auditing quality, safety and maintenance management systems, which contributed to a considerable proportion of the team obtaining management system auditor privileges.</w:t>
      </w:r>
    </w:p>
    <w:p w:rsidR="009558ED" w:rsidRPr="00124ABA" w:rsidRDefault="009558ED" w:rsidP="001F40E3">
      <w:pPr>
        <w:pStyle w:val="Heading2"/>
        <w:rPr>
          <w:color w:val="1F497D" w:themeColor="text2"/>
        </w:rPr>
      </w:pPr>
      <w:bookmarkStart w:id="37" w:name="_Toc435539932"/>
      <w:bookmarkStart w:id="38" w:name="_Toc441736868"/>
      <w:r>
        <w:rPr>
          <w:color w:val="1F497D" w:themeColor="text2"/>
        </w:rPr>
        <w:t>Decision-making process</w:t>
      </w:r>
      <w:bookmarkEnd w:id="37"/>
      <w:bookmarkEnd w:id="38"/>
    </w:p>
    <w:p w:rsidR="001A28F6" w:rsidRPr="00124ABA" w:rsidRDefault="001A28F6" w:rsidP="00074BA5">
      <w:pPr>
        <w:pStyle w:val="Tekstzwyky"/>
        <w:rPr>
          <w:rFonts w:ascii="Arial" w:hAnsi="Arial" w:cs="Arial"/>
          <w:color w:val="1F497D" w:themeColor="text2"/>
        </w:rPr>
      </w:pPr>
      <w:r>
        <w:rPr>
          <w:rFonts w:ascii="Arial" w:hAnsi="Arial"/>
          <w:color w:val="1F497D" w:themeColor="text2"/>
        </w:rPr>
        <w:t>Supervisory activities carried out by the President of the Rail Transport Office may take the form of inspection,  administrative or investigative procedures. In addition, a series of measures is being implemented to promote a culture of safety through the organisation of and involvement in training and seminars, as well as informational campaigns implemented via various means of communications (electronic and direct).</w:t>
      </w:r>
    </w:p>
    <w:p w:rsidR="00B74A4E" w:rsidRPr="00124ABA" w:rsidRDefault="00B74A4E" w:rsidP="00074BA5">
      <w:pPr>
        <w:pStyle w:val="Tekstzwyky"/>
        <w:rPr>
          <w:rFonts w:ascii="Arial" w:hAnsi="Arial" w:cs="Arial"/>
          <w:color w:val="1F497D" w:themeColor="text2"/>
        </w:rPr>
      </w:pPr>
      <w:r>
        <w:rPr>
          <w:rFonts w:ascii="Arial" w:hAnsi="Arial"/>
          <w:color w:val="1F497D" w:themeColor="text2"/>
        </w:rPr>
        <w:t>As regards complaints, it must be noted that the differences between the position of the President of the Rail Transport Office and the opinions of enterprises and infrastructure managers revolve mainly around the following issues:</w:t>
      </w:r>
    </w:p>
    <w:p w:rsidR="00B74A4E" w:rsidRDefault="00B74A4E" w:rsidP="00C9774E">
      <w:pPr>
        <w:pStyle w:val="Wypunktowanie"/>
        <w:ind w:left="567"/>
        <w:rPr>
          <w:color w:val="1F497D" w:themeColor="text2"/>
        </w:rPr>
      </w:pPr>
      <w:r>
        <w:rPr>
          <w:color w:val="1F497D" w:themeColor="text2"/>
        </w:rPr>
        <w:t>setting entities’ deadlines to eliminate irregularities related to the violation of rail provisions,</w:t>
      </w:r>
    </w:p>
    <w:p w:rsidR="00B74A4E" w:rsidRPr="00124ABA" w:rsidRDefault="00B74A4E" w:rsidP="00C9774E">
      <w:pPr>
        <w:pStyle w:val="Wypunktowanie"/>
        <w:ind w:left="567"/>
        <w:rPr>
          <w:color w:val="1F497D" w:themeColor="text2"/>
        </w:rPr>
      </w:pPr>
      <w:r>
        <w:rPr>
          <w:color w:val="1F497D" w:themeColor="text2"/>
        </w:rPr>
        <w:t>the validity and amount of the fines imposed for violations of specific rail obligations and matters relating to inadequate explanation of directives relating to the amount of a fine,</w:t>
      </w:r>
    </w:p>
    <w:p w:rsidR="00B74A4E" w:rsidRPr="00124ABA" w:rsidRDefault="00B74A4E" w:rsidP="00C9774E">
      <w:pPr>
        <w:pStyle w:val="Wypunktowanie"/>
        <w:ind w:left="567"/>
        <w:rPr>
          <w:color w:val="1F497D" w:themeColor="text2"/>
        </w:rPr>
      </w:pPr>
      <w:r>
        <w:rPr>
          <w:color w:val="1F497D" w:themeColor="text2"/>
        </w:rPr>
        <w:t>and applying immediate enforceability of administrative decisions.</w:t>
      </w:r>
    </w:p>
    <w:p w:rsidR="009558ED" w:rsidRPr="00124ABA" w:rsidRDefault="009558ED" w:rsidP="001F40E3">
      <w:pPr>
        <w:pStyle w:val="Heading2"/>
        <w:rPr>
          <w:color w:val="1F497D" w:themeColor="text2"/>
        </w:rPr>
      </w:pPr>
      <w:bookmarkStart w:id="39" w:name="_Toc435539933"/>
      <w:bookmarkStart w:id="40" w:name="_Toc441736869"/>
      <w:r>
        <w:rPr>
          <w:color w:val="1F497D" w:themeColor="text2"/>
        </w:rPr>
        <w:t>Coordination and cooperation</w:t>
      </w:r>
      <w:bookmarkEnd w:id="39"/>
      <w:bookmarkEnd w:id="40"/>
    </w:p>
    <w:p w:rsidR="00B74A4E" w:rsidRPr="00124ABA" w:rsidRDefault="00B74A4E" w:rsidP="00B74A4E">
      <w:pPr>
        <w:pStyle w:val="Tekstzwyky"/>
        <w:rPr>
          <w:rFonts w:ascii="Arial" w:hAnsi="Arial" w:cs="Arial"/>
          <w:color w:val="1F497D" w:themeColor="text2"/>
        </w:rPr>
      </w:pPr>
      <w:r>
        <w:rPr>
          <w:rFonts w:ascii="Arial" w:hAnsi="Arial"/>
          <w:color w:val="1F497D" w:themeColor="text2"/>
        </w:rPr>
        <w:t>On 21 July 2015, at the headquarters of the Lithuanian NSA, a Polish – Lithuanian agreement was signed regarding cooperation in the supervision of entities operating in Poland and Lithuania based on Part B certificates issued by both countries.</w:t>
      </w:r>
    </w:p>
    <w:p w:rsidR="00B74A4E" w:rsidRPr="00124ABA" w:rsidRDefault="00B74A4E" w:rsidP="00B74A4E">
      <w:pPr>
        <w:pStyle w:val="Tekstzwyky"/>
        <w:rPr>
          <w:rFonts w:ascii="Arial" w:hAnsi="Arial" w:cs="Arial"/>
          <w:color w:val="1F497D" w:themeColor="text2"/>
        </w:rPr>
      </w:pPr>
      <w:r>
        <w:rPr>
          <w:rFonts w:ascii="Arial" w:hAnsi="Arial"/>
          <w:color w:val="1F497D" w:themeColor="text2"/>
        </w:rPr>
        <w:t>Based on the above agreement, there will be an exchange of information regarding the results of supervisory activities of entities that possess Part B  certificates issued in other countries.</w:t>
      </w:r>
    </w:p>
    <w:p w:rsidR="00B74A4E" w:rsidRPr="005F5B81" w:rsidRDefault="00B74A4E" w:rsidP="00074BA5">
      <w:pPr>
        <w:pStyle w:val="Tekstzwyky"/>
        <w:rPr>
          <w:rFonts w:ascii="Arial" w:hAnsi="Arial" w:cs="Arial"/>
          <w:color w:val="1F497D" w:themeColor="text2"/>
        </w:rPr>
      </w:pPr>
      <w:r>
        <w:rPr>
          <w:rFonts w:ascii="Arial" w:hAnsi="Arial"/>
          <w:color w:val="1F497D" w:themeColor="text2"/>
        </w:rPr>
        <w:t>Thanks to the joint supervision of entities conducting activities outside the borders of the country, it will be possible to increase rail traffic safety levels of Polish and Lithuanian operators. In addition, the agreement will enable joint supervisory activities in this regard.</w:t>
      </w:r>
    </w:p>
    <w:p w:rsidR="00074BA5" w:rsidRPr="005F5B81" w:rsidRDefault="00074BA5" w:rsidP="001F40E3">
      <w:pPr>
        <w:pStyle w:val="Heading2"/>
        <w:rPr>
          <w:color w:val="1F497D" w:themeColor="text2"/>
        </w:rPr>
      </w:pPr>
      <w:bookmarkStart w:id="41" w:name="_Toc435539934"/>
      <w:bookmarkStart w:id="42" w:name="_Toc441736870"/>
      <w:r>
        <w:rPr>
          <w:color w:val="1F497D" w:themeColor="text2"/>
        </w:rPr>
        <w:lastRenderedPageBreak/>
        <w:t>Conclusions from measures taken</w:t>
      </w:r>
      <w:bookmarkEnd w:id="41"/>
      <w:bookmarkEnd w:id="42"/>
    </w:p>
    <w:p w:rsidR="00B74A4E" w:rsidRPr="005F5B81" w:rsidRDefault="00B74A4E" w:rsidP="00B74A4E">
      <w:pPr>
        <w:pStyle w:val="Tekstzwyky"/>
        <w:rPr>
          <w:rFonts w:ascii="Arial" w:hAnsi="Arial" w:cs="Arial"/>
          <w:color w:val="1F497D" w:themeColor="text2"/>
        </w:rPr>
      </w:pPr>
      <w:r>
        <w:rPr>
          <w:rFonts w:ascii="Arial" w:hAnsi="Arial"/>
          <w:color w:val="1F497D" w:themeColor="text2"/>
        </w:rPr>
        <w:t>An unambiguous, comprehensive evaluation of the effectiveness of measures taken by rail operators to eliminate irregularities found is hindered because the effectiveness of these measures depends on the type of irregularity found. This was the same with rolling stock – ‘isolated’ irregularities involving technical failures (damage to side and head door locks, heating and air conditioning units, etc.) were removed effectively, as well as irregularities in documentation. As regards ‘systemic’ irregularities, it will be possible to assess the effectiveness of the measures taken after subsequent inspections regarding the level of implementation of the SMS in these entities.</w:t>
      </w:r>
    </w:p>
    <w:p w:rsidR="00B74A4E" w:rsidRPr="005F5B81" w:rsidRDefault="00B74A4E" w:rsidP="00B74A4E">
      <w:pPr>
        <w:pStyle w:val="Tekstzwyky"/>
        <w:rPr>
          <w:rFonts w:ascii="Arial" w:hAnsi="Arial" w:cs="Arial"/>
          <w:color w:val="1F497D" w:themeColor="text2"/>
        </w:rPr>
      </w:pPr>
      <w:r>
        <w:rPr>
          <w:rFonts w:ascii="Arial" w:hAnsi="Arial"/>
          <w:color w:val="1F497D" w:themeColor="text2"/>
        </w:rPr>
        <w:t>Regarding violations in terms of infrastructure maintenance, the effectiveness of measures taken by infrastructure managers was inadequate, which was affected by many years of neglect in this area. Safety was ensured by the introduction of appropriate operational limitations, rather than by bringing rail infrastructure to an appropriate level; nevertheless, the broad programme of modernisation and revitalisation of railway lines, which will enable future improvements in this area, should be highlighted.</w:t>
      </w:r>
    </w:p>
    <w:p w:rsidR="00CE2412" w:rsidRDefault="00CE2412" w:rsidP="0038069B">
      <w:pPr>
        <w:pStyle w:val="Tekstzwyky"/>
        <w:rPr>
          <w:rFonts w:ascii="Arial" w:hAnsi="Arial" w:cs="Arial"/>
          <w:szCs w:val="22"/>
        </w:rPr>
      </w:pPr>
    </w:p>
    <w:p w:rsidR="0038069B" w:rsidRPr="00DD7FD8" w:rsidRDefault="009B1787" w:rsidP="009B1787">
      <w:pPr>
        <w:pStyle w:val="Heading1"/>
        <w:rPr>
          <w:color w:val="1F497D" w:themeColor="text2"/>
        </w:rPr>
      </w:pPr>
      <w:bookmarkStart w:id="43" w:name="_Toc435539935"/>
      <w:bookmarkStart w:id="44" w:name="_Toc441736871"/>
      <w:r>
        <w:rPr>
          <w:color w:val="1F497D" w:themeColor="text2"/>
        </w:rPr>
        <w:lastRenderedPageBreak/>
        <w:t>Safety certification and authorisation</w:t>
      </w:r>
      <w:bookmarkEnd w:id="43"/>
      <w:bookmarkEnd w:id="44"/>
    </w:p>
    <w:p w:rsidR="00A57491" w:rsidRPr="00DD7FD8" w:rsidRDefault="007F6772" w:rsidP="005F5B81">
      <w:pPr>
        <w:pStyle w:val="Heading2"/>
        <w:numPr>
          <w:ilvl w:val="0"/>
          <w:numId w:val="10"/>
        </w:numPr>
        <w:rPr>
          <w:color w:val="1F497D" w:themeColor="text2"/>
        </w:rPr>
      </w:pPr>
      <w:bookmarkStart w:id="45" w:name="_Toc435539936"/>
      <w:bookmarkStart w:id="46" w:name="_Toc441736872"/>
      <w:r>
        <w:rPr>
          <w:color w:val="1F497D" w:themeColor="text2"/>
        </w:rPr>
        <w:t>Guidelines</w:t>
      </w:r>
      <w:bookmarkEnd w:id="45"/>
      <w:bookmarkEnd w:id="46"/>
    </w:p>
    <w:p w:rsidR="00223B48" w:rsidRPr="00DD7FD8" w:rsidRDefault="00223B48" w:rsidP="00933FFE">
      <w:pPr>
        <w:pStyle w:val="Tekstzwyky"/>
        <w:rPr>
          <w:rFonts w:ascii="Arial" w:hAnsi="Arial" w:cs="Arial"/>
          <w:color w:val="1F497D" w:themeColor="text2"/>
        </w:rPr>
      </w:pPr>
      <w:r>
        <w:rPr>
          <w:rFonts w:ascii="Arial" w:hAnsi="Arial"/>
          <w:color w:val="1F497D" w:themeColor="text2"/>
        </w:rPr>
        <w:t>Currently, the guidelines of the President of the UTK regarding the procedure for obtaining safety certificates and authorisations are available on the UTK website, which provides the most relevant information on obtaining the above</w:t>
      </w:r>
      <w:r>
        <w:noBreakHyphen/>
      </w:r>
      <w:r>
        <w:rPr>
          <w:rFonts w:ascii="Arial" w:hAnsi="Arial"/>
          <w:color w:val="1F497D" w:themeColor="text2"/>
        </w:rPr>
        <w:t>mentioned documents. The individual sections include basic information on the safety management system, an application template together with instructions on how to complete it, and information on fees.</w:t>
      </w:r>
    </w:p>
    <w:p w:rsidR="00D85D56" w:rsidRPr="00DD7FD8" w:rsidRDefault="00D85D56" w:rsidP="00D85D56">
      <w:pPr>
        <w:pStyle w:val="Tekstzwyky"/>
        <w:rPr>
          <w:rFonts w:ascii="Arial" w:hAnsi="Arial" w:cs="Arial"/>
          <w:color w:val="1F497D" w:themeColor="text2"/>
        </w:rPr>
      </w:pPr>
      <w:r>
        <w:rPr>
          <w:rFonts w:ascii="Arial" w:hAnsi="Arial"/>
          <w:color w:val="1F497D" w:themeColor="text2"/>
        </w:rPr>
        <w:t>In connection with the upcoming renewal of safety certificates and authorisations in 2015, the UTK website provides guidelines for entities applying for the renewal of Part A and Part B certificates and safety authorisations. This information was also supplemented with a planned workflow of the Office in this regard, which will enable entities to properly prepare for the renewal of safety certificates and familiarise themselves with the Office’s expectations in this respect.</w:t>
      </w:r>
    </w:p>
    <w:p w:rsidR="00933FFE" w:rsidRPr="00DD7FD8" w:rsidRDefault="00B9237E" w:rsidP="00933FFE">
      <w:pPr>
        <w:pStyle w:val="Tekstzwyky"/>
        <w:rPr>
          <w:rFonts w:ascii="Arial" w:hAnsi="Arial" w:cs="Arial"/>
          <w:color w:val="1F497D" w:themeColor="text2"/>
        </w:rPr>
      </w:pPr>
      <w:r>
        <w:rPr>
          <w:rFonts w:ascii="Arial" w:hAnsi="Arial"/>
          <w:color w:val="1F497D" w:themeColor="text2"/>
        </w:rPr>
        <w:t>The measures taken proved effective; the majority of entities submitted relevant applications for the renewal of certificates and authorisation earlier than required by national law, which enabled the UTK to plan supervisory measures and spread the recertification work out over time.</w:t>
      </w:r>
    </w:p>
    <w:p w:rsidR="00BC1C0E" w:rsidRPr="00DD7FD8" w:rsidRDefault="007F6772" w:rsidP="001F40E3">
      <w:pPr>
        <w:pStyle w:val="Heading2"/>
        <w:rPr>
          <w:color w:val="1F497D" w:themeColor="text2"/>
        </w:rPr>
      </w:pPr>
      <w:bookmarkStart w:id="47" w:name="_Toc435539937"/>
      <w:bookmarkStart w:id="48" w:name="_Toc441736873"/>
      <w:r>
        <w:rPr>
          <w:color w:val="1F497D" w:themeColor="text2"/>
        </w:rPr>
        <w:t>Contacts with other national safety authorities</w:t>
      </w:r>
      <w:bookmarkEnd w:id="47"/>
      <w:bookmarkEnd w:id="48"/>
    </w:p>
    <w:p w:rsidR="003F3588" w:rsidRPr="003F3588" w:rsidRDefault="00B9237E" w:rsidP="003F3588">
      <w:pPr>
        <w:rPr>
          <w:color w:val="1F497D" w:themeColor="text2"/>
        </w:rPr>
      </w:pPr>
      <w:r>
        <w:rPr>
          <w:color w:val="1F497D" w:themeColor="text2"/>
        </w:rPr>
        <w:t>In 2014, as in 2013, contact between the UTK and other national safety authorities as part of the safety certification process was limited. The UTK did not receive any applications from other safety authorities requesting information regarding the Part A safety certificate issued for a rail undertaking in Poland. In 2014, no foreign undertakings obtained a Part B certificate in Poland; however, such certificates were issued by the Lithuanian safety authority for PKP Cargo S.A. and Rail Polska sp. z o.o.  Certificates for PKP Cargo S.A. were also renewed in the following countries: the Czech Republic, France, Slovakia, Austria, Hungary and the Netherlands.</w:t>
      </w:r>
    </w:p>
    <w:p w:rsidR="00BC1C0E" w:rsidRPr="00DD7FD8" w:rsidRDefault="007F6772" w:rsidP="001F40E3">
      <w:pPr>
        <w:pStyle w:val="Heading2"/>
        <w:rPr>
          <w:color w:val="1F497D" w:themeColor="text2"/>
        </w:rPr>
      </w:pPr>
      <w:bookmarkStart w:id="49" w:name="_Toc435539938"/>
      <w:bookmarkStart w:id="50" w:name="_Toc441736874"/>
      <w:r>
        <w:rPr>
          <w:color w:val="1F497D" w:themeColor="text2"/>
        </w:rPr>
        <w:t>Procedural matters</w:t>
      </w:r>
      <w:bookmarkEnd w:id="49"/>
      <w:bookmarkEnd w:id="50"/>
    </w:p>
    <w:p w:rsidR="00BC1C0E" w:rsidRPr="00DD7FD8" w:rsidRDefault="00DD7FD8" w:rsidP="002953B3">
      <w:pPr>
        <w:pStyle w:val="Tekstzwyky"/>
        <w:rPr>
          <w:rFonts w:ascii="Arial" w:hAnsi="Arial" w:cs="Arial"/>
          <w:color w:val="1F497D" w:themeColor="text2"/>
        </w:rPr>
      </w:pPr>
      <w:r>
        <w:rPr>
          <w:rFonts w:ascii="Arial" w:hAnsi="Arial"/>
          <w:color w:val="1F497D" w:themeColor="text2"/>
        </w:rPr>
        <w:t>In 2014, emphasis was placed on the conduct of checks on the level of implementation of safety management systems by rail operators and infrastructure managers applying for a renewal of safety certificates and authorisations. Decisions regarding certificate or authorisation renewals were made taking into account the satisfactory implementation of safety management system procedures.</w:t>
      </w:r>
    </w:p>
    <w:p w:rsidR="007F6772" w:rsidRPr="00DD7FD8" w:rsidRDefault="007F6772" w:rsidP="001F40E3">
      <w:pPr>
        <w:pStyle w:val="Heading2"/>
        <w:rPr>
          <w:color w:val="1F497D" w:themeColor="text2"/>
        </w:rPr>
      </w:pPr>
      <w:bookmarkStart w:id="51" w:name="_Toc435539939"/>
      <w:bookmarkStart w:id="52" w:name="_Toc441736875"/>
      <w:r>
        <w:rPr>
          <w:color w:val="1F497D" w:themeColor="text2"/>
        </w:rPr>
        <w:t>Feedback</w:t>
      </w:r>
      <w:bookmarkEnd w:id="51"/>
      <w:bookmarkEnd w:id="52"/>
    </w:p>
    <w:p w:rsidR="00051B46" w:rsidRPr="00DD7FD8" w:rsidRDefault="00933FFE" w:rsidP="00933FFE">
      <w:pPr>
        <w:pStyle w:val="Tekstzwyky"/>
        <w:rPr>
          <w:rFonts w:ascii="Arial" w:hAnsi="Arial" w:cs="Arial"/>
          <w:color w:val="1F497D" w:themeColor="text2"/>
        </w:rPr>
      </w:pPr>
      <w:r>
        <w:rPr>
          <w:rFonts w:ascii="Arial" w:hAnsi="Arial"/>
          <w:color w:val="1F497D" w:themeColor="text2"/>
        </w:rPr>
        <w:t xml:space="preserve">The UTK did not prepare a separate mechanism under which rail undertakings or infrastructure managers can express their opinions on procedures for the issue, renewal or amendment of Part A and B safety certificates and safety authorisations or lodge complaints about the activity of the President of the UTK. The solutions in this respect arise directly from the provisions of the applicable national legislation. </w:t>
      </w:r>
    </w:p>
    <w:p w:rsidR="00933FFE" w:rsidRPr="00DD7FD8" w:rsidRDefault="00051B46" w:rsidP="00933FFE">
      <w:pPr>
        <w:pStyle w:val="Tekstzwyky"/>
        <w:rPr>
          <w:rFonts w:ascii="Arial" w:hAnsi="Arial" w:cs="Arial"/>
          <w:color w:val="1F497D" w:themeColor="text2"/>
        </w:rPr>
      </w:pPr>
      <w:r>
        <w:rPr>
          <w:rFonts w:ascii="Arial" w:hAnsi="Arial"/>
          <w:color w:val="1F497D" w:themeColor="text2"/>
        </w:rPr>
        <w:t>The system regarding complaints and appeals against decisions of the President of the UTK arises from the act of 14 June 1960 – Code of Administrative Procedure. Pursuant to this act, a decision of the President of the UTK issued at first instance, irrespective of whether or not it was positive or negative, may be appealed before the President of the UTK within 14 days of the delivery of the decision with a request to reconsider the case. In 2014, only one appeal regarding a certificate or authorisation issued was submitted to the UTK. This concerned a request to reconsider a case regarding the issue of a Part B safety certificate submitted in connection with the applicant’s reservations, not regarding the decision that was made but regarding the justification of the administrative decision in the said case.</w:t>
      </w:r>
    </w:p>
    <w:p w:rsidR="00933FFE" w:rsidRPr="00DD7FD8" w:rsidRDefault="00933FFE" w:rsidP="00933FFE">
      <w:pPr>
        <w:pStyle w:val="Tekstzwyky"/>
        <w:rPr>
          <w:rFonts w:ascii="Arial" w:hAnsi="Arial" w:cs="Arial"/>
          <w:color w:val="1F497D" w:themeColor="text2"/>
        </w:rPr>
      </w:pPr>
      <w:r>
        <w:rPr>
          <w:rFonts w:ascii="Arial" w:hAnsi="Arial"/>
          <w:color w:val="1F497D" w:themeColor="text2"/>
        </w:rPr>
        <w:lastRenderedPageBreak/>
        <w:t xml:space="preserve">In addition, the Code of Administrative Procedure provides for a procedure to submit complaints and requests to public administration bodies. The object of such a complaint may be, in particular, negligence or improper performance of tasks by relevant bodies or their employees, a violation of the rule of law or the interests of the claimants, as well as lengthy or bureaucratic processing of cases. The object of a request may include, in particular, matters regarding improving organisation, strengthening the rule of law, improving work and preventing abuse, protecting property, or better meeting social needs. </w:t>
      </w:r>
    </w:p>
    <w:p w:rsidR="00051B46" w:rsidRPr="00DD7FD8" w:rsidRDefault="00DD7FD8" w:rsidP="00933FFE">
      <w:pPr>
        <w:pStyle w:val="Tekstzwyky"/>
        <w:rPr>
          <w:rFonts w:ascii="Arial" w:hAnsi="Arial" w:cs="Arial"/>
          <w:color w:val="1F497D" w:themeColor="text2"/>
        </w:rPr>
      </w:pPr>
      <w:r>
        <w:rPr>
          <w:rFonts w:ascii="Arial" w:hAnsi="Arial"/>
          <w:color w:val="1F497D" w:themeColor="text2"/>
        </w:rPr>
        <w:t>In 2014, the UTK did not, however, receive any complaints or requests referred to above that related to administrative proceedings regarding the issue, amendment or renewal of a Part A or Part B certificate or safety authorisation.</w:t>
      </w:r>
    </w:p>
    <w:p w:rsidR="00CE2412" w:rsidRDefault="00CE2412" w:rsidP="00933FFE">
      <w:pPr>
        <w:pStyle w:val="Tekstzwyky"/>
        <w:rPr>
          <w:rFonts w:ascii="Arial" w:hAnsi="Arial" w:cs="Arial"/>
        </w:rPr>
      </w:pPr>
    </w:p>
    <w:p w:rsidR="0038069B" w:rsidRPr="0006561D" w:rsidRDefault="009B1787" w:rsidP="009B1787">
      <w:pPr>
        <w:pStyle w:val="Heading1"/>
        <w:rPr>
          <w:color w:val="1F497D" w:themeColor="text2"/>
        </w:rPr>
      </w:pPr>
      <w:bookmarkStart w:id="53" w:name="_Toc435539940"/>
      <w:bookmarkStart w:id="54" w:name="_Toc441736876"/>
      <w:r>
        <w:rPr>
          <w:color w:val="1F497D" w:themeColor="text2"/>
        </w:rPr>
        <w:lastRenderedPageBreak/>
        <w:t>Changes to legislation</w:t>
      </w:r>
      <w:bookmarkEnd w:id="53"/>
      <w:bookmarkEnd w:id="54"/>
    </w:p>
    <w:p w:rsidR="00BC1C0E" w:rsidRPr="0006561D" w:rsidRDefault="00686F40" w:rsidP="006F55E8">
      <w:pPr>
        <w:pStyle w:val="Heading2"/>
        <w:numPr>
          <w:ilvl w:val="0"/>
          <w:numId w:val="11"/>
        </w:numPr>
        <w:rPr>
          <w:color w:val="1F497D" w:themeColor="text2"/>
        </w:rPr>
      </w:pPr>
      <w:bookmarkStart w:id="55" w:name="_Toc435539941"/>
      <w:bookmarkStart w:id="56" w:name="_Toc441736877"/>
      <w:r>
        <w:rPr>
          <w:color w:val="1F497D" w:themeColor="text2"/>
        </w:rPr>
        <w:t>Directive on rail safety</w:t>
      </w:r>
      <w:bookmarkEnd w:id="55"/>
      <w:bookmarkEnd w:id="56"/>
    </w:p>
    <w:p w:rsidR="007D58EE" w:rsidRPr="0006561D" w:rsidRDefault="00C345BF" w:rsidP="003E2557">
      <w:pPr>
        <w:pStyle w:val="Tekstzwyky"/>
        <w:rPr>
          <w:rFonts w:ascii="Arial" w:hAnsi="Arial" w:cs="Arial"/>
          <w:color w:val="1F497D" w:themeColor="text2"/>
        </w:rPr>
      </w:pPr>
      <w:r>
        <w:rPr>
          <w:rFonts w:ascii="Arial" w:hAnsi="Arial"/>
          <w:color w:val="1F497D" w:themeColor="text2"/>
        </w:rPr>
        <w:t>Directive 2004/49/EC on rail safety was implemented into national legislation by way of the act of 22 July 2006 on amendments to the Rail Transport Act and accompanying implementing regulations. The following are provisions of national legislation in force in 2014 which transpose the Safety Directive:</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Rail Transport Act of 28 March 2003 (Polish Journal of Laws of 2013, item 1594).</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 xml:space="preserve">Regulation of the Minister for Transport of 5 December 2006 on the method for obtaining safety certificates (Polish Journal of Laws of 2006, No 230, item 1682). </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 xml:space="preserve">Regulation of the Minister for Transport of 19 February 2007 on the contents of reports </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on proceedings in the event of a serious rail accident, accident or incident (Polish Journal of Laws of 2007, No 41, item 268).</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 xml:space="preserve">Regulation of the Minister for Transport of 12 March 2007 on the conditions and mode for issuing, renewing, amending and withdrawing safety authorisations </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and safety certificates (Polish Journal of Laws of 2007, No 57, item 389).</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The Regulation of the Minister for Transport of 12 March 2007 on the procedure for the conducting of inspections by the President of the Rail Transport Office (Polish Journal of Laws of 2007, No 57, item 388).</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Regulation of the Minister for Transport of 19 March 2007 on the rail transport safety management system (Polish Journal of Laws of 2007, No 60, item 407).</w:t>
      </w:r>
    </w:p>
    <w:p w:rsidR="007D58EE"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Regulation of the Minister for Transport of 30 April 2007 on serious accidents, accidents and incidents on railway lines (Polish Journal of Laws of 2007, No 89, item 593).</w:t>
      </w:r>
    </w:p>
    <w:p w:rsidR="00C30A77" w:rsidRPr="0006561D" w:rsidRDefault="007D58EE" w:rsidP="0043129E">
      <w:pPr>
        <w:pStyle w:val="Tekstzwyky"/>
        <w:numPr>
          <w:ilvl w:val="0"/>
          <w:numId w:val="23"/>
        </w:numPr>
        <w:spacing w:before="0" w:after="0"/>
        <w:ind w:left="714" w:hanging="357"/>
        <w:rPr>
          <w:rFonts w:ascii="Arial" w:hAnsi="Arial" w:cs="Arial"/>
          <w:color w:val="1F497D" w:themeColor="text2"/>
        </w:rPr>
      </w:pPr>
      <w:r>
        <w:rPr>
          <w:rFonts w:ascii="Arial" w:hAnsi="Arial"/>
          <w:color w:val="1F497D" w:themeColor="text2"/>
        </w:rPr>
        <w:t>Regulation of the Minister for Infrastructure of 20 July 2010 on common safety indicators (CSIs) (Polish Journal of Laws of 2010, No 142, item 952).</w:t>
      </w:r>
    </w:p>
    <w:p w:rsidR="00A971FE" w:rsidRPr="0006561D" w:rsidRDefault="00A971FE" w:rsidP="00A971FE">
      <w:pPr>
        <w:pStyle w:val="Tekstzwyky"/>
        <w:spacing w:before="0" w:after="0"/>
        <w:rPr>
          <w:rFonts w:ascii="Arial" w:hAnsi="Arial" w:cs="Arial"/>
          <w:color w:val="1F497D" w:themeColor="text2"/>
        </w:rPr>
      </w:pPr>
      <w:r>
        <w:rPr>
          <w:rFonts w:ascii="Arial" w:hAnsi="Arial"/>
          <w:color w:val="1F497D" w:themeColor="text2"/>
        </w:rPr>
        <w:t>Detailed information on the status of the transposition of the said directive is available in Table 1 in Annex 2 hereto.</w:t>
      </w:r>
    </w:p>
    <w:p w:rsidR="00C30A77" w:rsidRPr="0006561D" w:rsidRDefault="003F04E2" w:rsidP="001F40E3">
      <w:pPr>
        <w:pStyle w:val="Heading2"/>
        <w:rPr>
          <w:color w:val="1F497D" w:themeColor="text2"/>
        </w:rPr>
      </w:pPr>
      <w:bookmarkStart w:id="57" w:name="_Toc435539942"/>
      <w:bookmarkStart w:id="58" w:name="_Toc441736878"/>
      <w:r>
        <w:rPr>
          <w:color w:val="1F497D" w:themeColor="text2"/>
        </w:rPr>
        <w:t>Changes to legislation and regulations</w:t>
      </w:r>
      <w:bookmarkEnd w:id="57"/>
      <w:bookmarkEnd w:id="58"/>
    </w:p>
    <w:p w:rsidR="002C3736" w:rsidRPr="0006561D" w:rsidRDefault="00EF14D6" w:rsidP="002C3736">
      <w:pPr>
        <w:pStyle w:val="Tekstzwyky"/>
        <w:rPr>
          <w:rFonts w:ascii="Arial" w:hAnsi="Arial" w:cs="Arial"/>
          <w:color w:val="1F497D" w:themeColor="text2"/>
        </w:rPr>
      </w:pPr>
      <w:r>
        <w:rPr>
          <w:rFonts w:ascii="Arial" w:hAnsi="Arial"/>
          <w:color w:val="1F497D" w:themeColor="text2"/>
        </w:rPr>
        <w:t>Detailed information regarding the changes to applicable national legislation is available in Table 2 in Annex 2 hereto.</w:t>
      </w:r>
    </w:p>
    <w:p w:rsidR="00A178DD" w:rsidRPr="0006561D" w:rsidRDefault="00A178DD" w:rsidP="001F40E3">
      <w:pPr>
        <w:rPr>
          <w:color w:val="1F497D" w:themeColor="text2"/>
        </w:rPr>
      </w:pPr>
    </w:p>
    <w:p w:rsidR="00A178DD" w:rsidRPr="0006561D" w:rsidRDefault="009B1787" w:rsidP="009B1787">
      <w:pPr>
        <w:pStyle w:val="Heading1"/>
        <w:rPr>
          <w:color w:val="1F497D" w:themeColor="text2"/>
        </w:rPr>
      </w:pPr>
      <w:bookmarkStart w:id="59" w:name="_Toc435539943"/>
      <w:bookmarkStart w:id="60" w:name="_Toc441736879"/>
      <w:r>
        <w:rPr>
          <w:color w:val="1F497D" w:themeColor="text2"/>
        </w:rPr>
        <w:lastRenderedPageBreak/>
        <w:t>Application of CSMs with respect to risk assessment and evaluation</w:t>
      </w:r>
      <w:bookmarkEnd w:id="59"/>
      <w:bookmarkEnd w:id="60"/>
    </w:p>
    <w:p w:rsidR="00F24FBE" w:rsidRPr="0006561D" w:rsidRDefault="00C30A77" w:rsidP="0006561D">
      <w:pPr>
        <w:pStyle w:val="Heading2"/>
        <w:numPr>
          <w:ilvl w:val="0"/>
          <w:numId w:val="12"/>
        </w:numPr>
        <w:rPr>
          <w:color w:val="1F497D" w:themeColor="text2"/>
        </w:rPr>
      </w:pPr>
      <w:bookmarkStart w:id="61" w:name="_Toc435539944"/>
      <w:bookmarkStart w:id="62" w:name="_Toc441736880"/>
      <w:r>
        <w:rPr>
          <w:color w:val="1F497D" w:themeColor="text2"/>
        </w:rPr>
        <w:t>Experiences of national safety authorities</w:t>
      </w:r>
      <w:bookmarkEnd w:id="61"/>
      <w:bookmarkEnd w:id="62"/>
    </w:p>
    <w:p w:rsidR="00003AC2" w:rsidRPr="0006561D" w:rsidRDefault="00003AC2" w:rsidP="0006561D">
      <w:pPr>
        <w:rPr>
          <w:bCs/>
          <w:color w:val="1F497D" w:themeColor="text2"/>
          <w:szCs w:val="20"/>
        </w:rPr>
      </w:pPr>
      <w:r>
        <w:rPr>
          <w:color w:val="1F497D" w:themeColor="text2"/>
        </w:rPr>
        <w:t>In 2014, the President of the UTK continued to analyse the method by which rail operators, infrastructure managers and entities in charge of maintenance (ECMs) implemented the process of assessing the significance of a change and risk management arising under Commission Regulation (EC) No 352/2009.</w:t>
      </w:r>
    </w:p>
    <w:p w:rsidR="00003AC2" w:rsidRPr="0006561D" w:rsidRDefault="00003AC2" w:rsidP="0006561D">
      <w:pPr>
        <w:rPr>
          <w:bCs/>
          <w:color w:val="1F497D" w:themeColor="text2"/>
          <w:szCs w:val="20"/>
        </w:rPr>
      </w:pPr>
      <w:r>
        <w:rPr>
          <w:color w:val="1F497D" w:themeColor="text2"/>
        </w:rPr>
        <w:t>First, it must be highlighted that a very serious problem that the President of the UTK identified in this regard lies in the low quality of documentation forwarded (reports on the assessment of the significance of change). Entities forwarded documents in the form of one- or two</w:t>
      </w:r>
      <w:r>
        <w:noBreakHyphen/>
      </w:r>
      <w:r>
        <w:rPr>
          <w:color w:val="1F497D" w:themeColor="text2"/>
        </w:rPr>
        <w:t>page notes that provided single</w:t>
      </w:r>
      <w:r>
        <w:noBreakHyphen/>
      </w:r>
      <w:r>
        <w:rPr>
          <w:color w:val="1F497D" w:themeColor="text2"/>
        </w:rPr>
        <w:t>sentence summaries of individual criteria of the assessment of the significance of a change, with an indication at the end that the change is insignificant. However, it must be reiterated that, pursuant to Article 4(2) of Regulation No 352/2009, the proposer must keep adequate documentation to justify his decision. In the majority of cases, documentation forwarded to the President of the UTK noted only the decision made and failed to contain any information allowing the assessment of its correctness and arguments for it.</w:t>
      </w:r>
    </w:p>
    <w:p w:rsidR="00003AC2" w:rsidRPr="0006561D" w:rsidRDefault="00003AC2" w:rsidP="0006561D">
      <w:pPr>
        <w:rPr>
          <w:bCs/>
          <w:color w:val="1F497D" w:themeColor="text2"/>
          <w:szCs w:val="20"/>
        </w:rPr>
      </w:pPr>
      <w:r>
        <w:rPr>
          <w:color w:val="1F497D" w:themeColor="text2"/>
        </w:rPr>
        <w:t>In addition, it should also be highlighted that the President of the UTK had doubts not only regarding the assessment of the significance of change based on the conditions specified in Regulation No 352/2009, but also regarding a previous stage of the process, i.e. assessment of whether the change affects safety. The President of the UTK identified cases in which the rail system change being introduced was important and resulted in changes to many internal procedures or regulations, but was assessed as one not impacting the safety of that system (e.g. integration of the safety management system and maintenance management system – it seems that inconsistencies under both systems, or their incompatibility directly impact that ability of the enterprise to safely carry out activities).</w:t>
      </w:r>
    </w:p>
    <w:p w:rsidR="00003AC2" w:rsidRPr="0006561D" w:rsidRDefault="00003AC2" w:rsidP="0006561D">
      <w:pPr>
        <w:rPr>
          <w:bCs/>
          <w:color w:val="1F497D" w:themeColor="text2"/>
          <w:szCs w:val="20"/>
        </w:rPr>
      </w:pPr>
      <w:r>
        <w:rPr>
          <w:color w:val="1F497D" w:themeColor="text2"/>
        </w:rPr>
        <w:t xml:space="preserve">Furthermore, one of the significant irregularities that the President of the UTK identified in relation to the process for assessing the significance of a change was a failure to understand its nature, as a result of assessing the significance of a change to the safety management system documentation instead of assessing the significance of a change to the railway system. It should be noted that Article 2 of Regulation No 352/2009 clearly states that they apply to any change in the railway system. Therefore, technical, operational or organisational changes being introduced should be assessed, and not changes in the safety management system documentation, which are secondary compared with actual changes in the railway system. An example of a result of the aforesaid approach is the assessment of the reversibility of a change (being one of the conditions for assessing the significance of a change) involving the assessment of the ability to revert to a previous version of documentation that makes up the safety management system, or an assessment of whether the change, in the graphic representation of the process in one of the procedures, is innovative. Assessments of this type obviously do not enable the assessment of the actual significance of a change in the railway system. </w:t>
      </w:r>
    </w:p>
    <w:p w:rsidR="00003AC2" w:rsidRDefault="00003AC2" w:rsidP="0006561D">
      <w:pPr>
        <w:rPr>
          <w:bCs/>
          <w:color w:val="1F497D" w:themeColor="text2"/>
          <w:szCs w:val="20"/>
        </w:rPr>
      </w:pPr>
      <w:r>
        <w:rPr>
          <w:color w:val="1F497D" w:themeColor="text2"/>
        </w:rPr>
        <w:t>In terms of applications related to rail vehicle maintenance system documentation – applications for a change to the documentation or opinions issued regarding applications for exemptions from the technical conditions for operation of rail vehicles – inconsistencies in the process of assessing the significance of a change related to the lack of a final determination of the significance of a change, or to the lack of demonstration and justification that, due to the technical state, the vehicles can still be operated. Differences were also identified between the technical opinion attached to the application and the records contained in the change significance assessment. A failure to include all existing threats and a failure to indicate possible measures to control risk were also highlighted.</w:t>
      </w:r>
    </w:p>
    <w:p w:rsidR="00003AC2" w:rsidRPr="0006561D" w:rsidRDefault="00003AC2" w:rsidP="0006561D">
      <w:pPr>
        <w:rPr>
          <w:bCs/>
          <w:color w:val="1F497D" w:themeColor="text2"/>
          <w:szCs w:val="20"/>
        </w:rPr>
      </w:pPr>
      <w:r>
        <w:rPr>
          <w:color w:val="1F497D" w:themeColor="text2"/>
        </w:rPr>
        <w:t xml:space="preserve">One of the basic shortcomings of Regulation No 352/2009 was the fact that, when indicating the requirements that should be met by an entity in order for it to be an assessment body within the meaning of the Regulation, it failed to specify how the competence of the assessment body could be verified. This issue was resolved by Commission Implementing </w:t>
      </w:r>
      <w:r>
        <w:rPr>
          <w:color w:val="1F497D" w:themeColor="text2"/>
        </w:rPr>
        <w:lastRenderedPageBreak/>
        <w:t>Regulation (EC) No 402/2013, which specifies two methods for verifying the competence of an assessment body – an accreditation or recognition process. Given the fact that in Poland the accreditation process has been adopted as a method for verifying the competence of an assessment body, in 2014 the Rail Transport Office, in cooperation with the Polish Centre for Accreditation and the Ministry of Infrastructure and Development, commenced work to develop a programme for the accreditation of assessment bodies.</w:t>
      </w:r>
    </w:p>
    <w:p w:rsidR="00003AC2" w:rsidRPr="0006561D" w:rsidRDefault="00003AC2" w:rsidP="0006561D">
      <w:pPr>
        <w:pStyle w:val="Default"/>
        <w:rPr>
          <w:bCs/>
          <w:color w:val="1F497D" w:themeColor="text2"/>
          <w:sz w:val="18"/>
          <w:szCs w:val="20"/>
        </w:rPr>
      </w:pPr>
      <w:r>
        <w:rPr>
          <w:color w:val="1F497D" w:themeColor="text2"/>
          <w:sz w:val="18"/>
        </w:rPr>
        <w:t>In short, it must be noted that the description of changes forwarded by market entities to the UTK support the claim that, when assessing a significant change, market entities are quite reserved when it comes to classifying changes in the railway system as significant. It is possible that this is related to the need to acquire greater experience in applying the common safety method for risk evaluation and assessment, which has only been in force since mid</w:t>
      </w:r>
      <w:r>
        <w:noBreakHyphen/>
      </w:r>
      <w:r>
        <w:rPr>
          <w:color w:val="1F497D" w:themeColor="text2"/>
          <w:sz w:val="18"/>
        </w:rPr>
        <w:t>2012. Here, it must be highlighted that the responsibility for the process of assessing a change and managing risk lies with the entity introducing the change. At the same time, considering on the one hand the issues relating to the application of Regulation No 352/2009 in 2014, and, on the other, the direct bearing that the risk management process has on rail traffic safety, the President of the UTK planned to prepare and publish a practical handbook for applying the change assessment and risk management process.</w:t>
      </w:r>
    </w:p>
    <w:p w:rsidR="00F24FBE" w:rsidRPr="0006561D" w:rsidRDefault="00C30A77" w:rsidP="001F40E3">
      <w:pPr>
        <w:pStyle w:val="Heading2"/>
        <w:rPr>
          <w:color w:val="1F497D" w:themeColor="text2"/>
        </w:rPr>
      </w:pPr>
      <w:bookmarkStart w:id="63" w:name="_Toc435539945"/>
      <w:bookmarkStart w:id="64" w:name="_Toc441736881"/>
      <w:r>
        <w:rPr>
          <w:color w:val="1F497D" w:themeColor="text2"/>
        </w:rPr>
        <w:t>Feedback from entities</w:t>
      </w:r>
      <w:bookmarkEnd w:id="63"/>
      <w:bookmarkEnd w:id="64"/>
    </w:p>
    <w:p w:rsidR="007C75EC" w:rsidRPr="0006561D" w:rsidRDefault="007C75EC" w:rsidP="007C75EC">
      <w:pPr>
        <w:pStyle w:val="Tekstzwyky"/>
        <w:rPr>
          <w:rFonts w:ascii="Arial" w:hAnsi="Arial" w:cs="Arial"/>
          <w:color w:val="1F497D" w:themeColor="text2"/>
        </w:rPr>
      </w:pPr>
      <w:r>
        <w:rPr>
          <w:rFonts w:ascii="Arial" w:hAnsi="Arial"/>
          <w:color w:val="1F497D" w:themeColor="text2"/>
        </w:rPr>
        <w:t>Feedback on the experiences of entities with respect to the use of CSMs on risk assessment is provided by rail operators and infrastructure managers in annual safety reports that are submitted to the President of the UTK by 30 June every year.</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As regards the application of Regulation No 352/2009, in its guidelines the UTK suggested that the following information should be submitted:</w:t>
      </w:r>
    </w:p>
    <w:p w:rsidR="007C75EC" w:rsidRPr="0006561D" w:rsidRDefault="007C75EC" w:rsidP="007C75EC">
      <w:pPr>
        <w:pStyle w:val="Wypunktowanie"/>
        <w:ind w:left="567"/>
        <w:rPr>
          <w:color w:val="1F497D" w:themeColor="text2"/>
        </w:rPr>
      </w:pPr>
      <w:r>
        <w:rPr>
          <w:color w:val="1F497D" w:themeColor="text2"/>
        </w:rPr>
        <w:t>a short description of the significant changes classified by the entity as having no impact on safety;</w:t>
      </w:r>
    </w:p>
    <w:p w:rsidR="007C75EC" w:rsidRPr="0006561D" w:rsidRDefault="007C75EC" w:rsidP="007C75EC">
      <w:pPr>
        <w:pStyle w:val="Wypunktowanie"/>
        <w:ind w:left="567"/>
        <w:rPr>
          <w:color w:val="1F497D" w:themeColor="text2"/>
        </w:rPr>
      </w:pPr>
      <w:r>
        <w:rPr>
          <w:color w:val="1F497D" w:themeColor="text2"/>
        </w:rPr>
        <w:t>a description of the main changes deemed insignificant;</w:t>
      </w:r>
    </w:p>
    <w:p w:rsidR="007C75EC" w:rsidRPr="0006561D" w:rsidRDefault="007C75EC" w:rsidP="007C75EC">
      <w:pPr>
        <w:pStyle w:val="Wypunktowanie"/>
        <w:ind w:left="567"/>
        <w:rPr>
          <w:color w:val="1F497D" w:themeColor="text2"/>
        </w:rPr>
      </w:pPr>
      <w:r>
        <w:rPr>
          <w:color w:val="1F497D" w:themeColor="text2"/>
        </w:rPr>
        <w:t>a description of the main changes deemed significant, including information on the risk management process implemented regarding the participation of subcontractors in the process, etc.;</w:t>
      </w:r>
    </w:p>
    <w:p w:rsidR="007C75EC" w:rsidRPr="0006561D" w:rsidRDefault="007C75EC" w:rsidP="007C75EC">
      <w:pPr>
        <w:pStyle w:val="Wypunktowanie"/>
        <w:ind w:left="567"/>
        <w:rPr>
          <w:color w:val="1F497D" w:themeColor="text2"/>
        </w:rPr>
      </w:pPr>
      <w:r>
        <w:rPr>
          <w:color w:val="1F497D" w:themeColor="text2"/>
        </w:rPr>
        <w:t>a description of audits carried out by the entity regarding the effectiveness of the risk management process.</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In this context, it should be noted that the entities complied with the above</w:t>
      </w:r>
      <w:r>
        <w:noBreakHyphen/>
      </w:r>
      <w:r>
        <w:rPr>
          <w:rFonts w:ascii="Arial" w:hAnsi="Arial"/>
          <w:color w:val="1F497D" w:themeColor="text2"/>
        </w:rPr>
        <w:t>mentioned guidelines and forwarded the required information that constituted one of the bases for developing the applications referred to in point 1 of this chapter.</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It should be highlighted that changes in the Safety Management System of rail operators are divided into three main categories:</w:t>
      </w:r>
    </w:p>
    <w:p w:rsidR="007C75EC" w:rsidRPr="0006561D" w:rsidRDefault="007C75EC" w:rsidP="0043129E">
      <w:pPr>
        <w:pStyle w:val="Tekstzwyky"/>
        <w:numPr>
          <w:ilvl w:val="0"/>
          <w:numId w:val="31"/>
        </w:numPr>
        <w:ind w:left="567" w:hanging="425"/>
        <w:rPr>
          <w:rFonts w:ascii="Arial" w:hAnsi="Arial" w:cs="Arial"/>
          <w:color w:val="1F497D" w:themeColor="text2"/>
        </w:rPr>
      </w:pPr>
      <w:r>
        <w:rPr>
          <w:rFonts w:ascii="Arial" w:hAnsi="Arial"/>
          <w:color w:val="1F497D" w:themeColor="text2"/>
        </w:rPr>
        <w:t>insignificant changes that do not impact the level of rail safety,</w:t>
      </w:r>
    </w:p>
    <w:p w:rsidR="007C75EC" w:rsidRPr="0006561D" w:rsidRDefault="007C75EC" w:rsidP="0043129E">
      <w:pPr>
        <w:pStyle w:val="Tekstzwyky"/>
        <w:numPr>
          <w:ilvl w:val="0"/>
          <w:numId w:val="31"/>
        </w:numPr>
        <w:ind w:left="567" w:hanging="425"/>
        <w:rPr>
          <w:rFonts w:ascii="Arial" w:hAnsi="Arial" w:cs="Arial"/>
          <w:color w:val="1F497D" w:themeColor="text2"/>
        </w:rPr>
      </w:pPr>
      <w:r>
        <w:rPr>
          <w:rFonts w:ascii="Arial" w:hAnsi="Arial"/>
          <w:color w:val="1F497D" w:themeColor="text2"/>
        </w:rPr>
        <w:t xml:space="preserve">insignificant changes that do impact rail traffic safety, </w:t>
      </w:r>
    </w:p>
    <w:p w:rsidR="007C75EC" w:rsidRPr="0006561D" w:rsidRDefault="007C75EC" w:rsidP="0043129E">
      <w:pPr>
        <w:pStyle w:val="Tekstzwyky"/>
        <w:numPr>
          <w:ilvl w:val="0"/>
          <w:numId w:val="31"/>
        </w:numPr>
        <w:ind w:left="567" w:hanging="425"/>
        <w:rPr>
          <w:rFonts w:ascii="Arial" w:hAnsi="Arial" w:cs="Arial"/>
          <w:color w:val="1F497D" w:themeColor="text2"/>
        </w:rPr>
      </w:pPr>
      <w:r>
        <w:rPr>
          <w:rFonts w:ascii="Arial" w:hAnsi="Arial"/>
          <w:color w:val="1F497D" w:themeColor="text2"/>
        </w:rPr>
        <w:t>significant changes.</w:t>
      </w:r>
    </w:p>
    <w:p w:rsidR="00CE2412" w:rsidRDefault="007C75EC" w:rsidP="007C75EC">
      <w:pPr>
        <w:pStyle w:val="Tekstzwyky"/>
        <w:rPr>
          <w:rFonts w:ascii="Arial" w:hAnsi="Arial" w:cs="Arial"/>
          <w:color w:val="1F497D" w:themeColor="text2"/>
        </w:rPr>
      </w:pPr>
      <w:r>
        <w:rPr>
          <w:rFonts w:ascii="Arial" w:hAnsi="Arial"/>
          <w:color w:val="1F497D" w:themeColor="text2"/>
        </w:rPr>
        <w:t>The information submitted shows that the most frequently discussed changes were related to the modification of safety management system documentation, e.g. as a result of changes to:</w:t>
      </w:r>
    </w:p>
    <w:p w:rsidR="007C75EC" w:rsidRPr="0006561D" w:rsidRDefault="00FD790F" w:rsidP="0043129E">
      <w:pPr>
        <w:pStyle w:val="Tekstzwyky"/>
        <w:numPr>
          <w:ilvl w:val="0"/>
          <w:numId w:val="29"/>
        </w:numPr>
        <w:ind w:left="567" w:hanging="283"/>
        <w:rPr>
          <w:rFonts w:ascii="Arial" w:hAnsi="Arial" w:cs="Arial"/>
          <w:color w:val="1F497D" w:themeColor="text2"/>
        </w:rPr>
      </w:pPr>
      <w:r>
        <w:rPr>
          <w:rFonts w:ascii="Arial" w:hAnsi="Arial"/>
          <w:color w:val="1F497D" w:themeColor="text2"/>
        </w:rPr>
        <w:t>legislation,</w:t>
      </w:r>
    </w:p>
    <w:p w:rsidR="007C75EC" w:rsidRPr="0006561D" w:rsidRDefault="007C75EC" w:rsidP="0043129E">
      <w:pPr>
        <w:pStyle w:val="Tekstzwyky"/>
        <w:numPr>
          <w:ilvl w:val="0"/>
          <w:numId w:val="29"/>
        </w:numPr>
        <w:ind w:left="567" w:hanging="283"/>
        <w:rPr>
          <w:rFonts w:ascii="Arial" w:hAnsi="Arial" w:cs="Arial"/>
          <w:color w:val="1F497D" w:themeColor="text2"/>
        </w:rPr>
      </w:pPr>
      <w:r>
        <w:rPr>
          <w:rFonts w:ascii="Arial" w:hAnsi="Arial"/>
          <w:color w:val="1F497D" w:themeColor="text2"/>
        </w:rPr>
        <w:t>internal instructions,</w:t>
      </w:r>
    </w:p>
    <w:p w:rsidR="007C75EC" w:rsidRPr="0006561D" w:rsidRDefault="007C75EC" w:rsidP="0043129E">
      <w:pPr>
        <w:pStyle w:val="Tekstzwyky"/>
        <w:numPr>
          <w:ilvl w:val="0"/>
          <w:numId w:val="29"/>
        </w:numPr>
        <w:ind w:left="567" w:hanging="283"/>
        <w:rPr>
          <w:rFonts w:ascii="Arial" w:hAnsi="Arial" w:cs="Arial"/>
          <w:color w:val="1F497D" w:themeColor="text2"/>
        </w:rPr>
      </w:pPr>
      <w:r>
        <w:rPr>
          <w:rFonts w:ascii="Arial" w:hAnsi="Arial"/>
          <w:color w:val="1F497D" w:themeColor="text2"/>
        </w:rPr>
        <w:t>organisational changes in an enterprise.</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Most often, these changes were deemed as having no impact on safety, or insignificant.</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lastRenderedPageBreak/>
        <w:t>At the same time, it must be highlighted that changes in the SMS Book, procedures and instructions due to changes to legal acts were often considered as insignificant, but as having an impact on rail traffic safety, which arose primarily from the subject/scope/type of the changes to the legal acts.</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The remaining changes that were deemed significant involved other issues, e.g.:</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commissioning new types of rolling stock,</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changes related to level crossings (removal, construction of new ones, reclassification),</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installation of ETCS Level 1,</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removal of tracks and reconstruction of track systems,</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the participation of subcontractors (of other entities) involved in the risk management process,</w:t>
      </w:r>
    </w:p>
    <w:p w:rsidR="007C75EC" w:rsidRPr="0006561D" w:rsidRDefault="007C75EC" w:rsidP="0043129E">
      <w:pPr>
        <w:pStyle w:val="Tekstzwyky"/>
        <w:numPr>
          <w:ilvl w:val="0"/>
          <w:numId w:val="30"/>
        </w:numPr>
        <w:ind w:left="567" w:hanging="283"/>
        <w:rPr>
          <w:rFonts w:ascii="Arial" w:hAnsi="Arial" w:cs="Arial"/>
          <w:color w:val="1F497D" w:themeColor="text2"/>
        </w:rPr>
      </w:pPr>
      <w:r>
        <w:rPr>
          <w:rFonts w:ascii="Arial" w:hAnsi="Arial"/>
          <w:color w:val="1F497D" w:themeColor="text2"/>
        </w:rPr>
        <w:t>the involvement of assessment bodies employed to carry out a due assessment of the application of the EC Regulation on the CSM for risk evaluation and assessment.</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It should be borne in mind that, depending on how a rail entity interprets legislation, the same changes can be classified into different categories. The greatest inconsistency lies in the assessment of the impact of a change that introduces a new type of rolling stock. The differences arise from the understanding of the term ‘new type’ of rolling stock, i.e. whether this means newly manufactured rolling stock, or rolling stock that is newly introduced into the inventory of an enterprise and, therefore, the classification of the related change.</w:t>
      </w:r>
    </w:p>
    <w:p w:rsidR="007C75EC" w:rsidRPr="0006561D" w:rsidRDefault="007C75EC" w:rsidP="007C75EC">
      <w:pPr>
        <w:pStyle w:val="Tekstzwyky"/>
        <w:rPr>
          <w:rFonts w:ascii="Arial" w:hAnsi="Arial" w:cs="Arial"/>
          <w:color w:val="1F497D" w:themeColor="text2"/>
        </w:rPr>
      </w:pPr>
      <w:r>
        <w:rPr>
          <w:rFonts w:ascii="Arial" w:hAnsi="Arial"/>
          <w:color w:val="1F497D" w:themeColor="text2"/>
        </w:rPr>
        <w:t>Other important information forwarded in the reports includes the fact that, in most cases, rail operators did not involve external entities in their risk management processes. The situation is different in the case of infrastructure managers whose specific role in the rail system requires cooperation with external entities – primarily rail operators or rail project contractors – with respect to risk assessment.</w:t>
      </w:r>
    </w:p>
    <w:p w:rsidR="00C30A77" w:rsidRPr="00F71C97" w:rsidRDefault="00C30A77" w:rsidP="001F40E3">
      <w:pPr>
        <w:pStyle w:val="Heading2"/>
        <w:rPr>
          <w:color w:val="1F497D" w:themeColor="text2"/>
        </w:rPr>
      </w:pPr>
      <w:bookmarkStart w:id="65" w:name="_Toc435539946"/>
      <w:bookmarkStart w:id="66" w:name="_Toc441736882"/>
      <w:r>
        <w:rPr>
          <w:color w:val="1F497D" w:themeColor="text2"/>
        </w:rPr>
        <w:t>Change to national legislation to include CSMs within the scope of risk assessment and evaluation</w:t>
      </w:r>
      <w:bookmarkEnd w:id="65"/>
      <w:bookmarkEnd w:id="66"/>
    </w:p>
    <w:p w:rsidR="00CE2412" w:rsidRDefault="00F71C97" w:rsidP="002121A8">
      <w:pPr>
        <w:pStyle w:val="Tekstzwyky"/>
        <w:rPr>
          <w:rFonts w:ascii="Arial" w:hAnsi="Arial" w:cs="Arial"/>
          <w:color w:val="1F497D" w:themeColor="text2"/>
        </w:rPr>
      </w:pPr>
      <w:r>
        <w:rPr>
          <w:rFonts w:ascii="Arial" w:hAnsi="Arial"/>
          <w:color w:val="1F497D" w:themeColor="text2"/>
        </w:rPr>
        <w:t>In 2014, there were no changes introduced into national legislation aimed at including a common safety method for risk assessment and evaluation. These changes were adopted in 2015 and, therefore, will be described in the 2015 report.</w:t>
      </w:r>
    </w:p>
    <w:p w:rsidR="00FD790F" w:rsidRDefault="00FD790F" w:rsidP="002121A8">
      <w:pPr>
        <w:pStyle w:val="Tekstzwyky"/>
        <w:rPr>
          <w:rFonts w:ascii="Arial" w:hAnsi="Arial" w:cs="Arial"/>
          <w:color w:val="1F497D" w:themeColor="text2"/>
        </w:rPr>
      </w:pPr>
    </w:p>
    <w:p w:rsidR="00F24FBE" w:rsidRPr="00C156EF" w:rsidRDefault="009B1787" w:rsidP="009B1787">
      <w:pPr>
        <w:pStyle w:val="Heading1"/>
        <w:rPr>
          <w:color w:val="1F497D" w:themeColor="text2"/>
        </w:rPr>
      </w:pPr>
      <w:bookmarkStart w:id="67" w:name="_Toc435539947"/>
      <w:bookmarkStart w:id="68" w:name="_Toc441736883"/>
      <w:r>
        <w:rPr>
          <w:noProof/>
          <w:color w:val="1F497D" w:themeColor="text2"/>
        </w:rPr>
        <w:lastRenderedPageBreak/>
        <w:t>Deviations from the ECM certification system</w:t>
      </w:r>
      <w:bookmarkEnd w:id="67"/>
      <w:bookmarkEnd w:id="68"/>
    </w:p>
    <w:p w:rsidR="00C30A77" w:rsidRPr="00C156EF" w:rsidRDefault="00C30A77" w:rsidP="00C30A77">
      <w:pPr>
        <w:pStyle w:val="Tekstzwyky"/>
        <w:rPr>
          <w:rFonts w:ascii="Arial" w:hAnsi="Arial" w:cs="Arial"/>
          <w:color w:val="1F497D" w:themeColor="text2"/>
        </w:rPr>
      </w:pPr>
      <w:r>
        <w:rPr>
          <w:rFonts w:ascii="Arial" w:hAnsi="Arial"/>
          <w:color w:val="1F497D" w:themeColor="text2"/>
        </w:rPr>
        <w:t>Article 14(a)(8) of the Safety Directive provides that Member States may, in specific cases, make a different decision on the method of implementation of responsibilities related to the specification of an entity responsible for maintenance, and its certification, other than provided for in applicable European legislation Deviations of this type should be implemented together with the registration of rail vehicles and during the process of issuing safety certificates and authorisations.</w:t>
      </w:r>
    </w:p>
    <w:p w:rsidR="00C30A77" w:rsidRPr="000F6639" w:rsidRDefault="00C30A77" w:rsidP="00C30A77">
      <w:pPr>
        <w:pStyle w:val="Tekstzwyky"/>
        <w:rPr>
          <w:rFonts w:ascii="Arial" w:hAnsi="Arial" w:cs="Arial"/>
          <w:color w:val="1F497D" w:themeColor="text2"/>
          <w:szCs w:val="18"/>
        </w:rPr>
      </w:pPr>
      <w:r>
        <w:rPr>
          <w:rFonts w:ascii="Arial" w:hAnsi="Arial"/>
          <w:color w:val="1F497D" w:themeColor="text2"/>
        </w:rPr>
        <w:t>In Poland, the aforesaid matter is governed by regulations at national level, i.e. in Article 23(j)(7) of the Rail Transport Act. Pursuant to the provisions of this article, the tasks of the entity in charge of rail vehicle maintenance (ECM) for rail vehicles that:</w:t>
      </w:r>
    </w:p>
    <w:p w:rsidR="00C30A77" w:rsidRPr="00C156EF" w:rsidRDefault="00C30A77" w:rsidP="00C156EF">
      <w:pPr>
        <w:pStyle w:val="Numeracja"/>
        <w:numPr>
          <w:ilvl w:val="0"/>
          <w:numId w:val="13"/>
        </w:numPr>
        <w:ind w:left="709" w:hanging="283"/>
        <w:rPr>
          <w:rFonts w:ascii="Arial" w:hAnsi="Arial" w:cs="Arial"/>
          <w:color w:val="1F497D" w:themeColor="text2"/>
        </w:rPr>
      </w:pPr>
      <w:r>
        <w:rPr>
          <w:rFonts w:ascii="Arial" w:hAnsi="Arial"/>
          <w:color w:val="1F497D" w:themeColor="text2"/>
        </w:rPr>
        <w:t>are registered in a country that is not a Member State of the European Union and maintained in accordance with the regulations applicable in that country,</w:t>
      </w:r>
    </w:p>
    <w:p w:rsidR="00C30A77" w:rsidRPr="00C156EF" w:rsidRDefault="00C30A77" w:rsidP="00C30A77">
      <w:pPr>
        <w:pStyle w:val="Numeracja"/>
        <w:ind w:left="709" w:hanging="283"/>
        <w:rPr>
          <w:rFonts w:ascii="Arial" w:hAnsi="Arial" w:cs="Arial"/>
          <w:color w:val="1F497D" w:themeColor="text2"/>
        </w:rPr>
      </w:pPr>
      <w:r>
        <w:rPr>
          <w:rFonts w:ascii="Arial" w:hAnsi="Arial"/>
          <w:color w:val="1F497D" w:themeColor="text2"/>
        </w:rPr>
        <w:t>are used on railway lines with a track width different from the track width of the main railway network in the Republic of Poland, and for which compliance with the conditions specified in section 2 is ensured by way of international agreements with countries that are not Member States of the European Union,</w:t>
      </w:r>
    </w:p>
    <w:p w:rsidR="00C30A77" w:rsidRPr="00C156EF" w:rsidRDefault="00C30A77" w:rsidP="00C30A77">
      <w:pPr>
        <w:pStyle w:val="Numeracja"/>
        <w:ind w:left="709" w:hanging="283"/>
        <w:rPr>
          <w:rFonts w:ascii="Arial" w:hAnsi="Arial" w:cs="Arial"/>
          <w:color w:val="1F497D" w:themeColor="text2"/>
        </w:rPr>
      </w:pPr>
      <w:r>
        <w:rPr>
          <w:rFonts w:ascii="Arial" w:hAnsi="Arial"/>
          <w:color w:val="1F497D" w:themeColor="text2"/>
        </w:rPr>
        <w:t>are entered into the register of monuments or inventory of museum objects and military rail vehicles and special rail vehicles, the transport of which requires a permit from the President of the Rail Transport Office,</w:t>
      </w:r>
    </w:p>
    <w:p w:rsidR="00C30A77" w:rsidRPr="00C156EF" w:rsidRDefault="00C30A77" w:rsidP="00C30A77">
      <w:pPr>
        <w:pStyle w:val="Tekstzwyky"/>
        <w:rPr>
          <w:rFonts w:ascii="Arial" w:hAnsi="Arial" w:cs="Arial"/>
          <w:color w:val="1F497D" w:themeColor="text2"/>
        </w:rPr>
      </w:pPr>
      <w:r>
        <w:rPr>
          <w:rFonts w:ascii="Arial" w:hAnsi="Arial"/>
          <w:color w:val="1F497D" w:themeColor="text2"/>
        </w:rPr>
        <w:t>are implemented by the rail operator moving these wagons within the territory of the Republic of Poland.</w:t>
      </w:r>
    </w:p>
    <w:p w:rsidR="00C30A77" w:rsidRPr="00C156EF" w:rsidRDefault="00C30A77" w:rsidP="00C30A77">
      <w:pPr>
        <w:pStyle w:val="Tekstzwyky"/>
        <w:rPr>
          <w:rFonts w:ascii="Arial" w:hAnsi="Arial" w:cs="Arial"/>
          <w:color w:val="1F497D" w:themeColor="text2"/>
        </w:rPr>
      </w:pPr>
      <w:r>
        <w:rPr>
          <w:rFonts w:ascii="Arial" w:hAnsi="Arial"/>
          <w:color w:val="1F497D" w:themeColor="text2"/>
        </w:rPr>
        <w:t>Given the above, the Rail Transport Office does not issue exceptions in this regard, because such exceptions apply to the aforesaid categories of wagons pursuant to the same act, and do not require any additional permits.</w:t>
      </w:r>
    </w:p>
    <w:p w:rsidR="004F603E" w:rsidRDefault="004F603E" w:rsidP="00803491">
      <w:pPr>
        <w:pStyle w:val="Tekstzwyky"/>
        <w:rPr>
          <w:rFonts w:ascii="Arial" w:hAnsi="Arial" w:cs="Arial"/>
        </w:rPr>
      </w:pPr>
    </w:p>
    <w:p w:rsidR="001132FF" w:rsidRPr="008F1783" w:rsidRDefault="009B1787" w:rsidP="009B1787">
      <w:pPr>
        <w:pStyle w:val="Heading1"/>
        <w:numPr>
          <w:ilvl w:val="0"/>
          <w:numId w:val="0"/>
        </w:numPr>
        <w:tabs>
          <w:tab w:val="clear" w:pos="567"/>
        </w:tabs>
        <w:jc w:val="left"/>
        <w:rPr>
          <w:color w:val="1F497D" w:themeColor="text2"/>
          <w:sz w:val="40"/>
        </w:rPr>
      </w:pPr>
      <w:bookmarkStart w:id="69" w:name="_Toc435539948"/>
      <w:bookmarkStart w:id="70" w:name="_Toc441736884"/>
      <w:r>
        <w:rPr>
          <w:color w:val="1F497D" w:themeColor="text2"/>
          <w:sz w:val="40"/>
        </w:rPr>
        <w:lastRenderedPageBreak/>
        <w:t>Annex 1: Common safety targets</w:t>
      </w:r>
      <w:bookmarkEnd w:id="69"/>
      <w:bookmarkEnd w:id="70"/>
    </w:p>
    <w:p w:rsidR="00777021" w:rsidRPr="008F1783" w:rsidRDefault="00777021" w:rsidP="00C20189">
      <w:pPr>
        <w:pStyle w:val="Tekstzwyky"/>
        <w:rPr>
          <w:rFonts w:ascii="Arial" w:hAnsi="Arial" w:cs="Arial"/>
          <w:b/>
          <w:color w:val="1F497D" w:themeColor="text2"/>
        </w:rPr>
      </w:pPr>
      <w:r>
        <w:rPr>
          <w:rFonts w:ascii="Arial" w:hAnsi="Arial"/>
          <w:b/>
          <w:color w:val="1F497D" w:themeColor="text2"/>
        </w:rPr>
        <w:t>Table 1. Common safety targets (CSIs)</w:t>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8F1783" w:rsidTr="00AD7C3F">
        <w:trPr>
          <w:trHeight w:val="315"/>
        </w:trPr>
        <w:tc>
          <w:tcPr>
            <w:tcW w:w="412" w:type="pct"/>
            <w:tcBorders>
              <w:top w:val="double" w:sz="4" w:space="0" w:color="auto"/>
              <w:bottom w:val="double" w:sz="4" w:space="0" w:color="auto"/>
            </w:tcBorders>
            <w:shd w:val="clear" w:color="auto" w:fill="BFBFBF" w:themeFill="background1" w:themeFillShade="BF"/>
            <w:hideMark/>
          </w:tcPr>
          <w:p w:rsidR="00110AE7" w:rsidRPr="008F1783" w:rsidRDefault="00110AE7" w:rsidP="009B1787">
            <w:pPr>
              <w:spacing w:before="60" w:after="60" w:line="240" w:lineRule="auto"/>
              <w:jc w:val="center"/>
              <w:rPr>
                <w:b/>
                <w:color w:val="1F497D" w:themeColor="text2"/>
              </w:rPr>
            </w:pPr>
            <w:r>
              <w:rPr>
                <w:b/>
                <w:color w:val="1F497D" w:themeColor="text2"/>
              </w:rPr>
              <w:t>Code</w:t>
            </w:r>
          </w:p>
        </w:tc>
        <w:tc>
          <w:tcPr>
            <w:tcW w:w="2713" w:type="pct"/>
            <w:tcBorders>
              <w:top w:val="double" w:sz="4" w:space="0" w:color="auto"/>
              <w:bottom w:val="double" w:sz="4" w:space="0" w:color="auto"/>
            </w:tcBorders>
            <w:shd w:val="clear" w:color="auto" w:fill="BFBFBF" w:themeFill="background1" w:themeFillShade="BF"/>
            <w:hideMark/>
          </w:tcPr>
          <w:p w:rsidR="00110AE7" w:rsidRPr="008F1783" w:rsidRDefault="00110AE7" w:rsidP="009B1787">
            <w:pPr>
              <w:spacing w:before="60" w:after="60" w:line="240" w:lineRule="auto"/>
              <w:jc w:val="center"/>
              <w:rPr>
                <w:b/>
                <w:color w:val="1F497D" w:themeColor="text2"/>
              </w:rPr>
            </w:pPr>
            <w:r>
              <w:rPr>
                <w:b/>
                <w:color w:val="1F497D" w:themeColor="text2"/>
              </w:rPr>
              <w:t>Description of data</w:t>
            </w:r>
          </w:p>
        </w:tc>
        <w:tc>
          <w:tcPr>
            <w:tcW w:w="1087" w:type="pct"/>
            <w:tcBorders>
              <w:top w:val="double" w:sz="4" w:space="0" w:color="auto"/>
              <w:bottom w:val="double" w:sz="4" w:space="0" w:color="auto"/>
            </w:tcBorders>
            <w:shd w:val="clear" w:color="auto" w:fill="BFBFBF" w:themeFill="background1" w:themeFillShade="BF"/>
            <w:hideMark/>
          </w:tcPr>
          <w:p w:rsidR="00110AE7" w:rsidRPr="008F1783" w:rsidRDefault="00110AE7" w:rsidP="009B1787">
            <w:pPr>
              <w:spacing w:before="60" w:after="60" w:line="240" w:lineRule="auto"/>
              <w:jc w:val="center"/>
              <w:rPr>
                <w:b/>
                <w:color w:val="1F497D" w:themeColor="text2"/>
              </w:rPr>
            </w:pPr>
            <w:r>
              <w:rPr>
                <w:b/>
                <w:color w:val="1F497D" w:themeColor="text2"/>
              </w:rPr>
              <w:t>Format of data</w:t>
            </w:r>
          </w:p>
        </w:tc>
        <w:tc>
          <w:tcPr>
            <w:tcW w:w="788" w:type="pct"/>
            <w:tcBorders>
              <w:top w:val="double" w:sz="4" w:space="0" w:color="auto"/>
              <w:bottom w:val="double" w:sz="4" w:space="0" w:color="auto"/>
            </w:tcBorders>
            <w:shd w:val="clear" w:color="auto" w:fill="BFBFBF" w:themeFill="background1" w:themeFillShade="BF"/>
            <w:hideMark/>
          </w:tcPr>
          <w:p w:rsidR="00110AE7" w:rsidRPr="008F1783" w:rsidRDefault="00110AE7" w:rsidP="009B1787">
            <w:pPr>
              <w:spacing w:before="60" w:after="60" w:line="240" w:lineRule="auto"/>
              <w:jc w:val="center"/>
              <w:rPr>
                <w:b/>
                <w:color w:val="1F497D" w:themeColor="text2"/>
              </w:rPr>
            </w:pPr>
            <w:r>
              <w:rPr>
                <w:b/>
                <w:color w:val="1F497D" w:themeColor="text2"/>
              </w:rPr>
              <w:t>Value</w:t>
            </w:r>
          </w:p>
        </w:tc>
      </w:tr>
      <w:tr w:rsidR="00BA28C6" w:rsidRPr="008F1783"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8F1783" w:rsidRDefault="00AD7C3F" w:rsidP="00AD7C3F">
            <w:pPr>
              <w:spacing w:before="60" w:after="60" w:line="240" w:lineRule="auto"/>
              <w:jc w:val="left"/>
              <w:rPr>
                <w:b/>
                <w:color w:val="1F497D" w:themeColor="text2"/>
              </w:rPr>
            </w:pPr>
            <w:r>
              <w:rPr>
                <w:b/>
                <w:color w:val="1F497D" w:themeColor="text2"/>
              </w:rPr>
              <w:t>1.1. Total number of significant accidents and breakdown by type of accidents</w:t>
            </w:r>
          </w:p>
        </w:tc>
      </w:tr>
      <w:tr w:rsidR="00BA28C6" w:rsidRPr="008F1783" w:rsidTr="00AD7C3F">
        <w:trPr>
          <w:trHeight w:val="70"/>
        </w:trPr>
        <w:tc>
          <w:tcPr>
            <w:tcW w:w="412" w:type="pct"/>
            <w:tcBorders>
              <w:top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N00</w:t>
            </w:r>
          </w:p>
        </w:tc>
        <w:tc>
          <w:tcPr>
            <w:tcW w:w="2713" w:type="pct"/>
            <w:tcBorders>
              <w:top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Total number of accidents</w:t>
            </w:r>
          </w:p>
        </w:tc>
        <w:tc>
          <w:tcPr>
            <w:tcW w:w="1087" w:type="pct"/>
            <w:tcBorders>
              <w:top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E80DA5" w:rsidRDefault="005948F0" w:rsidP="00E80DA5">
            <w:pPr>
              <w:pStyle w:val="DoNotTranslateExternal4"/>
            </w:pPr>
            <w:r>
              <w:t>313</w:t>
            </w:r>
          </w:p>
        </w:tc>
      </w:tr>
      <w:tr w:rsidR="00BA28C6" w:rsidRPr="008F1783" w:rsidTr="00AD7C3F">
        <w:trPr>
          <w:trHeight w:val="70"/>
        </w:trPr>
        <w:tc>
          <w:tcPr>
            <w:tcW w:w="412" w:type="pct"/>
            <w:hideMark/>
          </w:tcPr>
          <w:p w:rsidR="00110AE7" w:rsidRPr="008F1783" w:rsidRDefault="00110AE7" w:rsidP="009B1787">
            <w:pPr>
              <w:spacing w:before="60" w:after="60" w:line="240" w:lineRule="auto"/>
              <w:rPr>
                <w:color w:val="1F497D" w:themeColor="text2"/>
              </w:rPr>
            </w:pPr>
            <w:r>
              <w:rPr>
                <w:color w:val="1F497D" w:themeColor="text2"/>
              </w:rPr>
              <w:t>N01</w:t>
            </w:r>
          </w:p>
        </w:tc>
        <w:tc>
          <w:tcPr>
            <w:tcW w:w="2713" w:type="pct"/>
            <w:hideMark/>
          </w:tcPr>
          <w:p w:rsidR="00110AE7" w:rsidRPr="008F1783" w:rsidRDefault="00110AE7" w:rsidP="009B1787">
            <w:pPr>
              <w:spacing w:before="60" w:after="60" w:line="240" w:lineRule="auto"/>
              <w:rPr>
                <w:color w:val="1F497D" w:themeColor="text2"/>
              </w:rPr>
            </w:pPr>
            <w:r>
              <w:rPr>
                <w:color w:val="1F497D" w:themeColor="text2"/>
              </w:rPr>
              <w:t>Number of collisions of trains, including collisions with obstacles within the clearance gauge</w:t>
            </w:r>
          </w:p>
        </w:tc>
        <w:tc>
          <w:tcPr>
            <w:tcW w:w="1087" w:type="pct"/>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6</w:t>
            </w:r>
          </w:p>
        </w:tc>
      </w:tr>
      <w:tr w:rsidR="00BA28C6" w:rsidRPr="008F1783" w:rsidTr="00AD7C3F">
        <w:trPr>
          <w:trHeight w:val="70"/>
        </w:trPr>
        <w:tc>
          <w:tcPr>
            <w:tcW w:w="412" w:type="pct"/>
            <w:hideMark/>
          </w:tcPr>
          <w:p w:rsidR="00110AE7" w:rsidRPr="008F1783" w:rsidRDefault="00110AE7" w:rsidP="009B1787">
            <w:pPr>
              <w:spacing w:before="60" w:after="60" w:line="240" w:lineRule="auto"/>
              <w:rPr>
                <w:color w:val="1F497D" w:themeColor="text2"/>
              </w:rPr>
            </w:pPr>
            <w:r>
              <w:rPr>
                <w:color w:val="1F497D" w:themeColor="text2"/>
              </w:rPr>
              <w:t>N02</w:t>
            </w:r>
          </w:p>
        </w:tc>
        <w:tc>
          <w:tcPr>
            <w:tcW w:w="2713" w:type="pct"/>
            <w:hideMark/>
          </w:tcPr>
          <w:p w:rsidR="00110AE7" w:rsidRPr="008F1783" w:rsidRDefault="00110AE7" w:rsidP="009B1787">
            <w:pPr>
              <w:spacing w:before="60" w:after="60" w:line="240" w:lineRule="auto"/>
              <w:rPr>
                <w:color w:val="1F497D" w:themeColor="text2"/>
              </w:rPr>
            </w:pPr>
            <w:r>
              <w:rPr>
                <w:color w:val="1F497D" w:themeColor="text2"/>
              </w:rPr>
              <w:t>Number of derailments of trains</w:t>
            </w:r>
          </w:p>
        </w:tc>
        <w:tc>
          <w:tcPr>
            <w:tcW w:w="1087" w:type="pct"/>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13</w:t>
            </w:r>
          </w:p>
        </w:tc>
      </w:tr>
      <w:tr w:rsidR="00BA28C6" w:rsidRPr="008F1783" w:rsidTr="00AD7C3F">
        <w:trPr>
          <w:trHeight w:val="70"/>
        </w:trPr>
        <w:tc>
          <w:tcPr>
            <w:tcW w:w="412" w:type="pct"/>
            <w:hideMark/>
          </w:tcPr>
          <w:p w:rsidR="00110AE7" w:rsidRPr="008F1783" w:rsidRDefault="00110AE7" w:rsidP="009B1787">
            <w:pPr>
              <w:spacing w:before="60" w:after="60" w:line="240" w:lineRule="auto"/>
              <w:rPr>
                <w:color w:val="1F497D" w:themeColor="text2"/>
              </w:rPr>
            </w:pPr>
            <w:r>
              <w:rPr>
                <w:color w:val="1F497D" w:themeColor="text2"/>
              </w:rPr>
              <w:t>N03</w:t>
            </w:r>
          </w:p>
        </w:tc>
        <w:tc>
          <w:tcPr>
            <w:tcW w:w="2713" w:type="pct"/>
            <w:hideMark/>
          </w:tcPr>
          <w:p w:rsidR="00110AE7" w:rsidRPr="008F1783" w:rsidRDefault="00110AE7" w:rsidP="009B1787">
            <w:pPr>
              <w:spacing w:before="60" w:after="60" w:line="240" w:lineRule="auto"/>
              <w:rPr>
                <w:color w:val="1F497D" w:themeColor="text2"/>
              </w:rPr>
            </w:pPr>
            <w:r>
              <w:rPr>
                <w:color w:val="1F497D" w:themeColor="text2"/>
              </w:rPr>
              <w:t>Number of level crossing accidents, including accidents involving pedestrians at level crossings</w:t>
            </w:r>
          </w:p>
        </w:tc>
        <w:tc>
          <w:tcPr>
            <w:tcW w:w="1087" w:type="pct"/>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65</w:t>
            </w:r>
          </w:p>
        </w:tc>
      </w:tr>
      <w:tr w:rsidR="00BA28C6" w:rsidRPr="008F1783" w:rsidTr="00AD7C3F">
        <w:trPr>
          <w:trHeight w:val="70"/>
        </w:trPr>
        <w:tc>
          <w:tcPr>
            <w:tcW w:w="412" w:type="pct"/>
            <w:hideMark/>
          </w:tcPr>
          <w:p w:rsidR="00110AE7" w:rsidRPr="008F1783" w:rsidRDefault="00110AE7" w:rsidP="009B1787">
            <w:pPr>
              <w:spacing w:before="60" w:after="60" w:line="240" w:lineRule="auto"/>
              <w:rPr>
                <w:color w:val="1F497D" w:themeColor="text2"/>
              </w:rPr>
            </w:pPr>
            <w:r>
              <w:rPr>
                <w:color w:val="1F497D" w:themeColor="text2"/>
              </w:rPr>
              <w:t>N04</w:t>
            </w:r>
          </w:p>
        </w:tc>
        <w:tc>
          <w:tcPr>
            <w:tcW w:w="2713" w:type="pct"/>
            <w:hideMark/>
          </w:tcPr>
          <w:p w:rsidR="00110AE7" w:rsidRPr="008F1783" w:rsidRDefault="00110AE7" w:rsidP="009B1787">
            <w:pPr>
              <w:spacing w:before="60" w:after="60" w:line="240" w:lineRule="auto"/>
              <w:rPr>
                <w:color w:val="1F497D" w:themeColor="text2"/>
              </w:rPr>
            </w:pPr>
            <w:r>
              <w:rPr>
                <w:color w:val="1F497D" w:themeColor="text2"/>
              </w:rPr>
              <w:t>Number of accidents to persons caused by rolling stock in motion, with the exception of suicides</w:t>
            </w:r>
          </w:p>
        </w:tc>
        <w:tc>
          <w:tcPr>
            <w:tcW w:w="1087" w:type="pct"/>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ED1B00" w:rsidP="00E80DA5">
            <w:pPr>
              <w:pStyle w:val="DoNotTranslateExternal4"/>
            </w:pPr>
            <w:r>
              <w:t>227</w:t>
            </w:r>
          </w:p>
        </w:tc>
      </w:tr>
      <w:tr w:rsidR="00BA28C6" w:rsidRPr="008F1783" w:rsidTr="00AD7C3F">
        <w:trPr>
          <w:trHeight w:val="70"/>
        </w:trPr>
        <w:tc>
          <w:tcPr>
            <w:tcW w:w="412" w:type="pct"/>
            <w:hideMark/>
          </w:tcPr>
          <w:p w:rsidR="00110AE7" w:rsidRPr="008F1783" w:rsidRDefault="00110AE7" w:rsidP="009B1787">
            <w:pPr>
              <w:spacing w:before="60" w:after="60" w:line="240" w:lineRule="auto"/>
              <w:rPr>
                <w:color w:val="1F497D" w:themeColor="text2"/>
              </w:rPr>
            </w:pPr>
            <w:r>
              <w:rPr>
                <w:color w:val="1F497D" w:themeColor="text2"/>
              </w:rPr>
              <w:t>N05</w:t>
            </w:r>
          </w:p>
        </w:tc>
        <w:tc>
          <w:tcPr>
            <w:tcW w:w="2713" w:type="pct"/>
            <w:hideMark/>
          </w:tcPr>
          <w:p w:rsidR="00110AE7" w:rsidRPr="008F1783" w:rsidRDefault="00110AE7" w:rsidP="009B1787">
            <w:pPr>
              <w:spacing w:before="60" w:after="60" w:line="240" w:lineRule="auto"/>
              <w:rPr>
                <w:color w:val="1F497D" w:themeColor="text2"/>
              </w:rPr>
            </w:pPr>
            <w:r>
              <w:rPr>
                <w:color w:val="1F497D" w:themeColor="text2"/>
              </w:rPr>
              <w:t>Number of fires in rolling stock</w:t>
            </w:r>
          </w:p>
        </w:tc>
        <w:tc>
          <w:tcPr>
            <w:tcW w:w="1087" w:type="pct"/>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0</w:t>
            </w:r>
          </w:p>
        </w:tc>
      </w:tr>
      <w:tr w:rsidR="00BA28C6" w:rsidRPr="008F1783" w:rsidTr="00AD7C3F">
        <w:trPr>
          <w:trHeight w:val="70"/>
        </w:trPr>
        <w:tc>
          <w:tcPr>
            <w:tcW w:w="412" w:type="pct"/>
            <w:tcBorders>
              <w:bottom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N06</w:t>
            </w:r>
          </w:p>
        </w:tc>
        <w:tc>
          <w:tcPr>
            <w:tcW w:w="2713" w:type="pct"/>
            <w:tcBorders>
              <w:bottom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Number of other accidents</w:t>
            </w:r>
          </w:p>
        </w:tc>
        <w:tc>
          <w:tcPr>
            <w:tcW w:w="1087" w:type="pct"/>
            <w:tcBorders>
              <w:bottom w:val="double" w:sz="4" w:space="0" w:color="auto"/>
            </w:tcBorders>
            <w:hideMark/>
          </w:tcPr>
          <w:p w:rsidR="00110AE7" w:rsidRPr="008F1783"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E80DA5" w:rsidRDefault="008F1783" w:rsidP="00E80DA5">
            <w:pPr>
              <w:pStyle w:val="DoNotTranslateExternal4"/>
            </w:pPr>
            <w:r>
              <w:t>2</w:t>
            </w:r>
          </w:p>
        </w:tc>
      </w:tr>
      <w:tr w:rsidR="00BA28C6" w:rsidRPr="00687B62"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687B62" w:rsidRDefault="003C75F7" w:rsidP="003C75F7">
            <w:pPr>
              <w:spacing w:before="60" w:after="60" w:line="240" w:lineRule="auto"/>
              <w:jc w:val="left"/>
              <w:rPr>
                <w:b/>
                <w:color w:val="1F497D" w:themeColor="text2"/>
              </w:rPr>
            </w:pPr>
            <w:r>
              <w:rPr>
                <w:b/>
                <w:color w:val="1F497D" w:themeColor="text2"/>
              </w:rPr>
              <w:t>1.2.1a. Total number of persons seriously injured, by type of accident, divided into the following categories</w:t>
            </w:r>
          </w:p>
        </w:tc>
      </w:tr>
      <w:tr w:rsidR="00BA28C6" w:rsidRPr="00687B62" w:rsidTr="00AD7C3F">
        <w:trPr>
          <w:trHeight w:val="50"/>
        </w:trPr>
        <w:tc>
          <w:tcPr>
            <w:tcW w:w="412"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TS00</w:t>
            </w:r>
          </w:p>
        </w:tc>
        <w:tc>
          <w:tcPr>
            <w:tcW w:w="2713"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E80DA5" w:rsidRDefault="008F1783" w:rsidP="00E80DA5">
            <w:pPr>
              <w:pStyle w:val="DoNotTranslateExternal4"/>
            </w:pPr>
            <w:r>
              <w:t>95</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TS01</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3</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TS02</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TS03</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25</w:t>
            </w:r>
          </w:p>
        </w:tc>
      </w:tr>
      <w:tr w:rsidR="00BA28C6" w:rsidRPr="00687B62" w:rsidTr="00AD7C3F">
        <w:trPr>
          <w:trHeight w:val="91"/>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TS04</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7D3C14" w:rsidP="00E80DA5">
            <w:pPr>
              <w:pStyle w:val="DoNotTranslateExternal4"/>
            </w:pPr>
            <w:r>
              <w:t>67</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TS05</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TS06</w:t>
            </w:r>
          </w:p>
        </w:tc>
        <w:tc>
          <w:tcPr>
            <w:tcW w:w="2713"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E80DA5" w:rsidRDefault="007D3C14" w:rsidP="00E80DA5">
            <w:pPr>
              <w:pStyle w:val="DoNotTranslateExternal4"/>
            </w:pPr>
            <w:r>
              <w:t>0</w:t>
            </w:r>
          </w:p>
        </w:tc>
      </w:tr>
      <w:tr w:rsidR="00BA28C6" w:rsidRPr="00687B62" w:rsidTr="00AD7C3F">
        <w:trPr>
          <w:trHeight w:val="50"/>
        </w:trPr>
        <w:tc>
          <w:tcPr>
            <w:tcW w:w="5000" w:type="pct"/>
            <w:gridSpan w:val="4"/>
            <w:tcBorders>
              <w:top w:val="double" w:sz="4" w:space="0" w:color="auto"/>
              <w:bottom w:val="double" w:sz="4" w:space="0" w:color="auto"/>
            </w:tcBorders>
            <w:shd w:val="clear" w:color="auto" w:fill="D9D9D9" w:themeFill="background1" w:themeFillShade="D9"/>
          </w:tcPr>
          <w:p w:rsidR="00110AE7" w:rsidRPr="00687B62" w:rsidRDefault="003C75F7" w:rsidP="003C75F7">
            <w:pPr>
              <w:spacing w:before="60" w:after="60" w:line="240" w:lineRule="auto"/>
              <w:jc w:val="left"/>
              <w:rPr>
                <w:b/>
                <w:color w:val="1F497D" w:themeColor="text2"/>
              </w:rPr>
            </w:pPr>
            <w:r>
              <w:rPr>
                <w:b/>
                <w:color w:val="1F497D" w:themeColor="text2"/>
              </w:rPr>
              <w:t>1.2.1b. Total number of passengers seriously injured, by type of accident</w:t>
            </w:r>
          </w:p>
        </w:tc>
      </w:tr>
      <w:tr w:rsidR="00BA28C6" w:rsidRPr="00687B62" w:rsidTr="00AD7C3F">
        <w:trPr>
          <w:trHeight w:val="50"/>
        </w:trPr>
        <w:tc>
          <w:tcPr>
            <w:tcW w:w="412"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PS00</w:t>
            </w:r>
          </w:p>
        </w:tc>
        <w:tc>
          <w:tcPr>
            <w:tcW w:w="2713"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E80DA5" w:rsidRDefault="008F1783" w:rsidP="00E80DA5">
            <w:pPr>
              <w:pStyle w:val="DoNotTranslateExternal4"/>
            </w:pPr>
            <w:r>
              <w:t>6</w:t>
            </w:r>
          </w:p>
        </w:tc>
      </w:tr>
      <w:tr w:rsidR="00BA28C6" w:rsidRPr="00687B62" w:rsidTr="00AD7C3F">
        <w:trPr>
          <w:trHeight w:val="148"/>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PS01</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7D3C14"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PS02</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PS03</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PS04</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6</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PS05</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PS06</w:t>
            </w:r>
          </w:p>
        </w:tc>
        <w:tc>
          <w:tcPr>
            <w:tcW w:w="2713"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E80DA5" w:rsidRDefault="00110AE7" w:rsidP="00E80DA5">
            <w:pPr>
              <w:pStyle w:val="DoNotTranslateExternal4"/>
            </w:pPr>
            <w:r>
              <w:t>0</w:t>
            </w:r>
          </w:p>
        </w:tc>
      </w:tr>
      <w:tr w:rsidR="00BA28C6" w:rsidRPr="00687B62" w:rsidTr="003C75F7">
        <w:trPr>
          <w:trHeight w:val="191"/>
        </w:trPr>
        <w:tc>
          <w:tcPr>
            <w:tcW w:w="5000" w:type="pct"/>
            <w:gridSpan w:val="4"/>
            <w:tcBorders>
              <w:top w:val="double" w:sz="4" w:space="0" w:color="auto"/>
              <w:bottom w:val="double" w:sz="4" w:space="0" w:color="auto"/>
            </w:tcBorders>
            <w:shd w:val="clear" w:color="auto" w:fill="D9D9D9" w:themeFill="background1" w:themeFillShade="D9"/>
          </w:tcPr>
          <w:p w:rsidR="00110AE7" w:rsidRPr="00687B62" w:rsidRDefault="003C75F7" w:rsidP="003C75F7">
            <w:pPr>
              <w:spacing w:before="60" w:after="60" w:line="240" w:lineRule="auto"/>
              <w:jc w:val="left"/>
              <w:rPr>
                <w:b/>
                <w:color w:val="1F497D" w:themeColor="text2"/>
              </w:rPr>
            </w:pPr>
            <w:r>
              <w:rPr>
                <w:b/>
                <w:color w:val="1F497D" w:themeColor="text2"/>
              </w:rPr>
              <w:t>1.2.1c. Total number of employees, including the staff of contractors, seriously injured, by type of accident</w:t>
            </w:r>
          </w:p>
        </w:tc>
      </w:tr>
      <w:tr w:rsidR="00BA28C6" w:rsidRPr="00687B62" w:rsidTr="00AD7C3F">
        <w:trPr>
          <w:trHeight w:val="50"/>
        </w:trPr>
        <w:tc>
          <w:tcPr>
            <w:tcW w:w="412"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SS00</w:t>
            </w:r>
          </w:p>
        </w:tc>
        <w:tc>
          <w:tcPr>
            <w:tcW w:w="2713"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E80DA5" w:rsidRDefault="007D3C14" w:rsidP="00E80DA5">
            <w:pPr>
              <w:pStyle w:val="DoNotTranslateExternal4"/>
            </w:pPr>
            <w:r>
              <w:t>4</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SS01</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7D3C14" w:rsidP="00E80DA5">
            <w:pPr>
              <w:pStyle w:val="DoNotTranslateExternal4"/>
            </w:pPr>
            <w:r>
              <w:t>1</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SS02</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bl>
    <w:p w:rsidR="00E80DA5" w:rsidRDefault="00E80DA5">
      <w:r>
        <w:br w:type="page"/>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lastRenderedPageBreak/>
              <w:t>SS03</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1</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SS04</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8F1783" w:rsidP="00E80DA5">
            <w:pPr>
              <w:pStyle w:val="DoNotTranslateExternal4"/>
            </w:pPr>
            <w:r>
              <w:t>2</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SS05</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SS06</w:t>
            </w:r>
          </w:p>
        </w:tc>
        <w:tc>
          <w:tcPr>
            <w:tcW w:w="2713"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E80DA5" w:rsidRDefault="007D3C14" w:rsidP="00E80DA5">
            <w:pPr>
              <w:pStyle w:val="DoNotTranslateExternal4"/>
            </w:pPr>
            <w:r>
              <w:t>0</w:t>
            </w:r>
          </w:p>
        </w:tc>
      </w:tr>
      <w:tr w:rsidR="00BA28C6" w:rsidRPr="00687B62" w:rsidTr="003C75F7">
        <w:trPr>
          <w:trHeight w:val="193"/>
        </w:trPr>
        <w:tc>
          <w:tcPr>
            <w:tcW w:w="5000" w:type="pct"/>
            <w:gridSpan w:val="4"/>
            <w:tcBorders>
              <w:top w:val="double" w:sz="4" w:space="0" w:color="auto"/>
              <w:bottom w:val="double" w:sz="4" w:space="0" w:color="auto"/>
            </w:tcBorders>
            <w:shd w:val="clear" w:color="auto" w:fill="D9D9D9" w:themeFill="background1" w:themeFillShade="D9"/>
          </w:tcPr>
          <w:p w:rsidR="00110AE7" w:rsidRPr="00687B62" w:rsidRDefault="003C75F7" w:rsidP="003C75F7">
            <w:pPr>
              <w:spacing w:before="60" w:after="60" w:line="240" w:lineRule="auto"/>
              <w:jc w:val="left"/>
              <w:rPr>
                <w:b/>
                <w:color w:val="1F497D" w:themeColor="text2"/>
              </w:rPr>
            </w:pPr>
            <w:r>
              <w:rPr>
                <w:b/>
                <w:color w:val="1F497D" w:themeColor="text2"/>
              </w:rPr>
              <w:t>1.2.1d. Total number of level crossing users seriously injured, by type of accident</w:t>
            </w:r>
          </w:p>
        </w:tc>
      </w:tr>
      <w:tr w:rsidR="00BA28C6" w:rsidRPr="00687B62" w:rsidTr="00AD7C3F">
        <w:trPr>
          <w:trHeight w:val="50"/>
        </w:trPr>
        <w:tc>
          <w:tcPr>
            <w:tcW w:w="412"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LS00</w:t>
            </w:r>
          </w:p>
        </w:tc>
        <w:tc>
          <w:tcPr>
            <w:tcW w:w="2713"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E80DA5" w:rsidRDefault="00687B62" w:rsidP="00E80DA5">
            <w:pPr>
              <w:pStyle w:val="DoNotTranslateExternal4"/>
            </w:pPr>
            <w:r>
              <w:t>24</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LS01</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LS02</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LS03</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687B62" w:rsidP="00E80DA5">
            <w:pPr>
              <w:pStyle w:val="DoNotTranslateExternal4"/>
            </w:pPr>
            <w:r>
              <w:t>24</w:t>
            </w:r>
          </w:p>
        </w:tc>
      </w:tr>
      <w:tr w:rsidR="00BA28C6" w:rsidRPr="00687B62" w:rsidTr="00AD7C3F">
        <w:trPr>
          <w:trHeight w:val="54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LS04</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hideMark/>
          </w:tcPr>
          <w:p w:rsidR="00110AE7" w:rsidRPr="00687B62" w:rsidRDefault="00110AE7" w:rsidP="009B1787">
            <w:pPr>
              <w:spacing w:before="60" w:after="60" w:line="240" w:lineRule="auto"/>
              <w:rPr>
                <w:color w:val="1F497D" w:themeColor="text2"/>
              </w:rPr>
            </w:pPr>
            <w:r>
              <w:rPr>
                <w:color w:val="1F497D" w:themeColor="text2"/>
              </w:rPr>
              <w:t>LS05</w:t>
            </w:r>
          </w:p>
        </w:tc>
        <w:tc>
          <w:tcPr>
            <w:tcW w:w="2713" w:type="pct"/>
            <w:hideMark/>
          </w:tcPr>
          <w:p w:rsidR="00110AE7" w:rsidRPr="00687B62"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E80DA5" w:rsidRDefault="00110AE7" w:rsidP="00E80DA5">
            <w:pPr>
              <w:pStyle w:val="DoNotTranslateExternal4"/>
            </w:pPr>
            <w:r>
              <w:t>0</w:t>
            </w:r>
          </w:p>
        </w:tc>
      </w:tr>
      <w:tr w:rsidR="00BA28C6" w:rsidRPr="00687B62" w:rsidTr="00AD7C3F">
        <w:trPr>
          <w:trHeight w:val="70"/>
        </w:trPr>
        <w:tc>
          <w:tcPr>
            <w:tcW w:w="412"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LS06</w:t>
            </w:r>
          </w:p>
        </w:tc>
        <w:tc>
          <w:tcPr>
            <w:tcW w:w="2713"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687B62"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E80DA5" w:rsidRDefault="00110AE7" w:rsidP="00E80DA5">
            <w:pPr>
              <w:pStyle w:val="DoNotTranslateExternal4"/>
            </w:pPr>
            <w:r>
              <w:t>0</w:t>
            </w:r>
          </w:p>
        </w:tc>
      </w:tr>
      <w:tr w:rsidR="00BA28C6" w:rsidRPr="00311F9E" w:rsidTr="003C75F7">
        <w:trPr>
          <w:trHeight w:val="228"/>
        </w:trPr>
        <w:tc>
          <w:tcPr>
            <w:tcW w:w="5000" w:type="pct"/>
            <w:gridSpan w:val="4"/>
            <w:tcBorders>
              <w:top w:val="double" w:sz="4" w:space="0" w:color="auto"/>
              <w:bottom w:val="double" w:sz="4" w:space="0" w:color="auto"/>
            </w:tcBorders>
            <w:shd w:val="clear" w:color="auto" w:fill="D9D9D9" w:themeFill="background1" w:themeFillShade="D9"/>
          </w:tcPr>
          <w:p w:rsidR="00110AE7" w:rsidRPr="00311F9E" w:rsidRDefault="003C75F7" w:rsidP="003C75F7">
            <w:pPr>
              <w:spacing w:before="60" w:after="60" w:line="240" w:lineRule="auto"/>
              <w:jc w:val="left"/>
              <w:rPr>
                <w:b/>
                <w:color w:val="1F497D" w:themeColor="text2"/>
              </w:rPr>
            </w:pPr>
            <w:r>
              <w:rPr>
                <w:b/>
                <w:color w:val="1F497D" w:themeColor="text2"/>
              </w:rPr>
              <w:t>1.2.1e. Total number of unauthorised persons on railway premises seriously injured, by type of accident</w:t>
            </w:r>
          </w:p>
        </w:tc>
      </w:tr>
      <w:tr w:rsidR="00BA28C6" w:rsidRPr="00311F9E" w:rsidTr="00AD7C3F">
        <w:trPr>
          <w:trHeight w:val="50"/>
        </w:trPr>
        <w:tc>
          <w:tcPr>
            <w:tcW w:w="412" w:type="pct"/>
            <w:tcBorders>
              <w:top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US00</w:t>
            </w:r>
          </w:p>
        </w:tc>
        <w:tc>
          <w:tcPr>
            <w:tcW w:w="2713" w:type="pct"/>
            <w:tcBorders>
              <w:top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0F24AD" w:rsidRDefault="007D3C14" w:rsidP="000F24AD">
            <w:pPr>
              <w:pStyle w:val="DoNotTranslateExternal4"/>
            </w:pPr>
            <w:r>
              <w:t>57</w:t>
            </w:r>
          </w:p>
        </w:tc>
      </w:tr>
      <w:tr w:rsidR="00BA28C6" w:rsidRPr="00311F9E" w:rsidTr="00AD7C3F">
        <w:trPr>
          <w:trHeight w:val="70"/>
        </w:trPr>
        <w:tc>
          <w:tcPr>
            <w:tcW w:w="412" w:type="pct"/>
            <w:hideMark/>
          </w:tcPr>
          <w:p w:rsidR="00110AE7" w:rsidRPr="00311F9E" w:rsidRDefault="00110AE7" w:rsidP="009B1787">
            <w:pPr>
              <w:spacing w:before="60" w:after="60" w:line="240" w:lineRule="auto"/>
              <w:rPr>
                <w:color w:val="1F497D" w:themeColor="text2"/>
              </w:rPr>
            </w:pPr>
            <w:r>
              <w:rPr>
                <w:color w:val="1F497D" w:themeColor="text2"/>
              </w:rPr>
              <w:t>US01</w:t>
            </w:r>
          </w:p>
        </w:tc>
        <w:tc>
          <w:tcPr>
            <w:tcW w:w="2713" w:type="pct"/>
            <w:hideMark/>
          </w:tcPr>
          <w:p w:rsidR="00110AE7" w:rsidRPr="00311F9E"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311F9E" w:rsidP="000F24AD">
            <w:pPr>
              <w:pStyle w:val="DoNotTranslateExternal4"/>
            </w:pPr>
            <w:r>
              <w:t>2</w:t>
            </w:r>
          </w:p>
        </w:tc>
      </w:tr>
      <w:tr w:rsidR="00BA28C6" w:rsidRPr="00311F9E" w:rsidTr="00AD7C3F">
        <w:trPr>
          <w:trHeight w:val="70"/>
        </w:trPr>
        <w:tc>
          <w:tcPr>
            <w:tcW w:w="412" w:type="pct"/>
            <w:hideMark/>
          </w:tcPr>
          <w:p w:rsidR="00110AE7" w:rsidRPr="00311F9E" w:rsidRDefault="00110AE7" w:rsidP="009B1787">
            <w:pPr>
              <w:spacing w:before="60" w:after="60" w:line="240" w:lineRule="auto"/>
              <w:rPr>
                <w:color w:val="1F497D" w:themeColor="text2"/>
              </w:rPr>
            </w:pPr>
            <w:r>
              <w:rPr>
                <w:color w:val="1F497D" w:themeColor="text2"/>
              </w:rPr>
              <w:t>US02</w:t>
            </w:r>
          </w:p>
        </w:tc>
        <w:tc>
          <w:tcPr>
            <w:tcW w:w="2713" w:type="pct"/>
            <w:hideMark/>
          </w:tcPr>
          <w:p w:rsidR="00110AE7" w:rsidRPr="00311F9E"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311F9E" w:rsidTr="00AD7C3F">
        <w:trPr>
          <w:trHeight w:val="70"/>
        </w:trPr>
        <w:tc>
          <w:tcPr>
            <w:tcW w:w="412" w:type="pct"/>
            <w:hideMark/>
          </w:tcPr>
          <w:p w:rsidR="00110AE7" w:rsidRPr="00311F9E" w:rsidRDefault="00110AE7" w:rsidP="009B1787">
            <w:pPr>
              <w:spacing w:before="60" w:after="60" w:line="240" w:lineRule="auto"/>
              <w:rPr>
                <w:color w:val="1F497D" w:themeColor="text2"/>
              </w:rPr>
            </w:pPr>
            <w:r>
              <w:rPr>
                <w:color w:val="1F497D" w:themeColor="text2"/>
              </w:rPr>
              <w:t>US03</w:t>
            </w:r>
          </w:p>
        </w:tc>
        <w:tc>
          <w:tcPr>
            <w:tcW w:w="2713" w:type="pct"/>
            <w:hideMark/>
          </w:tcPr>
          <w:p w:rsidR="00110AE7" w:rsidRPr="00311F9E"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311F9E" w:rsidTr="00AD7C3F">
        <w:trPr>
          <w:trHeight w:val="70"/>
        </w:trPr>
        <w:tc>
          <w:tcPr>
            <w:tcW w:w="412" w:type="pct"/>
            <w:hideMark/>
          </w:tcPr>
          <w:p w:rsidR="00110AE7" w:rsidRPr="00311F9E" w:rsidRDefault="00110AE7" w:rsidP="009B1787">
            <w:pPr>
              <w:spacing w:before="60" w:after="60" w:line="240" w:lineRule="auto"/>
              <w:rPr>
                <w:color w:val="1F497D" w:themeColor="text2"/>
              </w:rPr>
            </w:pPr>
            <w:r>
              <w:rPr>
                <w:color w:val="1F497D" w:themeColor="text2"/>
              </w:rPr>
              <w:t>US04</w:t>
            </w:r>
          </w:p>
        </w:tc>
        <w:tc>
          <w:tcPr>
            <w:tcW w:w="2713" w:type="pct"/>
            <w:hideMark/>
          </w:tcPr>
          <w:p w:rsidR="00110AE7" w:rsidRPr="00311F9E"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7D3C14" w:rsidP="000F24AD">
            <w:pPr>
              <w:pStyle w:val="DoNotTranslateExternal4"/>
            </w:pPr>
            <w:r>
              <w:t>55</w:t>
            </w:r>
          </w:p>
        </w:tc>
      </w:tr>
      <w:tr w:rsidR="00BA28C6" w:rsidRPr="00311F9E" w:rsidTr="00AD7C3F">
        <w:trPr>
          <w:trHeight w:val="70"/>
        </w:trPr>
        <w:tc>
          <w:tcPr>
            <w:tcW w:w="412" w:type="pct"/>
            <w:hideMark/>
          </w:tcPr>
          <w:p w:rsidR="00110AE7" w:rsidRPr="00311F9E" w:rsidRDefault="00110AE7" w:rsidP="009B1787">
            <w:pPr>
              <w:spacing w:before="60" w:after="60" w:line="240" w:lineRule="auto"/>
              <w:rPr>
                <w:color w:val="1F497D" w:themeColor="text2"/>
              </w:rPr>
            </w:pPr>
            <w:r>
              <w:rPr>
                <w:color w:val="1F497D" w:themeColor="text2"/>
              </w:rPr>
              <w:t>US05</w:t>
            </w:r>
          </w:p>
        </w:tc>
        <w:tc>
          <w:tcPr>
            <w:tcW w:w="2713" w:type="pct"/>
            <w:hideMark/>
          </w:tcPr>
          <w:p w:rsidR="00110AE7" w:rsidRPr="00311F9E"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311F9E" w:rsidTr="00AD7C3F">
        <w:trPr>
          <w:trHeight w:val="70"/>
        </w:trPr>
        <w:tc>
          <w:tcPr>
            <w:tcW w:w="412" w:type="pct"/>
            <w:tcBorders>
              <w:bottom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US06</w:t>
            </w:r>
          </w:p>
        </w:tc>
        <w:tc>
          <w:tcPr>
            <w:tcW w:w="2713" w:type="pct"/>
            <w:tcBorders>
              <w:bottom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311F9E"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0F24AD" w:rsidRDefault="00110AE7" w:rsidP="000F24AD">
            <w:pPr>
              <w:pStyle w:val="DoNotTranslateExternal4"/>
            </w:pPr>
            <w:r>
              <w:t>0</w:t>
            </w:r>
          </w:p>
        </w:tc>
      </w:tr>
      <w:tr w:rsidR="00BA28C6" w:rsidRPr="00576B90"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576B90" w:rsidRDefault="003C75F7" w:rsidP="003C75F7">
            <w:pPr>
              <w:spacing w:before="60" w:after="60" w:line="240" w:lineRule="auto"/>
              <w:jc w:val="left"/>
              <w:rPr>
                <w:b/>
                <w:color w:val="1F497D" w:themeColor="text2"/>
              </w:rPr>
            </w:pPr>
            <w:r>
              <w:rPr>
                <w:b/>
                <w:color w:val="1F497D" w:themeColor="text2"/>
              </w:rPr>
              <w:t>1.2.1f. Total number of other persons seriously injured, by type of accident</w:t>
            </w:r>
          </w:p>
        </w:tc>
      </w:tr>
      <w:tr w:rsidR="00BA28C6" w:rsidRPr="00576B90" w:rsidTr="00AD7C3F">
        <w:trPr>
          <w:trHeight w:val="70"/>
        </w:trPr>
        <w:tc>
          <w:tcPr>
            <w:tcW w:w="412" w:type="pct"/>
            <w:tcBorders>
              <w:top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OS00</w:t>
            </w:r>
          </w:p>
        </w:tc>
        <w:tc>
          <w:tcPr>
            <w:tcW w:w="2713" w:type="pct"/>
            <w:tcBorders>
              <w:top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0F24AD" w:rsidRDefault="00576B90" w:rsidP="000F24AD">
            <w:pPr>
              <w:pStyle w:val="DoNotTranslateExternal4"/>
            </w:pPr>
            <w:r>
              <w:t>4</w:t>
            </w:r>
          </w:p>
        </w:tc>
      </w:tr>
      <w:tr w:rsidR="00BA28C6" w:rsidRPr="00576B90" w:rsidTr="00AD7C3F">
        <w:trPr>
          <w:trHeight w:val="540"/>
        </w:trPr>
        <w:tc>
          <w:tcPr>
            <w:tcW w:w="412" w:type="pct"/>
            <w:hideMark/>
          </w:tcPr>
          <w:p w:rsidR="00110AE7" w:rsidRPr="00576B90" w:rsidRDefault="00110AE7" w:rsidP="009B1787">
            <w:pPr>
              <w:spacing w:before="60" w:after="60" w:line="240" w:lineRule="auto"/>
              <w:rPr>
                <w:color w:val="1F497D" w:themeColor="text2"/>
              </w:rPr>
            </w:pPr>
            <w:r>
              <w:rPr>
                <w:color w:val="1F497D" w:themeColor="text2"/>
              </w:rPr>
              <w:t>OS01</w:t>
            </w:r>
          </w:p>
        </w:tc>
        <w:tc>
          <w:tcPr>
            <w:tcW w:w="2713" w:type="pct"/>
            <w:hideMark/>
          </w:tcPr>
          <w:p w:rsidR="00110AE7" w:rsidRPr="00576B90"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576B90" w:rsidTr="00AD7C3F">
        <w:trPr>
          <w:trHeight w:val="70"/>
        </w:trPr>
        <w:tc>
          <w:tcPr>
            <w:tcW w:w="412" w:type="pct"/>
            <w:hideMark/>
          </w:tcPr>
          <w:p w:rsidR="00110AE7" w:rsidRPr="00576B90" w:rsidRDefault="00110AE7" w:rsidP="009B1787">
            <w:pPr>
              <w:spacing w:before="60" w:after="60" w:line="240" w:lineRule="auto"/>
              <w:rPr>
                <w:color w:val="1F497D" w:themeColor="text2"/>
              </w:rPr>
            </w:pPr>
            <w:r>
              <w:rPr>
                <w:color w:val="1F497D" w:themeColor="text2"/>
              </w:rPr>
              <w:t>OS02</w:t>
            </w:r>
          </w:p>
        </w:tc>
        <w:tc>
          <w:tcPr>
            <w:tcW w:w="2713" w:type="pct"/>
            <w:hideMark/>
          </w:tcPr>
          <w:p w:rsidR="00110AE7" w:rsidRPr="00576B90"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576B90" w:rsidTr="00AD7C3F">
        <w:trPr>
          <w:trHeight w:val="540"/>
        </w:trPr>
        <w:tc>
          <w:tcPr>
            <w:tcW w:w="412" w:type="pct"/>
            <w:hideMark/>
          </w:tcPr>
          <w:p w:rsidR="00110AE7" w:rsidRPr="00576B90" w:rsidRDefault="00110AE7" w:rsidP="009B1787">
            <w:pPr>
              <w:spacing w:before="60" w:after="60" w:line="240" w:lineRule="auto"/>
              <w:rPr>
                <w:color w:val="1F497D" w:themeColor="text2"/>
              </w:rPr>
            </w:pPr>
            <w:r>
              <w:rPr>
                <w:color w:val="1F497D" w:themeColor="text2"/>
              </w:rPr>
              <w:t>OS03</w:t>
            </w:r>
          </w:p>
        </w:tc>
        <w:tc>
          <w:tcPr>
            <w:tcW w:w="2713" w:type="pct"/>
            <w:hideMark/>
          </w:tcPr>
          <w:p w:rsidR="00110AE7" w:rsidRPr="00576B90"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576B90" w:rsidTr="00AD7C3F">
        <w:trPr>
          <w:trHeight w:val="540"/>
        </w:trPr>
        <w:tc>
          <w:tcPr>
            <w:tcW w:w="412" w:type="pct"/>
            <w:hideMark/>
          </w:tcPr>
          <w:p w:rsidR="00110AE7" w:rsidRPr="00576B90" w:rsidRDefault="00110AE7" w:rsidP="009B1787">
            <w:pPr>
              <w:spacing w:before="60" w:after="60" w:line="240" w:lineRule="auto"/>
              <w:rPr>
                <w:color w:val="1F497D" w:themeColor="text2"/>
              </w:rPr>
            </w:pPr>
            <w:r>
              <w:rPr>
                <w:color w:val="1F497D" w:themeColor="text2"/>
              </w:rPr>
              <w:t>OS04</w:t>
            </w:r>
          </w:p>
        </w:tc>
        <w:tc>
          <w:tcPr>
            <w:tcW w:w="2713" w:type="pct"/>
            <w:hideMark/>
          </w:tcPr>
          <w:p w:rsidR="00110AE7" w:rsidRPr="00576B90"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311F9E" w:rsidP="000F24AD">
            <w:pPr>
              <w:pStyle w:val="DoNotTranslateExternal4"/>
            </w:pPr>
            <w:r>
              <w:t>4</w:t>
            </w:r>
          </w:p>
        </w:tc>
      </w:tr>
      <w:tr w:rsidR="00BA28C6" w:rsidRPr="00576B90" w:rsidTr="00AD7C3F">
        <w:trPr>
          <w:trHeight w:val="70"/>
        </w:trPr>
        <w:tc>
          <w:tcPr>
            <w:tcW w:w="412" w:type="pct"/>
            <w:hideMark/>
          </w:tcPr>
          <w:p w:rsidR="00110AE7" w:rsidRPr="00576B90" w:rsidRDefault="00110AE7" w:rsidP="009B1787">
            <w:pPr>
              <w:spacing w:before="60" w:after="60" w:line="240" w:lineRule="auto"/>
              <w:rPr>
                <w:color w:val="1F497D" w:themeColor="text2"/>
              </w:rPr>
            </w:pPr>
            <w:r>
              <w:rPr>
                <w:color w:val="1F497D" w:themeColor="text2"/>
              </w:rPr>
              <w:t>OS05</w:t>
            </w:r>
          </w:p>
        </w:tc>
        <w:tc>
          <w:tcPr>
            <w:tcW w:w="2713" w:type="pct"/>
            <w:hideMark/>
          </w:tcPr>
          <w:p w:rsidR="00110AE7" w:rsidRPr="00576B90"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0</w:t>
            </w:r>
          </w:p>
        </w:tc>
      </w:tr>
      <w:tr w:rsidR="00BA28C6" w:rsidRPr="00576B90" w:rsidTr="00AD7C3F">
        <w:trPr>
          <w:trHeight w:val="70"/>
        </w:trPr>
        <w:tc>
          <w:tcPr>
            <w:tcW w:w="412" w:type="pct"/>
            <w:tcBorders>
              <w:bottom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OS06</w:t>
            </w:r>
          </w:p>
        </w:tc>
        <w:tc>
          <w:tcPr>
            <w:tcW w:w="2713" w:type="pct"/>
            <w:tcBorders>
              <w:bottom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576B90"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0F24AD" w:rsidRDefault="00110AE7" w:rsidP="000F24AD">
            <w:pPr>
              <w:pStyle w:val="DoNotTranslateExternal4"/>
            </w:pPr>
            <w:r>
              <w:t>0</w:t>
            </w:r>
          </w:p>
        </w:tc>
      </w:tr>
      <w:tr w:rsidR="00BA28C6" w:rsidRPr="00B679F3" w:rsidTr="00AD7C3F">
        <w:trPr>
          <w:trHeight w:val="50"/>
        </w:trPr>
        <w:tc>
          <w:tcPr>
            <w:tcW w:w="5000" w:type="pct"/>
            <w:gridSpan w:val="4"/>
            <w:tcBorders>
              <w:top w:val="double" w:sz="4" w:space="0" w:color="auto"/>
              <w:bottom w:val="double" w:sz="4" w:space="0" w:color="auto"/>
            </w:tcBorders>
            <w:shd w:val="clear" w:color="auto" w:fill="D9D9D9" w:themeFill="background1" w:themeFillShade="D9"/>
          </w:tcPr>
          <w:p w:rsidR="00110AE7" w:rsidRPr="00B679F3" w:rsidRDefault="00110AE7" w:rsidP="003C75F7">
            <w:pPr>
              <w:spacing w:before="60" w:after="60" w:line="240" w:lineRule="auto"/>
              <w:jc w:val="left"/>
              <w:rPr>
                <w:b/>
                <w:color w:val="1F497D" w:themeColor="text2"/>
              </w:rPr>
            </w:pPr>
            <w:r>
              <w:rPr>
                <w:b/>
                <w:color w:val="1F497D" w:themeColor="text2"/>
              </w:rPr>
              <w:t>1.2.2a. Total number of persons killed, by type of accident, divided into the following categories</w:t>
            </w:r>
          </w:p>
        </w:tc>
      </w:tr>
      <w:tr w:rsidR="00BA28C6" w:rsidRPr="00B679F3" w:rsidTr="00AD7C3F">
        <w:trPr>
          <w:trHeight w:val="50"/>
        </w:trPr>
        <w:tc>
          <w:tcPr>
            <w:tcW w:w="412" w:type="pct"/>
            <w:tcBorders>
              <w:top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TK00</w:t>
            </w:r>
          </w:p>
        </w:tc>
        <w:tc>
          <w:tcPr>
            <w:tcW w:w="2713" w:type="pct"/>
            <w:tcBorders>
              <w:top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0F24AD" w:rsidRDefault="00B679F3" w:rsidP="000F24AD">
            <w:pPr>
              <w:pStyle w:val="DoNotTranslateExternal4"/>
            </w:pPr>
            <w:r>
              <w:t>206</w:t>
            </w:r>
          </w:p>
        </w:tc>
      </w:tr>
      <w:tr w:rsidR="00BA28C6" w:rsidRPr="00B679F3" w:rsidTr="00AD7C3F">
        <w:trPr>
          <w:trHeight w:val="70"/>
        </w:trPr>
        <w:tc>
          <w:tcPr>
            <w:tcW w:w="412" w:type="pct"/>
            <w:hideMark/>
          </w:tcPr>
          <w:p w:rsidR="00110AE7" w:rsidRPr="00B679F3" w:rsidRDefault="00110AE7" w:rsidP="009B1787">
            <w:pPr>
              <w:spacing w:before="60" w:after="60" w:line="240" w:lineRule="auto"/>
              <w:rPr>
                <w:color w:val="1F497D" w:themeColor="text2"/>
              </w:rPr>
            </w:pPr>
            <w:r>
              <w:rPr>
                <w:color w:val="1F497D" w:themeColor="text2"/>
              </w:rPr>
              <w:t>TK01</w:t>
            </w:r>
          </w:p>
        </w:tc>
        <w:tc>
          <w:tcPr>
            <w:tcW w:w="2713" w:type="pct"/>
            <w:hideMark/>
          </w:tcPr>
          <w:p w:rsidR="00110AE7" w:rsidRPr="00B679F3"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0F24AD" w:rsidRDefault="00110AE7" w:rsidP="000F24AD">
            <w:pPr>
              <w:pStyle w:val="DoNotTranslateExternal4"/>
            </w:pPr>
            <w:r>
              <w:t>1</w:t>
            </w:r>
          </w:p>
        </w:tc>
      </w:tr>
    </w:tbl>
    <w:p w:rsidR="00FA13C5" w:rsidRDefault="00FA13C5">
      <w:r>
        <w:br w:type="page"/>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B679F3" w:rsidTr="00AD7C3F">
        <w:trPr>
          <w:trHeight w:val="70"/>
        </w:trPr>
        <w:tc>
          <w:tcPr>
            <w:tcW w:w="412" w:type="pct"/>
            <w:hideMark/>
          </w:tcPr>
          <w:p w:rsidR="00110AE7" w:rsidRPr="00B679F3" w:rsidRDefault="00110AE7" w:rsidP="009B1787">
            <w:pPr>
              <w:spacing w:before="60" w:after="60" w:line="240" w:lineRule="auto"/>
              <w:rPr>
                <w:color w:val="1F497D" w:themeColor="text2"/>
              </w:rPr>
            </w:pPr>
            <w:r>
              <w:rPr>
                <w:color w:val="1F497D" w:themeColor="text2"/>
              </w:rPr>
              <w:lastRenderedPageBreak/>
              <w:t>TK02</w:t>
            </w:r>
          </w:p>
        </w:tc>
        <w:tc>
          <w:tcPr>
            <w:tcW w:w="2713" w:type="pct"/>
            <w:hideMark/>
          </w:tcPr>
          <w:p w:rsidR="00110AE7" w:rsidRPr="00B679F3"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679F3" w:rsidRDefault="00110AE7" w:rsidP="00FD790F">
            <w:pPr>
              <w:pStyle w:val="DoNotTranslateExternal4"/>
            </w:pPr>
            <w:r>
              <w:t>0</w:t>
            </w:r>
          </w:p>
        </w:tc>
      </w:tr>
      <w:tr w:rsidR="00BA28C6" w:rsidRPr="00B679F3" w:rsidTr="00AD7C3F">
        <w:trPr>
          <w:trHeight w:val="70"/>
        </w:trPr>
        <w:tc>
          <w:tcPr>
            <w:tcW w:w="412" w:type="pct"/>
            <w:hideMark/>
          </w:tcPr>
          <w:p w:rsidR="00110AE7" w:rsidRPr="00B679F3" w:rsidRDefault="00110AE7" w:rsidP="009B1787">
            <w:pPr>
              <w:spacing w:before="60" w:after="60" w:line="240" w:lineRule="auto"/>
              <w:rPr>
                <w:color w:val="1F497D" w:themeColor="text2"/>
              </w:rPr>
            </w:pPr>
            <w:r>
              <w:rPr>
                <w:color w:val="1F497D" w:themeColor="text2"/>
              </w:rPr>
              <w:t>TK03</w:t>
            </w:r>
          </w:p>
        </w:tc>
        <w:tc>
          <w:tcPr>
            <w:tcW w:w="2713" w:type="pct"/>
            <w:hideMark/>
          </w:tcPr>
          <w:p w:rsidR="00110AE7" w:rsidRPr="00B679F3"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679F3" w:rsidRDefault="00B679F3" w:rsidP="00FD790F">
            <w:pPr>
              <w:pStyle w:val="DoNotTranslateExternal4"/>
            </w:pPr>
            <w:r>
              <w:t>43</w:t>
            </w:r>
          </w:p>
        </w:tc>
      </w:tr>
      <w:tr w:rsidR="00BA28C6" w:rsidRPr="00B679F3" w:rsidTr="00AD7C3F">
        <w:trPr>
          <w:trHeight w:val="70"/>
        </w:trPr>
        <w:tc>
          <w:tcPr>
            <w:tcW w:w="412" w:type="pct"/>
            <w:hideMark/>
          </w:tcPr>
          <w:p w:rsidR="00110AE7" w:rsidRPr="00B679F3" w:rsidRDefault="00110AE7" w:rsidP="009B1787">
            <w:pPr>
              <w:spacing w:before="60" w:after="60" w:line="240" w:lineRule="auto"/>
              <w:rPr>
                <w:color w:val="1F497D" w:themeColor="text2"/>
              </w:rPr>
            </w:pPr>
            <w:r>
              <w:rPr>
                <w:color w:val="1F497D" w:themeColor="text2"/>
              </w:rPr>
              <w:t>TK04</w:t>
            </w:r>
          </w:p>
        </w:tc>
        <w:tc>
          <w:tcPr>
            <w:tcW w:w="2713" w:type="pct"/>
            <w:hideMark/>
          </w:tcPr>
          <w:p w:rsidR="00110AE7" w:rsidRPr="00B679F3"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679F3" w:rsidRDefault="00B679F3" w:rsidP="00FD790F">
            <w:pPr>
              <w:pStyle w:val="DoNotTranslateExternal4"/>
            </w:pPr>
            <w:r>
              <w:t>162</w:t>
            </w:r>
          </w:p>
        </w:tc>
      </w:tr>
      <w:tr w:rsidR="00BA28C6" w:rsidRPr="00B679F3" w:rsidTr="00AD7C3F">
        <w:trPr>
          <w:trHeight w:val="70"/>
        </w:trPr>
        <w:tc>
          <w:tcPr>
            <w:tcW w:w="412" w:type="pct"/>
            <w:hideMark/>
          </w:tcPr>
          <w:p w:rsidR="00110AE7" w:rsidRPr="00B679F3" w:rsidRDefault="00110AE7" w:rsidP="009B1787">
            <w:pPr>
              <w:spacing w:before="60" w:after="60" w:line="240" w:lineRule="auto"/>
              <w:rPr>
                <w:color w:val="1F497D" w:themeColor="text2"/>
              </w:rPr>
            </w:pPr>
            <w:r>
              <w:rPr>
                <w:color w:val="1F497D" w:themeColor="text2"/>
              </w:rPr>
              <w:t>TK05</w:t>
            </w:r>
          </w:p>
        </w:tc>
        <w:tc>
          <w:tcPr>
            <w:tcW w:w="2713" w:type="pct"/>
            <w:hideMark/>
          </w:tcPr>
          <w:p w:rsidR="00110AE7" w:rsidRPr="00B679F3"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679F3" w:rsidRDefault="00110AE7" w:rsidP="00FD790F">
            <w:pPr>
              <w:pStyle w:val="DoNotTranslateExternal4"/>
            </w:pPr>
            <w:r>
              <w:t>0</w:t>
            </w:r>
          </w:p>
        </w:tc>
      </w:tr>
      <w:tr w:rsidR="00BA28C6" w:rsidRPr="00B679F3" w:rsidTr="00AD7C3F">
        <w:trPr>
          <w:trHeight w:val="70"/>
        </w:trPr>
        <w:tc>
          <w:tcPr>
            <w:tcW w:w="412" w:type="pct"/>
            <w:tcBorders>
              <w:bottom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TK06</w:t>
            </w:r>
          </w:p>
        </w:tc>
        <w:tc>
          <w:tcPr>
            <w:tcW w:w="2713" w:type="pct"/>
            <w:tcBorders>
              <w:bottom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B679F3"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B679F3" w:rsidRDefault="00110AE7" w:rsidP="00FD790F">
            <w:pPr>
              <w:pStyle w:val="DoNotTranslateExternal4"/>
            </w:pPr>
            <w:r>
              <w:t>0</w:t>
            </w:r>
          </w:p>
        </w:tc>
      </w:tr>
      <w:tr w:rsidR="00BA28C6" w:rsidRPr="00C8157F" w:rsidTr="00AD7C3F">
        <w:trPr>
          <w:trHeight w:val="50"/>
        </w:trPr>
        <w:tc>
          <w:tcPr>
            <w:tcW w:w="5000" w:type="pct"/>
            <w:gridSpan w:val="4"/>
            <w:tcBorders>
              <w:top w:val="double" w:sz="4" w:space="0" w:color="auto"/>
              <w:bottom w:val="double" w:sz="4" w:space="0" w:color="auto"/>
            </w:tcBorders>
            <w:shd w:val="clear" w:color="auto" w:fill="D9D9D9" w:themeFill="background1" w:themeFillShade="D9"/>
          </w:tcPr>
          <w:p w:rsidR="00110AE7" w:rsidRPr="00C8157F" w:rsidRDefault="003B1DDF" w:rsidP="0089056F">
            <w:pPr>
              <w:spacing w:before="60" w:after="60" w:line="240" w:lineRule="auto"/>
              <w:jc w:val="left"/>
              <w:rPr>
                <w:b/>
                <w:color w:val="1F497D" w:themeColor="text2"/>
              </w:rPr>
            </w:pPr>
            <w:r>
              <w:rPr>
                <w:b/>
                <w:color w:val="1F497D" w:themeColor="text2"/>
              </w:rPr>
              <w:t>1.2.2b. Total number of passengers killed, by type of accident</w:t>
            </w:r>
          </w:p>
        </w:tc>
      </w:tr>
      <w:tr w:rsidR="00BA28C6" w:rsidRPr="00C8157F" w:rsidTr="00AD7C3F">
        <w:trPr>
          <w:trHeight w:val="50"/>
        </w:trPr>
        <w:tc>
          <w:tcPr>
            <w:tcW w:w="412" w:type="pct"/>
            <w:tcBorders>
              <w:top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PK00</w:t>
            </w:r>
          </w:p>
        </w:tc>
        <w:tc>
          <w:tcPr>
            <w:tcW w:w="2713" w:type="pct"/>
            <w:tcBorders>
              <w:top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C8157F" w:rsidRDefault="00C8157F" w:rsidP="00FD790F">
            <w:pPr>
              <w:pStyle w:val="DoNotTranslateExternal4"/>
            </w:pPr>
            <w:r>
              <w:t>2</w:t>
            </w:r>
          </w:p>
        </w:tc>
      </w:tr>
      <w:tr w:rsidR="00BA28C6" w:rsidRPr="00C8157F" w:rsidTr="00AD7C3F">
        <w:trPr>
          <w:trHeight w:val="199"/>
        </w:trPr>
        <w:tc>
          <w:tcPr>
            <w:tcW w:w="412" w:type="pct"/>
            <w:hideMark/>
          </w:tcPr>
          <w:p w:rsidR="00110AE7" w:rsidRPr="00C8157F" w:rsidRDefault="00110AE7" w:rsidP="009B1787">
            <w:pPr>
              <w:spacing w:before="60" w:after="60" w:line="240" w:lineRule="auto"/>
              <w:rPr>
                <w:color w:val="1F497D" w:themeColor="text2"/>
              </w:rPr>
            </w:pPr>
            <w:r>
              <w:rPr>
                <w:color w:val="1F497D" w:themeColor="text2"/>
              </w:rPr>
              <w:t>PK01</w:t>
            </w:r>
          </w:p>
        </w:tc>
        <w:tc>
          <w:tcPr>
            <w:tcW w:w="2713" w:type="pct"/>
            <w:hideMark/>
          </w:tcPr>
          <w:p w:rsidR="00110AE7" w:rsidRPr="00C8157F"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C8157F" w:rsidRDefault="007D3C14" w:rsidP="00FD790F">
            <w:pPr>
              <w:pStyle w:val="DoNotTranslateExternal4"/>
            </w:pPr>
            <w:r>
              <w:t>0</w:t>
            </w:r>
          </w:p>
        </w:tc>
      </w:tr>
      <w:tr w:rsidR="00BA28C6" w:rsidRPr="00C8157F" w:rsidTr="00AD7C3F">
        <w:trPr>
          <w:trHeight w:val="70"/>
        </w:trPr>
        <w:tc>
          <w:tcPr>
            <w:tcW w:w="412" w:type="pct"/>
            <w:hideMark/>
          </w:tcPr>
          <w:p w:rsidR="00110AE7" w:rsidRPr="00C8157F" w:rsidRDefault="00110AE7" w:rsidP="009B1787">
            <w:pPr>
              <w:spacing w:before="60" w:after="60" w:line="240" w:lineRule="auto"/>
              <w:rPr>
                <w:color w:val="1F497D" w:themeColor="text2"/>
              </w:rPr>
            </w:pPr>
            <w:r>
              <w:rPr>
                <w:color w:val="1F497D" w:themeColor="text2"/>
              </w:rPr>
              <w:t>PK02</w:t>
            </w:r>
          </w:p>
        </w:tc>
        <w:tc>
          <w:tcPr>
            <w:tcW w:w="2713" w:type="pct"/>
            <w:hideMark/>
          </w:tcPr>
          <w:p w:rsidR="00110AE7" w:rsidRPr="00C8157F"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C8157F" w:rsidRDefault="00110AE7" w:rsidP="00FD790F">
            <w:pPr>
              <w:pStyle w:val="DoNotTranslateExternal4"/>
            </w:pPr>
            <w:r>
              <w:t>0</w:t>
            </w:r>
          </w:p>
        </w:tc>
      </w:tr>
      <w:tr w:rsidR="00BA28C6" w:rsidRPr="00C8157F" w:rsidTr="00AD7C3F">
        <w:trPr>
          <w:trHeight w:val="70"/>
        </w:trPr>
        <w:tc>
          <w:tcPr>
            <w:tcW w:w="412" w:type="pct"/>
            <w:hideMark/>
          </w:tcPr>
          <w:p w:rsidR="00110AE7" w:rsidRPr="00C8157F" w:rsidRDefault="00110AE7" w:rsidP="009B1787">
            <w:pPr>
              <w:spacing w:before="60" w:after="60" w:line="240" w:lineRule="auto"/>
              <w:rPr>
                <w:color w:val="1F497D" w:themeColor="text2"/>
              </w:rPr>
            </w:pPr>
            <w:r>
              <w:rPr>
                <w:color w:val="1F497D" w:themeColor="text2"/>
              </w:rPr>
              <w:t>PK03</w:t>
            </w:r>
          </w:p>
        </w:tc>
        <w:tc>
          <w:tcPr>
            <w:tcW w:w="2713" w:type="pct"/>
            <w:hideMark/>
          </w:tcPr>
          <w:p w:rsidR="00110AE7" w:rsidRPr="00C8157F"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C8157F" w:rsidRDefault="00110AE7" w:rsidP="00FD790F">
            <w:pPr>
              <w:pStyle w:val="DoNotTranslateExternal4"/>
            </w:pPr>
            <w:r>
              <w:t>0</w:t>
            </w:r>
          </w:p>
        </w:tc>
      </w:tr>
      <w:tr w:rsidR="00BA28C6" w:rsidRPr="00C8157F" w:rsidTr="00AD7C3F">
        <w:trPr>
          <w:trHeight w:val="191"/>
        </w:trPr>
        <w:tc>
          <w:tcPr>
            <w:tcW w:w="412" w:type="pct"/>
            <w:hideMark/>
          </w:tcPr>
          <w:p w:rsidR="00110AE7" w:rsidRPr="00C8157F" w:rsidRDefault="00110AE7" w:rsidP="009B1787">
            <w:pPr>
              <w:spacing w:before="60" w:after="60" w:line="240" w:lineRule="auto"/>
              <w:rPr>
                <w:color w:val="1F497D" w:themeColor="text2"/>
              </w:rPr>
            </w:pPr>
            <w:r>
              <w:rPr>
                <w:color w:val="1F497D" w:themeColor="text2"/>
              </w:rPr>
              <w:t>PK04</w:t>
            </w:r>
          </w:p>
        </w:tc>
        <w:tc>
          <w:tcPr>
            <w:tcW w:w="2713" w:type="pct"/>
            <w:hideMark/>
          </w:tcPr>
          <w:p w:rsidR="00110AE7" w:rsidRPr="00C8157F"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C8157F" w:rsidRDefault="00C8157F" w:rsidP="00FD790F">
            <w:pPr>
              <w:pStyle w:val="DoNotTranslateExternal4"/>
            </w:pPr>
            <w:r>
              <w:t>2</w:t>
            </w:r>
          </w:p>
        </w:tc>
      </w:tr>
      <w:tr w:rsidR="00BA28C6" w:rsidRPr="00C8157F" w:rsidTr="00AD7C3F">
        <w:trPr>
          <w:trHeight w:val="70"/>
        </w:trPr>
        <w:tc>
          <w:tcPr>
            <w:tcW w:w="412" w:type="pct"/>
            <w:hideMark/>
          </w:tcPr>
          <w:p w:rsidR="00110AE7" w:rsidRPr="00C8157F" w:rsidRDefault="00110AE7" w:rsidP="009B1787">
            <w:pPr>
              <w:spacing w:before="60" w:after="60" w:line="240" w:lineRule="auto"/>
              <w:rPr>
                <w:color w:val="1F497D" w:themeColor="text2"/>
              </w:rPr>
            </w:pPr>
            <w:r>
              <w:rPr>
                <w:color w:val="1F497D" w:themeColor="text2"/>
              </w:rPr>
              <w:t>PK05</w:t>
            </w:r>
          </w:p>
        </w:tc>
        <w:tc>
          <w:tcPr>
            <w:tcW w:w="2713" w:type="pct"/>
            <w:hideMark/>
          </w:tcPr>
          <w:p w:rsidR="00110AE7" w:rsidRPr="00C8157F"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C8157F" w:rsidRDefault="00110AE7" w:rsidP="00FD790F">
            <w:pPr>
              <w:pStyle w:val="DoNotTranslateExternal4"/>
            </w:pPr>
            <w:r>
              <w:t>0</w:t>
            </w:r>
          </w:p>
        </w:tc>
      </w:tr>
      <w:tr w:rsidR="00BA28C6" w:rsidRPr="00C8157F" w:rsidTr="00AD7C3F">
        <w:trPr>
          <w:trHeight w:val="70"/>
        </w:trPr>
        <w:tc>
          <w:tcPr>
            <w:tcW w:w="412" w:type="pct"/>
            <w:tcBorders>
              <w:bottom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PK06</w:t>
            </w:r>
          </w:p>
        </w:tc>
        <w:tc>
          <w:tcPr>
            <w:tcW w:w="2713" w:type="pct"/>
            <w:tcBorders>
              <w:bottom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C8157F"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C8157F" w:rsidRDefault="00110AE7" w:rsidP="00FD790F">
            <w:pPr>
              <w:pStyle w:val="DoNotTranslateExternal4"/>
            </w:pPr>
            <w:r>
              <w:t>0</w:t>
            </w:r>
          </w:p>
        </w:tc>
      </w:tr>
      <w:tr w:rsidR="00BA28C6" w:rsidRPr="0046706D"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46706D" w:rsidRDefault="0089056F" w:rsidP="0089056F">
            <w:pPr>
              <w:spacing w:before="60" w:after="60" w:line="240" w:lineRule="auto"/>
              <w:jc w:val="left"/>
              <w:rPr>
                <w:b/>
                <w:color w:val="1F497D" w:themeColor="text2"/>
              </w:rPr>
            </w:pPr>
            <w:r>
              <w:rPr>
                <w:b/>
                <w:color w:val="1F497D" w:themeColor="text2"/>
              </w:rPr>
              <w:t>1.2.2c. Total number of employees, including the staff of contractors, killed, by type of accident</w:t>
            </w:r>
          </w:p>
        </w:tc>
      </w:tr>
      <w:tr w:rsidR="00BA28C6" w:rsidRPr="0046706D" w:rsidTr="00AD7C3F">
        <w:trPr>
          <w:trHeight w:val="50"/>
        </w:trPr>
        <w:tc>
          <w:tcPr>
            <w:tcW w:w="412" w:type="pct"/>
            <w:tcBorders>
              <w:top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SK00</w:t>
            </w:r>
          </w:p>
        </w:tc>
        <w:tc>
          <w:tcPr>
            <w:tcW w:w="2713" w:type="pct"/>
            <w:tcBorders>
              <w:top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46706D" w:rsidRDefault="0046706D" w:rsidP="00FD790F">
            <w:pPr>
              <w:pStyle w:val="DoNotTranslateExternal4"/>
            </w:pPr>
            <w:r>
              <w:t>1</w:t>
            </w:r>
          </w:p>
        </w:tc>
      </w:tr>
      <w:tr w:rsidR="00BA28C6" w:rsidRPr="0046706D" w:rsidTr="00AD7C3F">
        <w:trPr>
          <w:trHeight w:val="70"/>
        </w:trPr>
        <w:tc>
          <w:tcPr>
            <w:tcW w:w="412" w:type="pct"/>
            <w:hideMark/>
          </w:tcPr>
          <w:p w:rsidR="00110AE7" w:rsidRPr="0046706D" w:rsidRDefault="00110AE7" w:rsidP="009B1787">
            <w:pPr>
              <w:spacing w:before="60" w:after="60" w:line="240" w:lineRule="auto"/>
              <w:rPr>
                <w:color w:val="1F497D" w:themeColor="text2"/>
              </w:rPr>
            </w:pPr>
            <w:r>
              <w:rPr>
                <w:color w:val="1F497D" w:themeColor="text2"/>
              </w:rPr>
              <w:t>SK01</w:t>
            </w:r>
          </w:p>
        </w:tc>
        <w:tc>
          <w:tcPr>
            <w:tcW w:w="2713" w:type="pct"/>
            <w:hideMark/>
          </w:tcPr>
          <w:p w:rsidR="00110AE7" w:rsidRPr="0046706D"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46706D" w:rsidRDefault="007D3C14" w:rsidP="00FD790F">
            <w:pPr>
              <w:pStyle w:val="DoNotTranslateExternal4"/>
            </w:pPr>
            <w:r>
              <w:t>0</w:t>
            </w:r>
          </w:p>
        </w:tc>
      </w:tr>
      <w:tr w:rsidR="00BA28C6" w:rsidRPr="0046706D" w:rsidTr="00AD7C3F">
        <w:trPr>
          <w:trHeight w:val="70"/>
        </w:trPr>
        <w:tc>
          <w:tcPr>
            <w:tcW w:w="412" w:type="pct"/>
            <w:hideMark/>
          </w:tcPr>
          <w:p w:rsidR="00110AE7" w:rsidRPr="0046706D" w:rsidRDefault="00110AE7" w:rsidP="009B1787">
            <w:pPr>
              <w:spacing w:before="60" w:after="60" w:line="240" w:lineRule="auto"/>
              <w:rPr>
                <w:color w:val="1F497D" w:themeColor="text2"/>
              </w:rPr>
            </w:pPr>
            <w:r>
              <w:rPr>
                <w:color w:val="1F497D" w:themeColor="text2"/>
              </w:rPr>
              <w:t>SK02</w:t>
            </w:r>
          </w:p>
        </w:tc>
        <w:tc>
          <w:tcPr>
            <w:tcW w:w="2713" w:type="pct"/>
            <w:hideMark/>
          </w:tcPr>
          <w:p w:rsidR="00110AE7" w:rsidRPr="0046706D"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46706D" w:rsidRDefault="00110AE7" w:rsidP="00FD790F">
            <w:pPr>
              <w:pStyle w:val="DoNotTranslateExternal4"/>
            </w:pPr>
            <w:r>
              <w:t>0</w:t>
            </w:r>
          </w:p>
        </w:tc>
      </w:tr>
      <w:tr w:rsidR="00BA28C6" w:rsidRPr="0046706D" w:rsidTr="00AD7C3F">
        <w:trPr>
          <w:trHeight w:val="540"/>
        </w:trPr>
        <w:tc>
          <w:tcPr>
            <w:tcW w:w="412" w:type="pct"/>
            <w:hideMark/>
          </w:tcPr>
          <w:p w:rsidR="00110AE7" w:rsidRPr="0046706D" w:rsidRDefault="00110AE7" w:rsidP="009B1787">
            <w:pPr>
              <w:spacing w:before="60" w:after="60" w:line="240" w:lineRule="auto"/>
              <w:rPr>
                <w:color w:val="1F497D" w:themeColor="text2"/>
              </w:rPr>
            </w:pPr>
            <w:r>
              <w:rPr>
                <w:color w:val="1F497D" w:themeColor="text2"/>
              </w:rPr>
              <w:t>SK03</w:t>
            </w:r>
          </w:p>
        </w:tc>
        <w:tc>
          <w:tcPr>
            <w:tcW w:w="2713" w:type="pct"/>
            <w:hideMark/>
          </w:tcPr>
          <w:p w:rsidR="00110AE7" w:rsidRPr="0046706D"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46706D" w:rsidRDefault="00110AE7" w:rsidP="00FD790F">
            <w:pPr>
              <w:pStyle w:val="DoNotTranslateExternal4"/>
            </w:pPr>
            <w:r>
              <w:t>0</w:t>
            </w:r>
          </w:p>
        </w:tc>
      </w:tr>
      <w:tr w:rsidR="00BA28C6" w:rsidRPr="0046706D" w:rsidTr="00AD7C3F">
        <w:trPr>
          <w:trHeight w:val="540"/>
        </w:trPr>
        <w:tc>
          <w:tcPr>
            <w:tcW w:w="412" w:type="pct"/>
            <w:hideMark/>
          </w:tcPr>
          <w:p w:rsidR="00110AE7" w:rsidRPr="0046706D" w:rsidRDefault="00110AE7" w:rsidP="009B1787">
            <w:pPr>
              <w:spacing w:before="60" w:after="60" w:line="240" w:lineRule="auto"/>
              <w:rPr>
                <w:color w:val="1F497D" w:themeColor="text2"/>
              </w:rPr>
            </w:pPr>
            <w:r>
              <w:rPr>
                <w:color w:val="1F497D" w:themeColor="text2"/>
              </w:rPr>
              <w:t>SK04</w:t>
            </w:r>
          </w:p>
        </w:tc>
        <w:tc>
          <w:tcPr>
            <w:tcW w:w="2713" w:type="pct"/>
            <w:hideMark/>
          </w:tcPr>
          <w:p w:rsidR="00110AE7" w:rsidRPr="0046706D"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46706D" w:rsidRDefault="0046706D" w:rsidP="00FD790F">
            <w:pPr>
              <w:pStyle w:val="DoNotTranslateExternal4"/>
            </w:pPr>
            <w:r>
              <w:t>1</w:t>
            </w:r>
          </w:p>
        </w:tc>
      </w:tr>
      <w:tr w:rsidR="00BA28C6" w:rsidRPr="0046706D" w:rsidTr="00AD7C3F">
        <w:trPr>
          <w:trHeight w:val="70"/>
        </w:trPr>
        <w:tc>
          <w:tcPr>
            <w:tcW w:w="412" w:type="pct"/>
            <w:hideMark/>
          </w:tcPr>
          <w:p w:rsidR="00110AE7" w:rsidRPr="0046706D" w:rsidRDefault="00110AE7" w:rsidP="009B1787">
            <w:pPr>
              <w:spacing w:before="60" w:after="60" w:line="240" w:lineRule="auto"/>
              <w:rPr>
                <w:color w:val="1F497D" w:themeColor="text2"/>
              </w:rPr>
            </w:pPr>
            <w:r>
              <w:rPr>
                <w:color w:val="1F497D" w:themeColor="text2"/>
              </w:rPr>
              <w:t>SK05</w:t>
            </w:r>
          </w:p>
        </w:tc>
        <w:tc>
          <w:tcPr>
            <w:tcW w:w="2713" w:type="pct"/>
            <w:hideMark/>
          </w:tcPr>
          <w:p w:rsidR="00110AE7" w:rsidRPr="0046706D"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46706D" w:rsidRDefault="00110AE7" w:rsidP="00FD790F">
            <w:pPr>
              <w:pStyle w:val="DoNotTranslateExternal4"/>
            </w:pPr>
            <w:r>
              <w:t>0</w:t>
            </w:r>
          </w:p>
        </w:tc>
      </w:tr>
      <w:tr w:rsidR="00BA28C6" w:rsidRPr="0046706D" w:rsidTr="00AD7C3F">
        <w:trPr>
          <w:trHeight w:val="70"/>
        </w:trPr>
        <w:tc>
          <w:tcPr>
            <w:tcW w:w="412" w:type="pct"/>
            <w:tcBorders>
              <w:bottom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SK06</w:t>
            </w:r>
          </w:p>
        </w:tc>
        <w:tc>
          <w:tcPr>
            <w:tcW w:w="2713" w:type="pct"/>
            <w:tcBorders>
              <w:bottom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46706D"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46706D" w:rsidRDefault="00110AE7" w:rsidP="00FD790F">
            <w:pPr>
              <w:pStyle w:val="DoNotTranslateExternal4"/>
            </w:pPr>
            <w:r>
              <w:t>0</w:t>
            </w:r>
          </w:p>
        </w:tc>
      </w:tr>
      <w:tr w:rsidR="00BA28C6" w:rsidRPr="009804F2" w:rsidTr="0089056F">
        <w:trPr>
          <w:trHeight w:val="67"/>
        </w:trPr>
        <w:tc>
          <w:tcPr>
            <w:tcW w:w="5000" w:type="pct"/>
            <w:gridSpan w:val="4"/>
            <w:tcBorders>
              <w:top w:val="double" w:sz="4" w:space="0" w:color="auto"/>
              <w:bottom w:val="double" w:sz="4" w:space="0" w:color="auto"/>
            </w:tcBorders>
            <w:shd w:val="clear" w:color="auto" w:fill="D9D9D9" w:themeFill="background1" w:themeFillShade="D9"/>
          </w:tcPr>
          <w:p w:rsidR="00110AE7" w:rsidRPr="009804F2" w:rsidRDefault="0089056F" w:rsidP="0089056F">
            <w:pPr>
              <w:spacing w:before="60" w:after="60" w:line="240" w:lineRule="auto"/>
              <w:jc w:val="left"/>
              <w:rPr>
                <w:b/>
                <w:color w:val="1F497D" w:themeColor="text2"/>
              </w:rPr>
            </w:pPr>
            <w:r>
              <w:rPr>
                <w:b/>
                <w:color w:val="1F497D" w:themeColor="text2"/>
              </w:rPr>
              <w:t>1.2.2d. Total number of level crossing users killed, by type of accident</w:t>
            </w:r>
          </w:p>
        </w:tc>
      </w:tr>
      <w:tr w:rsidR="00BA28C6" w:rsidRPr="009804F2" w:rsidTr="00AD7C3F">
        <w:trPr>
          <w:trHeight w:val="50"/>
        </w:trPr>
        <w:tc>
          <w:tcPr>
            <w:tcW w:w="412" w:type="pct"/>
            <w:tcBorders>
              <w:top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LK00</w:t>
            </w:r>
          </w:p>
        </w:tc>
        <w:tc>
          <w:tcPr>
            <w:tcW w:w="2713" w:type="pct"/>
            <w:tcBorders>
              <w:top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9804F2" w:rsidRDefault="009804F2" w:rsidP="00FD790F">
            <w:pPr>
              <w:pStyle w:val="DoNotTranslateExternal4"/>
            </w:pPr>
            <w:r>
              <w:t>38</w:t>
            </w:r>
          </w:p>
        </w:tc>
      </w:tr>
      <w:tr w:rsidR="00BA28C6" w:rsidRPr="009804F2" w:rsidTr="00AD7C3F">
        <w:trPr>
          <w:trHeight w:val="540"/>
        </w:trPr>
        <w:tc>
          <w:tcPr>
            <w:tcW w:w="412" w:type="pct"/>
            <w:hideMark/>
          </w:tcPr>
          <w:p w:rsidR="00110AE7" w:rsidRPr="009804F2" w:rsidRDefault="00110AE7" w:rsidP="009B1787">
            <w:pPr>
              <w:spacing w:before="60" w:after="60" w:line="240" w:lineRule="auto"/>
              <w:rPr>
                <w:color w:val="1F497D" w:themeColor="text2"/>
              </w:rPr>
            </w:pPr>
            <w:r>
              <w:rPr>
                <w:color w:val="1F497D" w:themeColor="text2"/>
              </w:rPr>
              <w:t>LK01</w:t>
            </w:r>
          </w:p>
        </w:tc>
        <w:tc>
          <w:tcPr>
            <w:tcW w:w="2713" w:type="pct"/>
            <w:hideMark/>
          </w:tcPr>
          <w:p w:rsidR="00110AE7" w:rsidRPr="009804F2"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9804F2" w:rsidRDefault="00110AE7" w:rsidP="00FD790F">
            <w:pPr>
              <w:pStyle w:val="DoNotTranslateExternal4"/>
            </w:pPr>
            <w:r>
              <w:t>0</w:t>
            </w:r>
          </w:p>
        </w:tc>
      </w:tr>
      <w:tr w:rsidR="00BA28C6" w:rsidRPr="009804F2" w:rsidTr="00AD7C3F">
        <w:trPr>
          <w:trHeight w:val="70"/>
        </w:trPr>
        <w:tc>
          <w:tcPr>
            <w:tcW w:w="412" w:type="pct"/>
            <w:hideMark/>
          </w:tcPr>
          <w:p w:rsidR="00110AE7" w:rsidRPr="009804F2" w:rsidRDefault="00110AE7" w:rsidP="009B1787">
            <w:pPr>
              <w:spacing w:before="60" w:after="60" w:line="240" w:lineRule="auto"/>
              <w:rPr>
                <w:color w:val="1F497D" w:themeColor="text2"/>
              </w:rPr>
            </w:pPr>
            <w:r>
              <w:rPr>
                <w:color w:val="1F497D" w:themeColor="text2"/>
              </w:rPr>
              <w:t>LK02</w:t>
            </w:r>
          </w:p>
        </w:tc>
        <w:tc>
          <w:tcPr>
            <w:tcW w:w="2713" w:type="pct"/>
            <w:hideMark/>
          </w:tcPr>
          <w:p w:rsidR="00110AE7" w:rsidRPr="009804F2"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9804F2" w:rsidRDefault="00110AE7" w:rsidP="00FD790F">
            <w:pPr>
              <w:pStyle w:val="DoNotTranslateExternal4"/>
            </w:pPr>
            <w:r>
              <w:t>0</w:t>
            </w:r>
          </w:p>
        </w:tc>
      </w:tr>
      <w:tr w:rsidR="00BA28C6" w:rsidRPr="009804F2" w:rsidTr="00AD7C3F">
        <w:trPr>
          <w:trHeight w:val="540"/>
        </w:trPr>
        <w:tc>
          <w:tcPr>
            <w:tcW w:w="412" w:type="pct"/>
            <w:hideMark/>
          </w:tcPr>
          <w:p w:rsidR="00110AE7" w:rsidRPr="009804F2" w:rsidRDefault="00110AE7" w:rsidP="009B1787">
            <w:pPr>
              <w:spacing w:before="60" w:after="60" w:line="240" w:lineRule="auto"/>
              <w:rPr>
                <w:color w:val="1F497D" w:themeColor="text2"/>
              </w:rPr>
            </w:pPr>
            <w:r>
              <w:rPr>
                <w:color w:val="1F497D" w:themeColor="text2"/>
              </w:rPr>
              <w:t>LK03</w:t>
            </w:r>
          </w:p>
        </w:tc>
        <w:tc>
          <w:tcPr>
            <w:tcW w:w="2713" w:type="pct"/>
            <w:hideMark/>
          </w:tcPr>
          <w:p w:rsidR="00110AE7" w:rsidRPr="009804F2"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9804F2" w:rsidRDefault="009804F2" w:rsidP="00FD790F">
            <w:pPr>
              <w:pStyle w:val="DoNotTranslateExternal4"/>
            </w:pPr>
            <w:r>
              <w:t>38</w:t>
            </w:r>
          </w:p>
        </w:tc>
      </w:tr>
      <w:tr w:rsidR="00BA28C6" w:rsidRPr="009804F2" w:rsidTr="00AD7C3F">
        <w:trPr>
          <w:trHeight w:val="540"/>
        </w:trPr>
        <w:tc>
          <w:tcPr>
            <w:tcW w:w="412" w:type="pct"/>
            <w:hideMark/>
          </w:tcPr>
          <w:p w:rsidR="00110AE7" w:rsidRPr="009804F2" w:rsidRDefault="00110AE7" w:rsidP="009B1787">
            <w:pPr>
              <w:spacing w:before="60" w:after="60" w:line="240" w:lineRule="auto"/>
              <w:rPr>
                <w:color w:val="1F497D" w:themeColor="text2"/>
              </w:rPr>
            </w:pPr>
            <w:r>
              <w:rPr>
                <w:color w:val="1F497D" w:themeColor="text2"/>
              </w:rPr>
              <w:t>LK04</w:t>
            </w:r>
          </w:p>
        </w:tc>
        <w:tc>
          <w:tcPr>
            <w:tcW w:w="2713" w:type="pct"/>
            <w:hideMark/>
          </w:tcPr>
          <w:p w:rsidR="00110AE7" w:rsidRPr="009804F2"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9804F2" w:rsidRDefault="00110AE7" w:rsidP="00FD790F">
            <w:pPr>
              <w:pStyle w:val="DoNotTranslateExternal4"/>
            </w:pPr>
            <w:r>
              <w:t>0</w:t>
            </w:r>
          </w:p>
        </w:tc>
      </w:tr>
      <w:tr w:rsidR="00BA28C6" w:rsidRPr="009804F2" w:rsidTr="00AD7C3F">
        <w:trPr>
          <w:trHeight w:val="70"/>
        </w:trPr>
        <w:tc>
          <w:tcPr>
            <w:tcW w:w="412" w:type="pct"/>
            <w:hideMark/>
          </w:tcPr>
          <w:p w:rsidR="00110AE7" w:rsidRPr="009804F2" w:rsidRDefault="00110AE7" w:rsidP="009B1787">
            <w:pPr>
              <w:spacing w:before="60" w:after="60" w:line="240" w:lineRule="auto"/>
              <w:rPr>
                <w:color w:val="1F497D" w:themeColor="text2"/>
              </w:rPr>
            </w:pPr>
            <w:r>
              <w:rPr>
                <w:color w:val="1F497D" w:themeColor="text2"/>
              </w:rPr>
              <w:t>LK05</w:t>
            </w:r>
          </w:p>
        </w:tc>
        <w:tc>
          <w:tcPr>
            <w:tcW w:w="2713" w:type="pct"/>
            <w:hideMark/>
          </w:tcPr>
          <w:p w:rsidR="00110AE7" w:rsidRPr="009804F2"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9804F2" w:rsidRDefault="00110AE7" w:rsidP="00FD790F">
            <w:pPr>
              <w:pStyle w:val="DoNotTranslateExternal4"/>
            </w:pPr>
            <w:r>
              <w:t>0</w:t>
            </w:r>
          </w:p>
        </w:tc>
      </w:tr>
      <w:tr w:rsidR="00BA28C6" w:rsidRPr="009804F2" w:rsidTr="00AD7C3F">
        <w:trPr>
          <w:trHeight w:val="70"/>
        </w:trPr>
        <w:tc>
          <w:tcPr>
            <w:tcW w:w="412" w:type="pct"/>
            <w:tcBorders>
              <w:bottom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LK06</w:t>
            </w:r>
          </w:p>
        </w:tc>
        <w:tc>
          <w:tcPr>
            <w:tcW w:w="2713" w:type="pct"/>
            <w:tcBorders>
              <w:bottom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9804F2"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9804F2" w:rsidRDefault="00110AE7" w:rsidP="00FD790F">
            <w:pPr>
              <w:pStyle w:val="DoNotTranslateExternal4"/>
            </w:pPr>
            <w:r>
              <w:t>0</w:t>
            </w:r>
          </w:p>
        </w:tc>
      </w:tr>
      <w:tr w:rsidR="00BA28C6" w:rsidRPr="00AD723C" w:rsidTr="0089056F">
        <w:trPr>
          <w:trHeight w:val="243"/>
        </w:trPr>
        <w:tc>
          <w:tcPr>
            <w:tcW w:w="5000" w:type="pct"/>
            <w:gridSpan w:val="4"/>
            <w:tcBorders>
              <w:top w:val="double" w:sz="4" w:space="0" w:color="auto"/>
              <w:bottom w:val="double" w:sz="4" w:space="0" w:color="auto"/>
            </w:tcBorders>
            <w:shd w:val="clear" w:color="auto" w:fill="D9D9D9" w:themeFill="background1" w:themeFillShade="D9"/>
          </w:tcPr>
          <w:p w:rsidR="00110AE7" w:rsidRPr="00AD723C" w:rsidRDefault="0089056F" w:rsidP="0089056F">
            <w:pPr>
              <w:spacing w:before="60" w:after="60" w:line="240" w:lineRule="auto"/>
              <w:jc w:val="left"/>
              <w:rPr>
                <w:b/>
                <w:color w:val="1F497D" w:themeColor="text2"/>
              </w:rPr>
            </w:pPr>
            <w:r>
              <w:rPr>
                <w:b/>
                <w:color w:val="1F497D" w:themeColor="text2"/>
              </w:rPr>
              <w:t>1.2.2e. Total number of unauthorised persons on railway premises killed, by type of accident</w:t>
            </w:r>
          </w:p>
        </w:tc>
      </w:tr>
      <w:tr w:rsidR="00BA28C6" w:rsidRPr="00AD723C" w:rsidTr="00AD7C3F">
        <w:trPr>
          <w:trHeight w:val="540"/>
        </w:trPr>
        <w:tc>
          <w:tcPr>
            <w:tcW w:w="412"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UK00</w:t>
            </w:r>
          </w:p>
        </w:tc>
        <w:tc>
          <w:tcPr>
            <w:tcW w:w="2713"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AD723C" w:rsidRDefault="00110AE7" w:rsidP="00FD790F">
            <w:pPr>
              <w:pStyle w:val="DoNotTranslateExternal4"/>
            </w:pPr>
            <w:r>
              <w:t>163</w:t>
            </w:r>
          </w:p>
        </w:tc>
      </w:tr>
    </w:tbl>
    <w:p w:rsidR="00FA13C5" w:rsidRDefault="00FA13C5">
      <w:r>
        <w:br w:type="page"/>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lastRenderedPageBreak/>
              <w:t>UK01</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0</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UK02</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0</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UK03</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AD723C" w:rsidP="00FD790F">
            <w:pPr>
              <w:pStyle w:val="DoNotTranslateExternal4"/>
            </w:pPr>
            <w:r>
              <w:t>3</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UK04</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159</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UK05</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0</w:t>
            </w:r>
          </w:p>
        </w:tc>
      </w:tr>
      <w:tr w:rsidR="00BA28C6" w:rsidRPr="00AD723C" w:rsidTr="00AD7C3F">
        <w:trPr>
          <w:trHeight w:val="540"/>
        </w:trPr>
        <w:tc>
          <w:tcPr>
            <w:tcW w:w="412"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UK06</w:t>
            </w:r>
          </w:p>
        </w:tc>
        <w:tc>
          <w:tcPr>
            <w:tcW w:w="2713"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AD723C" w:rsidRDefault="00110AE7" w:rsidP="00FD790F">
            <w:pPr>
              <w:pStyle w:val="DoNotTranslateExternal4"/>
            </w:pPr>
            <w:r>
              <w:t>0</w:t>
            </w:r>
          </w:p>
        </w:tc>
      </w:tr>
      <w:tr w:rsidR="00BA28C6" w:rsidRPr="00AD723C"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AD723C" w:rsidRDefault="0089056F" w:rsidP="0089056F">
            <w:pPr>
              <w:spacing w:before="60" w:after="60" w:line="240" w:lineRule="auto"/>
              <w:jc w:val="left"/>
              <w:rPr>
                <w:b/>
                <w:color w:val="1F497D" w:themeColor="text2"/>
              </w:rPr>
            </w:pPr>
            <w:r>
              <w:rPr>
                <w:b/>
                <w:color w:val="1F497D" w:themeColor="text2"/>
              </w:rPr>
              <w:t>1.2.2f. Total number of other persons killed, by type of accident</w:t>
            </w:r>
          </w:p>
        </w:tc>
      </w:tr>
      <w:tr w:rsidR="00BA28C6" w:rsidRPr="00AD723C" w:rsidTr="00AD7C3F">
        <w:trPr>
          <w:trHeight w:val="50"/>
        </w:trPr>
        <w:tc>
          <w:tcPr>
            <w:tcW w:w="412"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OK00</w:t>
            </w:r>
          </w:p>
        </w:tc>
        <w:tc>
          <w:tcPr>
            <w:tcW w:w="2713"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Total number in all accidents</w:t>
            </w:r>
          </w:p>
        </w:tc>
        <w:tc>
          <w:tcPr>
            <w:tcW w:w="1087" w:type="pct"/>
            <w:tcBorders>
              <w:top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AD723C" w:rsidRDefault="007D3C14" w:rsidP="00FD790F">
            <w:pPr>
              <w:pStyle w:val="DoNotTranslateExternal4"/>
            </w:pPr>
            <w:r>
              <w:t>2</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OK01</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collisions of trains, including collisions with obstacles within the clearance gauge</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AD723C" w:rsidP="00FD790F">
            <w:pPr>
              <w:pStyle w:val="DoNotTranslateExternal4"/>
            </w:pPr>
            <w:r>
              <w:t>0</w:t>
            </w:r>
          </w:p>
        </w:tc>
      </w:tr>
      <w:tr w:rsidR="00BA28C6" w:rsidRPr="00AD723C" w:rsidTr="00AD7C3F">
        <w:trPr>
          <w:trHeight w:val="7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OK02</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derailments of trains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0</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OK03</w:t>
            </w:r>
          </w:p>
        </w:tc>
        <w:tc>
          <w:tcPr>
            <w:tcW w:w="2713" w:type="pct"/>
            <w:hideMark/>
          </w:tcPr>
          <w:p w:rsidR="00110AE7" w:rsidRPr="00AD723C" w:rsidRDefault="00110AE7" w:rsidP="0031184E">
            <w:pPr>
              <w:spacing w:before="60" w:after="60" w:line="240" w:lineRule="auto"/>
              <w:rPr>
                <w:color w:val="1F497D" w:themeColor="text2"/>
              </w:rPr>
            </w:pPr>
            <w:r>
              <w:rPr>
                <w:color w:val="1F497D" w:themeColor="text2"/>
              </w:rPr>
              <w:t>In level crossing accidents, including accidents involving pedestrians at level crossings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AD723C" w:rsidP="00FD790F">
            <w:pPr>
              <w:pStyle w:val="DoNotTranslateExternal4"/>
            </w:pPr>
            <w:r>
              <w:t>2</w:t>
            </w:r>
          </w:p>
        </w:tc>
      </w:tr>
      <w:tr w:rsidR="00BA28C6" w:rsidRPr="00AD723C" w:rsidTr="00AD7C3F">
        <w:trPr>
          <w:trHeight w:val="54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OK04</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accidents to persons caused by rolling stock in motion, with the exception of suicides</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AD723C" w:rsidP="00FD790F">
            <w:pPr>
              <w:pStyle w:val="DoNotTranslateExternal4"/>
            </w:pPr>
            <w:r>
              <w:t>0</w:t>
            </w:r>
          </w:p>
        </w:tc>
      </w:tr>
      <w:tr w:rsidR="00BA28C6" w:rsidRPr="00AD723C" w:rsidTr="0089056F">
        <w:trPr>
          <w:trHeight w:val="500"/>
        </w:trPr>
        <w:tc>
          <w:tcPr>
            <w:tcW w:w="412" w:type="pct"/>
            <w:hideMark/>
          </w:tcPr>
          <w:p w:rsidR="00110AE7" w:rsidRPr="00AD723C" w:rsidRDefault="00110AE7" w:rsidP="009B1787">
            <w:pPr>
              <w:spacing w:before="60" w:after="60" w:line="240" w:lineRule="auto"/>
              <w:rPr>
                <w:color w:val="1F497D" w:themeColor="text2"/>
              </w:rPr>
            </w:pPr>
            <w:r>
              <w:rPr>
                <w:color w:val="1F497D" w:themeColor="text2"/>
              </w:rPr>
              <w:t>OK05</w:t>
            </w:r>
          </w:p>
        </w:tc>
        <w:tc>
          <w:tcPr>
            <w:tcW w:w="2713" w:type="pct"/>
            <w:hideMark/>
          </w:tcPr>
          <w:p w:rsidR="00110AE7" w:rsidRPr="00AD723C" w:rsidRDefault="00110AE7" w:rsidP="009B1787">
            <w:pPr>
              <w:spacing w:before="60" w:after="60" w:line="240" w:lineRule="auto"/>
              <w:rPr>
                <w:color w:val="1F497D" w:themeColor="text2"/>
              </w:rPr>
            </w:pPr>
            <w:r>
              <w:rPr>
                <w:color w:val="1F497D" w:themeColor="text2"/>
              </w:rPr>
              <w:t>In fires in rolling stock</w:t>
            </w:r>
          </w:p>
        </w:tc>
        <w:tc>
          <w:tcPr>
            <w:tcW w:w="1087" w:type="pct"/>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AD723C" w:rsidRDefault="00110AE7" w:rsidP="00FD790F">
            <w:pPr>
              <w:pStyle w:val="DoNotTranslateExternal4"/>
            </w:pPr>
            <w:r>
              <w:t>0</w:t>
            </w:r>
          </w:p>
        </w:tc>
      </w:tr>
      <w:tr w:rsidR="00BA28C6" w:rsidRPr="00AD723C" w:rsidTr="0089056F">
        <w:trPr>
          <w:trHeight w:val="550"/>
        </w:trPr>
        <w:tc>
          <w:tcPr>
            <w:tcW w:w="412"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OK06</w:t>
            </w:r>
          </w:p>
        </w:tc>
        <w:tc>
          <w:tcPr>
            <w:tcW w:w="2713"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In other accidents</w:t>
            </w:r>
          </w:p>
        </w:tc>
        <w:tc>
          <w:tcPr>
            <w:tcW w:w="1087" w:type="pct"/>
            <w:tcBorders>
              <w:bottom w:val="double" w:sz="4" w:space="0" w:color="auto"/>
            </w:tcBorders>
            <w:hideMark/>
          </w:tcPr>
          <w:p w:rsidR="00110AE7" w:rsidRPr="00AD723C"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AD723C" w:rsidRDefault="00110AE7" w:rsidP="00FD790F">
            <w:pPr>
              <w:pStyle w:val="DoNotTranslateExternal4"/>
            </w:pPr>
            <w:r>
              <w:t>0</w:t>
            </w:r>
          </w:p>
        </w:tc>
      </w:tr>
      <w:tr w:rsidR="003C75F7" w:rsidRPr="008F1783" w:rsidTr="00BA4AC8">
        <w:trPr>
          <w:trHeight w:val="183"/>
        </w:trPr>
        <w:tc>
          <w:tcPr>
            <w:tcW w:w="5000" w:type="pct"/>
            <w:gridSpan w:val="4"/>
            <w:tcBorders>
              <w:top w:val="double" w:sz="4" w:space="0" w:color="auto"/>
              <w:bottom w:val="double" w:sz="4" w:space="0" w:color="auto"/>
            </w:tcBorders>
            <w:shd w:val="clear" w:color="auto" w:fill="D9D9D9" w:themeFill="background1" w:themeFillShade="D9"/>
          </w:tcPr>
          <w:p w:rsidR="003C75F7" w:rsidRPr="008F1783" w:rsidRDefault="003C75F7" w:rsidP="006F5F69">
            <w:pPr>
              <w:spacing w:before="60" w:after="60" w:line="240" w:lineRule="auto"/>
              <w:jc w:val="left"/>
              <w:rPr>
                <w:b/>
                <w:color w:val="1F497D" w:themeColor="text2"/>
              </w:rPr>
            </w:pPr>
            <w:r>
              <w:rPr>
                <w:b/>
                <w:color w:val="1F497D" w:themeColor="text2"/>
              </w:rPr>
              <w:t xml:space="preserve">2. Indicators relating to the transport of dangerous goods </w:t>
            </w:r>
          </w:p>
        </w:tc>
      </w:tr>
      <w:tr w:rsidR="003C75F7" w:rsidRPr="008F1783" w:rsidTr="00BA4AC8">
        <w:trPr>
          <w:trHeight w:val="50"/>
        </w:trPr>
        <w:tc>
          <w:tcPr>
            <w:tcW w:w="412" w:type="pct"/>
            <w:tcBorders>
              <w:top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N18</w:t>
            </w:r>
          </w:p>
        </w:tc>
        <w:tc>
          <w:tcPr>
            <w:tcW w:w="2713" w:type="pct"/>
            <w:tcBorders>
              <w:top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Total number of accidents involving at least one railway vehicle transporting dangerous goods</w:t>
            </w:r>
          </w:p>
        </w:tc>
        <w:tc>
          <w:tcPr>
            <w:tcW w:w="1087" w:type="pct"/>
            <w:tcBorders>
              <w:top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3C75F7" w:rsidRPr="008F1783" w:rsidRDefault="003C75F7" w:rsidP="00FD790F">
            <w:pPr>
              <w:pStyle w:val="DoNotTranslateExternal4"/>
            </w:pPr>
            <w:r>
              <w:t>1</w:t>
            </w:r>
          </w:p>
        </w:tc>
      </w:tr>
      <w:tr w:rsidR="003C75F7" w:rsidRPr="008F1783" w:rsidTr="00BA4AC8">
        <w:trPr>
          <w:trHeight w:val="600"/>
        </w:trPr>
        <w:tc>
          <w:tcPr>
            <w:tcW w:w="412" w:type="pct"/>
            <w:hideMark/>
          </w:tcPr>
          <w:p w:rsidR="003C75F7" w:rsidRPr="008F1783" w:rsidRDefault="003C75F7" w:rsidP="00BA4AC8">
            <w:pPr>
              <w:spacing w:before="60" w:after="60" w:line="240" w:lineRule="auto"/>
              <w:rPr>
                <w:color w:val="1F497D" w:themeColor="text2"/>
              </w:rPr>
            </w:pPr>
            <w:r>
              <w:rPr>
                <w:color w:val="1F497D" w:themeColor="text2"/>
              </w:rPr>
              <w:t>N19</w:t>
            </w:r>
          </w:p>
        </w:tc>
        <w:tc>
          <w:tcPr>
            <w:tcW w:w="2713" w:type="pct"/>
            <w:hideMark/>
          </w:tcPr>
          <w:p w:rsidR="003C75F7" w:rsidRPr="008F1783" w:rsidRDefault="003C75F7" w:rsidP="00BA4AC8">
            <w:pPr>
              <w:spacing w:before="60" w:after="60" w:line="240" w:lineRule="auto"/>
              <w:rPr>
                <w:color w:val="1F497D" w:themeColor="text2"/>
              </w:rPr>
            </w:pPr>
            <w:r>
              <w:rPr>
                <w:color w:val="1F497D" w:themeColor="text2"/>
              </w:rPr>
              <w:t>Number of accidents involving at least one railway vehicle transporting dangerous goods in which dangerous goods ARE NOT released</w:t>
            </w:r>
          </w:p>
        </w:tc>
        <w:tc>
          <w:tcPr>
            <w:tcW w:w="1087" w:type="pct"/>
            <w:hideMark/>
          </w:tcPr>
          <w:p w:rsidR="003C75F7" w:rsidRPr="008F1783" w:rsidRDefault="003C75F7" w:rsidP="00BA4AC8">
            <w:pPr>
              <w:spacing w:before="60" w:after="60" w:line="240" w:lineRule="auto"/>
              <w:rPr>
                <w:color w:val="1F497D" w:themeColor="text2"/>
              </w:rPr>
            </w:pPr>
            <w:r>
              <w:rPr>
                <w:color w:val="1F497D" w:themeColor="text2"/>
              </w:rPr>
              <w:t>Numeric value</w:t>
            </w:r>
          </w:p>
        </w:tc>
        <w:tc>
          <w:tcPr>
            <w:tcW w:w="788" w:type="pct"/>
            <w:noWrap/>
            <w:hideMark/>
          </w:tcPr>
          <w:p w:rsidR="003C75F7" w:rsidRPr="008F1783" w:rsidRDefault="003C75F7" w:rsidP="00FD790F">
            <w:pPr>
              <w:pStyle w:val="DoNotTranslateExternal4"/>
            </w:pPr>
            <w:r>
              <w:t>1</w:t>
            </w:r>
          </w:p>
        </w:tc>
      </w:tr>
      <w:tr w:rsidR="003C75F7" w:rsidRPr="008F1783" w:rsidTr="00BA4AC8">
        <w:trPr>
          <w:trHeight w:val="600"/>
        </w:trPr>
        <w:tc>
          <w:tcPr>
            <w:tcW w:w="412" w:type="pct"/>
            <w:tcBorders>
              <w:bottom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N20</w:t>
            </w:r>
          </w:p>
        </w:tc>
        <w:tc>
          <w:tcPr>
            <w:tcW w:w="2713" w:type="pct"/>
            <w:tcBorders>
              <w:bottom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Number of accidents involving at least one railway vehicle transporting dangerous goods in which dangerous goods ARE released</w:t>
            </w:r>
          </w:p>
        </w:tc>
        <w:tc>
          <w:tcPr>
            <w:tcW w:w="1087" w:type="pct"/>
            <w:tcBorders>
              <w:bottom w:val="double" w:sz="4" w:space="0" w:color="auto"/>
            </w:tcBorders>
            <w:hideMark/>
          </w:tcPr>
          <w:p w:rsidR="003C75F7" w:rsidRPr="008F1783" w:rsidRDefault="003C75F7" w:rsidP="00BA4AC8">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3C75F7" w:rsidRPr="008F1783" w:rsidRDefault="003C75F7" w:rsidP="00FD790F">
            <w:pPr>
              <w:pStyle w:val="DoNotTranslateExternal4"/>
            </w:pPr>
            <w:r>
              <w:t>0</w:t>
            </w:r>
          </w:p>
        </w:tc>
      </w:tr>
      <w:tr w:rsidR="003C75F7" w:rsidRPr="002767DC"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3C75F7" w:rsidRPr="002767DC" w:rsidRDefault="003C75F7" w:rsidP="006F5F69">
            <w:pPr>
              <w:spacing w:before="60" w:after="60" w:line="240" w:lineRule="auto"/>
              <w:jc w:val="left"/>
              <w:rPr>
                <w:b/>
                <w:color w:val="1F497D" w:themeColor="text2"/>
              </w:rPr>
            </w:pPr>
            <w:r>
              <w:rPr>
                <w:b/>
                <w:color w:val="1F497D" w:themeColor="text2"/>
              </w:rPr>
              <w:t>3. Indicators relating to suicides</w:t>
            </w:r>
          </w:p>
        </w:tc>
      </w:tr>
      <w:tr w:rsidR="003C75F7" w:rsidRPr="008F1783" w:rsidTr="00BA4AC8">
        <w:trPr>
          <w:trHeight w:val="50"/>
        </w:trPr>
        <w:tc>
          <w:tcPr>
            <w:tcW w:w="412" w:type="pct"/>
            <w:tcBorders>
              <w:top w:val="double" w:sz="4" w:space="0" w:color="auto"/>
              <w:bottom w:val="double" w:sz="4" w:space="0" w:color="auto"/>
            </w:tcBorders>
          </w:tcPr>
          <w:p w:rsidR="003C75F7" w:rsidRPr="008F1783" w:rsidRDefault="003C75F7" w:rsidP="00BA4AC8">
            <w:pPr>
              <w:spacing w:before="60" w:after="60" w:line="240" w:lineRule="auto"/>
              <w:rPr>
                <w:color w:val="1F497D" w:themeColor="text2"/>
              </w:rPr>
            </w:pPr>
            <w:r>
              <w:rPr>
                <w:color w:val="1F497D" w:themeColor="text2"/>
              </w:rPr>
              <w:t>N07</w:t>
            </w:r>
          </w:p>
        </w:tc>
        <w:tc>
          <w:tcPr>
            <w:tcW w:w="2713" w:type="pct"/>
            <w:tcBorders>
              <w:top w:val="double" w:sz="4" w:space="0" w:color="auto"/>
              <w:bottom w:val="double" w:sz="4" w:space="0" w:color="auto"/>
            </w:tcBorders>
          </w:tcPr>
          <w:p w:rsidR="003C75F7" w:rsidRPr="008F1783" w:rsidRDefault="003C75F7" w:rsidP="006F5F69">
            <w:pPr>
              <w:spacing w:before="60" w:after="60" w:line="240" w:lineRule="auto"/>
              <w:rPr>
                <w:color w:val="1F497D" w:themeColor="text2"/>
              </w:rPr>
            </w:pPr>
            <w:r>
              <w:rPr>
                <w:color w:val="1F497D" w:themeColor="text2"/>
              </w:rPr>
              <w:t>Number of suicides</w:t>
            </w:r>
          </w:p>
        </w:tc>
        <w:tc>
          <w:tcPr>
            <w:tcW w:w="1087" w:type="pct"/>
            <w:tcBorders>
              <w:top w:val="double" w:sz="4" w:space="0" w:color="auto"/>
              <w:bottom w:val="double" w:sz="4" w:space="0" w:color="auto"/>
            </w:tcBorders>
          </w:tcPr>
          <w:p w:rsidR="003C75F7" w:rsidRPr="008F1783" w:rsidRDefault="003C75F7" w:rsidP="00BA4AC8">
            <w:pPr>
              <w:spacing w:before="60" w:after="60" w:line="240" w:lineRule="auto"/>
              <w:rPr>
                <w:color w:val="1F497D" w:themeColor="text2"/>
              </w:rPr>
            </w:pPr>
            <w:r>
              <w:rPr>
                <w:color w:val="1F497D" w:themeColor="text2"/>
              </w:rPr>
              <w:t>Numeric value</w:t>
            </w:r>
          </w:p>
        </w:tc>
        <w:tc>
          <w:tcPr>
            <w:tcW w:w="788" w:type="pct"/>
            <w:tcBorders>
              <w:top w:val="double" w:sz="4" w:space="0" w:color="auto"/>
              <w:bottom w:val="double" w:sz="4" w:space="0" w:color="auto"/>
            </w:tcBorders>
            <w:noWrap/>
          </w:tcPr>
          <w:p w:rsidR="003C75F7" w:rsidRPr="008F1783" w:rsidRDefault="003C75F7" w:rsidP="00FD790F">
            <w:pPr>
              <w:pStyle w:val="DoNotTranslateExternal4"/>
            </w:pPr>
            <w:r>
              <w:t>71</w:t>
            </w:r>
          </w:p>
        </w:tc>
      </w:tr>
      <w:tr w:rsidR="003C75F7" w:rsidRPr="002767DC" w:rsidTr="00BA4AC8">
        <w:trPr>
          <w:trHeight w:val="70"/>
        </w:trPr>
        <w:tc>
          <w:tcPr>
            <w:tcW w:w="5000" w:type="pct"/>
            <w:gridSpan w:val="4"/>
            <w:tcBorders>
              <w:top w:val="double" w:sz="4" w:space="0" w:color="auto"/>
              <w:bottom w:val="double" w:sz="4" w:space="0" w:color="auto"/>
            </w:tcBorders>
            <w:shd w:val="clear" w:color="auto" w:fill="D9D9D9" w:themeFill="background1" w:themeFillShade="D9"/>
          </w:tcPr>
          <w:p w:rsidR="003C75F7" w:rsidRPr="002767DC" w:rsidRDefault="0089056F" w:rsidP="006F5F69">
            <w:pPr>
              <w:spacing w:before="60" w:after="60" w:line="240" w:lineRule="auto"/>
              <w:jc w:val="left"/>
              <w:rPr>
                <w:b/>
                <w:color w:val="1F497D" w:themeColor="text2"/>
              </w:rPr>
            </w:pPr>
            <w:r>
              <w:rPr>
                <w:b/>
                <w:color w:val="1F497D" w:themeColor="text2"/>
              </w:rPr>
              <w:t>4. Indicators relating to precursors of accidents</w:t>
            </w:r>
          </w:p>
        </w:tc>
      </w:tr>
      <w:tr w:rsidR="00BA28C6" w:rsidRPr="002767DC" w:rsidTr="00AD7C3F">
        <w:trPr>
          <w:trHeight w:val="50"/>
        </w:trPr>
        <w:tc>
          <w:tcPr>
            <w:tcW w:w="412" w:type="pct"/>
            <w:tcBorders>
              <w:top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I00</w:t>
            </w:r>
          </w:p>
        </w:tc>
        <w:tc>
          <w:tcPr>
            <w:tcW w:w="2713" w:type="pct"/>
            <w:tcBorders>
              <w:top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Total number of precursors</w:t>
            </w:r>
          </w:p>
        </w:tc>
        <w:tc>
          <w:tcPr>
            <w:tcW w:w="1087" w:type="pct"/>
            <w:tcBorders>
              <w:top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FD790F" w:rsidRDefault="007D3C14" w:rsidP="00FD790F">
            <w:pPr>
              <w:pStyle w:val="DoNotTranslateExternal4"/>
            </w:pPr>
            <w:r>
              <w:t>1445</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I01</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Total number of broken rails</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2767DC" w:rsidRDefault="00110AE7" w:rsidP="00FD790F">
            <w:pPr>
              <w:pStyle w:val="DoNotTranslateExternal4"/>
            </w:pPr>
            <w:r>
              <w:t>1293</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I02</w:t>
            </w:r>
          </w:p>
        </w:tc>
        <w:tc>
          <w:tcPr>
            <w:tcW w:w="2713" w:type="pct"/>
            <w:hideMark/>
          </w:tcPr>
          <w:p w:rsidR="00110AE7" w:rsidRPr="002767DC" w:rsidRDefault="00F47FE6" w:rsidP="004B0BE7">
            <w:pPr>
              <w:spacing w:before="60" w:after="60" w:line="240" w:lineRule="auto"/>
              <w:rPr>
                <w:color w:val="1F497D" w:themeColor="text2"/>
              </w:rPr>
            </w:pPr>
            <w:r>
              <w:rPr>
                <w:color w:val="1F497D" w:themeColor="text2"/>
              </w:rPr>
              <w:t xml:space="preserve">Total number of </w:t>
            </w:r>
            <w:r w:rsidR="004B0BE7">
              <w:rPr>
                <w:color w:val="1F497D" w:themeColor="text2"/>
              </w:rPr>
              <w:t xml:space="preserve">instances of </w:t>
            </w:r>
            <w:r>
              <w:rPr>
                <w:color w:val="1F497D" w:themeColor="text2"/>
              </w:rPr>
              <w:t>track buckling</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2767DC" w:rsidRDefault="00AD723C" w:rsidP="00FD790F">
            <w:pPr>
              <w:pStyle w:val="DoNotTranslateExternal4"/>
            </w:pPr>
            <w:r>
              <w:t>77</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I03</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Total number of signalling failures</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2767DC" w:rsidRDefault="005E6547" w:rsidP="00FD790F">
            <w:pPr>
              <w:pStyle w:val="DoNotTranslateExternal4"/>
            </w:pPr>
            <w:r>
              <w:t>10</w:t>
            </w:r>
          </w:p>
        </w:tc>
      </w:tr>
      <w:tr w:rsidR="00BA28C6" w:rsidRPr="002767DC" w:rsidTr="00AD7C3F">
        <w:trPr>
          <w:trHeight w:val="54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I04</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Total number of signals passed at danger</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2767DC" w:rsidRDefault="009B57DB" w:rsidP="00FD790F">
            <w:pPr>
              <w:pStyle w:val="DoNotTranslateExternal4"/>
            </w:pPr>
            <w:r>
              <w:t>64</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I05</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Total number of broken wheels on rolling stock in service</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2767DC" w:rsidRDefault="007D3C14" w:rsidP="00FD790F">
            <w:pPr>
              <w:pStyle w:val="DoNotTranslateExternal4"/>
            </w:pPr>
            <w:r>
              <w:t>1</w:t>
            </w:r>
          </w:p>
        </w:tc>
      </w:tr>
      <w:tr w:rsidR="00BA28C6" w:rsidRPr="002767DC" w:rsidTr="00AD7C3F">
        <w:trPr>
          <w:trHeight w:val="70"/>
        </w:trPr>
        <w:tc>
          <w:tcPr>
            <w:tcW w:w="412" w:type="pct"/>
            <w:tcBorders>
              <w:bottom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I06</w:t>
            </w:r>
          </w:p>
        </w:tc>
        <w:tc>
          <w:tcPr>
            <w:tcW w:w="2713" w:type="pct"/>
            <w:tcBorders>
              <w:bottom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Total number of broken axles on rolling stock in service</w:t>
            </w:r>
          </w:p>
        </w:tc>
        <w:tc>
          <w:tcPr>
            <w:tcW w:w="1087" w:type="pct"/>
            <w:tcBorders>
              <w:bottom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2767DC" w:rsidRDefault="00AD723C" w:rsidP="00FD790F">
            <w:pPr>
              <w:pStyle w:val="DoNotTranslateExternal4"/>
            </w:pPr>
            <w:r>
              <w:t>0</w:t>
            </w:r>
          </w:p>
        </w:tc>
      </w:tr>
    </w:tbl>
    <w:p w:rsidR="00FA13C5" w:rsidRDefault="00FA13C5">
      <w:r>
        <w:br w:type="page"/>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2767DC"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2767DC" w:rsidRDefault="0089056F" w:rsidP="0089056F">
            <w:pPr>
              <w:spacing w:before="60" w:after="60" w:line="240" w:lineRule="auto"/>
              <w:jc w:val="left"/>
              <w:rPr>
                <w:b/>
                <w:color w:val="1F497D" w:themeColor="text2"/>
              </w:rPr>
            </w:pPr>
            <w:r>
              <w:rPr>
                <w:b/>
                <w:color w:val="1F497D" w:themeColor="text2"/>
              </w:rPr>
              <w:lastRenderedPageBreak/>
              <w:t>5. Indicators to calculate the economic impact of accidents</w:t>
            </w:r>
          </w:p>
        </w:tc>
      </w:tr>
      <w:tr w:rsidR="00BA28C6" w:rsidRPr="002767DC" w:rsidTr="00AD7C3F">
        <w:trPr>
          <w:trHeight w:val="50"/>
        </w:trPr>
        <w:tc>
          <w:tcPr>
            <w:tcW w:w="412" w:type="pct"/>
            <w:tcBorders>
              <w:top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C00</w:t>
            </w:r>
          </w:p>
        </w:tc>
        <w:tc>
          <w:tcPr>
            <w:tcW w:w="2713" w:type="pct"/>
            <w:tcBorders>
              <w:top w:val="double" w:sz="4" w:space="0" w:color="auto"/>
            </w:tcBorders>
            <w:hideMark/>
          </w:tcPr>
          <w:p w:rsidR="00110AE7" w:rsidRPr="002767DC" w:rsidRDefault="00110AE7" w:rsidP="009B1787">
            <w:pPr>
              <w:spacing w:before="60" w:after="60" w:line="240" w:lineRule="auto"/>
              <w:rPr>
                <w:color w:val="1F497D" w:themeColor="text2"/>
              </w:rPr>
            </w:pPr>
            <w:r>
              <w:rPr>
                <w:color w:val="1F497D" w:themeColor="text2"/>
              </w:rPr>
              <w:t>Economic impact of ALL accidents</w:t>
            </w:r>
          </w:p>
        </w:tc>
        <w:tc>
          <w:tcPr>
            <w:tcW w:w="1087" w:type="pct"/>
            <w:tcBorders>
              <w:top w:val="double" w:sz="4" w:space="0" w:color="auto"/>
            </w:tcBorders>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tcBorders>
              <w:top w:val="double" w:sz="4" w:space="0" w:color="auto"/>
            </w:tcBorders>
            <w:noWrap/>
            <w:hideMark/>
          </w:tcPr>
          <w:p w:rsidR="00110AE7" w:rsidRPr="002767DC" w:rsidRDefault="002767DC" w:rsidP="00FD790F">
            <w:pPr>
              <w:pStyle w:val="DoNotTranslateExternal4"/>
            </w:pPr>
            <w:r>
              <w:t>215390000</w:t>
            </w:r>
          </w:p>
        </w:tc>
      </w:tr>
      <w:tr w:rsidR="002767DC" w:rsidRPr="002767DC" w:rsidTr="0089056F">
        <w:trPr>
          <w:trHeight w:val="269"/>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C10</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Economic impact of significant accidents ONLY</w:t>
            </w:r>
          </w:p>
        </w:tc>
        <w:tc>
          <w:tcPr>
            <w:tcW w:w="1087" w:type="pct"/>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noWrap/>
          </w:tcPr>
          <w:p w:rsidR="00110AE7" w:rsidRPr="002767DC" w:rsidRDefault="002767DC" w:rsidP="00FD790F">
            <w:pPr>
              <w:pStyle w:val="DoNotTranslateExternal4"/>
            </w:pPr>
            <w:r>
              <w:t>160215127</w:t>
            </w:r>
          </w:p>
        </w:tc>
      </w:tr>
      <w:tr w:rsidR="002767DC" w:rsidRPr="002767DC" w:rsidTr="0089056F">
        <w:trPr>
          <w:trHeight w:val="231"/>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C01</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Economic impact of fatalities</w:t>
            </w:r>
          </w:p>
        </w:tc>
        <w:tc>
          <w:tcPr>
            <w:tcW w:w="1087" w:type="pct"/>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noWrap/>
          </w:tcPr>
          <w:p w:rsidR="00110AE7" w:rsidRPr="002767DC" w:rsidRDefault="002767DC" w:rsidP="00FD790F">
            <w:pPr>
              <w:pStyle w:val="DoNotTranslateExternal4"/>
            </w:pPr>
            <w:r>
              <w:t>128997200</w:t>
            </w:r>
          </w:p>
        </w:tc>
      </w:tr>
      <w:tr w:rsidR="002767DC" w:rsidRPr="002767DC" w:rsidTr="0089056F">
        <w:trPr>
          <w:trHeight w:val="321"/>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C02</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Economic impact of serious injuries</w:t>
            </w:r>
          </w:p>
        </w:tc>
        <w:tc>
          <w:tcPr>
            <w:tcW w:w="1087" w:type="pct"/>
            <w:hideMark/>
          </w:tcPr>
          <w:p w:rsidR="00110AE7" w:rsidRPr="002767DC" w:rsidRDefault="00110AE7" w:rsidP="009B1787">
            <w:pPr>
              <w:spacing w:before="60" w:after="60" w:line="240" w:lineRule="auto"/>
              <w:rPr>
                <w:color w:val="1F497D" w:themeColor="text2"/>
              </w:rPr>
            </w:pPr>
            <w:r>
              <w:rPr>
                <w:color w:val="1F497D" w:themeColor="text2"/>
              </w:rPr>
              <w:t>Numeric value in €</w:t>
            </w:r>
          </w:p>
        </w:tc>
        <w:tc>
          <w:tcPr>
            <w:tcW w:w="788" w:type="pct"/>
            <w:noWrap/>
          </w:tcPr>
          <w:p w:rsidR="00110AE7" w:rsidRPr="002767DC" w:rsidRDefault="002767DC" w:rsidP="00FD790F">
            <w:pPr>
              <w:pStyle w:val="DoNotTranslateExternal4"/>
            </w:pPr>
            <w:r>
              <w:t>8112136</w:t>
            </w:r>
          </w:p>
        </w:tc>
      </w:tr>
      <w:tr w:rsidR="00BA28C6" w:rsidRPr="002767DC" w:rsidTr="00AD7C3F">
        <w:trPr>
          <w:trHeight w:val="70"/>
        </w:trPr>
        <w:tc>
          <w:tcPr>
            <w:tcW w:w="5000" w:type="pct"/>
            <w:gridSpan w:val="4"/>
          </w:tcPr>
          <w:p w:rsidR="00110AE7" w:rsidRPr="002767DC" w:rsidRDefault="00110AE7" w:rsidP="009B1787">
            <w:pPr>
              <w:spacing w:before="60" w:after="60" w:line="240" w:lineRule="auto"/>
              <w:rPr>
                <w:b/>
                <w:color w:val="1F497D" w:themeColor="text2"/>
              </w:rPr>
            </w:pPr>
            <w:r>
              <w:rPr>
                <w:b/>
                <w:color w:val="1F497D" w:themeColor="text2"/>
              </w:rPr>
              <w:t>As a result of ALL accidents</w:t>
            </w:r>
          </w:p>
        </w:tc>
      </w:tr>
      <w:tr w:rsidR="00BA28C6" w:rsidRPr="002767DC" w:rsidTr="00AD7C3F">
        <w:trPr>
          <w:trHeight w:val="54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C03</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Cost of material damages to rolling stock or infrastructure (all accidents)</w:t>
            </w:r>
          </w:p>
        </w:tc>
        <w:tc>
          <w:tcPr>
            <w:tcW w:w="1087" w:type="pct"/>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2767DC" w:rsidRDefault="002767DC" w:rsidP="00FD790F">
            <w:pPr>
              <w:pStyle w:val="DoNotTranslateExternal4"/>
            </w:pPr>
            <w:r>
              <w:t>11654100</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C07</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Cost of damage to the environment (all accidents)</w:t>
            </w:r>
          </w:p>
        </w:tc>
        <w:tc>
          <w:tcPr>
            <w:tcW w:w="1087" w:type="pct"/>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2767DC" w:rsidRDefault="002767DC" w:rsidP="00FD790F">
            <w:pPr>
              <w:pStyle w:val="DoNotTranslateExternal4"/>
            </w:pPr>
            <w:r>
              <w:t>80942</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C04</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Cost of delays as a consequence of all accidents</w:t>
            </w:r>
          </w:p>
        </w:tc>
        <w:tc>
          <w:tcPr>
            <w:tcW w:w="1087" w:type="pct"/>
            <w:hideMark/>
          </w:tcPr>
          <w:p w:rsidR="00110AE7" w:rsidRPr="002767D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2767DC" w:rsidRDefault="002767DC" w:rsidP="00FD790F">
            <w:pPr>
              <w:pStyle w:val="DoNotTranslateExternal4"/>
            </w:pPr>
            <w:r>
              <w:t>66545622</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C05</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Minutes of delays of passenger trains (all accidents)</w:t>
            </w:r>
          </w:p>
        </w:tc>
        <w:tc>
          <w:tcPr>
            <w:tcW w:w="1087" w:type="pct"/>
            <w:hideMark/>
          </w:tcPr>
          <w:p w:rsidR="00110AE7" w:rsidRPr="002767DC" w:rsidRDefault="00110AE7" w:rsidP="0031184E">
            <w:pPr>
              <w:spacing w:before="60" w:after="60" w:line="240" w:lineRule="auto"/>
              <w:jc w:val="left"/>
              <w:rPr>
                <w:color w:val="1F497D" w:themeColor="text2"/>
              </w:rPr>
            </w:pPr>
            <w:r>
              <w:rPr>
                <w:color w:val="1F497D" w:themeColor="text2"/>
              </w:rPr>
              <w:t>Numeric value (minutes)</w:t>
            </w:r>
          </w:p>
        </w:tc>
        <w:tc>
          <w:tcPr>
            <w:tcW w:w="788" w:type="pct"/>
            <w:noWrap/>
            <w:hideMark/>
          </w:tcPr>
          <w:p w:rsidR="00110AE7" w:rsidRPr="002767DC" w:rsidRDefault="002767DC" w:rsidP="00FD790F">
            <w:pPr>
              <w:pStyle w:val="DoNotTranslateExternal4"/>
            </w:pPr>
            <w:r>
              <w:t>240610</w:t>
            </w:r>
          </w:p>
        </w:tc>
      </w:tr>
      <w:tr w:rsidR="00BA28C6" w:rsidRPr="002767DC" w:rsidTr="00AD7C3F">
        <w:trPr>
          <w:trHeight w:val="70"/>
        </w:trPr>
        <w:tc>
          <w:tcPr>
            <w:tcW w:w="412" w:type="pct"/>
            <w:hideMark/>
          </w:tcPr>
          <w:p w:rsidR="00110AE7" w:rsidRPr="002767DC" w:rsidRDefault="00110AE7" w:rsidP="009B1787">
            <w:pPr>
              <w:spacing w:before="60" w:after="60" w:line="240" w:lineRule="auto"/>
              <w:rPr>
                <w:color w:val="1F497D" w:themeColor="text2"/>
              </w:rPr>
            </w:pPr>
            <w:r>
              <w:rPr>
                <w:color w:val="1F497D" w:themeColor="text2"/>
              </w:rPr>
              <w:t>C06</w:t>
            </w:r>
          </w:p>
        </w:tc>
        <w:tc>
          <w:tcPr>
            <w:tcW w:w="2713" w:type="pct"/>
            <w:hideMark/>
          </w:tcPr>
          <w:p w:rsidR="00110AE7" w:rsidRPr="002767DC" w:rsidRDefault="00110AE7" w:rsidP="009B1787">
            <w:pPr>
              <w:spacing w:before="60" w:after="60" w:line="240" w:lineRule="auto"/>
              <w:rPr>
                <w:color w:val="1F497D" w:themeColor="text2"/>
              </w:rPr>
            </w:pPr>
            <w:r>
              <w:rPr>
                <w:color w:val="1F497D" w:themeColor="text2"/>
              </w:rPr>
              <w:t>Minutes of delays of freight trains (all accidents)</w:t>
            </w:r>
          </w:p>
        </w:tc>
        <w:tc>
          <w:tcPr>
            <w:tcW w:w="1087" w:type="pct"/>
            <w:hideMark/>
          </w:tcPr>
          <w:p w:rsidR="00110AE7" w:rsidRPr="002767DC" w:rsidRDefault="00110AE7" w:rsidP="0031184E">
            <w:pPr>
              <w:spacing w:before="60" w:after="60" w:line="240" w:lineRule="auto"/>
              <w:jc w:val="left"/>
              <w:rPr>
                <w:color w:val="1F497D" w:themeColor="text2"/>
              </w:rPr>
            </w:pPr>
            <w:r>
              <w:rPr>
                <w:color w:val="1F497D" w:themeColor="text2"/>
              </w:rPr>
              <w:t>Numeric value (minutes)</w:t>
            </w:r>
          </w:p>
        </w:tc>
        <w:tc>
          <w:tcPr>
            <w:tcW w:w="788" w:type="pct"/>
            <w:noWrap/>
            <w:hideMark/>
          </w:tcPr>
          <w:p w:rsidR="00110AE7" w:rsidRPr="002767DC" w:rsidRDefault="002767DC" w:rsidP="00FD790F">
            <w:pPr>
              <w:pStyle w:val="DoNotTranslateExternal4"/>
            </w:pPr>
            <w:r>
              <w:t>396905</w:t>
            </w:r>
          </w:p>
        </w:tc>
      </w:tr>
      <w:tr w:rsidR="00BA28C6" w:rsidRPr="00325A18" w:rsidTr="00AD7C3F">
        <w:trPr>
          <w:trHeight w:val="70"/>
        </w:trPr>
        <w:tc>
          <w:tcPr>
            <w:tcW w:w="5000" w:type="pct"/>
            <w:gridSpan w:val="4"/>
          </w:tcPr>
          <w:p w:rsidR="00110AE7" w:rsidRPr="00325A18" w:rsidRDefault="00110AE7" w:rsidP="008B7128">
            <w:pPr>
              <w:spacing w:before="60" w:after="60" w:line="240" w:lineRule="auto"/>
              <w:rPr>
                <w:b/>
                <w:color w:val="1F497D" w:themeColor="text2"/>
              </w:rPr>
            </w:pPr>
            <w:r>
              <w:rPr>
                <w:b/>
                <w:color w:val="1F497D" w:themeColor="text2"/>
              </w:rPr>
              <w:t>As a result of significant accidents ONLY</w:t>
            </w:r>
          </w:p>
        </w:tc>
      </w:tr>
      <w:tr w:rsidR="00BA28C6" w:rsidRPr="00325A18" w:rsidTr="00AD7C3F">
        <w:trPr>
          <w:trHeight w:val="70"/>
        </w:trPr>
        <w:tc>
          <w:tcPr>
            <w:tcW w:w="412" w:type="pct"/>
            <w:hideMark/>
          </w:tcPr>
          <w:p w:rsidR="00110AE7" w:rsidRPr="00325A18" w:rsidRDefault="00110AE7" w:rsidP="009B1787">
            <w:pPr>
              <w:spacing w:before="60" w:after="60" w:line="240" w:lineRule="auto"/>
              <w:rPr>
                <w:color w:val="1F497D" w:themeColor="text2"/>
              </w:rPr>
            </w:pPr>
            <w:r>
              <w:rPr>
                <w:color w:val="1F497D" w:themeColor="text2"/>
              </w:rPr>
              <w:t>C13</w:t>
            </w:r>
          </w:p>
        </w:tc>
        <w:tc>
          <w:tcPr>
            <w:tcW w:w="2713" w:type="pct"/>
            <w:hideMark/>
          </w:tcPr>
          <w:p w:rsidR="00110AE7" w:rsidRPr="00325A18" w:rsidRDefault="00110AE7" w:rsidP="009B1787">
            <w:pPr>
              <w:spacing w:before="60" w:after="60" w:line="240" w:lineRule="auto"/>
              <w:rPr>
                <w:color w:val="1F497D" w:themeColor="text2"/>
              </w:rPr>
            </w:pPr>
            <w:r>
              <w:rPr>
                <w:color w:val="1F497D" w:themeColor="text2"/>
              </w:rPr>
              <w:t>Cost of material damages to rolling stock or infrastructure (significant accidents)</w:t>
            </w:r>
          </w:p>
        </w:tc>
        <w:tc>
          <w:tcPr>
            <w:tcW w:w="1087" w:type="pct"/>
            <w:hideMark/>
          </w:tcPr>
          <w:p w:rsidR="00110AE7" w:rsidRPr="00325A18"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325A18" w:rsidRDefault="00325A18" w:rsidP="00FD790F">
            <w:pPr>
              <w:pStyle w:val="DoNotTranslateExternal4"/>
            </w:pPr>
            <w:r>
              <w:t>6518608</w:t>
            </w:r>
          </w:p>
        </w:tc>
      </w:tr>
      <w:tr w:rsidR="00BA28C6" w:rsidRPr="00445BAA" w:rsidTr="00AD7C3F">
        <w:trPr>
          <w:trHeight w:val="70"/>
        </w:trPr>
        <w:tc>
          <w:tcPr>
            <w:tcW w:w="412" w:type="pct"/>
            <w:hideMark/>
          </w:tcPr>
          <w:p w:rsidR="00110AE7" w:rsidRPr="00445BAA" w:rsidRDefault="00110AE7" w:rsidP="009B1787">
            <w:pPr>
              <w:spacing w:before="60" w:after="60" w:line="240" w:lineRule="auto"/>
              <w:rPr>
                <w:color w:val="1F497D" w:themeColor="text2"/>
              </w:rPr>
            </w:pPr>
            <w:r>
              <w:rPr>
                <w:color w:val="1F497D" w:themeColor="text2"/>
              </w:rPr>
              <w:t>C17</w:t>
            </w:r>
          </w:p>
        </w:tc>
        <w:tc>
          <w:tcPr>
            <w:tcW w:w="2713" w:type="pct"/>
            <w:hideMark/>
          </w:tcPr>
          <w:p w:rsidR="00110AE7" w:rsidRPr="00445BAA" w:rsidRDefault="00110AE7" w:rsidP="009B1787">
            <w:pPr>
              <w:spacing w:before="60" w:after="60" w:line="240" w:lineRule="auto"/>
              <w:rPr>
                <w:color w:val="1F497D" w:themeColor="text2"/>
              </w:rPr>
            </w:pPr>
            <w:r>
              <w:rPr>
                <w:color w:val="1F497D" w:themeColor="text2"/>
              </w:rPr>
              <w:t>Cost of damage to the environment (significant accidents)</w:t>
            </w:r>
          </w:p>
        </w:tc>
        <w:tc>
          <w:tcPr>
            <w:tcW w:w="1087" w:type="pct"/>
            <w:hideMark/>
          </w:tcPr>
          <w:p w:rsidR="00110AE7" w:rsidRPr="00445BAA"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445BAA" w:rsidRDefault="00445BAA" w:rsidP="00FD790F">
            <w:pPr>
              <w:pStyle w:val="DoNotTranslateExternal4"/>
            </w:pPr>
            <w:r>
              <w:t>0</w:t>
            </w:r>
          </w:p>
        </w:tc>
      </w:tr>
      <w:tr w:rsidR="00BA28C6" w:rsidRPr="00445BAA" w:rsidTr="00AD7C3F">
        <w:trPr>
          <w:trHeight w:val="70"/>
        </w:trPr>
        <w:tc>
          <w:tcPr>
            <w:tcW w:w="412" w:type="pct"/>
            <w:hideMark/>
          </w:tcPr>
          <w:p w:rsidR="00110AE7" w:rsidRPr="00445BAA" w:rsidRDefault="00110AE7" w:rsidP="009B1787">
            <w:pPr>
              <w:spacing w:before="60" w:after="60" w:line="240" w:lineRule="auto"/>
              <w:rPr>
                <w:color w:val="1F497D" w:themeColor="text2"/>
              </w:rPr>
            </w:pPr>
            <w:r>
              <w:rPr>
                <w:color w:val="1F497D" w:themeColor="text2"/>
              </w:rPr>
              <w:t>C14</w:t>
            </w:r>
          </w:p>
        </w:tc>
        <w:tc>
          <w:tcPr>
            <w:tcW w:w="2713" w:type="pct"/>
            <w:hideMark/>
          </w:tcPr>
          <w:p w:rsidR="00110AE7" w:rsidRPr="00445BAA" w:rsidRDefault="00110AE7" w:rsidP="009B1787">
            <w:pPr>
              <w:spacing w:before="60" w:after="60" w:line="240" w:lineRule="auto"/>
              <w:rPr>
                <w:color w:val="1F497D" w:themeColor="text2"/>
              </w:rPr>
            </w:pPr>
            <w:r>
              <w:rPr>
                <w:color w:val="1F497D" w:themeColor="text2"/>
              </w:rPr>
              <w:t>Cost of delays as a consequence of significant accidents</w:t>
            </w:r>
          </w:p>
        </w:tc>
        <w:tc>
          <w:tcPr>
            <w:tcW w:w="1087" w:type="pct"/>
            <w:hideMark/>
          </w:tcPr>
          <w:p w:rsidR="00110AE7" w:rsidRPr="00445BAA" w:rsidRDefault="00110AE7" w:rsidP="0031184E">
            <w:pPr>
              <w:spacing w:before="60" w:after="60" w:line="240" w:lineRule="auto"/>
              <w:rPr>
                <w:color w:val="1F497D" w:themeColor="text2"/>
              </w:rPr>
            </w:pPr>
            <w:r>
              <w:rPr>
                <w:color w:val="1F497D" w:themeColor="text2"/>
              </w:rPr>
              <w:t>Numeric value in €</w:t>
            </w:r>
          </w:p>
        </w:tc>
        <w:tc>
          <w:tcPr>
            <w:tcW w:w="788" w:type="pct"/>
            <w:noWrap/>
            <w:hideMark/>
          </w:tcPr>
          <w:p w:rsidR="00110AE7" w:rsidRPr="00445BAA" w:rsidRDefault="00445BAA" w:rsidP="00FD790F">
            <w:pPr>
              <w:pStyle w:val="DoNotTranslateExternal4"/>
            </w:pPr>
            <w:r>
              <w:t>16587183</w:t>
            </w:r>
          </w:p>
        </w:tc>
      </w:tr>
      <w:tr w:rsidR="00BA28C6" w:rsidRPr="00445BAA" w:rsidTr="00AD7C3F">
        <w:trPr>
          <w:trHeight w:val="70"/>
        </w:trPr>
        <w:tc>
          <w:tcPr>
            <w:tcW w:w="412" w:type="pct"/>
            <w:hideMark/>
          </w:tcPr>
          <w:p w:rsidR="00110AE7" w:rsidRPr="00445BAA" w:rsidRDefault="00110AE7" w:rsidP="009B1787">
            <w:pPr>
              <w:spacing w:before="60" w:after="60" w:line="240" w:lineRule="auto"/>
              <w:rPr>
                <w:color w:val="1F497D" w:themeColor="text2"/>
              </w:rPr>
            </w:pPr>
            <w:r>
              <w:rPr>
                <w:color w:val="1F497D" w:themeColor="text2"/>
              </w:rPr>
              <w:t>C15</w:t>
            </w:r>
          </w:p>
        </w:tc>
        <w:tc>
          <w:tcPr>
            <w:tcW w:w="2713" w:type="pct"/>
            <w:hideMark/>
          </w:tcPr>
          <w:p w:rsidR="00110AE7" w:rsidRPr="00445BAA" w:rsidRDefault="00110AE7" w:rsidP="009B1787">
            <w:pPr>
              <w:spacing w:before="60" w:after="60" w:line="240" w:lineRule="auto"/>
              <w:rPr>
                <w:color w:val="1F497D" w:themeColor="text2"/>
              </w:rPr>
            </w:pPr>
            <w:r>
              <w:rPr>
                <w:color w:val="1F497D" w:themeColor="text2"/>
              </w:rPr>
              <w:t>Minutes of delays of passenger trains (significant accidents)</w:t>
            </w:r>
          </w:p>
        </w:tc>
        <w:tc>
          <w:tcPr>
            <w:tcW w:w="1087" w:type="pct"/>
            <w:hideMark/>
          </w:tcPr>
          <w:p w:rsidR="00110AE7" w:rsidRPr="00445BAA" w:rsidRDefault="00110AE7" w:rsidP="0031184E">
            <w:pPr>
              <w:spacing w:before="60" w:after="60" w:line="240" w:lineRule="auto"/>
              <w:jc w:val="left"/>
              <w:rPr>
                <w:color w:val="1F497D" w:themeColor="text2"/>
              </w:rPr>
            </w:pPr>
            <w:r>
              <w:rPr>
                <w:color w:val="1F497D" w:themeColor="text2"/>
              </w:rPr>
              <w:t>Numeric value (minutes)</w:t>
            </w:r>
          </w:p>
        </w:tc>
        <w:tc>
          <w:tcPr>
            <w:tcW w:w="788" w:type="pct"/>
            <w:noWrap/>
            <w:hideMark/>
          </w:tcPr>
          <w:p w:rsidR="00110AE7" w:rsidRPr="00445BAA" w:rsidRDefault="00445BAA" w:rsidP="00FD790F">
            <w:pPr>
              <w:pStyle w:val="DoNotTranslateExternal4"/>
            </w:pPr>
            <w:r>
              <w:t>77133</w:t>
            </w:r>
          </w:p>
        </w:tc>
      </w:tr>
      <w:tr w:rsidR="00BA28C6" w:rsidRPr="00445BAA" w:rsidTr="00AD7C3F">
        <w:trPr>
          <w:trHeight w:val="70"/>
        </w:trPr>
        <w:tc>
          <w:tcPr>
            <w:tcW w:w="412" w:type="pct"/>
            <w:tcBorders>
              <w:bottom w:val="double" w:sz="4" w:space="0" w:color="auto"/>
            </w:tcBorders>
            <w:hideMark/>
          </w:tcPr>
          <w:p w:rsidR="00110AE7" w:rsidRPr="00445BAA" w:rsidRDefault="00110AE7" w:rsidP="009B1787">
            <w:pPr>
              <w:spacing w:before="60" w:after="60" w:line="240" w:lineRule="auto"/>
              <w:rPr>
                <w:color w:val="1F497D" w:themeColor="text2"/>
              </w:rPr>
            </w:pPr>
            <w:r>
              <w:rPr>
                <w:color w:val="1F497D" w:themeColor="text2"/>
              </w:rPr>
              <w:t>C16</w:t>
            </w:r>
          </w:p>
        </w:tc>
        <w:tc>
          <w:tcPr>
            <w:tcW w:w="2713" w:type="pct"/>
            <w:tcBorders>
              <w:bottom w:val="double" w:sz="4" w:space="0" w:color="auto"/>
            </w:tcBorders>
            <w:hideMark/>
          </w:tcPr>
          <w:p w:rsidR="00110AE7" w:rsidRPr="00445BAA" w:rsidRDefault="00110AE7" w:rsidP="009B1787">
            <w:pPr>
              <w:spacing w:before="60" w:after="60" w:line="240" w:lineRule="auto"/>
              <w:rPr>
                <w:color w:val="1F497D" w:themeColor="text2"/>
              </w:rPr>
            </w:pPr>
            <w:r>
              <w:rPr>
                <w:color w:val="1F497D" w:themeColor="text2"/>
              </w:rPr>
              <w:t>Minutes of delays of freight trains (significant accidents)</w:t>
            </w:r>
          </w:p>
        </w:tc>
        <w:tc>
          <w:tcPr>
            <w:tcW w:w="1087" w:type="pct"/>
            <w:tcBorders>
              <w:bottom w:val="double" w:sz="4" w:space="0" w:color="auto"/>
            </w:tcBorders>
            <w:hideMark/>
          </w:tcPr>
          <w:p w:rsidR="00110AE7" w:rsidRPr="00445BAA" w:rsidRDefault="00110AE7" w:rsidP="0031184E">
            <w:pPr>
              <w:spacing w:before="60" w:after="60" w:line="240" w:lineRule="auto"/>
              <w:jc w:val="left"/>
              <w:rPr>
                <w:color w:val="1F497D" w:themeColor="text2"/>
              </w:rPr>
            </w:pPr>
            <w:r>
              <w:rPr>
                <w:color w:val="1F497D" w:themeColor="text2"/>
              </w:rPr>
              <w:t>Numeric value (minutes)</w:t>
            </w:r>
          </w:p>
        </w:tc>
        <w:tc>
          <w:tcPr>
            <w:tcW w:w="788" w:type="pct"/>
            <w:tcBorders>
              <w:bottom w:val="double" w:sz="4" w:space="0" w:color="auto"/>
            </w:tcBorders>
            <w:noWrap/>
            <w:hideMark/>
          </w:tcPr>
          <w:p w:rsidR="00110AE7" w:rsidRPr="00445BAA" w:rsidRDefault="00445BAA" w:rsidP="00FD790F">
            <w:pPr>
              <w:pStyle w:val="DoNotTranslateExternal4"/>
            </w:pPr>
            <w:r>
              <w:t>83503</w:t>
            </w:r>
          </w:p>
        </w:tc>
      </w:tr>
      <w:tr w:rsidR="00BA28C6" w:rsidRPr="00BA28C6" w:rsidTr="00AD7C3F">
        <w:trPr>
          <w:trHeight w:val="50"/>
        </w:trPr>
        <w:tc>
          <w:tcPr>
            <w:tcW w:w="5000" w:type="pct"/>
            <w:gridSpan w:val="4"/>
            <w:tcBorders>
              <w:top w:val="double" w:sz="4" w:space="0" w:color="auto"/>
              <w:bottom w:val="double" w:sz="4" w:space="0" w:color="auto"/>
            </w:tcBorders>
            <w:shd w:val="clear" w:color="auto" w:fill="D9D9D9" w:themeFill="background1" w:themeFillShade="D9"/>
          </w:tcPr>
          <w:p w:rsidR="00110AE7" w:rsidRPr="00BA28C6" w:rsidRDefault="0089056F" w:rsidP="0089056F">
            <w:pPr>
              <w:spacing w:before="60" w:after="60" w:line="240" w:lineRule="auto"/>
              <w:jc w:val="left"/>
              <w:rPr>
                <w:b/>
                <w:color w:val="1F497D" w:themeColor="text2"/>
              </w:rPr>
            </w:pPr>
            <w:r>
              <w:rPr>
                <w:b/>
                <w:color w:val="1F497D" w:themeColor="text2"/>
              </w:rPr>
              <w:t>6. Indicators relating to technical safety of infrastructure and its implementation</w:t>
            </w:r>
          </w:p>
        </w:tc>
      </w:tr>
      <w:tr w:rsidR="00BA28C6" w:rsidRPr="00BA28C6" w:rsidTr="00AD7C3F">
        <w:trPr>
          <w:trHeight w:val="540"/>
        </w:trPr>
        <w:tc>
          <w:tcPr>
            <w:tcW w:w="412"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T01</w:t>
            </w:r>
          </w:p>
        </w:tc>
        <w:tc>
          <w:tcPr>
            <w:tcW w:w="2713"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Percentage of tracks with Automatic Train Protection (ATP) in operation</w:t>
            </w:r>
          </w:p>
        </w:tc>
        <w:tc>
          <w:tcPr>
            <w:tcW w:w="1087"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Numeric value (%) (67% = 0.67)</w:t>
            </w:r>
          </w:p>
        </w:tc>
        <w:tc>
          <w:tcPr>
            <w:tcW w:w="788" w:type="pct"/>
            <w:tcBorders>
              <w:top w:val="double" w:sz="4" w:space="0" w:color="auto"/>
            </w:tcBorders>
            <w:noWrap/>
            <w:hideMark/>
          </w:tcPr>
          <w:p w:rsidR="00110AE7" w:rsidRPr="000F24AD" w:rsidRDefault="00110AE7" w:rsidP="000F24AD">
            <w:pPr>
              <w:spacing w:before="60" w:after="60"/>
              <w:rPr>
                <w:color w:val="1F497D"/>
              </w:rPr>
            </w:pPr>
            <w:r>
              <w:rPr>
                <w:color w:val="1F497D"/>
              </w:rPr>
              <w:t>0.00%</w:t>
            </w:r>
          </w:p>
        </w:tc>
      </w:tr>
      <w:tr w:rsidR="00BA28C6" w:rsidRPr="00BA28C6" w:rsidTr="00AD7C3F">
        <w:trPr>
          <w:trHeight w:val="54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T02</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Percentage of train kilometres using operational ATP systems</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 (%)</w:t>
            </w:r>
          </w:p>
        </w:tc>
        <w:tc>
          <w:tcPr>
            <w:tcW w:w="788" w:type="pct"/>
            <w:noWrap/>
            <w:hideMark/>
          </w:tcPr>
          <w:p w:rsidR="00110AE7" w:rsidRPr="000F24AD" w:rsidRDefault="00110AE7" w:rsidP="000F24AD">
            <w:pPr>
              <w:spacing w:before="60" w:after="60"/>
              <w:rPr>
                <w:color w:val="1F497D"/>
              </w:rPr>
            </w:pPr>
            <w:r>
              <w:rPr>
                <w:color w:val="1F497D"/>
              </w:rPr>
              <w:t>0.00%</w:t>
            </w:r>
          </w:p>
        </w:tc>
      </w:tr>
      <w:tr w:rsidR="00BA28C6" w:rsidRPr="00BA28C6" w:rsidTr="00AD7C3F">
        <w:trPr>
          <w:trHeight w:val="54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T03</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Total number of level crossings (active and passive)</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13447</w:t>
            </w:r>
          </w:p>
        </w:tc>
      </w:tr>
      <w:tr w:rsidR="00BA28C6" w:rsidRPr="00BA28C6" w:rsidTr="00AD7C3F">
        <w:trPr>
          <w:trHeight w:val="54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T06</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Total number of active level crossings</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5056</w:t>
            </w:r>
          </w:p>
        </w:tc>
      </w:tr>
      <w:tr w:rsidR="00BA28C6" w:rsidRPr="00BA28C6" w:rsidTr="00AD7C3F">
        <w:trPr>
          <w:trHeight w:val="7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T07</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automatic user</w:t>
            </w:r>
            <w:r>
              <w:noBreakHyphen/>
            </w:r>
            <w:r>
              <w:rPr>
                <w:color w:val="1F497D" w:themeColor="text2"/>
              </w:rPr>
              <w:t>side warning</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1291</w:t>
            </w:r>
          </w:p>
        </w:tc>
      </w:tr>
      <w:tr w:rsidR="00BA28C6" w:rsidRPr="00BA28C6" w:rsidTr="00AD7C3F">
        <w:trPr>
          <w:trHeight w:val="7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T08</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automatic user</w:t>
            </w:r>
            <w:r>
              <w:noBreakHyphen/>
            </w:r>
            <w:r>
              <w:rPr>
                <w:color w:val="1F497D" w:themeColor="text2"/>
              </w:rPr>
              <w:t>side protection</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110AE7" w:rsidP="00FD790F">
            <w:pPr>
              <w:pStyle w:val="DoNotTranslateExternal4"/>
            </w:pPr>
            <w:r>
              <w:t>0</w:t>
            </w:r>
          </w:p>
        </w:tc>
      </w:tr>
      <w:tr w:rsidR="00BA28C6" w:rsidRPr="00BA28C6" w:rsidTr="00AD7C3F">
        <w:trPr>
          <w:trHeight w:val="7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T09</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automatic user</w:t>
            </w:r>
            <w:r>
              <w:noBreakHyphen/>
            </w:r>
            <w:r>
              <w:rPr>
                <w:color w:val="1F497D" w:themeColor="text2"/>
              </w:rPr>
              <w:t>side protection and warning</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429</w:t>
            </w:r>
          </w:p>
        </w:tc>
      </w:tr>
      <w:tr w:rsidR="00BA28C6" w:rsidRPr="00BA28C6" w:rsidTr="00AD7C3F">
        <w:trPr>
          <w:trHeight w:val="540"/>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T10</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automatic user</w:t>
            </w:r>
            <w:r>
              <w:noBreakHyphen/>
            </w:r>
            <w:r>
              <w:rPr>
                <w:color w:val="1F497D" w:themeColor="text2"/>
              </w:rPr>
              <w:t>side protection and warning, and rail</w:t>
            </w:r>
            <w:r>
              <w:noBreakHyphen/>
            </w:r>
            <w:r>
              <w:rPr>
                <w:color w:val="1F497D" w:themeColor="text2"/>
              </w:rPr>
              <w:t>side protection</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BA28C6" w:rsidP="00FD790F">
            <w:pPr>
              <w:pStyle w:val="DoNotTranslateExternal4"/>
            </w:pPr>
            <w:r>
              <w:t>506</w:t>
            </w:r>
          </w:p>
        </w:tc>
      </w:tr>
      <w:tr w:rsidR="00BA28C6" w:rsidRPr="00BA28C6" w:rsidTr="0089056F">
        <w:trPr>
          <w:trHeight w:val="407"/>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T11</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manual user</w:t>
            </w:r>
            <w:r>
              <w:noBreakHyphen/>
            </w:r>
            <w:r>
              <w:rPr>
                <w:color w:val="1F497D" w:themeColor="text2"/>
              </w:rPr>
              <w:t>side warning</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55</w:t>
            </w:r>
          </w:p>
        </w:tc>
      </w:tr>
      <w:tr w:rsidR="00BA28C6" w:rsidRPr="00BA28C6" w:rsidTr="0089056F">
        <w:trPr>
          <w:trHeight w:val="497"/>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T12</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manual user</w:t>
            </w:r>
            <w:r>
              <w:noBreakHyphen/>
            </w:r>
            <w:r>
              <w:rPr>
                <w:color w:val="1F497D" w:themeColor="text2"/>
              </w:rPr>
              <w:t>side protection</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7D3C14" w:rsidP="00FD790F">
            <w:pPr>
              <w:pStyle w:val="DoNotTranslateExternal4"/>
            </w:pPr>
            <w:r>
              <w:t>1216</w:t>
            </w:r>
          </w:p>
        </w:tc>
      </w:tr>
      <w:tr w:rsidR="00BA28C6" w:rsidRPr="00BA28C6" w:rsidTr="0089056F">
        <w:trPr>
          <w:trHeight w:val="445"/>
        </w:trPr>
        <w:tc>
          <w:tcPr>
            <w:tcW w:w="412" w:type="pct"/>
            <w:hideMark/>
          </w:tcPr>
          <w:p w:rsidR="00110AE7" w:rsidRPr="00BA28C6" w:rsidRDefault="00110AE7" w:rsidP="009B1787">
            <w:pPr>
              <w:spacing w:before="60" w:after="60" w:line="240" w:lineRule="auto"/>
              <w:rPr>
                <w:color w:val="1F497D" w:themeColor="text2"/>
              </w:rPr>
            </w:pPr>
            <w:r>
              <w:rPr>
                <w:color w:val="1F497D" w:themeColor="text2"/>
              </w:rPr>
              <w:t>T13</w:t>
            </w:r>
          </w:p>
        </w:tc>
        <w:tc>
          <w:tcPr>
            <w:tcW w:w="2713" w:type="pct"/>
            <w:hideMark/>
          </w:tcPr>
          <w:p w:rsidR="00110AE7" w:rsidRPr="00BA28C6" w:rsidRDefault="00110AE7" w:rsidP="009B1787">
            <w:pPr>
              <w:spacing w:before="60" w:after="60" w:line="240" w:lineRule="auto"/>
              <w:rPr>
                <w:color w:val="1F497D" w:themeColor="text2"/>
              </w:rPr>
            </w:pPr>
            <w:r>
              <w:rPr>
                <w:color w:val="1F497D" w:themeColor="text2"/>
              </w:rPr>
              <w:t>with manual user</w:t>
            </w:r>
            <w:r>
              <w:noBreakHyphen/>
            </w:r>
            <w:r>
              <w:rPr>
                <w:color w:val="1F497D" w:themeColor="text2"/>
              </w:rPr>
              <w:t>side protection and warning</w:t>
            </w:r>
          </w:p>
        </w:tc>
        <w:tc>
          <w:tcPr>
            <w:tcW w:w="1087" w:type="pct"/>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noWrap/>
            <w:hideMark/>
          </w:tcPr>
          <w:p w:rsidR="00110AE7" w:rsidRPr="00BA28C6" w:rsidRDefault="00110AE7" w:rsidP="00FD790F">
            <w:pPr>
              <w:pStyle w:val="DoNotTranslateExternal4"/>
            </w:pPr>
            <w:r>
              <w:t>1559</w:t>
            </w:r>
          </w:p>
        </w:tc>
      </w:tr>
      <w:tr w:rsidR="00BA28C6" w:rsidRPr="00BA28C6" w:rsidTr="00AD7C3F">
        <w:trPr>
          <w:trHeight w:val="540"/>
        </w:trPr>
        <w:tc>
          <w:tcPr>
            <w:tcW w:w="412"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T14</w:t>
            </w:r>
          </w:p>
        </w:tc>
        <w:tc>
          <w:tcPr>
            <w:tcW w:w="2713"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Total number of passive level crossings</w:t>
            </w:r>
          </w:p>
        </w:tc>
        <w:tc>
          <w:tcPr>
            <w:tcW w:w="1087"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tcBorders>
              <w:bottom w:val="double" w:sz="4" w:space="0" w:color="auto"/>
            </w:tcBorders>
            <w:noWrap/>
            <w:hideMark/>
          </w:tcPr>
          <w:p w:rsidR="00110AE7" w:rsidRPr="00BA28C6" w:rsidRDefault="007D3C14" w:rsidP="00FD790F">
            <w:pPr>
              <w:pStyle w:val="DoNotTranslateExternal4"/>
            </w:pPr>
            <w:r>
              <w:t>8391</w:t>
            </w:r>
          </w:p>
        </w:tc>
      </w:tr>
    </w:tbl>
    <w:p w:rsidR="00FA13C5" w:rsidRDefault="00FA13C5">
      <w:r>
        <w:br w:type="page"/>
      </w:r>
    </w:p>
    <w:tbl>
      <w:tblPr>
        <w:tblStyle w:val="TableGrid"/>
        <w:tblW w:w="4996"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18"/>
        <w:gridCol w:w="5386"/>
        <w:gridCol w:w="2158"/>
        <w:gridCol w:w="1564"/>
      </w:tblGrid>
      <w:tr w:rsidR="00BA28C6" w:rsidRPr="00BA28C6"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BA28C6" w:rsidRDefault="0089056F" w:rsidP="0089056F">
            <w:pPr>
              <w:spacing w:before="60" w:after="60" w:line="240" w:lineRule="auto"/>
              <w:jc w:val="left"/>
              <w:rPr>
                <w:b/>
                <w:color w:val="1F497D" w:themeColor="text2"/>
              </w:rPr>
            </w:pPr>
            <w:r>
              <w:rPr>
                <w:b/>
                <w:color w:val="1F497D" w:themeColor="text2"/>
              </w:rPr>
              <w:lastRenderedPageBreak/>
              <w:t>M. Indicators relating to the management of safety</w:t>
            </w:r>
          </w:p>
        </w:tc>
      </w:tr>
      <w:tr w:rsidR="00BA28C6" w:rsidRPr="00BA28C6" w:rsidTr="00AD7C3F">
        <w:trPr>
          <w:trHeight w:val="50"/>
        </w:trPr>
        <w:tc>
          <w:tcPr>
            <w:tcW w:w="412"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A01</w:t>
            </w:r>
          </w:p>
        </w:tc>
        <w:tc>
          <w:tcPr>
            <w:tcW w:w="2713"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Total number of accomplished audits</w:t>
            </w:r>
          </w:p>
        </w:tc>
        <w:tc>
          <w:tcPr>
            <w:tcW w:w="1087" w:type="pct"/>
            <w:tcBorders>
              <w:top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Numeric value</w:t>
            </w:r>
          </w:p>
        </w:tc>
        <w:tc>
          <w:tcPr>
            <w:tcW w:w="788" w:type="pct"/>
            <w:tcBorders>
              <w:top w:val="double" w:sz="4" w:space="0" w:color="auto"/>
            </w:tcBorders>
            <w:noWrap/>
            <w:hideMark/>
          </w:tcPr>
          <w:p w:rsidR="00110AE7" w:rsidRPr="00BA28C6" w:rsidRDefault="00BA28C6" w:rsidP="00FD790F">
            <w:pPr>
              <w:pStyle w:val="DoNotTranslateExternal4"/>
            </w:pPr>
            <w:r>
              <w:t>729</w:t>
            </w:r>
          </w:p>
        </w:tc>
      </w:tr>
      <w:tr w:rsidR="00BA28C6" w:rsidRPr="00BA28C6" w:rsidTr="00AD7C3F">
        <w:trPr>
          <w:trHeight w:val="70"/>
        </w:trPr>
        <w:tc>
          <w:tcPr>
            <w:tcW w:w="412"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A02</w:t>
            </w:r>
          </w:p>
        </w:tc>
        <w:tc>
          <w:tcPr>
            <w:tcW w:w="2713"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Percentage of audits accomplished/required (and/or planned)</w:t>
            </w:r>
          </w:p>
        </w:tc>
        <w:tc>
          <w:tcPr>
            <w:tcW w:w="1087" w:type="pct"/>
            <w:tcBorders>
              <w:bottom w:val="double" w:sz="4" w:space="0" w:color="auto"/>
            </w:tcBorders>
            <w:hideMark/>
          </w:tcPr>
          <w:p w:rsidR="00110AE7" w:rsidRPr="00BA28C6" w:rsidRDefault="00110AE7" w:rsidP="009B1787">
            <w:pPr>
              <w:spacing w:before="60" w:after="60" w:line="240" w:lineRule="auto"/>
              <w:rPr>
                <w:color w:val="1F497D" w:themeColor="text2"/>
              </w:rPr>
            </w:pPr>
            <w:r>
              <w:rPr>
                <w:color w:val="1F497D" w:themeColor="text2"/>
              </w:rPr>
              <w:t>Numeric value (%)</w:t>
            </w:r>
          </w:p>
        </w:tc>
        <w:tc>
          <w:tcPr>
            <w:tcW w:w="788" w:type="pct"/>
            <w:tcBorders>
              <w:bottom w:val="double" w:sz="4" w:space="0" w:color="auto"/>
            </w:tcBorders>
            <w:noWrap/>
            <w:hideMark/>
          </w:tcPr>
          <w:p w:rsidR="00110AE7" w:rsidRPr="000F24AD" w:rsidRDefault="007D3C14" w:rsidP="000F24AD">
            <w:pPr>
              <w:pStyle w:val="Tabelki"/>
              <w:rPr>
                <w:color w:val="1F497D"/>
              </w:rPr>
            </w:pPr>
            <w:r>
              <w:rPr>
                <w:color w:val="1F497D" w:themeColor="text2"/>
              </w:rPr>
              <w:t>99%</w:t>
            </w:r>
          </w:p>
        </w:tc>
      </w:tr>
      <w:tr w:rsidR="0089056F" w:rsidRPr="0089056F"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89056F" w:rsidRDefault="0089056F" w:rsidP="0089056F">
            <w:pPr>
              <w:spacing w:before="60" w:after="60" w:line="240" w:lineRule="auto"/>
              <w:jc w:val="left"/>
              <w:rPr>
                <w:b/>
                <w:color w:val="1F497D" w:themeColor="text2"/>
              </w:rPr>
            </w:pPr>
            <w:r>
              <w:rPr>
                <w:b/>
                <w:color w:val="1F497D" w:themeColor="text2"/>
              </w:rPr>
              <w:t>RT. Reference data traffic and infrastructure</w:t>
            </w:r>
          </w:p>
        </w:tc>
      </w:tr>
      <w:tr w:rsidR="00C964CB" w:rsidRPr="00C964CB" w:rsidTr="00AD7C3F">
        <w:trPr>
          <w:trHeight w:val="540"/>
        </w:trPr>
        <w:tc>
          <w:tcPr>
            <w:tcW w:w="412" w:type="pct"/>
            <w:tcBorders>
              <w:top w:val="double" w:sz="4" w:space="0" w:color="auto"/>
            </w:tcBorders>
            <w:hideMark/>
          </w:tcPr>
          <w:p w:rsidR="00110AE7" w:rsidRPr="00C964CB" w:rsidRDefault="00110AE7" w:rsidP="009B1787">
            <w:pPr>
              <w:spacing w:before="60" w:after="60" w:line="240" w:lineRule="auto"/>
              <w:rPr>
                <w:color w:val="1F497D" w:themeColor="text2"/>
              </w:rPr>
            </w:pPr>
            <w:r>
              <w:rPr>
                <w:color w:val="1F497D" w:themeColor="text2"/>
              </w:rPr>
              <w:t>R01</w:t>
            </w:r>
          </w:p>
        </w:tc>
        <w:tc>
          <w:tcPr>
            <w:tcW w:w="2713" w:type="pct"/>
            <w:tcBorders>
              <w:top w:val="double" w:sz="4" w:space="0" w:color="auto"/>
            </w:tcBorders>
            <w:hideMark/>
          </w:tcPr>
          <w:p w:rsidR="00110AE7" w:rsidRPr="00C964CB" w:rsidRDefault="00110AE7" w:rsidP="009B1787">
            <w:pPr>
              <w:spacing w:before="60" w:after="60" w:line="240" w:lineRule="auto"/>
              <w:rPr>
                <w:color w:val="1F497D" w:themeColor="text2"/>
              </w:rPr>
            </w:pPr>
            <w:r>
              <w:rPr>
                <w:color w:val="1F497D" w:themeColor="text2"/>
              </w:rPr>
              <w:t>Total number of train</w:t>
            </w:r>
            <w:r>
              <w:noBreakHyphen/>
            </w:r>
            <w:r>
              <w:rPr>
                <w:color w:val="1F497D" w:themeColor="text2"/>
              </w:rPr>
              <w:t xml:space="preserve">km </w:t>
            </w:r>
          </w:p>
        </w:tc>
        <w:tc>
          <w:tcPr>
            <w:tcW w:w="1087" w:type="pct"/>
            <w:tcBorders>
              <w:top w:val="double" w:sz="4" w:space="0" w:color="auto"/>
            </w:tcBorders>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train</w:t>
            </w:r>
            <w:r>
              <w:noBreakHyphen/>
            </w:r>
            <w:r>
              <w:rPr>
                <w:color w:val="1F497D" w:themeColor="text2"/>
              </w:rPr>
              <w:t>km)</w:t>
            </w:r>
          </w:p>
        </w:tc>
        <w:tc>
          <w:tcPr>
            <w:tcW w:w="788" w:type="pct"/>
            <w:tcBorders>
              <w:top w:val="double" w:sz="4" w:space="0" w:color="auto"/>
            </w:tcBorders>
            <w:noWrap/>
            <w:hideMark/>
          </w:tcPr>
          <w:p w:rsidR="00110AE7" w:rsidRPr="000F24AD" w:rsidRDefault="007D3C14" w:rsidP="000F24AD">
            <w:pPr>
              <w:pStyle w:val="Tabelki"/>
              <w:rPr>
                <w:color w:val="1F497D" w:themeColor="text2"/>
              </w:rPr>
            </w:pPr>
            <w:r>
              <w:rPr>
                <w:color w:val="1F497D" w:themeColor="text2"/>
              </w:rPr>
              <w:t>213.420</w:t>
            </w:r>
          </w:p>
        </w:tc>
      </w:tr>
      <w:tr w:rsidR="00C964CB" w:rsidRPr="00C964CB" w:rsidTr="00AD7C3F">
        <w:trPr>
          <w:trHeight w:val="540"/>
        </w:trPr>
        <w:tc>
          <w:tcPr>
            <w:tcW w:w="412" w:type="pct"/>
            <w:hideMark/>
          </w:tcPr>
          <w:p w:rsidR="00110AE7" w:rsidRPr="00C964CB" w:rsidRDefault="00110AE7" w:rsidP="009B1787">
            <w:pPr>
              <w:spacing w:before="60" w:after="60" w:line="240" w:lineRule="auto"/>
              <w:rPr>
                <w:color w:val="1F497D" w:themeColor="text2"/>
              </w:rPr>
            </w:pPr>
            <w:r>
              <w:rPr>
                <w:color w:val="1F497D" w:themeColor="text2"/>
              </w:rPr>
              <w:t>R02</w:t>
            </w:r>
          </w:p>
        </w:tc>
        <w:tc>
          <w:tcPr>
            <w:tcW w:w="2713" w:type="pct"/>
            <w:hideMark/>
          </w:tcPr>
          <w:p w:rsidR="00110AE7" w:rsidRPr="00C964CB" w:rsidRDefault="00110AE7" w:rsidP="009B1787">
            <w:pPr>
              <w:spacing w:before="60" w:after="60" w:line="240" w:lineRule="auto"/>
              <w:rPr>
                <w:color w:val="1F497D" w:themeColor="text2"/>
              </w:rPr>
            </w:pPr>
            <w:r>
              <w:rPr>
                <w:color w:val="1F497D" w:themeColor="text2"/>
              </w:rPr>
              <w:t>Number of passenger</w:t>
            </w:r>
            <w:r>
              <w:noBreakHyphen/>
            </w:r>
            <w:r>
              <w:rPr>
                <w:color w:val="1F497D" w:themeColor="text2"/>
              </w:rPr>
              <w:t>km</w:t>
            </w:r>
          </w:p>
        </w:tc>
        <w:tc>
          <w:tcPr>
            <w:tcW w:w="1087" w:type="pct"/>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passenger</w:t>
            </w:r>
            <w:r>
              <w:noBreakHyphen/>
            </w:r>
            <w:r>
              <w:rPr>
                <w:color w:val="1F497D" w:themeColor="text2"/>
              </w:rPr>
              <w:t>km)</w:t>
            </w:r>
          </w:p>
        </w:tc>
        <w:tc>
          <w:tcPr>
            <w:tcW w:w="788" w:type="pct"/>
            <w:noWrap/>
            <w:hideMark/>
          </w:tcPr>
          <w:p w:rsidR="00110AE7" w:rsidRPr="000F24AD" w:rsidRDefault="00C964CB" w:rsidP="000F24AD">
            <w:pPr>
              <w:pStyle w:val="Tabelki"/>
              <w:rPr>
                <w:color w:val="1F497D" w:themeColor="text2"/>
              </w:rPr>
            </w:pPr>
            <w:r>
              <w:rPr>
                <w:color w:val="1F497D" w:themeColor="text2"/>
              </w:rPr>
              <w:t>15 943.227</w:t>
            </w:r>
          </w:p>
        </w:tc>
      </w:tr>
      <w:tr w:rsidR="00C964CB" w:rsidRPr="00C964CB" w:rsidTr="00AD7C3F">
        <w:trPr>
          <w:trHeight w:val="540"/>
        </w:trPr>
        <w:tc>
          <w:tcPr>
            <w:tcW w:w="412" w:type="pct"/>
            <w:hideMark/>
          </w:tcPr>
          <w:p w:rsidR="00110AE7" w:rsidRPr="00C964CB" w:rsidRDefault="00110AE7" w:rsidP="009B1787">
            <w:pPr>
              <w:spacing w:before="60" w:after="60" w:line="240" w:lineRule="auto"/>
              <w:rPr>
                <w:color w:val="1F497D" w:themeColor="text2"/>
              </w:rPr>
            </w:pPr>
            <w:r>
              <w:rPr>
                <w:color w:val="1F497D" w:themeColor="text2"/>
              </w:rPr>
              <w:t>R05</w:t>
            </w:r>
          </w:p>
        </w:tc>
        <w:tc>
          <w:tcPr>
            <w:tcW w:w="2713" w:type="pct"/>
            <w:hideMark/>
          </w:tcPr>
          <w:p w:rsidR="00110AE7" w:rsidRPr="00C964CB" w:rsidRDefault="00110AE7" w:rsidP="009B1787">
            <w:pPr>
              <w:spacing w:before="60" w:after="60" w:line="240" w:lineRule="auto"/>
              <w:rPr>
                <w:color w:val="1F497D" w:themeColor="text2"/>
              </w:rPr>
            </w:pPr>
            <w:r>
              <w:rPr>
                <w:color w:val="1F497D" w:themeColor="text2"/>
              </w:rPr>
              <w:t>Number of passenger train</w:t>
            </w:r>
            <w:r>
              <w:noBreakHyphen/>
            </w:r>
            <w:r>
              <w:rPr>
                <w:color w:val="1F497D" w:themeColor="text2"/>
              </w:rPr>
              <w:t>km</w:t>
            </w:r>
          </w:p>
        </w:tc>
        <w:tc>
          <w:tcPr>
            <w:tcW w:w="1087" w:type="pct"/>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train</w:t>
            </w:r>
            <w:r>
              <w:noBreakHyphen/>
            </w:r>
            <w:r>
              <w:rPr>
                <w:color w:val="1F497D" w:themeColor="text2"/>
              </w:rPr>
              <w:t>km)</w:t>
            </w:r>
          </w:p>
        </w:tc>
        <w:tc>
          <w:tcPr>
            <w:tcW w:w="788" w:type="pct"/>
            <w:noWrap/>
            <w:hideMark/>
          </w:tcPr>
          <w:p w:rsidR="00110AE7" w:rsidRPr="000F24AD" w:rsidRDefault="00C964CB" w:rsidP="000F24AD">
            <w:pPr>
              <w:pStyle w:val="Tabelki"/>
              <w:rPr>
                <w:color w:val="1F497D" w:themeColor="text2"/>
              </w:rPr>
            </w:pPr>
            <w:r>
              <w:rPr>
                <w:color w:val="1F497D" w:themeColor="text2"/>
              </w:rPr>
              <w:t>134.084</w:t>
            </w:r>
          </w:p>
        </w:tc>
      </w:tr>
      <w:tr w:rsidR="00C964CB" w:rsidRPr="00C964CB" w:rsidTr="00AD7C3F">
        <w:trPr>
          <w:trHeight w:val="540"/>
        </w:trPr>
        <w:tc>
          <w:tcPr>
            <w:tcW w:w="412" w:type="pct"/>
            <w:hideMark/>
          </w:tcPr>
          <w:p w:rsidR="00110AE7" w:rsidRPr="00C964CB" w:rsidRDefault="00110AE7" w:rsidP="009B1787">
            <w:pPr>
              <w:spacing w:before="60" w:after="60" w:line="240" w:lineRule="auto"/>
              <w:rPr>
                <w:color w:val="1F497D" w:themeColor="text2"/>
              </w:rPr>
            </w:pPr>
            <w:r>
              <w:rPr>
                <w:color w:val="1F497D" w:themeColor="text2"/>
              </w:rPr>
              <w:t>R06</w:t>
            </w:r>
          </w:p>
        </w:tc>
        <w:tc>
          <w:tcPr>
            <w:tcW w:w="2713" w:type="pct"/>
            <w:hideMark/>
          </w:tcPr>
          <w:p w:rsidR="00110AE7" w:rsidRPr="00C964CB" w:rsidRDefault="00110AE7" w:rsidP="009B1787">
            <w:pPr>
              <w:spacing w:before="60" w:after="60" w:line="240" w:lineRule="auto"/>
              <w:rPr>
                <w:color w:val="1F497D" w:themeColor="text2"/>
              </w:rPr>
            </w:pPr>
            <w:r>
              <w:rPr>
                <w:color w:val="1F497D" w:themeColor="text2"/>
              </w:rPr>
              <w:t>Number of freight train</w:t>
            </w:r>
            <w:r>
              <w:noBreakHyphen/>
            </w:r>
            <w:r>
              <w:rPr>
                <w:color w:val="1F497D" w:themeColor="text2"/>
              </w:rPr>
              <w:t>km</w:t>
            </w:r>
          </w:p>
        </w:tc>
        <w:tc>
          <w:tcPr>
            <w:tcW w:w="1087" w:type="pct"/>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train</w:t>
            </w:r>
            <w:r>
              <w:noBreakHyphen/>
            </w:r>
            <w:r>
              <w:rPr>
                <w:color w:val="1F497D" w:themeColor="text2"/>
              </w:rPr>
              <w:t>km)</w:t>
            </w:r>
          </w:p>
        </w:tc>
        <w:tc>
          <w:tcPr>
            <w:tcW w:w="788" w:type="pct"/>
            <w:noWrap/>
            <w:hideMark/>
          </w:tcPr>
          <w:p w:rsidR="00110AE7" w:rsidRPr="000F24AD" w:rsidRDefault="007D3C14" w:rsidP="000F24AD">
            <w:pPr>
              <w:pStyle w:val="Tabelki"/>
              <w:rPr>
                <w:color w:val="1F497D" w:themeColor="text2"/>
              </w:rPr>
            </w:pPr>
            <w:r>
              <w:rPr>
                <w:color w:val="1F497D" w:themeColor="text2"/>
              </w:rPr>
              <w:t>74.1421</w:t>
            </w:r>
          </w:p>
        </w:tc>
      </w:tr>
      <w:tr w:rsidR="00C964CB" w:rsidRPr="00C964CB" w:rsidTr="00AD7C3F">
        <w:trPr>
          <w:trHeight w:val="540"/>
        </w:trPr>
        <w:tc>
          <w:tcPr>
            <w:tcW w:w="412" w:type="pct"/>
            <w:hideMark/>
          </w:tcPr>
          <w:p w:rsidR="00110AE7" w:rsidRPr="00C964CB" w:rsidRDefault="00110AE7" w:rsidP="009B1787">
            <w:pPr>
              <w:spacing w:before="60" w:after="60" w:line="240" w:lineRule="auto"/>
              <w:rPr>
                <w:color w:val="1F497D" w:themeColor="text2"/>
              </w:rPr>
            </w:pPr>
            <w:r>
              <w:rPr>
                <w:color w:val="1F497D" w:themeColor="text2"/>
              </w:rPr>
              <w:t>R04</w:t>
            </w:r>
          </w:p>
        </w:tc>
        <w:tc>
          <w:tcPr>
            <w:tcW w:w="2713" w:type="pct"/>
            <w:hideMark/>
          </w:tcPr>
          <w:p w:rsidR="00110AE7" w:rsidRPr="00C964CB" w:rsidRDefault="00110AE7" w:rsidP="009B1787">
            <w:pPr>
              <w:spacing w:before="60" w:after="60" w:line="240" w:lineRule="auto"/>
              <w:rPr>
                <w:color w:val="1F497D" w:themeColor="text2"/>
              </w:rPr>
            </w:pPr>
            <w:r>
              <w:rPr>
                <w:color w:val="1F497D" w:themeColor="text2"/>
              </w:rPr>
              <w:t>Number of other train</w:t>
            </w:r>
            <w:r>
              <w:noBreakHyphen/>
            </w:r>
            <w:r>
              <w:rPr>
                <w:color w:val="1F497D" w:themeColor="text2"/>
              </w:rPr>
              <w:t>km</w:t>
            </w:r>
          </w:p>
        </w:tc>
        <w:tc>
          <w:tcPr>
            <w:tcW w:w="1087" w:type="pct"/>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train</w:t>
            </w:r>
            <w:r>
              <w:noBreakHyphen/>
            </w:r>
            <w:r>
              <w:rPr>
                <w:color w:val="1F497D" w:themeColor="text2"/>
              </w:rPr>
              <w:t>km)</w:t>
            </w:r>
          </w:p>
        </w:tc>
        <w:tc>
          <w:tcPr>
            <w:tcW w:w="788" w:type="pct"/>
            <w:noWrap/>
            <w:hideMark/>
          </w:tcPr>
          <w:p w:rsidR="00110AE7" w:rsidRPr="000F24AD" w:rsidRDefault="00C964CB" w:rsidP="000F24AD">
            <w:pPr>
              <w:pStyle w:val="Tabelki"/>
              <w:rPr>
                <w:color w:val="1F497D" w:themeColor="text2"/>
              </w:rPr>
            </w:pPr>
            <w:r>
              <w:rPr>
                <w:color w:val="1F497D" w:themeColor="text2"/>
              </w:rPr>
              <w:t>4.915</w:t>
            </w:r>
          </w:p>
        </w:tc>
      </w:tr>
      <w:tr w:rsidR="00C964CB" w:rsidRPr="00C964CB" w:rsidTr="00AD7C3F">
        <w:trPr>
          <w:trHeight w:val="540"/>
        </w:trPr>
        <w:tc>
          <w:tcPr>
            <w:tcW w:w="412" w:type="pct"/>
            <w:hideMark/>
          </w:tcPr>
          <w:p w:rsidR="00110AE7" w:rsidRPr="00C964CB" w:rsidRDefault="00110AE7" w:rsidP="009B1787">
            <w:pPr>
              <w:spacing w:before="60" w:after="60" w:line="240" w:lineRule="auto"/>
              <w:rPr>
                <w:color w:val="1F497D" w:themeColor="text2"/>
              </w:rPr>
            </w:pPr>
            <w:r>
              <w:rPr>
                <w:color w:val="1F497D" w:themeColor="text2"/>
              </w:rPr>
              <w:t>R07</w:t>
            </w:r>
          </w:p>
        </w:tc>
        <w:tc>
          <w:tcPr>
            <w:tcW w:w="2713" w:type="pct"/>
            <w:hideMark/>
          </w:tcPr>
          <w:p w:rsidR="00110AE7" w:rsidRPr="00C964CB" w:rsidRDefault="00110AE7" w:rsidP="009B1787">
            <w:pPr>
              <w:spacing w:before="60" w:after="60" w:line="240" w:lineRule="auto"/>
              <w:rPr>
                <w:color w:val="1F497D" w:themeColor="text2"/>
              </w:rPr>
            </w:pPr>
            <w:r>
              <w:rPr>
                <w:color w:val="1F497D" w:themeColor="text2"/>
              </w:rPr>
              <w:t>Number of freight tonne</w:t>
            </w:r>
            <w:r>
              <w:noBreakHyphen/>
            </w:r>
            <w:r>
              <w:rPr>
                <w:color w:val="1F497D" w:themeColor="text2"/>
              </w:rPr>
              <w:t>km</w:t>
            </w:r>
          </w:p>
        </w:tc>
        <w:tc>
          <w:tcPr>
            <w:tcW w:w="1087" w:type="pct"/>
            <w:hideMark/>
          </w:tcPr>
          <w:p w:rsidR="00110AE7" w:rsidRPr="00C964CB" w:rsidRDefault="00110AE7" w:rsidP="0031184E">
            <w:pPr>
              <w:spacing w:before="60" w:after="60" w:line="240" w:lineRule="auto"/>
              <w:jc w:val="left"/>
              <w:rPr>
                <w:color w:val="1F497D" w:themeColor="text2"/>
              </w:rPr>
            </w:pPr>
            <w:r>
              <w:rPr>
                <w:color w:val="1F497D" w:themeColor="text2"/>
              </w:rPr>
              <w:t>Numeric value (in million tonne</w:t>
            </w:r>
            <w:r>
              <w:noBreakHyphen/>
            </w:r>
            <w:r>
              <w:rPr>
                <w:color w:val="1F497D" w:themeColor="text2"/>
              </w:rPr>
              <w:t>km)</w:t>
            </w:r>
          </w:p>
        </w:tc>
        <w:tc>
          <w:tcPr>
            <w:tcW w:w="788" w:type="pct"/>
            <w:noWrap/>
            <w:hideMark/>
          </w:tcPr>
          <w:p w:rsidR="00110AE7" w:rsidRPr="000F24AD" w:rsidRDefault="00C964CB" w:rsidP="000F24AD">
            <w:pPr>
              <w:pStyle w:val="Tabelki"/>
              <w:rPr>
                <w:color w:val="1F497D" w:themeColor="text2"/>
              </w:rPr>
            </w:pPr>
            <w:r>
              <w:rPr>
                <w:color w:val="1F497D" w:themeColor="text2"/>
              </w:rPr>
              <w:t>157 332.592</w:t>
            </w:r>
          </w:p>
        </w:tc>
      </w:tr>
      <w:tr w:rsidR="006937F9" w:rsidRPr="006937F9" w:rsidTr="00AD7C3F">
        <w:trPr>
          <w:trHeight w:val="70"/>
        </w:trPr>
        <w:tc>
          <w:tcPr>
            <w:tcW w:w="412" w:type="pct"/>
            <w:hideMark/>
          </w:tcPr>
          <w:p w:rsidR="00110AE7" w:rsidRPr="006937F9" w:rsidRDefault="00110AE7" w:rsidP="009B1787">
            <w:pPr>
              <w:spacing w:before="60" w:after="60" w:line="240" w:lineRule="auto"/>
              <w:rPr>
                <w:color w:val="1F497D" w:themeColor="text2"/>
              </w:rPr>
            </w:pPr>
            <w:r>
              <w:rPr>
                <w:color w:val="1F497D" w:themeColor="text2"/>
              </w:rPr>
              <w:t>R08</w:t>
            </w:r>
          </w:p>
        </w:tc>
        <w:tc>
          <w:tcPr>
            <w:tcW w:w="2713" w:type="pct"/>
            <w:hideMark/>
          </w:tcPr>
          <w:p w:rsidR="00110AE7" w:rsidRPr="006937F9" w:rsidRDefault="00110AE7" w:rsidP="009B1787">
            <w:pPr>
              <w:spacing w:before="60" w:after="60" w:line="240" w:lineRule="auto"/>
              <w:rPr>
                <w:color w:val="1F497D" w:themeColor="text2"/>
              </w:rPr>
            </w:pPr>
            <w:r>
              <w:rPr>
                <w:color w:val="1F497D" w:themeColor="text2"/>
              </w:rPr>
              <w:t>Number of line kilometres (double track lines are to be counted ONCE)</w:t>
            </w:r>
          </w:p>
        </w:tc>
        <w:tc>
          <w:tcPr>
            <w:tcW w:w="1087" w:type="pct"/>
            <w:hideMark/>
          </w:tcPr>
          <w:p w:rsidR="00110AE7" w:rsidRPr="006937F9" w:rsidRDefault="00110AE7" w:rsidP="00473D4A">
            <w:pPr>
              <w:spacing w:before="60" w:after="60" w:line="240" w:lineRule="auto"/>
              <w:rPr>
                <w:color w:val="1F497D" w:themeColor="text2"/>
              </w:rPr>
            </w:pPr>
            <w:r>
              <w:rPr>
                <w:color w:val="1F497D" w:themeColor="text2"/>
              </w:rPr>
              <w:t>Numeric value (in km)</w:t>
            </w:r>
          </w:p>
        </w:tc>
        <w:tc>
          <w:tcPr>
            <w:tcW w:w="788" w:type="pct"/>
            <w:noWrap/>
            <w:hideMark/>
          </w:tcPr>
          <w:p w:rsidR="00110AE7" w:rsidRPr="000F24AD" w:rsidRDefault="007D3C14" w:rsidP="000F24AD">
            <w:pPr>
              <w:pStyle w:val="Tabelki"/>
              <w:rPr>
                <w:color w:val="1F497D" w:themeColor="text2"/>
              </w:rPr>
            </w:pPr>
            <w:r>
              <w:rPr>
                <w:color w:val="1F497D" w:themeColor="text2"/>
              </w:rPr>
              <w:t>19 265.491</w:t>
            </w:r>
          </w:p>
        </w:tc>
      </w:tr>
      <w:tr w:rsidR="006937F9" w:rsidRPr="006937F9" w:rsidTr="00AD7C3F">
        <w:trPr>
          <w:trHeight w:val="540"/>
        </w:trPr>
        <w:tc>
          <w:tcPr>
            <w:tcW w:w="412" w:type="pct"/>
            <w:tcBorders>
              <w:bottom w:val="double" w:sz="4" w:space="0" w:color="auto"/>
            </w:tcBorders>
            <w:hideMark/>
          </w:tcPr>
          <w:p w:rsidR="00110AE7" w:rsidRPr="006937F9" w:rsidRDefault="00110AE7" w:rsidP="009B1787">
            <w:pPr>
              <w:spacing w:before="60" w:after="60" w:line="240" w:lineRule="auto"/>
              <w:rPr>
                <w:color w:val="1F497D" w:themeColor="text2"/>
              </w:rPr>
            </w:pPr>
            <w:r>
              <w:rPr>
                <w:color w:val="1F497D" w:themeColor="text2"/>
              </w:rPr>
              <w:t>R03</w:t>
            </w:r>
          </w:p>
        </w:tc>
        <w:tc>
          <w:tcPr>
            <w:tcW w:w="2713" w:type="pct"/>
            <w:tcBorders>
              <w:bottom w:val="double" w:sz="4" w:space="0" w:color="auto"/>
            </w:tcBorders>
            <w:hideMark/>
          </w:tcPr>
          <w:p w:rsidR="00110AE7" w:rsidRPr="006937F9" w:rsidRDefault="00110AE7" w:rsidP="009B1787">
            <w:pPr>
              <w:spacing w:before="60" w:after="60" w:line="240" w:lineRule="auto"/>
              <w:rPr>
                <w:color w:val="1F497D" w:themeColor="text2"/>
              </w:rPr>
            </w:pPr>
            <w:r>
              <w:rPr>
                <w:color w:val="1F497D" w:themeColor="text2"/>
              </w:rPr>
              <w:t>Number of track kilometres (double track lines are to be counted TWICE)</w:t>
            </w:r>
          </w:p>
        </w:tc>
        <w:tc>
          <w:tcPr>
            <w:tcW w:w="1087" w:type="pct"/>
            <w:tcBorders>
              <w:bottom w:val="double" w:sz="4" w:space="0" w:color="auto"/>
            </w:tcBorders>
            <w:hideMark/>
          </w:tcPr>
          <w:p w:rsidR="00110AE7" w:rsidRPr="006937F9" w:rsidRDefault="00473D4A" w:rsidP="00473D4A">
            <w:pPr>
              <w:spacing w:before="60" w:after="60" w:line="240" w:lineRule="auto"/>
              <w:rPr>
                <w:color w:val="1F497D" w:themeColor="text2"/>
              </w:rPr>
            </w:pPr>
            <w:r>
              <w:rPr>
                <w:color w:val="1F497D" w:themeColor="text2"/>
              </w:rPr>
              <w:t>Numeric value (in km)</w:t>
            </w:r>
          </w:p>
        </w:tc>
        <w:tc>
          <w:tcPr>
            <w:tcW w:w="788" w:type="pct"/>
            <w:tcBorders>
              <w:bottom w:val="double" w:sz="4" w:space="0" w:color="auto"/>
            </w:tcBorders>
            <w:noWrap/>
            <w:hideMark/>
          </w:tcPr>
          <w:p w:rsidR="00110AE7" w:rsidRPr="000F24AD" w:rsidRDefault="007D3C14" w:rsidP="000F24AD">
            <w:pPr>
              <w:pStyle w:val="Tabelki"/>
              <w:rPr>
                <w:color w:val="1F497D" w:themeColor="text2"/>
              </w:rPr>
            </w:pPr>
            <w:r>
              <w:rPr>
                <w:color w:val="1F497D" w:themeColor="text2"/>
              </w:rPr>
              <w:t>37 537.665</w:t>
            </w:r>
          </w:p>
        </w:tc>
      </w:tr>
      <w:tr w:rsidR="00110AE7" w:rsidRPr="00A27857" w:rsidTr="00AD7C3F">
        <w:trPr>
          <w:trHeight w:val="70"/>
        </w:trPr>
        <w:tc>
          <w:tcPr>
            <w:tcW w:w="5000" w:type="pct"/>
            <w:gridSpan w:val="4"/>
            <w:tcBorders>
              <w:top w:val="double" w:sz="4" w:space="0" w:color="auto"/>
              <w:bottom w:val="double" w:sz="4" w:space="0" w:color="auto"/>
            </w:tcBorders>
            <w:shd w:val="clear" w:color="auto" w:fill="D9D9D9" w:themeFill="background1" w:themeFillShade="D9"/>
          </w:tcPr>
          <w:p w:rsidR="00110AE7" w:rsidRPr="00A27857" w:rsidRDefault="00110AE7" w:rsidP="00DD29E0">
            <w:pPr>
              <w:spacing w:before="60" w:after="60" w:line="240" w:lineRule="auto"/>
              <w:jc w:val="left"/>
              <w:rPr>
                <w:b/>
              </w:rPr>
            </w:pPr>
            <w:r>
              <w:rPr>
                <w:b/>
                <w:color w:val="1F497D" w:themeColor="text2"/>
              </w:rPr>
              <w:t>9. Reference data for economic indicators</w:t>
            </w:r>
          </w:p>
        </w:tc>
      </w:tr>
      <w:tr w:rsidR="00F03AB4" w:rsidRPr="00F03AB4" w:rsidTr="00AD7C3F">
        <w:trPr>
          <w:trHeight w:val="540"/>
        </w:trPr>
        <w:tc>
          <w:tcPr>
            <w:tcW w:w="412" w:type="pct"/>
            <w:tcBorders>
              <w:top w:val="double" w:sz="4" w:space="0" w:color="auto"/>
            </w:tcBorders>
            <w:hideMark/>
          </w:tcPr>
          <w:p w:rsidR="00110AE7" w:rsidRPr="00F03AB4" w:rsidRDefault="00110AE7" w:rsidP="009B1787">
            <w:pPr>
              <w:spacing w:before="60" w:after="60" w:line="240" w:lineRule="auto"/>
              <w:rPr>
                <w:color w:val="1F497D" w:themeColor="text2"/>
              </w:rPr>
            </w:pPr>
            <w:r>
              <w:rPr>
                <w:color w:val="1F497D" w:themeColor="text2"/>
              </w:rPr>
              <w:t>R09</w:t>
            </w:r>
          </w:p>
        </w:tc>
        <w:tc>
          <w:tcPr>
            <w:tcW w:w="2713" w:type="pct"/>
            <w:tcBorders>
              <w:top w:val="double" w:sz="4" w:space="0" w:color="auto"/>
            </w:tcBorders>
            <w:hideMark/>
          </w:tcPr>
          <w:p w:rsidR="00110AE7" w:rsidRPr="00F03AB4" w:rsidRDefault="007D3C14" w:rsidP="00F03AB4">
            <w:pPr>
              <w:spacing w:before="60" w:after="60" w:line="240" w:lineRule="auto"/>
              <w:rPr>
                <w:color w:val="1F497D" w:themeColor="text2"/>
              </w:rPr>
            </w:pPr>
            <w:r>
              <w:rPr>
                <w:color w:val="1F497D" w:themeColor="text2"/>
              </w:rPr>
              <w:t>Average percentage of work passengers per year</w:t>
            </w:r>
          </w:p>
        </w:tc>
        <w:tc>
          <w:tcPr>
            <w:tcW w:w="1087" w:type="pct"/>
            <w:tcBorders>
              <w:top w:val="double" w:sz="4" w:space="0" w:color="auto"/>
            </w:tcBorders>
            <w:hideMark/>
          </w:tcPr>
          <w:p w:rsidR="00110AE7" w:rsidRPr="00F03AB4" w:rsidRDefault="00110AE7" w:rsidP="009B1787">
            <w:pPr>
              <w:spacing w:before="60" w:after="60" w:line="240" w:lineRule="auto"/>
              <w:rPr>
                <w:color w:val="1F497D" w:themeColor="text2"/>
              </w:rPr>
            </w:pPr>
            <w:r>
              <w:rPr>
                <w:color w:val="1F497D" w:themeColor="text2"/>
              </w:rPr>
              <w:t>Numeric value (%)</w:t>
            </w:r>
          </w:p>
        </w:tc>
        <w:tc>
          <w:tcPr>
            <w:tcW w:w="788" w:type="pct"/>
            <w:tcBorders>
              <w:top w:val="double" w:sz="4" w:space="0" w:color="auto"/>
            </w:tcBorders>
            <w:noWrap/>
            <w:hideMark/>
          </w:tcPr>
          <w:p w:rsidR="00110AE7" w:rsidRPr="000F24AD" w:rsidRDefault="00D76A55" w:rsidP="000F24AD">
            <w:pPr>
              <w:pStyle w:val="Tabelki"/>
              <w:rPr>
                <w:color w:val="1F497D" w:themeColor="text2"/>
              </w:rPr>
            </w:pPr>
            <w:r>
              <w:rPr>
                <w:color w:val="1F497D" w:themeColor="text2"/>
              </w:rPr>
              <w:t>75%</w:t>
            </w:r>
          </w:p>
        </w:tc>
      </w:tr>
      <w:tr w:rsidR="00F03AB4" w:rsidRPr="00F03AB4" w:rsidTr="00AD7C3F">
        <w:trPr>
          <w:trHeight w:val="540"/>
        </w:trPr>
        <w:tc>
          <w:tcPr>
            <w:tcW w:w="412" w:type="pct"/>
            <w:hideMark/>
          </w:tcPr>
          <w:p w:rsidR="00110AE7" w:rsidRPr="00F03AB4" w:rsidRDefault="00110AE7" w:rsidP="009B1787">
            <w:pPr>
              <w:spacing w:before="60" w:after="60" w:line="240" w:lineRule="auto"/>
              <w:rPr>
                <w:color w:val="1F497D" w:themeColor="text2"/>
              </w:rPr>
            </w:pPr>
            <w:r>
              <w:rPr>
                <w:color w:val="1F497D" w:themeColor="text2"/>
              </w:rPr>
              <w:t>R10</w:t>
            </w:r>
          </w:p>
        </w:tc>
        <w:tc>
          <w:tcPr>
            <w:tcW w:w="2713" w:type="pct"/>
            <w:hideMark/>
          </w:tcPr>
          <w:p w:rsidR="00110AE7" w:rsidRPr="00F03AB4" w:rsidRDefault="007D3C14" w:rsidP="00F03AB4">
            <w:pPr>
              <w:spacing w:before="60" w:after="60" w:line="240" w:lineRule="auto"/>
              <w:rPr>
                <w:color w:val="1F497D" w:themeColor="text2"/>
              </w:rPr>
            </w:pPr>
            <w:r>
              <w:rPr>
                <w:color w:val="1F497D" w:themeColor="text2"/>
              </w:rPr>
              <w:t>Average percentage of non</w:t>
            </w:r>
            <w:r>
              <w:noBreakHyphen/>
            </w:r>
            <w:r>
              <w:rPr>
                <w:color w:val="1F497D" w:themeColor="text2"/>
              </w:rPr>
              <w:t>work passengers per year</w:t>
            </w:r>
          </w:p>
        </w:tc>
        <w:tc>
          <w:tcPr>
            <w:tcW w:w="1087" w:type="pct"/>
            <w:hideMark/>
          </w:tcPr>
          <w:p w:rsidR="00110AE7" w:rsidRPr="00F03AB4" w:rsidRDefault="00110AE7" w:rsidP="009B1787">
            <w:pPr>
              <w:spacing w:before="60" w:after="60" w:line="240" w:lineRule="auto"/>
              <w:rPr>
                <w:color w:val="1F497D" w:themeColor="text2"/>
              </w:rPr>
            </w:pPr>
            <w:r>
              <w:rPr>
                <w:color w:val="1F497D" w:themeColor="text2"/>
              </w:rPr>
              <w:t>Numeric value (%)</w:t>
            </w:r>
          </w:p>
        </w:tc>
        <w:tc>
          <w:tcPr>
            <w:tcW w:w="788" w:type="pct"/>
            <w:noWrap/>
            <w:hideMark/>
          </w:tcPr>
          <w:p w:rsidR="00110AE7" w:rsidRPr="000F24AD" w:rsidRDefault="00D76A55" w:rsidP="000F24AD">
            <w:pPr>
              <w:pStyle w:val="Tabelki"/>
              <w:rPr>
                <w:color w:val="1F497D" w:themeColor="text2"/>
              </w:rPr>
            </w:pPr>
            <w:r>
              <w:rPr>
                <w:color w:val="1F497D" w:themeColor="text2"/>
              </w:rPr>
              <w:t>25%</w:t>
            </w:r>
          </w:p>
        </w:tc>
      </w:tr>
      <w:tr w:rsidR="00F65E1C" w:rsidRPr="00F65E1C" w:rsidTr="00AD7C3F">
        <w:trPr>
          <w:trHeight w:val="70"/>
        </w:trPr>
        <w:tc>
          <w:tcPr>
            <w:tcW w:w="412" w:type="pct"/>
            <w:hideMark/>
          </w:tcPr>
          <w:p w:rsidR="00110AE7" w:rsidRPr="00F65E1C" w:rsidRDefault="00110AE7" w:rsidP="009B1787">
            <w:pPr>
              <w:spacing w:before="60" w:after="60" w:line="240" w:lineRule="auto"/>
              <w:rPr>
                <w:color w:val="1F497D" w:themeColor="text2"/>
              </w:rPr>
            </w:pPr>
            <w:r>
              <w:rPr>
                <w:color w:val="1F497D" w:themeColor="text2"/>
              </w:rPr>
              <w:t>R11</w:t>
            </w:r>
          </w:p>
        </w:tc>
        <w:tc>
          <w:tcPr>
            <w:tcW w:w="2713" w:type="pct"/>
            <w:hideMark/>
          </w:tcPr>
          <w:p w:rsidR="00110AE7" w:rsidRPr="00F65E1C" w:rsidRDefault="00110AE7" w:rsidP="009B1787">
            <w:pPr>
              <w:spacing w:before="60" w:after="60" w:line="240" w:lineRule="auto"/>
              <w:rPr>
                <w:color w:val="1F497D" w:themeColor="text2"/>
              </w:rPr>
            </w:pPr>
            <w:r>
              <w:rPr>
                <w:color w:val="1F497D" w:themeColor="text2"/>
              </w:rPr>
              <w:t>National value of preventing a fatality</w:t>
            </w:r>
          </w:p>
        </w:tc>
        <w:tc>
          <w:tcPr>
            <w:tcW w:w="1087" w:type="pct"/>
            <w:hideMark/>
          </w:tcPr>
          <w:p w:rsidR="00110AE7" w:rsidRPr="00F65E1C" w:rsidRDefault="00473D4A"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F65E1C" w:rsidRDefault="00F66B40" w:rsidP="00FD790F">
            <w:pPr>
              <w:pStyle w:val="DoNotTranslateExternal4"/>
            </w:pPr>
            <w:r>
              <w:t>-</w:t>
            </w:r>
          </w:p>
        </w:tc>
      </w:tr>
      <w:tr w:rsidR="00F65E1C" w:rsidRPr="00F65E1C" w:rsidTr="00AD7C3F">
        <w:trPr>
          <w:trHeight w:val="70"/>
        </w:trPr>
        <w:tc>
          <w:tcPr>
            <w:tcW w:w="412" w:type="pct"/>
            <w:hideMark/>
          </w:tcPr>
          <w:p w:rsidR="00110AE7" w:rsidRPr="00F65E1C" w:rsidRDefault="00110AE7" w:rsidP="009B1787">
            <w:pPr>
              <w:spacing w:before="60" w:after="60" w:line="240" w:lineRule="auto"/>
              <w:rPr>
                <w:color w:val="1F497D" w:themeColor="text2"/>
              </w:rPr>
            </w:pPr>
            <w:r>
              <w:rPr>
                <w:color w:val="1F497D" w:themeColor="text2"/>
              </w:rPr>
              <w:t>R12</w:t>
            </w:r>
          </w:p>
        </w:tc>
        <w:tc>
          <w:tcPr>
            <w:tcW w:w="2713" w:type="pct"/>
            <w:hideMark/>
          </w:tcPr>
          <w:p w:rsidR="00110AE7" w:rsidRPr="00F65E1C" w:rsidRDefault="00110AE7" w:rsidP="009B1787">
            <w:pPr>
              <w:spacing w:before="60" w:after="60" w:line="240" w:lineRule="auto"/>
              <w:rPr>
                <w:color w:val="1F497D" w:themeColor="text2"/>
              </w:rPr>
            </w:pPr>
            <w:r>
              <w:rPr>
                <w:color w:val="1F497D" w:themeColor="text2"/>
              </w:rPr>
              <w:t>National value of preventing a serious injury</w:t>
            </w:r>
          </w:p>
        </w:tc>
        <w:tc>
          <w:tcPr>
            <w:tcW w:w="1087" w:type="pct"/>
            <w:hideMark/>
          </w:tcPr>
          <w:p w:rsidR="00110AE7" w:rsidRPr="00F65E1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F65E1C" w:rsidRDefault="00F66B40" w:rsidP="00FD790F">
            <w:pPr>
              <w:pStyle w:val="DoNotTranslateExternal4"/>
            </w:pPr>
            <w:r>
              <w:t>-</w:t>
            </w:r>
          </w:p>
        </w:tc>
      </w:tr>
      <w:tr w:rsidR="00F65E1C" w:rsidRPr="00F65E1C" w:rsidTr="00AD7C3F">
        <w:trPr>
          <w:trHeight w:val="540"/>
        </w:trPr>
        <w:tc>
          <w:tcPr>
            <w:tcW w:w="412" w:type="pct"/>
            <w:hideMark/>
          </w:tcPr>
          <w:p w:rsidR="00110AE7" w:rsidRPr="00F65E1C" w:rsidRDefault="00110AE7" w:rsidP="009B1787">
            <w:pPr>
              <w:spacing w:before="60" w:after="60" w:line="240" w:lineRule="auto"/>
              <w:rPr>
                <w:color w:val="1F497D" w:themeColor="text2"/>
              </w:rPr>
            </w:pPr>
            <w:r>
              <w:rPr>
                <w:color w:val="1F497D" w:themeColor="text2"/>
              </w:rPr>
              <w:t>R13</w:t>
            </w:r>
          </w:p>
        </w:tc>
        <w:tc>
          <w:tcPr>
            <w:tcW w:w="2713" w:type="pct"/>
            <w:hideMark/>
          </w:tcPr>
          <w:p w:rsidR="00110AE7" w:rsidRPr="00F65E1C" w:rsidRDefault="00110AE7" w:rsidP="00F03AB4">
            <w:pPr>
              <w:spacing w:before="60" w:after="60" w:line="240" w:lineRule="auto"/>
              <w:rPr>
                <w:color w:val="1F497D" w:themeColor="text2"/>
              </w:rPr>
            </w:pPr>
            <w:r>
              <w:rPr>
                <w:color w:val="1F497D" w:themeColor="text2"/>
              </w:rPr>
              <w:t>National value of time for a work passenger of a train (an hour)</w:t>
            </w:r>
          </w:p>
        </w:tc>
        <w:tc>
          <w:tcPr>
            <w:tcW w:w="1087" w:type="pct"/>
            <w:hideMark/>
          </w:tcPr>
          <w:p w:rsidR="00110AE7" w:rsidRPr="00F65E1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F65E1C" w:rsidRDefault="00F66B40" w:rsidP="00FD790F">
            <w:pPr>
              <w:pStyle w:val="DoNotTranslateExternal4"/>
            </w:pPr>
            <w:r>
              <w:t>-</w:t>
            </w:r>
          </w:p>
        </w:tc>
      </w:tr>
      <w:tr w:rsidR="00F65E1C" w:rsidRPr="00F65E1C" w:rsidTr="00AD7C3F">
        <w:trPr>
          <w:trHeight w:val="540"/>
        </w:trPr>
        <w:tc>
          <w:tcPr>
            <w:tcW w:w="412" w:type="pct"/>
            <w:hideMark/>
          </w:tcPr>
          <w:p w:rsidR="00110AE7" w:rsidRPr="00F65E1C" w:rsidRDefault="00110AE7" w:rsidP="009B1787">
            <w:pPr>
              <w:spacing w:before="60" w:after="60" w:line="240" w:lineRule="auto"/>
              <w:rPr>
                <w:color w:val="1F497D" w:themeColor="text2"/>
              </w:rPr>
            </w:pPr>
            <w:r>
              <w:rPr>
                <w:color w:val="1F497D" w:themeColor="text2"/>
              </w:rPr>
              <w:t>R14</w:t>
            </w:r>
          </w:p>
        </w:tc>
        <w:tc>
          <w:tcPr>
            <w:tcW w:w="2713" w:type="pct"/>
            <w:hideMark/>
          </w:tcPr>
          <w:p w:rsidR="00110AE7" w:rsidRPr="00F65E1C" w:rsidRDefault="00110AE7" w:rsidP="00F03AB4">
            <w:pPr>
              <w:spacing w:before="60" w:after="60" w:line="240" w:lineRule="auto"/>
              <w:rPr>
                <w:color w:val="1F497D" w:themeColor="text2"/>
              </w:rPr>
            </w:pPr>
            <w:r>
              <w:rPr>
                <w:color w:val="1F497D" w:themeColor="text2"/>
              </w:rPr>
              <w:t>National value of time for a non</w:t>
            </w:r>
            <w:r>
              <w:noBreakHyphen/>
            </w:r>
            <w:r>
              <w:rPr>
                <w:color w:val="1F497D" w:themeColor="text2"/>
              </w:rPr>
              <w:t>work passenger of a train (an hour)</w:t>
            </w:r>
          </w:p>
        </w:tc>
        <w:tc>
          <w:tcPr>
            <w:tcW w:w="1087" w:type="pct"/>
            <w:hideMark/>
          </w:tcPr>
          <w:p w:rsidR="00110AE7" w:rsidRPr="00F65E1C" w:rsidRDefault="00473D4A"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F65E1C" w:rsidRDefault="00F66B40" w:rsidP="00FD790F">
            <w:pPr>
              <w:pStyle w:val="DoNotTranslateExternal4"/>
            </w:pPr>
            <w:r>
              <w:t>-</w:t>
            </w:r>
          </w:p>
        </w:tc>
      </w:tr>
      <w:tr w:rsidR="00F65E1C" w:rsidRPr="00F65E1C" w:rsidTr="00AD7C3F">
        <w:trPr>
          <w:trHeight w:val="70"/>
        </w:trPr>
        <w:tc>
          <w:tcPr>
            <w:tcW w:w="412" w:type="pct"/>
            <w:hideMark/>
          </w:tcPr>
          <w:p w:rsidR="00110AE7" w:rsidRPr="00F65E1C" w:rsidRDefault="00110AE7" w:rsidP="009B1787">
            <w:pPr>
              <w:spacing w:before="60" w:after="60" w:line="240" w:lineRule="auto"/>
              <w:rPr>
                <w:color w:val="1F497D" w:themeColor="text2"/>
              </w:rPr>
            </w:pPr>
            <w:r>
              <w:rPr>
                <w:color w:val="1F497D" w:themeColor="text2"/>
              </w:rPr>
              <w:t>R15</w:t>
            </w:r>
          </w:p>
        </w:tc>
        <w:tc>
          <w:tcPr>
            <w:tcW w:w="2713" w:type="pct"/>
            <w:hideMark/>
          </w:tcPr>
          <w:p w:rsidR="00110AE7" w:rsidRPr="00F65E1C" w:rsidRDefault="00110AE7" w:rsidP="009B1787">
            <w:pPr>
              <w:spacing w:before="60" w:after="60" w:line="240" w:lineRule="auto"/>
              <w:rPr>
                <w:color w:val="1F497D" w:themeColor="text2"/>
              </w:rPr>
            </w:pPr>
            <w:r>
              <w:rPr>
                <w:color w:val="1F497D" w:themeColor="text2"/>
              </w:rPr>
              <w:t>National value of time for a tonne freight (an hour)</w:t>
            </w:r>
          </w:p>
        </w:tc>
        <w:tc>
          <w:tcPr>
            <w:tcW w:w="1087" w:type="pct"/>
            <w:hideMark/>
          </w:tcPr>
          <w:p w:rsidR="00110AE7" w:rsidRPr="00F65E1C" w:rsidRDefault="00110AE7" w:rsidP="00473D4A">
            <w:pPr>
              <w:spacing w:before="60" w:after="60" w:line="240" w:lineRule="auto"/>
              <w:rPr>
                <w:color w:val="1F497D" w:themeColor="text2"/>
              </w:rPr>
            </w:pPr>
            <w:r>
              <w:rPr>
                <w:color w:val="1F497D" w:themeColor="text2"/>
              </w:rPr>
              <w:t>Numeric value in €</w:t>
            </w:r>
          </w:p>
        </w:tc>
        <w:tc>
          <w:tcPr>
            <w:tcW w:w="788" w:type="pct"/>
            <w:noWrap/>
            <w:hideMark/>
          </w:tcPr>
          <w:p w:rsidR="00110AE7" w:rsidRPr="00F65E1C" w:rsidRDefault="00F66B40" w:rsidP="00FD790F">
            <w:pPr>
              <w:pStyle w:val="DoNotTranslateExternal4"/>
            </w:pPr>
            <w:r>
              <w:t>-</w:t>
            </w:r>
          </w:p>
        </w:tc>
      </w:tr>
      <w:tr w:rsidR="00110AE7" w:rsidRPr="00A27857" w:rsidTr="00AD7C3F">
        <w:trPr>
          <w:trHeight w:val="70"/>
        </w:trPr>
        <w:tc>
          <w:tcPr>
            <w:tcW w:w="412" w:type="pct"/>
            <w:hideMark/>
          </w:tcPr>
          <w:p w:rsidR="00110AE7" w:rsidRPr="00756C66" w:rsidRDefault="00110AE7" w:rsidP="009B1787">
            <w:pPr>
              <w:spacing w:before="60" w:after="60" w:line="240" w:lineRule="auto"/>
              <w:rPr>
                <w:color w:val="1F497D" w:themeColor="text2"/>
              </w:rPr>
            </w:pPr>
            <w:r>
              <w:rPr>
                <w:color w:val="1F497D" w:themeColor="text2"/>
              </w:rPr>
              <w:t>R16</w:t>
            </w:r>
          </w:p>
        </w:tc>
        <w:tc>
          <w:tcPr>
            <w:tcW w:w="2713" w:type="pct"/>
            <w:hideMark/>
          </w:tcPr>
          <w:p w:rsidR="00110AE7" w:rsidRPr="00756C66" w:rsidRDefault="00110AE7" w:rsidP="009B1787">
            <w:pPr>
              <w:spacing w:before="60" w:after="60" w:line="240" w:lineRule="auto"/>
              <w:rPr>
                <w:color w:val="1F497D" w:themeColor="text2"/>
              </w:rPr>
            </w:pPr>
            <w:r>
              <w:rPr>
                <w:color w:val="1F497D" w:themeColor="text2"/>
              </w:rPr>
              <w:t>Fall back value of preventing a fatality</w:t>
            </w:r>
          </w:p>
        </w:tc>
        <w:tc>
          <w:tcPr>
            <w:tcW w:w="1087" w:type="pct"/>
            <w:hideMark/>
          </w:tcPr>
          <w:p w:rsidR="00110AE7" w:rsidRPr="00756C66" w:rsidRDefault="00110AE7"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0F24AD" w:rsidRDefault="007D3C14" w:rsidP="000F24AD">
            <w:pPr>
              <w:pStyle w:val="Tabelki"/>
              <w:rPr>
                <w:color w:val="1F497D" w:themeColor="text2"/>
              </w:rPr>
            </w:pPr>
            <w:r>
              <w:rPr>
                <w:color w:val="1F497D" w:themeColor="text2"/>
              </w:rPr>
              <w:t>626 200.00</w:t>
            </w:r>
          </w:p>
        </w:tc>
      </w:tr>
      <w:tr w:rsidR="00110AE7" w:rsidRPr="00A27857" w:rsidTr="00AD7C3F">
        <w:trPr>
          <w:trHeight w:val="70"/>
        </w:trPr>
        <w:tc>
          <w:tcPr>
            <w:tcW w:w="412" w:type="pct"/>
            <w:hideMark/>
          </w:tcPr>
          <w:p w:rsidR="00110AE7" w:rsidRPr="00756C66" w:rsidRDefault="00110AE7" w:rsidP="009B1787">
            <w:pPr>
              <w:spacing w:before="60" w:after="60" w:line="240" w:lineRule="auto"/>
              <w:rPr>
                <w:color w:val="1F497D" w:themeColor="text2"/>
              </w:rPr>
            </w:pPr>
            <w:r>
              <w:rPr>
                <w:color w:val="1F497D" w:themeColor="text2"/>
              </w:rPr>
              <w:t>R17</w:t>
            </w:r>
          </w:p>
        </w:tc>
        <w:tc>
          <w:tcPr>
            <w:tcW w:w="2713" w:type="pct"/>
            <w:hideMark/>
          </w:tcPr>
          <w:p w:rsidR="00110AE7" w:rsidRPr="00756C66" w:rsidRDefault="00110AE7" w:rsidP="009B1787">
            <w:pPr>
              <w:spacing w:before="60" w:after="60" w:line="240" w:lineRule="auto"/>
              <w:rPr>
                <w:color w:val="1F497D" w:themeColor="text2"/>
              </w:rPr>
            </w:pPr>
            <w:r>
              <w:rPr>
                <w:color w:val="1F497D" w:themeColor="text2"/>
              </w:rPr>
              <w:t>Fall back value of preventing a serious injury</w:t>
            </w:r>
          </w:p>
        </w:tc>
        <w:tc>
          <w:tcPr>
            <w:tcW w:w="1087" w:type="pct"/>
            <w:hideMark/>
          </w:tcPr>
          <w:p w:rsidR="00110AE7" w:rsidRPr="00756C66" w:rsidRDefault="00110AE7"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0F24AD" w:rsidRDefault="007D3C14" w:rsidP="000F24AD">
            <w:pPr>
              <w:pStyle w:val="Tabelki"/>
              <w:rPr>
                <w:color w:val="1F497D" w:themeColor="text2"/>
              </w:rPr>
            </w:pPr>
            <w:r>
              <w:rPr>
                <w:color w:val="1F497D" w:themeColor="text2"/>
              </w:rPr>
              <w:t>85 390.91</w:t>
            </w:r>
          </w:p>
        </w:tc>
      </w:tr>
      <w:tr w:rsidR="00110AE7" w:rsidRPr="00A27857" w:rsidTr="00AD7C3F">
        <w:trPr>
          <w:trHeight w:val="70"/>
        </w:trPr>
        <w:tc>
          <w:tcPr>
            <w:tcW w:w="412" w:type="pct"/>
            <w:hideMark/>
          </w:tcPr>
          <w:p w:rsidR="00110AE7" w:rsidRPr="00756C66" w:rsidRDefault="00110AE7" w:rsidP="009B1787">
            <w:pPr>
              <w:spacing w:before="60" w:after="60" w:line="240" w:lineRule="auto"/>
              <w:rPr>
                <w:color w:val="1F497D" w:themeColor="text2"/>
              </w:rPr>
            </w:pPr>
            <w:r>
              <w:rPr>
                <w:color w:val="1F497D" w:themeColor="text2"/>
              </w:rPr>
              <w:t>R18</w:t>
            </w:r>
          </w:p>
        </w:tc>
        <w:tc>
          <w:tcPr>
            <w:tcW w:w="2713" w:type="pct"/>
            <w:hideMark/>
          </w:tcPr>
          <w:p w:rsidR="00110AE7" w:rsidRPr="00756C66" w:rsidRDefault="00110AE7" w:rsidP="00F03AB4">
            <w:pPr>
              <w:spacing w:before="60" w:after="60" w:line="240" w:lineRule="auto"/>
              <w:rPr>
                <w:color w:val="1F497D" w:themeColor="text2"/>
              </w:rPr>
            </w:pPr>
            <w:r>
              <w:rPr>
                <w:color w:val="1F497D" w:themeColor="text2"/>
              </w:rPr>
              <w:t>Fall back value of time for a work passenger of a train (an hour)</w:t>
            </w:r>
          </w:p>
        </w:tc>
        <w:tc>
          <w:tcPr>
            <w:tcW w:w="1087" w:type="pct"/>
            <w:hideMark/>
          </w:tcPr>
          <w:p w:rsidR="00110AE7" w:rsidRPr="00756C66" w:rsidRDefault="00110AE7"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0F24AD" w:rsidRDefault="00110AE7" w:rsidP="000F24AD">
            <w:pPr>
              <w:pStyle w:val="Tabelki"/>
              <w:rPr>
                <w:color w:val="1F497D" w:themeColor="text2"/>
              </w:rPr>
            </w:pPr>
            <w:r>
              <w:rPr>
                <w:color w:val="1F497D" w:themeColor="text2"/>
              </w:rPr>
              <w:t>23.63</w:t>
            </w:r>
          </w:p>
        </w:tc>
      </w:tr>
      <w:tr w:rsidR="00110AE7" w:rsidRPr="00A27857" w:rsidTr="00AD7C3F">
        <w:trPr>
          <w:trHeight w:val="70"/>
        </w:trPr>
        <w:tc>
          <w:tcPr>
            <w:tcW w:w="412" w:type="pct"/>
            <w:hideMark/>
          </w:tcPr>
          <w:p w:rsidR="00110AE7" w:rsidRPr="00756C66" w:rsidRDefault="00110AE7" w:rsidP="009B1787">
            <w:pPr>
              <w:spacing w:before="60" w:after="60" w:line="240" w:lineRule="auto"/>
              <w:rPr>
                <w:color w:val="1F497D" w:themeColor="text2"/>
              </w:rPr>
            </w:pPr>
            <w:r>
              <w:rPr>
                <w:color w:val="1F497D" w:themeColor="text2"/>
              </w:rPr>
              <w:t>R19</w:t>
            </w:r>
          </w:p>
        </w:tc>
        <w:tc>
          <w:tcPr>
            <w:tcW w:w="2713" w:type="pct"/>
            <w:hideMark/>
          </w:tcPr>
          <w:p w:rsidR="00110AE7" w:rsidRPr="00756C66" w:rsidRDefault="00110AE7" w:rsidP="00F03AB4">
            <w:pPr>
              <w:spacing w:before="60" w:after="60" w:line="240" w:lineRule="auto"/>
              <w:rPr>
                <w:color w:val="1F497D" w:themeColor="text2"/>
              </w:rPr>
            </w:pPr>
            <w:r>
              <w:rPr>
                <w:color w:val="1F497D" w:themeColor="text2"/>
              </w:rPr>
              <w:t>Fall back value of time for a non</w:t>
            </w:r>
            <w:r>
              <w:noBreakHyphen/>
            </w:r>
            <w:r>
              <w:rPr>
                <w:color w:val="1F497D" w:themeColor="text2"/>
              </w:rPr>
              <w:t>work passenger of a train (an hour)</w:t>
            </w:r>
          </w:p>
        </w:tc>
        <w:tc>
          <w:tcPr>
            <w:tcW w:w="1087" w:type="pct"/>
            <w:hideMark/>
          </w:tcPr>
          <w:p w:rsidR="00110AE7" w:rsidRPr="00756C66" w:rsidRDefault="00110AE7" w:rsidP="009B1787">
            <w:pPr>
              <w:spacing w:before="60" w:after="60" w:line="240" w:lineRule="auto"/>
              <w:rPr>
                <w:color w:val="1F497D" w:themeColor="text2"/>
              </w:rPr>
            </w:pPr>
            <w:r>
              <w:rPr>
                <w:color w:val="1F497D" w:themeColor="text2"/>
              </w:rPr>
              <w:t>Numeric value in €</w:t>
            </w:r>
          </w:p>
        </w:tc>
        <w:tc>
          <w:tcPr>
            <w:tcW w:w="788" w:type="pct"/>
            <w:noWrap/>
            <w:hideMark/>
          </w:tcPr>
          <w:p w:rsidR="00110AE7" w:rsidRPr="000F24AD" w:rsidRDefault="007D3C14" w:rsidP="000F24AD">
            <w:pPr>
              <w:pStyle w:val="Tabelki"/>
              <w:rPr>
                <w:color w:val="1F497D" w:themeColor="text2"/>
              </w:rPr>
            </w:pPr>
            <w:r>
              <w:rPr>
                <w:color w:val="1F497D" w:themeColor="text2"/>
              </w:rPr>
              <w:t>7.88</w:t>
            </w:r>
          </w:p>
        </w:tc>
      </w:tr>
      <w:tr w:rsidR="00110AE7" w:rsidRPr="00A27857" w:rsidTr="00AD7C3F">
        <w:trPr>
          <w:trHeight w:val="70"/>
        </w:trPr>
        <w:tc>
          <w:tcPr>
            <w:tcW w:w="412" w:type="pct"/>
            <w:tcBorders>
              <w:bottom w:val="double" w:sz="4" w:space="0" w:color="auto"/>
            </w:tcBorders>
            <w:hideMark/>
          </w:tcPr>
          <w:p w:rsidR="00110AE7" w:rsidRPr="00756C66" w:rsidRDefault="00110AE7" w:rsidP="009B1787">
            <w:pPr>
              <w:spacing w:before="60" w:after="60" w:line="240" w:lineRule="auto"/>
              <w:rPr>
                <w:color w:val="1F497D" w:themeColor="text2"/>
              </w:rPr>
            </w:pPr>
            <w:r>
              <w:rPr>
                <w:color w:val="1F497D" w:themeColor="text2"/>
              </w:rPr>
              <w:t>R20</w:t>
            </w:r>
          </w:p>
        </w:tc>
        <w:tc>
          <w:tcPr>
            <w:tcW w:w="2713" w:type="pct"/>
            <w:tcBorders>
              <w:bottom w:val="double" w:sz="4" w:space="0" w:color="auto"/>
            </w:tcBorders>
            <w:hideMark/>
          </w:tcPr>
          <w:p w:rsidR="00110AE7" w:rsidRPr="00756C66" w:rsidRDefault="00110AE7" w:rsidP="009B1787">
            <w:pPr>
              <w:spacing w:before="60" w:after="60" w:line="240" w:lineRule="auto"/>
              <w:rPr>
                <w:color w:val="1F497D" w:themeColor="text2"/>
              </w:rPr>
            </w:pPr>
            <w:r>
              <w:rPr>
                <w:color w:val="1F497D" w:themeColor="text2"/>
              </w:rPr>
              <w:t>Fall back value of time for a tonne freight (an hour)</w:t>
            </w:r>
          </w:p>
        </w:tc>
        <w:tc>
          <w:tcPr>
            <w:tcW w:w="1087" w:type="pct"/>
            <w:tcBorders>
              <w:bottom w:val="double" w:sz="4" w:space="0" w:color="auto"/>
            </w:tcBorders>
            <w:hideMark/>
          </w:tcPr>
          <w:p w:rsidR="00110AE7" w:rsidRPr="00756C66" w:rsidRDefault="00110AE7" w:rsidP="009B1787">
            <w:pPr>
              <w:spacing w:before="60" w:after="60" w:line="240" w:lineRule="auto"/>
              <w:rPr>
                <w:color w:val="1F497D" w:themeColor="text2"/>
              </w:rPr>
            </w:pPr>
            <w:r>
              <w:rPr>
                <w:color w:val="1F497D" w:themeColor="text2"/>
              </w:rPr>
              <w:t>Numeric value in €</w:t>
            </w:r>
          </w:p>
        </w:tc>
        <w:tc>
          <w:tcPr>
            <w:tcW w:w="788" w:type="pct"/>
            <w:tcBorders>
              <w:bottom w:val="double" w:sz="4" w:space="0" w:color="auto"/>
            </w:tcBorders>
            <w:noWrap/>
            <w:hideMark/>
          </w:tcPr>
          <w:p w:rsidR="00110AE7" w:rsidRPr="000F24AD" w:rsidRDefault="007D3C14" w:rsidP="000F24AD">
            <w:pPr>
              <w:pStyle w:val="Tabelki"/>
              <w:rPr>
                <w:color w:val="1F497D" w:themeColor="text2"/>
              </w:rPr>
            </w:pPr>
            <w:r>
              <w:rPr>
                <w:color w:val="1F497D" w:themeColor="text2"/>
              </w:rPr>
              <w:t>1.43</w:t>
            </w:r>
          </w:p>
        </w:tc>
      </w:tr>
    </w:tbl>
    <w:p w:rsidR="00FA13C5" w:rsidRDefault="00FA13C5">
      <w:pPr>
        <w:spacing w:before="0" w:after="0" w:line="240" w:lineRule="auto"/>
        <w:jc w:val="left"/>
        <w:rPr>
          <w:b/>
          <w:color w:val="1F497D" w:themeColor="text2"/>
          <w:szCs w:val="20"/>
        </w:rPr>
      </w:pPr>
      <w:r>
        <w:br w:type="page"/>
      </w:r>
    </w:p>
    <w:p w:rsidR="00777021" w:rsidRPr="00C01C65" w:rsidRDefault="00777021" w:rsidP="00777021">
      <w:pPr>
        <w:pStyle w:val="Tekstzwyky"/>
        <w:rPr>
          <w:rFonts w:ascii="Arial" w:hAnsi="Arial" w:cs="Arial"/>
          <w:b/>
          <w:color w:val="1F497D" w:themeColor="text2"/>
        </w:rPr>
      </w:pPr>
      <w:r>
        <w:rPr>
          <w:rFonts w:ascii="Arial" w:hAnsi="Arial"/>
          <w:b/>
          <w:color w:val="1F497D" w:themeColor="text2"/>
        </w:rPr>
        <w:lastRenderedPageBreak/>
        <w:t>Table 2. Calculations of the economic impact of accidents</w:t>
      </w:r>
    </w:p>
    <w:tbl>
      <w:tblPr>
        <w:tblStyle w:val="TableGrid"/>
        <w:tblW w:w="5017" w:type="pct"/>
        <w:tblLook w:val="04A0" w:firstRow="1" w:lastRow="0" w:firstColumn="1" w:lastColumn="0" w:noHBand="0" w:noVBand="1"/>
      </w:tblPr>
      <w:tblGrid>
        <w:gridCol w:w="6444"/>
        <w:gridCol w:w="1428"/>
        <w:gridCol w:w="2096"/>
      </w:tblGrid>
      <w:tr w:rsidR="00C01C65" w:rsidRPr="00C01C65" w:rsidTr="0031184E">
        <w:trPr>
          <w:trHeight w:val="360"/>
        </w:trPr>
        <w:tc>
          <w:tcPr>
            <w:tcW w:w="6444" w:type="dxa"/>
            <w:tcBorders>
              <w:top w:val="double" w:sz="4" w:space="0" w:color="auto"/>
              <w:left w:val="double" w:sz="4" w:space="0" w:color="auto"/>
              <w:bottom w:val="double" w:sz="4" w:space="0" w:color="auto"/>
            </w:tcBorders>
            <w:shd w:val="clear" w:color="auto" w:fill="BFBFBF" w:themeFill="background1" w:themeFillShade="BF"/>
            <w:noWrap/>
            <w:vAlign w:val="center"/>
          </w:tcPr>
          <w:p w:rsidR="00777021" w:rsidRPr="00C01C65" w:rsidRDefault="00777021" w:rsidP="0031184E">
            <w:pPr>
              <w:pStyle w:val="Tabelki"/>
              <w:jc w:val="center"/>
              <w:rPr>
                <w:b/>
                <w:color w:val="1F497D" w:themeColor="text2"/>
              </w:rPr>
            </w:pPr>
            <w:r>
              <w:rPr>
                <w:b/>
                <w:color w:val="1F497D" w:themeColor="text2"/>
              </w:rPr>
              <w:t>Parameter name</w:t>
            </w:r>
          </w:p>
        </w:tc>
        <w:tc>
          <w:tcPr>
            <w:tcW w:w="1428" w:type="dxa"/>
            <w:tcBorders>
              <w:top w:val="double" w:sz="4" w:space="0" w:color="auto"/>
              <w:bottom w:val="double" w:sz="4" w:space="0" w:color="auto"/>
            </w:tcBorders>
            <w:shd w:val="clear" w:color="auto" w:fill="BFBFBF" w:themeFill="background1" w:themeFillShade="BF"/>
            <w:noWrap/>
            <w:vAlign w:val="center"/>
          </w:tcPr>
          <w:p w:rsidR="00777021" w:rsidRPr="00C01C65" w:rsidRDefault="00777021" w:rsidP="0031184E">
            <w:pPr>
              <w:pStyle w:val="Tabelki"/>
              <w:jc w:val="center"/>
              <w:rPr>
                <w:b/>
                <w:color w:val="1F497D" w:themeColor="text2"/>
              </w:rPr>
            </w:pPr>
            <w:r>
              <w:rPr>
                <w:b/>
                <w:color w:val="1F497D" w:themeColor="text2"/>
              </w:rPr>
              <w:t>Unit</w:t>
            </w:r>
          </w:p>
        </w:tc>
        <w:tc>
          <w:tcPr>
            <w:tcW w:w="2096" w:type="dxa"/>
            <w:tcBorders>
              <w:top w:val="double" w:sz="4" w:space="0" w:color="auto"/>
              <w:bottom w:val="double" w:sz="4" w:space="0" w:color="auto"/>
              <w:right w:val="double" w:sz="4" w:space="0" w:color="auto"/>
            </w:tcBorders>
            <w:shd w:val="clear" w:color="auto" w:fill="BFBFBF" w:themeFill="background1" w:themeFillShade="BF"/>
            <w:noWrap/>
            <w:vAlign w:val="center"/>
          </w:tcPr>
          <w:p w:rsidR="00777021" w:rsidRPr="00C01C65" w:rsidRDefault="00777021" w:rsidP="0031184E">
            <w:pPr>
              <w:pStyle w:val="Tabelki"/>
              <w:jc w:val="center"/>
              <w:rPr>
                <w:b/>
                <w:color w:val="1F497D" w:themeColor="text2"/>
              </w:rPr>
            </w:pPr>
            <w:r>
              <w:rPr>
                <w:b/>
                <w:color w:val="1F497D" w:themeColor="text2"/>
              </w:rPr>
              <w:t>Value</w:t>
            </w:r>
          </w:p>
        </w:tc>
      </w:tr>
      <w:tr w:rsidR="00C01C65" w:rsidRPr="00C01C65" w:rsidTr="0031184E">
        <w:trPr>
          <w:trHeight w:val="360"/>
        </w:trPr>
        <w:tc>
          <w:tcPr>
            <w:tcW w:w="9968"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rsidR="00777021" w:rsidRPr="00C01C65" w:rsidRDefault="00777021" w:rsidP="0031184E">
            <w:pPr>
              <w:pStyle w:val="Tabelki"/>
              <w:jc w:val="center"/>
              <w:rPr>
                <w:b/>
                <w:color w:val="1F497D" w:themeColor="text2"/>
              </w:rPr>
            </w:pPr>
            <w:r>
              <w:rPr>
                <w:b/>
                <w:color w:val="1F497D" w:themeColor="text2"/>
              </w:rPr>
              <w:t>Passenger transport</w:t>
            </w:r>
          </w:p>
        </w:tc>
      </w:tr>
      <w:tr w:rsidR="00640245" w:rsidRPr="00640245" w:rsidTr="0031184E">
        <w:trPr>
          <w:trHeight w:val="360"/>
        </w:trPr>
        <w:tc>
          <w:tcPr>
            <w:tcW w:w="6444" w:type="dxa"/>
            <w:tcBorders>
              <w:top w:val="double" w:sz="4" w:space="0" w:color="auto"/>
              <w:left w:val="double" w:sz="4" w:space="0" w:color="auto"/>
            </w:tcBorders>
            <w:noWrap/>
            <w:hideMark/>
          </w:tcPr>
          <w:p w:rsidR="00777021" w:rsidRPr="00640245" w:rsidRDefault="00121421" w:rsidP="00F03AB4">
            <w:pPr>
              <w:pStyle w:val="Tabelki"/>
              <w:rPr>
                <w:color w:val="1F497D" w:themeColor="text2"/>
              </w:rPr>
            </w:pPr>
            <w:r>
              <w:rPr>
                <w:color w:val="1F497D" w:themeColor="text2"/>
              </w:rPr>
              <w:t>Value of time for work passengers</w:t>
            </w:r>
          </w:p>
        </w:tc>
        <w:tc>
          <w:tcPr>
            <w:tcW w:w="1428" w:type="dxa"/>
            <w:tcBorders>
              <w:top w:val="double" w:sz="4" w:space="0" w:color="auto"/>
            </w:tcBorders>
            <w:noWrap/>
            <w:hideMark/>
          </w:tcPr>
          <w:p w:rsidR="00777021" w:rsidRPr="00640245" w:rsidRDefault="006A1A29" w:rsidP="0031184E">
            <w:pPr>
              <w:pStyle w:val="Tabelki"/>
              <w:rPr>
                <w:color w:val="1F497D" w:themeColor="text2"/>
              </w:rPr>
            </w:pPr>
            <w:r>
              <w:rPr>
                <w:color w:val="1F497D" w:themeColor="text2"/>
              </w:rPr>
              <w:t>€ / h</w:t>
            </w:r>
          </w:p>
        </w:tc>
        <w:tc>
          <w:tcPr>
            <w:tcW w:w="2096" w:type="dxa"/>
            <w:tcBorders>
              <w:top w:val="double" w:sz="4" w:space="0" w:color="auto"/>
              <w:right w:val="double" w:sz="4" w:space="0" w:color="auto"/>
            </w:tcBorders>
            <w:noWrap/>
            <w:hideMark/>
          </w:tcPr>
          <w:p w:rsidR="00777021" w:rsidRPr="000F24AD" w:rsidRDefault="00777021" w:rsidP="000F24AD">
            <w:pPr>
              <w:pStyle w:val="Tabelki"/>
              <w:rPr>
                <w:color w:val="1F497D" w:themeColor="text2"/>
              </w:rPr>
            </w:pPr>
            <w:r>
              <w:rPr>
                <w:color w:val="1F497D" w:themeColor="text2"/>
              </w:rPr>
              <w:t>23.634</w:t>
            </w:r>
          </w:p>
        </w:tc>
      </w:tr>
      <w:tr w:rsidR="00640245" w:rsidRPr="00640245" w:rsidTr="0031184E">
        <w:trPr>
          <w:trHeight w:val="360"/>
        </w:trPr>
        <w:tc>
          <w:tcPr>
            <w:tcW w:w="6444" w:type="dxa"/>
            <w:tcBorders>
              <w:left w:val="double" w:sz="4" w:space="0" w:color="auto"/>
            </w:tcBorders>
            <w:noWrap/>
            <w:hideMark/>
          </w:tcPr>
          <w:p w:rsidR="00777021" w:rsidRPr="00640245" w:rsidRDefault="00777021" w:rsidP="00F03AB4">
            <w:pPr>
              <w:pStyle w:val="Tabelki"/>
              <w:rPr>
                <w:color w:val="1F497D" w:themeColor="text2"/>
              </w:rPr>
            </w:pPr>
            <w:r>
              <w:rPr>
                <w:color w:val="1F497D" w:themeColor="text2"/>
              </w:rPr>
              <w:t>Average percentage of work passengers</w:t>
            </w:r>
          </w:p>
        </w:tc>
        <w:tc>
          <w:tcPr>
            <w:tcW w:w="1428" w:type="dxa"/>
            <w:noWrap/>
            <w:hideMark/>
          </w:tcPr>
          <w:p w:rsidR="00777021" w:rsidRPr="00640245" w:rsidRDefault="00777021" w:rsidP="0031184E">
            <w:pPr>
              <w:pStyle w:val="Tabelki"/>
              <w:rPr>
                <w:color w:val="1F497D" w:themeColor="text2"/>
              </w:rPr>
            </w:pPr>
            <w:r>
              <w:rPr>
                <w:color w:val="1F497D" w:themeColor="text2"/>
              </w:rPr>
              <w:t>%</w:t>
            </w:r>
          </w:p>
        </w:tc>
        <w:tc>
          <w:tcPr>
            <w:tcW w:w="2096" w:type="dxa"/>
            <w:tcBorders>
              <w:right w:val="double" w:sz="4" w:space="0" w:color="auto"/>
            </w:tcBorders>
            <w:noWrap/>
            <w:hideMark/>
          </w:tcPr>
          <w:p w:rsidR="00777021" w:rsidRPr="000F24AD" w:rsidRDefault="00777021" w:rsidP="000F24AD">
            <w:pPr>
              <w:pStyle w:val="Tabelki"/>
              <w:rPr>
                <w:color w:val="1F497D" w:themeColor="text2"/>
              </w:rPr>
            </w:pPr>
            <w:r>
              <w:rPr>
                <w:color w:val="1F497D" w:themeColor="text2"/>
              </w:rPr>
              <w:t>75%</w:t>
            </w:r>
          </w:p>
        </w:tc>
      </w:tr>
      <w:tr w:rsidR="00640245" w:rsidRPr="00640245" w:rsidTr="0031184E">
        <w:trPr>
          <w:trHeight w:val="360"/>
        </w:trPr>
        <w:tc>
          <w:tcPr>
            <w:tcW w:w="6444" w:type="dxa"/>
            <w:tcBorders>
              <w:left w:val="double" w:sz="4" w:space="0" w:color="auto"/>
            </w:tcBorders>
            <w:noWrap/>
            <w:hideMark/>
          </w:tcPr>
          <w:p w:rsidR="00777021" w:rsidRPr="00640245" w:rsidRDefault="00121421" w:rsidP="00F03AB4">
            <w:pPr>
              <w:pStyle w:val="Tabelki"/>
              <w:rPr>
                <w:color w:val="1F497D" w:themeColor="text2"/>
              </w:rPr>
            </w:pPr>
            <w:r>
              <w:rPr>
                <w:color w:val="1F497D" w:themeColor="text2"/>
              </w:rPr>
              <w:t>Value of time for non</w:t>
            </w:r>
            <w:r>
              <w:noBreakHyphen/>
            </w:r>
            <w:r>
              <w:rPr>
                <w:color w:val="1F497D" w:themeColor="text2"/>
              </w:rPr>
              <w:t>work passengers</w:t>
            </w:r>
          </w:p>
        </w:tc>
        <w:tc>
          <w:tcPr>
            <w:tcW w:w="1428" w:type="dxa"/>
            <w:noWrap/>
            <w:hideMark/>
          </w:tcPr>
          <w:p w:rsidR="00777021" w:rsidRPr="00640245" w:rsidRDefault="006A1A29" w:rsidP="0031184E">
            <w:pPr>
              <w:pStyle w:val="Tabelki"/>
              <w:rPr>
                <w:color w:val="1F497D" w:themeColor="text2"/>
              </w:rPr>
            </w:pPr>
            <w:r>
              <w:rPr>
                <w:color w:val="1F497D" w:themeColor="text2"/>
              </w:rPr>
              <w:t>€ / h</w:t>
            </w:r>
          </w:p>
        </w:tc>
        <w:tc>
          <w:tcPr>
            <w:tcW w:w="2096" w:type="dxa"/>
            <w:tcBorders>
              <w:right w:val="double" w:sz="4" w:space="0" w:color="auto"/>
            </w:tcBorders>
            <w:noWrap/>
            <w:hideMark/>
          </w:tcPr>
          <w:p w:rsidR="00777021" w:rsidRPr="000F24AD" w:rsidRDefault="00777021" w:rsidP="000F24AD">
            <w:pPr>
              <w:pStyle w:val="Tabelki"/>
              <w:rPr>
                <w:color w:val="1F497D" w:themeColor="text2"/>
              </w:rPr>
            </w:pPr>
            <w:r>
              <w:rPr>
                <w:color w:val="1F497D" w:themeColor="text2"/>
              </w:rPr>
              <w:t>7.88</w:t>
            </w:r>
          </w:p>
        </w:tc>
      </w:tr>
      <w:tr w:rsidR="00640245" w:rsidRPr="00640245" w:rsidTr="0031184E">
        <w:trPr>
          <w:trHeight w:val="360"/>
        </w:trPr>
        <w:tc>
          <w:tcPr>
            <w:tcW w:w="6444" w:type="dxa"/>
            <w:tcBorders>
              <w:left w:val="double" w:sz="4" w:space="0" w:color="auto"/>
            </w:tcBorders>
            <w:noWrap/>
            <w:hideMark/>
          </w:tcPr>
          <w:p w:rsidR="00777021" w:rsidRPr="00640245" w:rsidRDefault="00777021" w:rsidP="00F03AB4">
            <w:pPr>
              <w:pStyle w:val="Tabelki"/>
              <w:rPr>
                <w:color w:val="1F497D" w:themeColor="text2"/>
              </w:rPr>
            </w:pPr>
            <w:r>
              <w:rPr>
                <w:color w:val="1F497D" w:themeColor="text2"/>
              </w:rPr>
              <w:t>Average percentage of non</w:t>
            </w:r>
            <w:r>
              <w:noBreakHyphen/>
            </w:r>
            <w:r>
              <w:rPr>
                <w:color w:val="1F497D" w:themeColor="text2"/>
              </w:rPr>
              <w:t>work passengers</w:t>
            </w:r>
          </w:p>
        </w:tc>
        <w:tc>
          <w:tcPr>
            <w:tcW w:w="1428" w:type="dxa"/>
            <w:noWrap/>
            <w:hideMark/>
          </w:tcPr>
          <w:p w:rsidR="00777021" w:rsidRPr="00640245" w:rsidRDefault="00777021" w:rsidP="0031184E">
            <w:pPr>
              <w:pStyle w:val="Tabelki"/>
              <w:rPr>
                <w:color w:val="1F497D" w:themeColor="text2"/>
              </w:rPr>
            </w:pPr>
            <w:r>
              <w:rPr>
                <w:color w:val="1F497D" w:themeColor="text2"/>
              </w:rPr>
              <w:t>%</w:t>
            </w:r>
          </w:p>
        </w:tc>
        <w:tc>
          <w:tcPr>
            <w:tcW w:w="2096" w:type="dxa"/>
            <w:tcBorders>
              <w:right w:val="double" w:sz="4" w:space="0" w:color="auto"/>
            </w:tcBorders>
            <w:noWrap/>
            <w:hideMark/>
          </w:tcPr>
          <w:p w:rsidR="00777021" w:rsidRPr="000F24AD" w:rsidRDefault="00777021" w:rsidP="000F24AD">
            <w:pPr>
              <w:pStyle w:val="Tabelki"/>
              <w:rPr>
                <w:color w:val="1F497D" w:themeColor="text2"/>
              </w:rPr>
            </w:pPr>
            <w:r>
              <w:rPr>
                <w:color w:val="1F497D" w:themeColor="text2"/>
              </w:rPr>
              <w:t>25%</w:t>
            </w:r>
          </w:p>
        </w:tc>
      </w:tr>
      <w:tr w:rsidR="00640245" w:rsidRPr="00640245" w:rsidTr="0031184E">
        <w:trPr>
          <w:trHeight w:val="360"/>
        </w:trPr>
        <w:tc>
          <w:tcPr>
            <w:tcW w:w="6444" w:type="dxa"/>
            <w:tcBorders>
              <w:left w:val="double" w:sz="4" w:space="0" w:color="auto"/>
            </w:tcBorders>
            <w:noWrap/>
            <w:hideMark/>
          </w:tcPr>
          <w:p w:rsidR="00777021" w:rsidRPr="00640245" w:rsidRDefault="00121421" w:rsidP="0031184E">
            <w:pPr>
              <w:pStyle w:val="Tabelki"/>
              <w:rPr>
                <w:color w:val="1F497D" w:themeColor="text2"/>
              </w:rPr>
            </w:pPr>
            <w:r>
              <w:rPr>
                <w:color w:val="1F497D" w:themeColor="text2"/>
              </w:rPr>
              <w:t>Value of time for all passengers VT(p)</w:t>
            </w:r>
          </w:p>
        </w:tc>
        <w:tc>
          <w:tcPr>
            <w:tcW w:w="1428" w:type="dxa"/>
            <w:noWrap/>
            <w:hideMark/>
          </w:tcPr>
          <w:p w:rsidR="00777021" w:rsidRPr="00640245" w:rsidRDefault="006A1A29" w:rsidP="0031184E">
            <w:pPr>
              <w:pStyle w:val="Tabelki"/>
              <w:rPr>
                <w:color w:val="1F497D" w:themeColor="text2"/>
              </w:rPr>
            </w:pPr>
            <w:r>
              <w:rPr>
                <w:color w:val="1F497D" w:themeColor="text2"/>
              </w:rPr>
              <w:t>€ / h</w:t>
            </w:r>
          </w:p>
        </w:tc>
        <w:tc>
          <w:tcPr>
            <w:tcW w:w="2096" w:type="dxa"/>
            <w:tcBorders>
              <w:right w:val="double" w:sz="4" w:space="0" w:color="auto"/>
            </w:tcBorders>
            <w:noWrap/>
            <w:hideMark/>
          </w:tcPr>
          <w:p w:rsidR="00777021" w:rsidRPr="000F24AD" w:rsidRDefault="00777021" w:rsidP="000F24AD">
            <w:pPr>
              <w:pStyle w:val="Tabelki"/>
              <w:rPr>
                <w:color w:val="1F497D" w:themeColor="text2"/>
              </w:rPr>
            </w:pPr>
            <w:r>
              <w:rPr>
                <w:color w:val="1F497D" w:themeColor="text2"/>
              </w:rPr>
              <w:t>19.70</w:t>
            </w:r>
          </w:p>
        </w:tc>
      </w:tr>
      <w:tr w:rsidR="00640245" w:rsidRPr="00640245" w:rsidTr="0031184E">
        <w:trPr>
          <w:trHeight w:val="360"/>
        </w:trPr>
        <w:tc>
          <w:tcPr>
            <w:tcW w:w="6444" w:type="dxa"/>
            <w:tcBorders>
              <w:left w:val="double" w:sz="4" w:space="0" w:color="auto"/>
            </w:tcBorders>
            <w:noWrap/>
            <w:hideMark/>
          </w:tcPr>
          <w:p w:rsidR="00777021" w:rsidRPr="00640245" w:rsidRDefault="00121421" w:rsidP="0031184E">
            <w:pPr>
              <w:pStyle w:val="Tabelki"/>
              <w:rPr>
                <w:color w:val="1F497D" w:themeColor="text2"/>
              </w:rPr>
            </w:pPr>
            <w:r>
              <w:rPr>
                <w:color w:val="1F497D" w:themeColor="text2"/>
              </w:rPr>
              <w:t>Factor 1 (K1)</w:t>
            </w:r>
          </w:p>
        </w:tc>
        <w:tc>
          <w:tcPr>
            <w:tcW w:w="1428" w:type="dxa"/>
            <w:noWrap/>
            <w:hideMark/>
          </w:tcPr>
          <w:p w:rsidR="00777021" w:rsidRPr="00640245" w:rsidRDefault="00777021" w:rsidP="0031184E">
            <w:pPr>
              <w:pStyle w:val="Tabelki"/>
              <w:rPr>
                <w:color w:val="1F497D" w:themeColor="text2"/>
              </w:rPr>
            </w:pPr>
          </w:p>
        </w:tc>
        <w:tc>
          <w:tcPr>
            <w:tcW w:w="2096" w:type="dxa"/>
            <w:tcBorders>
              <w:right w:val="double" w:sz="4" w:space="0" w:color="auto"/>
            </w:tcBorders>
            <w:noWrap/>
            <w:hideMark/>
          </w:tcPr>
          <w:p w:rsidR="00777021" w:rsidRPr="000F24AD" w:rsidRDefault="00777021" w:rsidP="000F24AD">
            <w:pPr>
              <w:pStyle w:val="Tabelki"/>
              <w:rPr>
                <w:color w:val="1F497D" w:themeColor="text2"/>
              </w:rPr>
            </w:pPr>
            <w:r>
              <w:rPr>
                <w:color w:val="1F497D" w:themeColor="text2"/>
              </w:rPr>
              <w:t>2.5</w:t>
            </w:r>
          </w:p>
        </w:tc>
      </w:tr>
      <w:tr w:rsidR="00640245" w:rsidRPr="00640245" w:rsidTr="0031184E">
        <w:trPr>
          <w:trHeight w:val="360"/>
        </w:trPr>
        <w:tc>
          <w:tcPr>
            <w:tcW w:w="6444" w:type="dxa"/>
            <w:tcBorders>
              <w:left w:val="double" w:sz="4" w:space="0" w:color="auto"/>
            </w:tcBorders>
            <w:noWrap/>
          </w:tcPr>
          <w:p w:rsidR="00121421" w:rsidRPr="00640245" w:rsidRDefault="00121421" w:rsidP="0031184E">
            <w:pPr>
              <w:pStyle w:val="Tabelki"/>
              <w:rPr>
                <w:color w:val="1F497D" w:themeColor="text2"/>
              </w:rPr>
            </w:pPr>
            <w:r>
              <w:rPr>
                <w:color w:val="1F497D" w:themeColor="text2"/>
              </w:rPr>
              <w:t>Number of passenger</w:t>
            </w:r>
            <w:r>
              <w:noBreakHyphen/>
            </w:r>
            <w:r>
              <w:rPr>
                <w:color w:val="1F497D" w:themeColor="text2"/>
              </w:rPr>
              <w:t>km</w:t>
            </w:r>
          </w:p>
        </w:tc>
        <w:tc>
          <w:tcPr>
            <w:tcW w:w="1428" w:type="dxa"/>
            <w:noWrap/>
          </w:tcPr>
          <w:p w:rsidR="00121421" w:rsidRPr="00640245" w:rsidRDefault="00121421" w:rsidP="0031184E">
            <w:pPr>
              <w:pStyle w:val="Tabelki"/>
              <w:rPr>
                <w:color w:val="1F497D" w:themeColor="text2"/>
              </w:rPr>
            </w:pPr>
            <w:r>
              <w:rPr>
                <w:color w:val="1F497D" w:themeColor="text2"/>
              </w:rPr>
              <w:t>(million pkm)</w:t>
            </w:r>
          </w:p>
        </w:tc>
        <w:tc>
          <w:tcPr>
            <w:tcW w:w="2096" w:type="dxa"/>
            <w:tcBorders>
              <w:right w:val="double" w:sz="4" w:space="0" w:color="auto"/>
            </w:tcBorders>
            <w:noWrap/>
          </w:tcPr>
          <w:p w:rsidR="00121421" w:rsidRPr="000F24AD" w:rsidRDefault="00640245" w:rsidP="000F24AD">
            <w:pPr>
              <w:pStyle w:val="Tabelki"/>
              <w:rPr>
                <w:color w:val="1F497D" w:themeColor="text2"/>
              </w:rPr>
            </w:pPr>
            <w:r>
              <w:rPr>
                <w:color w:val="1F497D" w:themeColor="text2"/>
              </w:rPr>
              <w:t>15 943.22698</w:t>
            </w:r>
          </w:p>
        </w:tc>
      </w:tr>
      <w:tr w:rsidR="00640245" w:rsidRPr="00640245" w:rsidTr="0031184E">
        <w:trPr>
          <w:trHeight w:val="360"/>
        </w:trPr>
        <w:tc>
          <w:tcPr>
            <w:tcW w:w="6444" w:type="dxa"/>
            <w:tcBorders>
              <w:left w:val="double" w:sz="4" w:space="0" w:color="auto"/>
            </w:tcBorders>
            <w:noWrap/>
            <w:hideMark/>
          </w:tcPr>
          <w:p w:rsidR="00121421" w:rsidRPr="00640245" w:rsidRDefault="00121421" w:rsidP="0031184E">
            <w:pPr>
              <w:pStyle w:val="Tabelki"/>
              <w:rPr>
                <w:color w:val="1F497D" w:themeColor="text2"/>
              </w:rPr>
            </w:pPr>
            <w:r>
              <w:rPr>
                <w:color w:val="1F497D" w:themeColor="text2"/>
              </w:rPr>
              <w:t>Number of passenger train</w:t>
            </w:r>
            <w:r>
              <w:noBreakHyphen/>
            </w:r>
            <w:r>
              <w:rPr>
                <w:color w:val="1F497D" w:themeColor="text2"/>
              </w:rPr>
              <w:t>km</w:t>
            </w:r>
          </w:p>
        </w:tc>
        <w:tc>
          <w:tcPr>
            <w:tcW w:w="1428" w:type="dxa"/>
            <w:noWrap/>
            <w:hideMark/>
          </w:tcPr>
          <w:p w:rsidR="00121421" w:rsidRPr="00640245" w:rsidRDefault="006A1A29" w:rsidP="0031184E">
            <w:pPr>
              <w:pStyle w:val="Tabelki"/>
              <w:rPr>
                <w:color w:val="1F497D" w:themeColor="text2"/>
              </w:rPr>
            </w:pPr>
            <w:r>
              <w:rPr>
                <w:color w:val="1F497D" w:themeColor="text2"/>
              </w:rPr>
              <w:t>million train</w:t>
            </w:r>
            <w:r>
              <w:noBreakHyphen/>
            </w:r>
            <w:r>
              <w:rPr>
                <w:color w:val="1F497D" w:themeColor="text2"/>
              </w:rPr>
              <w:t>km</w:t>
            </w:r>
          </w:p>
        </w:tc>
        <w:tc>
          <w:tcPr>
            <w:tcW w:w="2096" w:type="dxa"/>
            <w:tcBorders>
              <w:right w:val="double" w:sz="4" w:space="0" w:color="auto"/>
            </w:tcBorders>
            <w:noWrap/>
          </w:tcPr>
          <w:p w:rsidR="00121421" w:rsidRPr="000F24AD" w:rsidRDefault="00640245" w:rsidP="000F24AD">
            <w:pPr>
              <w:pStyle w:val="Tabelki"/>
              <w:rPr>
                <w:color w:val="1F497D" w:themeColor="text2"/>
              </w:rPr>
            </w:pPr>
            <w:r>
              <w:rPr>
                <w:color w:val="1F497D" w:themeColor="text2"/>
              </w:rPr>
              <w:t>134.084</w:t>
            </w:r>
          </w:p>
        </w:tc>
      </w:tr>
      <w:tr w:rsidR="00640245" w:rsidRPr="00640245" w:rsidTr="0031184E">
        <w:trPr>
          <w:trHeight w:val="360"/>
        </w:trPr>
        <w:tc>
          <w:tcPr>
            <w:tcW w:w="6444" w:type="dxa"/>
            <w:tcBorders>
              <w:left w:val="double" w:sz="4" w:space="0" w:color="auto"/>
            </w:tcBorders>
            <w:noWrap/>
            <w:hideMark/>
          </w:tcPr>
          <w:p w:rsidR="00121421" w:rsidRPr="00640245" w:rsidRDefault="00E17311" w:rsidP="0031184E">
            <w:pPr>
              <w:pStyle w:val="Tabelki"/>
              <w:rPr>
                <w:color w:val="1F497D" w:themeColor="text2"/>
              </w:rPr>
            </w:pPr>
            <w:r>
              <w:rPr>
                <w:color w:val="1F497D" w:themeColor="text2"/>
              </w:rPr>
              <w:t>Cost of one minute of delay of a passenger train C(mp)</w:t>
            </w:r>
          </w:p>
        </w:tc>
        <w:tc>
          <w:tcPr>
            <w:tcW w:w="1428" w:type="dxa"/>
            <w:noWrap/>
            <w:hideMark/>
          </w:tcPr>
          <w:p w:rsidR="00121421" w:rsidRPr="00640245" w:rsidRDefault="00121421" w:rsidP="0031184E">
            <w:pPr>
              <w:pStyle w:val="Tabelki"/>
              <w:rPr>
                <w:color w:val="1F497D" w:themeColor="text2"/>
              </w:rPr>
            </w:pPr>
            <w:r>
              <w:rPr>
                <w:color w:val="1F497D" w:themeColor="text2"/>
              </w:rPr>
              <w:t>€</w:t>
            </w:r>
          </w:p>
        </w:tc>
        <w:tc>
          <w:tcPr>
            <w:tcW w:w="2096" w:type="dxa"/>
            <w:tcBorders>
              <w:right w:val="double" w:sz="4" w:space="0" w:color="auto"/>
            </w:tcBorders>
            <w:noWrap/>
          </w:tcPr>
          <w:p w:rsidR="00121421" w:rsidRPr="00640245" w:rsidRDefault="00121421" w:rsidP="00C8215D">
            <w:pPr>
              <w:pStyle w:val="DoNotTranslateExternal4"/>
            </w:pPr>
            <w:r>
              <w:t>98</w:t>
            </w:r>
          </w:p>
        </w:tc>
      </w:tr>
      <w:tr w:rsidR="00640245" w:rsidRPr="00640245" w:rsidTr="0031184E">
        <w:trPr>
          <w:trHeight w:val="360"/>
        </w:trPr>
        <w:tc>
          <w:tcPr>
            <w:tcW w:w="6444" w:type="dxa"/>
            <w:tcBorders>
              <w:left w:val="double" w:sz="4" w:space="0" w:color="auto"/>
              <w:bottom w:val="double" w:sz="4" w:space="0" w:color="auto"/>
            </w:tcBorders>
            <w:noWrap/>
            <w:hideMark/>
          </w:tcPr>
          <w:p w:rsidR="00121421" w:rsidRPr="00640245" w:rsidRDefault="00121421" w:rsidP="0031184E">
            <w:pPr>
              <w:pStyle w:val="Tabelki"/>
              <w:rPr>
                <w:color w:val="1F497D" w:themeColor="text2"/>
              </w:rPr>
            </w:pPr>
            <w:r>
              <w:rPr>
                <w:color w:val="1F497D" w:themeColor="text2"/>
              </w:rPr>
              <w:t>Delays of passenger trains</w:t>
            </w:r>
          </w:p>
        </w:tc>
        <w:tc>
          <w:tcPr>
            <w:tcW w:w="1428" w:type="dxa"/>
            <w:tcBorders>
              <w:bottom w:val="double" w:sz="4" w:space="0" w:color="auto"/>
            </w:tcBorders>
            <w:noWrap/>
            <w:hideMark/>
          </w:tcPr>
          <w:p w:rsidR="00121421" w:rsidRPr="00640245" w:rsidRDefault="00121421" w:rsidP="0031184E">
            <w:pPr>
              <w:pStyle w:val="Tabelki"/>
              <w:rPr>
                <w:color w:val="1F497D" w:themeColor="text2"/>
              </w:rPr>
            </w:pPr>
            <w:r>
              <w:rPr>
                <w:color w:val="1F497D" w:themeColor="text2"/>
              </w:rPr>
              <w:t>minutes</w:t>
            </w:r>
          </w:p>
        </w:tc>
        <w:tc>
          <w:tcPr>
            <w:tcW w:w="2096" w:type="dxa"/>
            <w:tcBorders>
              <w:bottom w:val="double" w:sz="4" w:space="0" w:color="auto"/>
              <w:right w:val="double" w:sz="4" w:space="0" w:color="auto"/>
            </w:tcBorders>
            <w:noWrap/>
            <w:hideMark/>
          </w:tcPr>
          <w:p w:rsidR="00121421" w:rsidRPr="00640245" w:rsidRDefault="00640245" w:rsidP="00C8215D">
            <w:pPr>
              <w:pStyle w:val="DoNotTranslateExternal4"/>
            </w:pPr>
            <w:r>
              <w:t>77133</w:t>
            </w:r>
          </w:p>
        </w:tc>
      </w:tr>
      <w:tr w:rsidR="00C01C65" w:rsidRPr="00C01C65" w:rsidTr="0031184E">
        <w:trPr>
          <w:trHeight w:val="360"/>
        </w:trPr>
        <w:tc>
          <w:tcPr>
            <w:tcW w:w="9968"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rsidR="00121421" w:rsidRPr="00C01C65" w:rsidRDefault="00121421" w:rsidP="0031184E">
            <w:pPr>
              <w:pStyle w:val="Tabelki"/>
              <w:jc w:val="center"/>
              <w:rPr>
                <w:b/>
                <w:color w:val="1F497D" w:themeColor="text2"/>
              </w:rPr>
            </w:pPr>
            <w:r>
              <w:rPr>
                <w:b/>
                <w:color w:val="1F497D" w:themeColor="text2"/>
              </w:rPr>
              <w:t>Freight transport</w:t>
            </w:r>
          </w:p>
        </w:tc>
      </w:tr>
      <w:tr w:rsidR="00640245" w:rsidRPr="00640245" w:rsidTr="0031184E">
        <w:trPr>
          <w:trHeight w:val="360"/>
        </w:trPr>
        <w:tc>
          <w:tcPr>
            <w:tcW w:w="6444" w:type="dxa"/>
            <w:tcBorders>
              <w:top w:val="double" w:sz="4" w:space="0" w:color="auto"/>
              <w:left w:val="double" w:sz="4" w:space="0" w:color="auto"/>
            </w:tcBorders>
            <w:noWrap/>
            <w:hideMark/>
          </w:tcPr>
          <w:p w:rsidR="00121421" w:rsidRPr="00640245" w:rsidRDefault="00121421" w:rsidP="0031184E">
            <w:pPr>
              <w:pStyle w:val="Tabelki"/>
              <w:rPr>
                <w:color w:val="1F497D" w:themeColor="text2"/>
              </w:rPr>
            </w:pPr>
            <w:r>
              <w:rPr>
                <w:color w:val="1F497D" w:themeColor="text2"/>
              </w:rPr>
              <w:t>National value of time for a tonne of goods (an hour)</w:t>
            </w:r>
          </w:p>
        </w:tc>
        <w:tc>
          <w:tcPr>
            <w:tcW w:w="1428" w:type="dxa"/>
            <w:tcBorders>
              <w:top w:val="double" w:sz="4" w:space="0" w:color="auto"/>
            </w:tcBorders>
            <w:noWrap/>
            <w:hideMark/>
          </w:tcPr>
          <w:p w:rsidR="00121421" w:rsidRPr="00640245" w:rsidRDefault="00640245" w:rsidP="0031184E">
            <w:pPr>
              <w:pStyle w:val="Tabelki"/>
              <w:rPr>
                <w:color w:val="1F497D" w:themeColor="text2"/>
              </w:rPr>
            </w:pPr>
            <w:r>
              <w:rPr>
                <w:color w:val="1F497D" w:themeColor="text2"/>
              </w:rPr>
              <w:t>€ / h</w:t>
            </w:r>
          </w:p>
        </w:tc>
        <w:tc>
          <w:tcPr>
            <w:tcW w:w="2096" w:type="dxa"/>
            <w:tcBorders>
              <w:top w:val="double" w:sz="4" w:space="0" w:color="auto"/>
              <w:right w:val="double" w:sz="4" w:space="0" w:color="auto"/>
            </w:tcBorders>
            <w:noWrap/>
            <w:hideMark/>
          </w:tcPr>
          <w:p w:rsidR="00121421" w:rsidRPr="000F24AD" w:rsidRDefault="00121421" w:rsidP="000F24AD">
            <w:pPr>
              <w:pStyle w:val="Tabelki"/>
              <w:rPr>
                <w:color w:val="1F497D" w:themeColor="text2"/>
              </w:rPr>
            </w:pPr>
            <w:r>
              <w:rPr>
                <w:color w:val="1F497D" w:themeColor="text2"/>
              </w:rPr>
              <w:t>1.432363636</w:t>
            </w:r>
          </w:p>
        </w:tc>
      </w:tr>
      <w:tr w:rsidR="00C01C65" w:rsidRPr="00C01C65" w:rsidTr="0031184E">
        <w:trPr>
          <w:trHeight w:val="360"/>
        </w:trPr>
        <w:tc>
          <w:tcPr>
            <w:tcW w:w="6444" w:type="dxa"/>
            <w:tcBorders>
              <w:left w:val="double" w:sz="4" w:space="0" w:color="auto"/>
            </w:tcBorders>
            <w:noWrap/>
          </w:tcPr>
          <w:p w:rsidR="00121421" w:rsidRPr="00C01C65" w:rsidRDefault="00121421" w:rsidP="0031184E">
            <w:pPr>
              <w:pStyle w:val="Tabelki"/>
              <w:rPr>
                <w:color w:val="1F497D" w:themeColor="text2"/>
              </w:rPr>
            </w:pPr>
            <w:r>
              <w:rPr>
                <w:color w:val="1F497D" w:themeColor="text2"/>
              </w:rPr>
              <w:t>Number of freight tonne</w:t>
            </w:r>
            <w:r>
              <w:noBreakHyphen/>
            </w:r>
            <w:r>
              <w:rPr>
                <w:color w:val="1F497D" w:themeColor="text2"/>
              </w:rPr>
              <w:t>km</w:t>
            </w:r>
          </w:p>
        </w:tc>
        <w:tc>
          <w:tcPr>
            <w:tcW w:w="1428" w:type="dxa"/>
            <w:noWrap/>
          </w:tcPr>
          <w:p w:rsidR="00121421" w:rsidRPr="00C01C65" w:rsidRDefault="006A1A29" w:rsidP="0031184E">
            <w:pPr>
              <w:pStyle w:val="Tabelki"/>
              <w:rPr>
                <w:color w:val="1F497D" w:themeColor="text2"/>
              </w:rPr>
            </w:pPr>
            <w:r>
              <w:rPr>
                <w:color w:val="1F497D" w:themeColor="text2"/>
              </w:rPr>
              <w:t>million tonne</w:t>
            </w:r>
            <w:r>
              <w:noBreakHyphen/>
            </w:r>
            <w:r>
              <w:rPr>
                <w:color w:val="1F497D" w:themeColor="text2"/>
              </w:rPr>
              <w:t>km</w:t>
            </w:r>
          </w:p>
        </w:tc>
        <w:tc>
          <w:tcPr>
            <w:tcW w:w="2096" w:type="dxa"/>
            <w:tcBorders>
              <w:right w:val="double" w:sz="4" w:space="0" w:color="auto"/>
            </w:tcBorders>
            <w:noWrap/>
          </w:tcPr>
          <w:p w:rsidR="00121421" w:rsidRPr="000F24AD" w:rsidRDefault="00C01C65" w:rsidP="000F24AD">
            <w:pPr>
              <w:pStyle w:val="Tabelki"/>
              <w:rPr>
                <w:color w:val="1F497D" w:themeColor="text2"/>
              </w:rPr>
            </w:pPr>
            <w:r>
              <w:rPr>
                <w:color w:val="1F497D" w:themeColor="text2"/>
              </w:rPr>
              <w:t>157 332.5919</w:t>
            </w:r>
          </w:p>
        </w:tc>
      </w:tr>
      <w:tr w:rsidR="00C01C65" w:rsidRPr="00C01C65" w:rsidTr="0031184E">
        <w:trPr>
          <w:trHeight w:val="360"/>
        </w:trPr>
        <w:tc>
          <w:tcPr>
            <w:tcW w:w="6444" w:type="dxa"/>
            <w:tcBorders>
              <w:left w:val="double" w:sz="4" w:space="0" w:color="auto"/>
            </w:tcBorders>
            <w:noWrap/>
          </w:tcPr>
          <w:p w:rsidR="00121421" w:rsidRPr="00C01C65" w:rsidRDefault="00121421" w:rsidP="0031184E">
            <w:pPr>
              <w:pStyle w:val="Tabelki"/>
              <w:rPr>
                <w:color w:val="1F497D" w:themeColor="text2"/>
              </w:rPr>
            </w:pPr>
            <w:r>
              <w:rPr>
                <w:color w:val="1F497D" w:themeColor="text2"/>
              </w:rPr>
              <w:t>Number of freight train</w:t>
            </w:r>
            <w:r>
              <w:noBreakHyphen/>
            </w:r>
            <w:r>
              <w:rPr>
                <w:color w:val="1F497D" w:themeColor="text2"/>
              </w:rPr>
              <w:t>km</w:t>
            </w:r>
          </w:p>
        </w:tc>
        <w:tc>
          <w:tcPr>
            <w:tcW w:w="1428" w:type="dxa"/>
            <w:noWrap/>
          </w:tcPr>
          <w:p w:rsidR="00121421" w:rsidRPr="00C01C65" w:rsidRDefault="006A1A29" w:rsidP="0031184E">
            <w:pPr>
              <w:pStyle w:val="Tabelki"/>
              <w:rPr>
                <w:color w:val="1F497D" w:themeColor="text2"/>
              </w:rPr>
            </w:pPr>
            <w:r>
              <w:rPr>
                <w:color w:val="1F497D" w:themeColor="text2"/>
              </w:rPr>
              <w:t>million train</w:t>
            </w:r>
            <w:r>
              <w:noBreakHyphen/>
            </w:r>
            <w:r>
              <w:rPr>
                <w:color w:val="1F497D" w:themeColor="text2"/>
              </w:rPr>
              <w:t>km</w:t>
            </w:r>
          </w:p>
        </w:tc>
        <w:tc>
          <w:tcPr>
            <w:tcW w:w="2096" w:type="dxa"/>
            <w:tcBorders>
              <w:right w:val="double" w:sz="4" w:space="0" w:color="auto"/>
            </w:tcBorders>
            <w:noWrap/>
          </w:tcPr>
          <w:p w:rsidR="00121421" w:rsidRPr="000F24AD" w:rsidRDefault="00C01C65" w:rsidP="000F24AD">
            <w:pPr>
              <w:pStyle w:val="Tabelki"/>
              <w:rPr>
                <w:color w:val="1F497D" w:themeColor="text2"/>
              </w:rPr>
            </w:pPr>
            <w:r>
              <w:rPr>
                <w:color w:val="1F497D" w:themeColor="text2"/>
              </w:rPr>
              <w:t>74.4205743</w:t>
            </w:r>
          </w:p>
        </w:tc>
      </w:tr>
      <w:tr w:rsidR="00C01C65" w:rsidRPr="00C01C65" w:rsidTr="0031184E">
        <w:trPr>
          <w:trHeight w:val="360"/>
        </w:trPr>
        <w:tc>
          <w:tcPr>
            <w:tcW w:w="6444" w:type="dxa"/>
            <w:tcBorders>
              <w:left w:val="double" w:sz="4" w:space="0" w:color="auto"/>
            </w:tcBorders>
            <w:noWrap/>
            <w:hideMark/>
          </w:tcPr>
          <w:p w:rsidR="00121421" w:rsidRPr="00C01C65" w:rsidRDefault="00121421" w:rsidP="0031184E">
            <w:pPr>
              <w:pStyle w:val="Tabelki"/>
              <w:rPr>
                <w:color w:val="1F497D" w:themeColor="text2"/>
              </w:rPr>
            </w:pPr>
            <w:r>
              <w:rPr>
                <w:color w:val="1F497D" w:themeColor="text2"/>
              </w:rPr>
              <w:t>Value of time for freight trains VT(f)</w:t>
            </w:r>
          </w:p>
        </w:tc>
        <w:tc>
          <w:tcPr>
            <w:tcW w:w="1428" w:type="dxa"/>
            <w:noWrap/>
            <w:hideMark/>
          </w:tcPr>
          <w:p w:rsidR="00121421" w:rsidRPr="00C01C65" w:rsidRDefault="00121421" w:rsidP="0031184E">
            <w:pPr>
              <w:pStyle w:val="Tabelki"/>
              <w:rPr>
                <w:color w:val="1F497D" w:themeColor="text2"/>
              </w:rPr>
            </w:pPr>
            <w:r>
              <w:rPr>
                <w:color w:val="1F497D" w:themeColor="text2"/>
              </w:rPr>
              <w:t>€ / h</w:t>
            </w:r>
          </w:p>
        </w:tc>
        <w:tc>
          <w:tcPr>
            <w:tcW w:w="2096" w:type="dxa"/>
            <w:tcBorders>
              <w:right w:val="double" w:sz="4" w:space="0" w:color="auto"/>
            </w:tcBorders>
            <w:noWrap/>
            <w:hideMark/>
          </w:tcPr>
          <w:p w:rsidR="00121421" w:rsidRPr="000F24AD" w:rsidRDefault="00C01C65" w:rsidP="000F24AD">
            <w:pPr>
              <w:pStyle w:val="Tabelki"/>
              <w:rPr>
                <w:color w:val="1F497D" w:themeColor="text2"/>
              </w:rPr>
            </w:pPr>
            <w:r>
              <w:rPr>
                <w:color w:val="1F497D" w:themeColor="text2"/>
              </w:rPr>
              <w:t>3 028.161037</w:t>
            </w:r>
          </w:p>
        </w:tc>
      </w:tr>
      <w:tr w:rsidR="00C01C65" w:rsidRPr="00C01C65" w:rsidTr="0031184E">
        <w:trPr>
          <w:trHeight w:val="360"/>
        </w:trPr>
        <w:tc>
          <w:tcPr>
            <w:tcW w:w="6444" w:type="dxa"/>
            <w:tcBorders>
              <w:left w:val="double" w:sz="4" w:space="0" w:color="auto"/>
            </w:tcBorders>
            <w:noWrap/>
            <w:hideMark/>
          </w:tcPr>
          <w:p w:rsidR="00121421" w:rsidRPr="00C01C65" w:rsidRDefault="00121421" w:rsidP="0031184E">
            <w:pPr>
              <w:pStyle w:val="Tabelki"/>
              <w:rPr>
                <w:color w:val="1F497D" w:themeColor="text2"/>
              </w:rPr>
            </w:pPr>
            <w:r>
              <w:rPr>
                <w:color w:val="1F497D" w:themeColor="text2"/>
              </w:rPr>
              <w:t>Factor 2 (K2)</w:t>
            </w:r>
          </w:p>
        </w:tc>
        <w:tc>
          <w:tcPr>
            <w:tcW w:w="1428" w:type="dxa"/>
            <w:noWrap/>
            <w:hideMark/>
          </w:tcPr>
          <w:p w:rsidR="00121421" w:rsidRPr="00C01C65" w:rsidRDefault="00121421" w:rsidP="0031184E">
            <w:pPr>
              <w:pStyle w:val="Tabelki"/>
              <w:rPr>
                <w:color w:val="1F497D" w:themeColor="text2"/>
              </w:rPr>
            </w:pPr>
          </w:p>
        </w:tc>
        <w:tc>
          <w:tcPr>
            <w:tcW w:w="2096" w:type="dxa"/>
            <w:tcBorders>
              <w:right w:val="double" w:sz="4" w:space="0" w:color="auto"/>
            </w:tcBorders>
            <w:noWrap/>
            <w:hideMark/>
          </w:tcPr>
          <w:p w:rsidR="00121421" w:rsidRPr="000F24AD" w:rsidRDefault="00121421" w:rsidP="000F24AD">
            <w:pPr>
              <w:pStyle w:val="Tabelki"/>
              <w:rPr>
                <w:color w:val="1F497D" w:themeColor="text2"/>
              </w:rPr>
            </w:pPr>
            <w:r>
              <w:rPr>
                <w:color w:val="1F497D" w:themeColor="text2"/>
              </w:rPr>
              <w:t>2.15</w:t>
            </w:r>
          </w:p>
        </w:tc>
      </w:tr>
      <w:tr w:rsidR="00C01C65" w:rsidRPr="00C01C65" w:rsidTr="0031184E">
        <w:trPr>
          <w:trHeight w:val="360"/>
        </w:trPr>
        <w:tc>
          <w:tcPr>
            <w:tcW w:w="6444" w:type="dxa"/>
            <w:tcBorders>
              <w:left w:val="double" w:sz="4" w:space="0" w:color="auto"/>
            </w:tcBorders>
            <w:noWrap/>
            <w:hideMark/>
          </w:tcPr>
          <w:p w:rsidR="00121421" w:rsidRPr="00C01C65" w:rsidRDefault="00E17311" w:rsidP="0031184E">
            <w:pPr>
              <w:pStyle w:val="Tabelki"/>
              <w:rPr>
                <w:color w:val="1F497D" w:themeColor="text2"/>
              </w:rPr>
            </w:pPr>
            <w:r>
              <w:rPr>
                <w:color w:val="1F497D" w:themeColor="text2"/>
              </w:rPr>
              <w:t>Cost of one minute of delay of a freight train C(mf)</w:t>
            </w:r>
          </w:p>
        </w:tc>
        <w:tc>
          <w:tcPr>
            <w:tcW w:w="1428" w:type="dxa"/>
            <w:noWrap/>
            <w:hideMark/>
          </w:tcPr>
          <w:p w:rsidR="00121421" w:rsidRPr="00C01C65" w:rsidRDefault="00121421" w:rsidP="0031184E">
            <w:pPr>
              <w:pStyle w:val="Tabelki"/>
              <w:rPr>
                <w:color w:val="1F497D" w:themeColor="text2"/>
              </w:rPr>
            </w:pPr>
            <w:r>
              <w:rPr>
                <w:color w:val="1F497D" w:themeColor="text2"/>
              </w:rPr>
              <w:t>€</w:t>
            </w:r>
          </w:p>
        </w:tc>
        <w:tc>
          <w:tcPr>
            <w:tcW w:w="2096" w:type="dxa"/>
            <w:tcBorders>
              <w:right w:val="double" w:sz="4" w:space="0" w:color="auto"/>
            </w:tcBorders>
            <w:noWrap/>
            <w:hideMark/>
          </w:tcPr>
          <w:p w:rsidR="00121421" w:rsidRPr="000F24AD" w:rsidRDefault="00C01C65" w:rsidP="000F24AD">
            <w:pPr>
              <w:pStyle w:val="Tabelki"/>
              <w:rPr>
                <w:color w:val="1F497D" w:themeColor="text2"/>
              </w:rPr>
            </w:pPr>
            <w:r>
              <w:rPr>
                <w:color w:val="1F497D" w:themeColor="text2"/>
              </w:rPr>
              <w:t>108.5091038</w:t>
            </w:r>
          </w:p>
        </w:tc>
      </w:tr>
      <w:tr w:rsidR="00C01C65" w:rsidRPr="00C01C65" w:rsidTr="0031184E">
        <w:trPr>
          <w:trHeight w:val="360"/>
        </w:trPr>
        <w:tc>
          <w:tcPr>
            <w:tcW w:w="6444" w:type="dxa"/>
            <w:tcBorders>
              <w:left w:val="double" w:sz="4" w:space="0" w:color="auto"/>
              <w:bottom w:val="double" w:sz="4" w:space="0" w:color="auto"/>
            </w:tcBorders>
            <w:noWrap/>
            <w:hideMark/>
          </w:tcPr>
          <w:p w:rsidR="00121421" w:rsidRPr="00C01C65" w:rsidRDefault="00121421" w:rsidP="0031184E">
            <w:pPr>
              <w:pStyle w:val="Tabelki"/>
              <w:rPr>
                <w:color w:val="1F497D" w:themeColor="text2"/>
              </w:rPr>
            </w:pPr>
            <w:r>
              <w:rPr>
                <w:color w:val="1F497D" w:themeColor="text2"/>
              </w:rPr>
              <w:t>Delays of freight trains</w:t>
            </w:r>
          </w:p>
        </w:tc>
        <w:tc>
          <w:tcPr>
            <w:tcW w:w="1428" w:type="dxa"/>
            <w:tcBorders>
              <w:bottom w:val="double" w:sz="4" w:space="0" w:color="auto"/>
            </w:tcBorders>
            <w:noWrap/>
            <w:hideMark/>
          </w:tcPr>
          <w:p w:rsidR="00121421" w:rsidRPr="00C01C65" w:rsidRDefault="00121421" w:rsidP="0031184E">
            <w:pPr>
              <w:pStyle w:val="Tabelki"/>
              <w:rPr>
                <w:color w:val="1F497D" w:themeColor="text2"/>
              </w:rPr>
            </w:pPr>
            <w:r>
              <w:rPr>
                <w:color w:val="1F497D" w:themeColor="text2"/>
              </w:rPr>
              <w:t>Minutes</w:t>
            </w:r>
          </w:p>
        </w:tc>
        <w:tc>
          <w:tcPr>
            <w:tcW w:w="2096" w:type="dxa"/>
            <w:tcBorders>
              <w:bottom w:val="double" w:sz="4" w:space="0" w:color="auto"/>
              <w:right w:val="double" w:sz="4" w:space="0" w:color="auto"/>
            </w:tcBorders>
            <w:noWrap/>
            <w:hideMark/>
          </w:tcPr>
          <w:p w:rsidR="00121421" w:rsidRPr="00C01C65" w:rsidRDefault="00C01C65" w:rsidP="00C8215D">
            <w:pPr>
              <w:pStyle w:val="DoNotTranslateExternal4"/>
            </w:pPr>
            <w:r>
              <w:t>83500</w:t>
            </w:r>
          </w:p>
        </w:tc>
      </w:tr>
    </w:tbl>
    <w:p w:rsidR="00777021" w:rsidRPr="00A27857" w:rsidRDefault="00777021" w:rsidP="00777021">
      <w:pPr>
        <w:pStyle w:val="Tekstzwyky"/>
        <w:rPr>
          <w:rFonts w:ascii="Arial" w:hAnsi="Arial" w:cs="Arial"/>
        </w:rPr>
      </w:pPr>
    </w:p>
    <w:p w:rsidR="00D83B19" w:rsidRDefault="00D83B19" w:rsidP="00777021">
      <w:pPr>
        <w:pStyle w:val="Tekstzwyky"/>
        <w:rPr>
          <w:rFonts w:ascii="Arial" w:hAnsi="Arial" w:cs="Arial"/>
        </w:rPr>
        <w:sectPr w:rsidR="00D83B19" w:rsidSect="00241F97">
          <w:headerReference w:type="default" r:id="rId35"/>
          <w:pgSz w:w="11906" w:h="16838"/>
          <w:pgMar w:top="686" w:right="992" w:bottom="1134" w:left="1196" w:header="709" w:footer="376" w:gutter="0"/>
          <w:cols w:space="708"/>
          <w:titlePg/>
          <w:docGrid w:linePitch="360"/>
        </w:sectPr>
      </w:pPr>
    </w:p>
    <w:p w:rsidR="00777021" w:rsidRPr="00967EC9" w:rsidRDefault="0031184E" w:rsidP="0031184E">
      <w:pPr>
        <w:pStyle w:val="Heading1"/>
        <w:numPr>
          <w:ilvl w:val="0"/>
          <w:numId w:val="0"/>
        </w:numPr>
        <w:ind w:left="567" w:hanging="567"/>
        <w:rPr>
          <w:color w:val="1F497D" w:themeColor="text2"/>
        </w:rPr>
      </w:pPr>
      <w:bookmarkStart w:id="71" w:name="_Toc435539949"/>
      <w:bookmarkStart w:id="72" w:name="_Toc441736885"/>
      <w:r>
        <w:rPr>
          <w:color w:val="1F497D" w:themeColor="text2"/>
        </w:rPr>
        <w:lastRenderedPageBreak/>
        <w:t>Annex 2: Changes to legislation</w:t>
      </w:r>
      <w:bookmarkEnd w:id="71"/>
      <w:bookmarkEnd w:id="72"/>
    </w:p>
    <w:p w:rsidR="00887749" w:rsidRPr="00967EC9" w:rsidRDefault="00706E63" w:rsidP="001132FF">
      <w:pPr>
        <w:pStyle w:val="Tekstzwyky"/>
        <w:rPr>
          <w:rFonts w:ascii="Arial" w:hAnsi="Arial" w:cs="Arial"/>
          <w:b/>
          <w:color w:val="1F497D" w:themeColor="text2"/>
        </w:rPr>
      </w:pPr>
      <w:r>
        <w:rPr>
          <w:rFonts w:ascii="Arial" w:hAnsi="Arial"/>
          <w:b/>
          <w:color w:val="1F497D" w:themeColor="text2"/>
        </w:rPr>
        <w:t>Table 1. Transposition of changes to Directive 2004/49/EC on railway safety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6"/>
        <w:gridCol w:w="4110"/>
        <w:gridCol w:w="1843"/>
      </w:tblGrid>
      <w:tr w:rsidR="00F71C97" w:rsidRPr="00F71C97" w:rsidTr="00F71C97">
        <w:tc>
          <w:tcPr>
            <w:tcW w:w="2694" w:type="dxa"/>
            <w:shd w:val="clear" w:color="auto" w:fill="auto"/>
            <w:vAlign w:val="center"/>
          </w:tcPr>
          <w:p w:rsidR="00967EC9" w:rsidRPr="00F71C97" w:rsidRDefault="00F03AB4" w:rsidP="00795860">
            <w:pPr>
              <w:spacing w:after="240" w:line="280" w:lineRule="exact"/>
              <w:jc w:val="left"/>
              <w:rPr>
                <w:rFonts w:eastAsia="Times New Roman"/>
                <w:b/>
                <w:color w:val="1F497D" w:themeColor="text2"/>
              </w:rPr>
            </w:pPr>
            <w:r>
              <w:rPr>
                <w:b/>
                <w:color w:val="1F497D" w:themeColor="text2"/>
              </w:rPr>
              <w:t>CHANGES TO THE DIRECTIVE ON RAIL SAFETY</w:t>
            </w:r>
          </w:p>
        </w:tc>
        <w:tc>
          <w:tcPr>
            <w:tcW w:w="1276" w:type="dxa"/>
            <w:shd w:val="clear" w:color="auto" w:fill="auto"/>
            <w:vAlign w:val="center"/>
          </w:tcPr>
          <w:p w:rsidR="00967EC9" w:rsidRPr="00F71C97" w:rsidRDefault="00967EC9" w:rsidP="00795860">
            <w:pPr>
              <w:spacing w:after="0" w:line="280" w:lineRule="exact"/>
              <w:jc w:val="center"/>
              <w:rPr>
                <w:rFonts w:eastAsia="Times New Roman"/>
                <w:b/>
                <w:color w:val="1F497D" w:themeColor="text2"/>
              </w:rPr>
            </w:pPr>
            <w:r>
              <w:rPr>
                <w:b/>
                <w:color w:val="1F497D" w:themeColor="text2"/>
              </w:rPr>
              <w:t>Transposition (Y/N)</w:t>
            </w:r>
          </w:p>
        </w:tc>
        <w:tc>
          <w:tcPr>
            <w:tcW w:w="4110" w:type="dxa"/>
            <w:shd w:val="clear" w:color="auto" w:fill="auto"/>
            <w:vAlign w:val="center"/>
          </w:tcPr>
          <w:p w:rsidR="00967EC9" w:rsidRPr="00F71C97" w:rsidRDefault="00967EC9" w:rsidP="00795860">
            <w:pPr>
              <w:spacing w:after="0" w:line="280" w:lineRule="exact"/>
              <w:jc w:val="center"/>
              <w:rPr>
                <w:rFonts w:eastAsia="Times New Roman"/>
                <w:b/>
                <w:color w:val="1F497D" w:themeColor="text2"/>
              </w:rPr>
            </w:pPr>
            <w:r>
              <w:rPr>
                <w:b/>
                <w:color w:val="1F497D" w:themeColor="text2"/>
              </w:rPr>
              <w:t>Legal reference</w:t>
            </w:r>
          </w:p>
        </w:tc>
        <w:tc>
          <w:tcPr>
            <w:tcW w:w="1843" w:type="dxa"/>
            <w:shd w:val="clear" w:color="auto" w:fill="auto"/>
            <w:vAlign w:val="center"/>
          </w:tcPr>
          <w:p w:rsidR="00967EC9" w:rsidRPr="00F71C97" w:rsidRDefault="00F03AB4" w:rsidP="00795860">
            <w:pPr>
              <w:spacing w:after="0" w:line="280" w:lineRule="exact"/>
              <w:jc w:val="center"/>
              <w:rPr>
                <w:rFonts w:eastAsia="Times New Roman"/>
                <w:b/>
                <w:color w:val="1F497D" w:themeColor="text2"/>
              </w:rPr>
            </w:pPr>
            <w:r>
              <w:rPr>
                <w:b/>
                <w:color w:val="1F497D" w:themeColor="text2"/>
              </w:rPr>
              <w:t>Date of entry into force</w:t>
            </w:r>
          </w:p>
        </w:tc>
      </w:tr>
      <w:tr w:rsidR="00F71C97" w:rsidRPr="00F71C97" w:rsidTr="00F71C97">
        <w:tc>
          <w:tcPr>
            <w:tcW w:w="2694" w:type="dxa"/>
            <w:shd w:val="clear" w:color="auto" w:fill="auto"/>
          </w:tcPr>
          <w:p w:rsidR="00967EC9" w:rsidRPr="00F71C97" w:rsidRDefault="00967EC9" w:rsidP="00795860">
            <w:pPr>
              <w:spacing w:before="240" w:after="0" w:line="280" w:lineRule="exact"/>
              <w:rPr>
                <w:rFonts w:eastAsia="Times New Roman"/>
                <w:color w:val="1F497D" w:themeColor="text2"/>
              </w:rPr>
            </w:pPr>
            <w:r>
              <w:rPr>
                <w:color w:val="1F497D" w:themeColor="text2"/>
              </w:rPr>
              <w:t>Directive 2008/57/EC</w:t>
            </w:r>
          </w:p>
        </w:tc>
        <w:tc>
          <w:tcPr>
            <w:tcW w:w="1276" w:type="dxa"/>
            <w:shd w:val="clear" w:color="auto" w:fill="auto"/>
          </w:tcPr>
          <w:p w:rsidR="00967EC9" w:rsidRPr="00F71C97" w:rsidRDefault="00967EC9" w:rsidP="00795860">
            <w:pPr>
              <w:spacing w:before="240" w:after="0" w:line="280" w:lineRule="exact"/>
              <w:jc w:val="center"/>
              <w:rPr>
                <w:rFonts w:eastAsia="Times New Roman"/>
                <w:color w:val="1F497D" w:themeColor="text2"/>
              </w:rPr>
            </w:pPr>
            <w:r>
              <w:rPr>
                <w:color w:val="1F497D" w:themeColor="text2"/>
              </w:rPr>
              <w:t>Y</w:t>
            </w:r>
          </w:p>
        </w:tc>
        <w:tc>
          <w:tcPr>
            <w:tcW w:w="4110" w:type="dxa"/>
            <w:shd w:val="clear" w:color="auto" w:fill="auto"/>
          </w:tcPr>
          <w:p w:rsidR="00967EC9" w:rsidRPr="00F71C97" w:rsidRDefault="00967EC9" w:rsidP="0043129E">
            <w:pPr>
              <w:numPr>
                <w:ilvl w:val="0"/>
                <w:numId w:val="27"/>
              </w:numPr>
              <w:spacing w:before="0" w:after="0" w:line="280" w:lineRule="exact"/>
              <w:rPr>
                <w:rFonts w:eastAsia="Times New Roman"/>
                <w:bCs/>
                <w:color w:val="1F497D" w:themeColor="text2"/>
              </w:rPr>
            </w:pPr>
            <w:r>
              <w:rPr>
                <w:color w:val="1F497D" w:themeColor="text2"/>
              </w:rPr>
              <w:t>Act of 16 September 2011 on amending the Rail Transport Act (Polish Journal of Laws of 2011, No 230, item 1372);</w:t>
            </w:r>
          </w:p>
          <w:p w:rsidR="00967EC9" w:rsidRPr="00F71C97" w:rsidRDefault="00967EC9" w:rsidP="0043129E">
            <w:pPr>
              <w:numPr>
                <w:ilvl w:val="0"/>
                <w:numId w:val="27"/>
              </w:numPr>
              <w:spacing w:before="0" w:after="0" w:line="280" w:lineRule="exact"/>
              <w:rPr>
                <w:rFonts w:eastAsia="Times New Roman"/>
                <w:bCs/>
                <w:color w:val="1F497D" w:themeColor="text2"/>
              </w:rPr>
            </w:pPr>
            <w:r>
              <w:rPr>
                <w:color w:val="1F497D" w:themeColor="text2"/>
              </w:rPr>
              <w:t>Regulation of the Minister for Transport, Construction and Maritime Economy of 2 May 2012 on the interoperability of the rail system (Polish Journal of Laws of 2012, item 492);</w:t>
            </w:r>
          </w:p>
          <w:p w:rsidR="00967EC9" w:rsidRPr="00F71C97" w:rsidRDefault="00967EC9" w:rsidP="0043129E">
            <w:pPr>
              <w:numPr>
                <w:ilvl w:val="0"/>
                <w:numId w:val="27"/>
              </w:numPr>
              <w:spacing w:before="0" w:after="0" w:line="280" w:lineRule="exact"/>
              <w:rPr>
                <w:rFonts w:eastAsia="Times New Roman"/>
                <w:bCs/>
                <w:color w:val="1F497D" w:themeColor="text2"/>
              </w:rPr>
            </w:pPr>
            <w:r>
              <w:rPr>
                <w:color w:val="1F497D" w:themeColor="text2"/>
              </w:rPr>
              <w:t>Regulation of the Minister for Transport, Construction and Maritime Economy of 6 November 2013 on the interoperability of the rail system (Polish Journal of Laws of 2013, item 1297);</w:t>
            </w:r>
          </w:p>
          <w:p w:rsidR="00967EC9" w:rsidRPr="00F71C97" w:rsidRDefault="00967EC9" w:rsidP="0043129E">
            <w:pPr>
              <w:numPr>
                <w:ilvl w:val="0"/>
                <w:numId w:val="27"/>
              </w:numPr>
              <w:spacing w:before="0" w:after="0" w:line="280" w:lineRule="exact"/>
              <w:rPr>
                <w:rFonts w:eastAsia="Times New Roman"/>
                <w:bCs/>
                <w:color w:val="1F497D" w:themeColor="text2"/>
              </w:rPr>
            </w:pPr>
            <w:r>
              <w:rPr>
                <w:color w:val="1F497D" w:themeColor="text2"/>
              </w:rPr>
              <w:t>Regulation of the Minister for Transport, Construction and Maritime Economy of 28 August 2012 on the register of railway infrastructure (Polish Journal of Laws of 2012, item 1055);</w:t>
            </w:r>
          </w:p>
          <w:p w:rsidR="00967EC9" w:rsidRPr="00F71C97" w:rsidRDefault="00967EC9" w:rsidP="0043129E">
            <w:pPr>
              <w:numPr>
                <w:ilvl w:val="0"/>
                <w:numId w:val="27"/>
              </w:numPr>
              <w:spacing w:before="0" w:after="0" w:line="280" w:lineRule="exact"/>
              <w:rPr>
                <w:rFonts w:eastAsia="Times New Roman"/>
                <w:bCs/>
                <w:color w:val="1F497D" w:themeColor="text2"/>
              </w:rPr>
            </w:pPr>
            <w:r>
              <w:rPr>
                <w:color w:val="1F497D" w:themeColor="text2"/>
              </w:rPr>
              <w:t>Regulation of the Minister for Infrastructure and Development of 28 February 2014 on the register of railway infrastructure (Polish Journal of Laws of 2014, item 286);</w:t>
            </w:r>
          </w:p>
        </w:tc>
        <w:tc>
          <w:tcPr>
            <w:tcW w:w="1843" w:type="dxa"/>
            <w:shd w:val="clear" w:color="auto" w:fill="auto"/>
          </w:tcPr>
          <w:p w:rsidR="00967EC9" w:rsidRPr="00F71C97" w:rsidRDefault="00967EC9" w:rsidP="00F0651E">
            <w:pPr>
              <w:pStyle w:val="ListParagraph"/>
              <w:numPr>
                <w:ilvl w:val="0"/>
                <w:numId w:val="28"/>
              </w:numPr>
              <w:spacing w:before="0" w:after="0" w:line="280" w:lineRule="exact"/>
              <w:ind w:left="176" w:hanging="218"/>
              <w:rPr>
                <w:rFonts w:ascii="Arial" w:hAnsi="Arial"/>
                <w:color w:val="1F497D" w:themeColor="text2"/>
                <w:sz w:val="18"/>
                <w:szCs w:val="18"/>
              </w:rPr>
            </w:pPr>
            <w:r>
              <w:rPr>
                <w:rFonts w:ascii="Arial" w:hAnsi="Arial"/>
                <w:color w:val="1F497D" w:themeColor="text2"/>
                <w:sz w:val="18"/>
              </w:rPr>
              <w:t>28 January 2012</w:t>
            </w:r>
          </w:p>
          <w:p w:rsidR="00967EC9" w:rsidRPr="00F71C97" w:rsidRDefault="00967EC9" w:rsidP="00795860">
            <w:pPr>
              <w:spacing w:after="0" w:line="280" w:lineRule="exact"/>
              <w:rPr>
                <w:color w:val="1F497D" w:themeColor="text2"/>
              </w:rPr>
            </w:pPr>
          </w:p>
          <w:p w:rsidR="00967EC9" w:rsidRPr="00F71C97" w:rsidRDefault="00967EC9" w:rsidP="00F0651E">
            <w:pPr>
              <w:pStyle w:val="ListParagraph"/>
              <w:numPr>
                <w:ilvl w:val="0"/>
                <w:numId w:val="28"/>
              </w:numPr>
              <w:spacing w:before="0" w:after="0" w:line="280" w:lineRule="exact"/>
              <w:ind w:left="176" w:hanging="218"/>
              <w:rPr>
                <w:rFonts w:ascii="Arial" w:hAnsi="Arial"/>
                <w:color w:val="1F497D" w:themeColor="text2"/>
                <w:sz w:val="18"/>
                <w:szCs w:val="18"/>
              </w:rPr>
            </w:pPr>
            <w:r>
              <w:rPr>
                <w:rFonts w:ascii="Arial" w:hAnsi="Arial"/>
                <w:color w:val="1F497D" w:themeColor="text2"/>
                <w:sz w:val="18"/>
              </w:rPr>
              <w:t>11 August 2012</w:t>
            </w:r>
          </w:p>
          <w:p w:rsidR="00967EC9" w:rsidRPr="00F71C97" w:rsidRDefault="00967EC9" w:rsidP="00795860">
            <w:pPr>
              <w:rPr>
                <w:color w:val="1F497D" w:themeColor="text2"/>
              </w:rPr>
            </w:pPr>
          </w:p>
          <w:p w:rsidR="00967EC9" w:rsidRPr="00F71C97" w:rsidRDefault="00967EC9" w:rsidP="00F0651E">
            <w:pPr>
              <w:pStyle w:val="ListParagraph"/>
              <w:numPr>
                <w:ilvl w:val="0"/>
                <w:numId w:val="28"/>
              </w:numPr>
              <w:spacing w:before="0" w:after="0" w:line="280" w:lineRule="exact"/>
              <w:ind w:left="176" w:hanging="218"/>
              <w:rPr>
                <w:rStyle w:val="dokument-obowiazujacy"/>
                <w:rFonts w:ascii="Arial" w:hAnsi="Arial"/>
                <w:color w:val="1F497D" w:themeColor="text2"/>
                <w:sz w:val="18"/>
                <w:szCs w:val="18"/>
              </w:rPr>
            </w:pPr>
            <w:r>
              <w:rPr>
                <w:rStyle w:val="dokument-obowiazujacy"/>
                <w:rFonts w:ascii="Arial" w:hAnsi="Arial"/>
                <w:color w:val="1F497D" w:themeColor="text2"/>
                <w:sz w:val="18"/>
              </w:rPr>
              <w:t>31 March 2014</w:t>
            </w:r>
          </w:p>
          <w:p w:rsidR="00967EC9" w:rsidRPr="00F71C97" w:rsidRDefault="00967EC9" w:rsidP="00795860">
            <w:pPr>
              <w:pStyle w:val="ListParagraph"/>
              <w:rPr>
                <w:rFonts w:ascii="Arial" w:hAnsi="Arial"/>
                <w:color w:val="1F497D" w:themeColor="text2"/>
                <w:sz w:val="18"/>
                <w:szCs w:val="18"/>
              </w:rPr>
            </w:pPr>
          </w:p>
          <w:p w:rsidR="00967EC9" w:rsidRPr="00F71C97" w:rsidRDefault="00967EC9" w:rsidP="00795860">
            <w:pPr>
              <w:pStyle w:val="ListParagraph"/>
              <w:rPr>
                <w:rFonts w:ascii="Arial" w:hAnsi="Arial"/>
                <w:color w:val="1F497D" w:themeColor="text2"/>
                <w:sz w:val="18"/>
                <w:szCs w:val="18"/>
              </w:rPr>
            </w:pPr>
          </w:p>
          <w:p w:rsidR="00967EC9" w:rsidRPr="00F71C97" w:rsidRDefault="00967EC9" w:rsidP="00F0651E">
            <w:pPr>
              <w:pStyle w:val="ListParagraph"/>
              <w:numPr>
                <w:ilvl w:val="0"/>
                <w:numId w:val="28"/>
              </w:numPr>
              <w:spacing w:before="0" w:after="0" w:line="280" w:lineRule="exact"/>
              <w:ind w:left="176" w:hanging="218"/>
              <w:rPr>
                <w:rFonts w:ascii="Arial" w:hAnsi="Arial"/>
                <w:color w:val="1F497D" w:themeColor="text2"/>
                <w:sz w:val="18"/>
                <w:szCs w:val="18"/>
              </w:rPr>
            </w:pPr>
            <w:r>
              <w:rPr>
                <w:rFonts w:ascii="Arial" w:hAnsi="Arial"/>
                <w:color w:val="1F497D" w:themeColor="text2"/>
                <w:sz w:val="18"/>
              </w:rPr>
              <w:t>9 October 2012</w:t>
            </w:r>
          </w:p>
          <w:p w:rsidR="00967EC9" w:rsidRPr="00F71C97" w:rsidRDefault="00967EC9" w:rsidP="00795860">
            <w:pPr>
              <w:pStyle w:val="ListParagraph"/>
              <w:spacing w:before="0" w:after="0" w:line="280" w:lineRule="exact"/>
              <w:ind w:left="360"/>
              <w:rPr>
                <w:rFonts w:ascii="Arial" w:hAnsi="Arial"/>
                <w:color w:val="1F497D" w:themeColor="text2"/>
                <w:sz w:val="18"/>
                <w:szCs w:val="18"/>
              </w:rPr>
            </w:pPr>
          </w:p>
          <w:p w:rsidR="00967EC9" w:rsidRPr="00F71C97" w:rsidRDefault="00967EC9" w:rsidP="00795860">
            <w:pPr>
              <w:pStyle w:val="ListParagraph"/>
              <w:spacing w:before="0" w:after="0" w:line="280" w:lineRule="exact"/>
              <w:ind w:left="360"/>
              <w:rPr>
                <w:rFonts w:ascii="Arial" w:hAnsi="Arial"/>
                <w:color w:val="1F497D" w:themeColor="text2"/>
                <w:sz w:val="18"/>
                <w:szCs w:val="18"/>
              </w:rPr>
            </w:pPr>
          </w:p>
          <w:p w:rsidR="00967EC9" w:rsidRPr="00F71C97" w:rsidRDefault="00967EC9" w:rsidP="00F0651E">
            <w:pPr>
              <w:pStyle w:val="ListParagraph"/>
              <w:numPr>
                <w:ilvl w:val="0"/>
                <w:numId w:val="28"/>
              </w:numPr>
              <w:spacing w:before="0" w:after="0" w:line="280" w:lineRule="exact"/>
              <w:ind w:left="176" w:hanging="218"/>
              <w:rPr>
                <w:rFonts w:ascii="Arial" w:hAnsi="Arial"/>
                <w:color w:val="1F497D" w:themeColor="text2"/>
                <w:sz w:val="18"/>
                <w:szCs w:val="18"/>
              </w:rPr>
            </w:pPr>
            <w:r>
              <w:rPr>
                <w:rFonts w:ascii="Arial" w:hAnsi="Arial"/>
                <w:color w:val="1F497D" w:themeColor="text2"/>
                <w:sz w:val="18"/>
              </w:rPr>
              <w:t>31 March 2014</w:t>
            </w:r>
          </w:p>
          <w:p w:rsidR="00967EC9" w:rsidRPr="00F71C97" w:rsidRDefault="00967EC9" w:rsidP="00795860">
            <w:pPr>
              <w:spacing w:after="0" w:line="280" w:lineRule="exact"/>
              <w:rPr>
                <w:color w:val="1F497D" w:themeColor="text2"/>
              </w:rPr>
            </w:pPr>
          </w:p>
        </w:tc>
      </w:tr>
      <w:tr w:rsidR="00F71C97" w:rsidRPr="00F71C97" w:rsidTr="00F71C97">
        <w:tc>
          <w:tcPr>
            <w:tcW w:w="2694" w:type="dxa"/>
            <w:shd w:val="clear" w:color="auto" w:fill="auto"/>
          </w:tcPr>
          <w:p w:rsidR="00967EC9" w:rsidRPr="00F71C97" w:rsidRDefault="00967EC9" w:rsidP="00795860">
            <w:pPr>
              <w:spacing w:after="0" w:line="280" w:lineRule="exact"/>
              <w:rPr>
                <w:rFonts w:eastAsia="Times New Roman"/>
                <w:color w:val="1F497D" w:themeColor="text2"/>
              </w:rPr>
            </w:pPr>
            <w:r>
              <w:rPr>
                <w:color w:val="1F497D" w:themeColor="text2"/>
              </w:rPr>
              <w:t>Directive 2008/110/EC</w:t>
            </w:r>
          </w:p>
        </w:tc>
        <w:tc>
          <w:tcPr>
            <w:tcW w:w="1276" w:type="dxa"/>
            <w:shd w:val="clear" w:color="auto" w:fill="auto"/>
          </w:tcPr>
          <w:p w:rsidR="00967EC9" w:rsidRPr="00F71C97" w:rsidRDefault="00967EC9" w:rsidP="00795860">
            <w:pPr>
              <w:spacing w:after="0" w:line="280" w:lineRule="exact"/>
              <w:jc w:val="center"/>
              <w:rPr>
                <w:rFonts w:eastAsia="Times New Roman"/>
                <w:color w:val="1F497D" w:themeColor="text2"/>
              </w:rPr>
            </w:pPr>
            <w:r>
              <w:rPr>
                <w:color w:val="1F497D" w:themeColor="text2"/>
              </w:rPr>
              <w:t>Y</w:t>
            </w:r>
          </w:p>
        </w:tc>
        <w:tc>
          <w:tcPr>
            <w:tcW w:w="4110" w:type="dxa"/>
            <w:shd w:val="clear" w:color="auto" w:fill="auto"/>
          </w:tcPr>
          <w:p w:rsidR="00967EC9" w:rsidRPr="008F1783" w:rsidRDefault="00967EC9" w:rsidP="00DD29E0">
            <w:pPr>
              <w:spacing w:after="0" w:line="280" w:lineRule="exact"/>
              <w:ind w:left="33"/>
              <w:rPr>
                <w:rFonts w:eastAsia="Times New Roman"/>
                <w:bCs/>
                <w:color w:val="1F497D" w:themeColor="text2"/>
              </w:rPr>
            </w:pPr>
            <w:r>
              <w:rPr>
                <w:color w:val="1F497D" w:themeColor="text2"/>
              </w:rPr>
              <w:t>Act of 16 September 2011 amending the Rail Transport Act (Polish Journal of Laws of 2011, No 230, item 1372);</w:t>
            </w:r>
          </w:p>
        </w:tc>
        <w:tc>
          <w:tcPr>
            <w:tcW w:w="1843" w:type="dxa"/>
            <w:shd w:val="clear" w:color="auto" w:fill="auto"/>
          </w:tcPr>
          <w:p w:rsidR="00967EC9" w:rsidRPr="00F71C97" w:rsidRDefault="00967EC9" w:rsidP="00795860">
            <w:pPr>
              <w:pStyle w:val="ListParagraph"/>
              <w:spacing w:before="0" w:after="0" w:line="280" w:lineRule="exact"/>
              <w:ind w:left="360"/>
              <w:rPr>
                <w:rFonts w:ascii="Arial" w:hAnsi="Arial"/>
                <w:color w:val="1F497D" w:themeColor="text2"/>
                <w:sz w:val="18"/>
                <w:szCs w:val="18"/>
              </w:rPr>
            </w:pPr>
            <w:r>
              <w:rPr>
                <w:rFonts w:ascii="Arial" w:hAnsi="Arial"/>
                <w:color w:val="1F497D" w:themeColor="text2"/>
                <w:sz w:val="18"/>
              </w:rPr>
              <w:t>28/01/2012</w:t>
            </w:r>
          </w:p>
        </w:tc>
      </w:tr>
      <w:tr w:rsidR="00F71C97" w:rsidRPr="00F71C97" w:rsidTr="00F71C97">
        <w:tc>
          <w:tcPr>
            <w:tcW w:w="2694" w:type="dxa"/>
            <w:shd w:val="clear" w:color="auto" w:fill="auto"/>
          </w:tcPr>
          <w:p w:rsidR="00967EC9" w:rsidRPr="00F71C97" w:rsidRDefault="00967EC9" w:rsidP="00DD29E0">
            <w:pPr>
              <w:spacing w:after="0" w:line="280" w:lineRule="exact"/>
              <w:jc w:val="left"/>
              <w:rPr>
                <w:rFonts w:eastAsia="Times New Roman"/>
                <w:color w:val="1F497D" w:themeColor="text2"/>
              </w:rPr>
            </w:pPr>
            <w:r>
              <w:rPr>
                <w:color w:val="1F497D" w:themeColor="text2"/>
              </w:rPr>
              <w:t>Commission Directive 2009/149/EC</w:t>
            </w:r>
          </w:p>
        </w:tc>
        <w:tc>
          <w:tcPr>
            <w:tcW w:w="1276" w:type="dxa"/>
            <w:shd w:val="clear" w:color="auto" w:fill="auto"/>
          </w:tcPr>
          <w:p w:rsidR="00967EC9" w:rsidRPr="00F71C97" w:rsidRDefault="00967EC9" w:rsidP="00795860">
            <w:pPr>
              <w:spacing w:after="0" w:line="280" w:lineRule="exact"/>
              <w:jc w:val="center"/>
              <w:rPr>
                <w:rFonts w:eastAsia="Times New Roman"/>
                <w:color w:val="1F497D" w:themeColor="text2"/>
              </w:rPr>
            </w:pPr>
            <w:r>
              <w:rPr>
                <w:color w:val="1F497D" w:themeColor="text2"/>
              </w:rPr>
              <w:t>Y</w:t>
            </w:r>
          </w:p>
        </w:tc>
        <w:tc>
          <w:tcPr>
            <w:tcW w:w="4110" w:type="dxa"/>
            <w:shd w:val="clear" w:color="auto" w:fill="auto"/>
          </w:tcPr>
          <w:p w:rsidR="00967EC9" w:rsidRPr="00F71C97" w:rsidRDefault="00967EC9" w:rsidP="00795860">
            <w:pPr>
              <w:spacing w:after="0" w:line="280" w:lineRule="exact"/>
              <w:rPr>
                <w:rFonts w:eastAsia="Times New Roman"/>
                <w:color w:val="1F497D" w:themeColor="text2"/>
              </w:rPr>
            </w:pPr>
            <w:r>
              <w:rPr>
                <w:color w:val="1F497D" w:themeColor="text2"/>
              </w:rPr>
              <w:t>Regulation of the Minister for Infrastructure of 20 July 2010 on common safety indicators (CSIs) (Polish Journal of Laws of 2010, No 142, item 952)</w:t>
            </w:r>
          </w:p>
        </w:tc>
        <w:tc>
          <w:tcPr>
            <w:tcW w:w="1843" w:type="dxa"/>
            <w:shd w:val="clear" w:color="auto" w:fill="auto"/>
          </w:tcPr>
          <w:p w:rsidR="00967EC9" w:rsidRPr="00F71C97" w:rsidRDefault="00967EC9" w:rsidP="00DD29E0">
            <w:pPr>
              <w:spacing w:after="0" w:line="280" w:lineRule="exact"/>
              <w:jc w:val="center"/>
              <w:rPr>
                <w:rFonts w:eastAsia="Times New Roman"/>
                <w:color w:val="1F497D" w:themeColor="text2"/>
              </w:rPr>
            </w:pPr>
            <w:r>
              <w:rPr>
                <w:color w:val="1F497D" w:themeColor="text2"/>
              </w:rPr>
              <w:t>24/08/2010</w:t>
            </w:r>
          </w:p>
        </w:tc>
      </w:tr>
    </w:tbl>
    <w:p w:rsidR="00D83B19" w:rsidRDefault="00D83B19" w:rsidP="001F40E3">
      <w:pPr>
        <w:rPr>
          <w:color w:val="1F497D" w:themeColor="text2"/>
        </w:rPr>
        <w:sectPr w:rsidR="00D83B19" w:rsidSect="00241F97">
          <w:pgSz w:w="11906" w:h="16838"/>
          <w:pgMar w:top="686" w:right="992" w:bottom="1134" w:left="1196" w:header="709" w:footer="376" w:gutter="0"/>
          <w:cols w:space="708"/>
          <w:titlePg/>
          <w:docGrid w:linePitch="360"/>
        </w:sectPr>
      </w:pPr>
    </w:p>
    <w:p w:rsidR="00A971FE" w:rsidRPr="008F1783" w:rsidRDefault="008F1783" w:rsidP="008F1783">
      <w:pPr>
        <w:pStyle w:val="Tekstzwyky"/>
        <w:rPr>
          <w:rFonts w:ascii="Arial" w:hAnsi="Arial" w:cs="Arial"/>
          <w:b/>
          <w:color w:val="1F497D" w:themeColor="text2"/>
        </w:rPr>
      </w:pPr>
      <w:r>
        <w:rPr>
          <w:rFonts w:ascii="Arial" w:hAnsi="Arial"/>
          <w:b/>
          <w:color w:val="1F497D" w:themeColor="text2"/>
        </w:rPr>
        <w:lastRenderedPageBreak/>
        <w:t>Table 2. Changes to legislation and regulations</w:t>
      </w:r>
    </w:p>
    <w:tbl>
      <w:tblPr>
        <w:tblW w:w="0" w:type="auto"/>
        <w:tblInd w:w="93" w:type="dxa"/>
        <w:tblLayout w:type="fixed"/>
        <w:tblLook w:val="0000" w:firstRow="0" w:lastRow="0" w:firstColumn="0" w:lastColumn="0" w:noHBand="0" w:noVBand="0"/>
      </w:tblPr>
      <w:tblGrid>
        <w:gridCol w:w="2854"/>
        <w:gridCol w:w="2406"/>
        <w:gridCol w:w="1701"/>
        <w:gridCol w:w="3544"/>
        <w:gridCol w:w="3827"/>
      </w:tblGrid>
      <w:tr w:rsidR="00F71C97" w:rsidRPr="00F71C97" w:rsidTr="00F71C97">
        <w:trPr>
          <w:trHeight w:val="581"/>
        </w:trPr>
        <w:tc>
          <w:tcPr>
            <w:tcW w:w="2854" w:type="dxa"/>
            <w:tcBorders>
              <w:top w:val="single" w:sz="4" w:space="0" w:color="auto"/>
              <w:left w:val="single" w:sz="8" w:space="0" w:color="auto"/>
              <w:bottom w:val="single" w:sz="4" w:space="0" w:color="auto"/>
              <w:right w:val="single" w:sz="8" w:space="0" w:color="auto"/>
            </w:tcBorders>
            <w:shd w:val="clear" w:color="auto" w:fill="auto"/>
            <w:vAlign w:val="center"/>
          </w:tcPr>
          <w:p w:rsidR="00A971FE" w:rsidRPr="00F71C97" w:rsidRDefault="00A971FE" w:rsidP="003564A1">
            <w:pPr>
              <w:spacing w:before="0" w:after="0" w:line="240" w:lineRule="auto"/>
              <w:jc w:val="center"/>
              <w:rPr>
                <w:rFonts w:eastAsia="Times New Roman"/>
                <w:b/>
                <w:color w:val="1F497D" w:themeColor="text2"/>
              </w:rPr>
            </w:pPr>
            <w:r>
              <w:rPr>
                <w:b/>
                <w:color w:val="1F497D" w:themeColor="text2"/>
              </w:rPr>
              <w:t>LEGISLATION AND REGULATIONS</w:t>
            </w:r>
          </w:p>
        </w:tc>
        <w:tc>
          <w:tcPr>
            <w:tcW w:w="2406" w:type="dxa"/>
            <w:tcBorders>
              <w:top w:val="single" w:sz="4" w:space="0" w:color="auto"/>
              <w:left w:val="nil"/>
              <w:bottom w:val="single" w:sz="4" w:space="0" w:color="auto"/>
              <w:right w:val="single" w:sz="4" w:space="0" w:color="auto"/>
            </w:tcBorders>
            <w:shd w:val="clear" w:color="auto" w:fill="auto"/>
            <w:vAlign w:val="center"/>
          </w:tcPr>
          <w:p w:rsidR="00A971FE" w:rsidRPr="00F71C97" w:rsidRDefault="00A971FE" w:rsidP="003564A1">
            <w:pPr>
              <w:spacing w:before="0" w:after="0" w:line="240" w:lineRule="auto"/>
              <w:jc w:val="center"/>
              <w:rPr>
                <w:rFonts w:eastAsia="Times New Roman"/>
                <w:b/>
                <w:bCs/>
                <w:color w:val="1F497D" w:themeColor="text2"/>
              </w:rPr>
            </w:pPr>
            <w:r>
              <w:rPr>
                <w:b/>
                <w:color w:val="1F497D" w:themeColor="text2"/>
              </w:rPr>
              <w:t>Legal reference</w:t>
            </w:r>
          </w:p>
        </w:tc>
        <w:tc>
          <w:tcPr>
            <w:tcW w:w="1701" w:type="dxa"/>
            <w:tcBorders>
              <w:top w:val="single" w:sz="4" w:space="0" w:color="auto"/>
              <w:left w:val="nil"/>
              <w:bottom w:val="single" w:sz="4" w:space="0" w:color="auto"/>
              <w:right w:val="single" w:sz="4" w:space="0" w:color="auto"/>
            </w:tcBorders>
            <w:shd w:val="clear" w:color="auto" w:fill="auto"/>
            <w:vAlign w:val="center"/>
          </w:tcPr>
          <w:p w:rsidR="00A971FE" w:rsidRPr="00F71C97" w:rsidRDefault="008F1783" w:rsidP="003564A1">
            <w:pPr>
              <w:spacing w:before="0" w:after="0" w:line="240" w:lineRule="auto"/>
              <w:jc w:val="center"/>
              <w:rPr>
                <w:rFonts w:eastAsia="Times New Roman"/>
                <w:color w:val="1F497D" w:themeColor="text2"/>
              </w:rPr>
            </w:pPr>
            <w:r>
              <w:rPr>
                <w:b/>
                <w:color w:val="1F497D" w:themeColor="text2"/>
              </w:rPr>
              <w:t>Date of entry into force</w:t>
            </w:r>
          </w:p>
        </w:tc>
        <w:tc>
          <w:tcPr>
            <w:tcW w:w="3544" w:type="dxa"/>
            <w:tcBorders>
              <w:top w:val="single" w:sz="4" w:space="0" w:color="auto"/>
              <w:left w:val="nil"/>
              <w:bottom w:val="single" w:sz="4" w:space="0" w:color="auto"/>
              <w:right w:val="single" w:sz="4" w:space="0" w:color="auto"/>
            </w:tcBorders>
            <w:shd w:val="clear" w:color="auto" w:fill="auto"/>
            <w:vAlign w:val="center"/>
          </w:tcPr>
          <w:p w:rsidR="00A971FE" w:rsidRPr="00F71C97" w:rsidRDefault="00A971FE" w:rsidP="003564A1">
            <w:pPr>
              <w:spacing w:before="0" w:after="0" w:line="240" w:lineRule="auto"/>
              <w:jc w:val="center"/>
              <w:rPr>
                <w:rFonts w:eastAsia="Times New Roman"/>
                <w:color w:val="1F497D" w:themeColor="text2"/>
              </w:rPr>
            </w:pPr>
            <w:r>
              <w:rPr>
                <w:b/>
                <w:color w:val="1F497D" w:themeColor="text2"/>
              </w:rPr>
              <w:t>Description of the change</w:t>
            </w:r>
          </w:p>
        </w:tc>
        <w:tc>
          <w:tcPr>
            <w:tcW w:w="3827" w:type="dxa"/>
            <w:tcBorders>
              <w:top w:val="single" w:sz="4" w:space="0" w:color="auto"/>
              <w:left w:val="nil"/>
              <w:bottom w:val="single" w:sz="4" w:space="0" w:color="auto"/>
              <w:right w:val="single" w:sz="8" w:space="0" w:color="auto"/>
            </w:tcBorders>
            <w:shd w:val="clear" w:color="auto" w:fill="auto"/>
            <w:vAlign w:val="center"/>
          </w:tcPr>
          <w:p w:rsidR="00A971FE" w:rsidRPr="00F71C97" w:rsidRDefault="00A971FE" w:rsidP="003564A1">
            <w:pPr>
              <w:spacing w:before="0" w:after="0" w:line="240" w:lineRule="auto"/>
              <w:jc w:val="center"/>
              <w:rPr>
                <w:rFonts w:eastAsia="Times New Roman"/>
                <w:color w:val="1F497D" w:themeColor="text2"/>
              </w:rPr>
            </w:pPr>
            <w:r>
              <w:rPr>
                <w:b/>
                <w:color w:val="1F497D" w:themeColor="text2"/>
              </w:rPr>
              <w:t>Reasons for the change</w:t>
            </w:r>
          </w:p>
        </w:tc>
      </w:tr>
      <w:tr w:rsidR="00F71C97" w:rsidRPr="00F71C97" w:rsidTr="008F1783">
        <w:trPr>
          <w:trHeight w:val="1037"/>
        </w:trPr>
        <w:tc>
          <w:tcPr>
            <w:tcW w:w="2854" w:type="dxa"/>
            <w:vMerge w:val="restart"/>
            <w:tcBorders>
              <w:top w:val="single" w:sz="4" w:space="0" w:color="auto"/>
              <w:left w:val="single" w:sz="8"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Relating to the national safety authority</w:t>
            </w:r>
          </w:p>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Article 1(8)(b), second indent of the act of 30 August 2013 on amending the Rail Transport Act (Polish Journal of Laws of 2013, item 1152).  </w:t>
            </w:r>
          </w:p>
        </w:tc>
        <w:tc>
          <w:tcPr>
            <w:tcW w:w="1701" w:type="dxa"/>
            <w:tcBorders>
              <w:top w:val="single" w:sz="4" w:space="0" w:color="auto"/>
              <w:left w:val="nil"/>
              <w:bottom w:val="single" w:sz="4" w:space="0" w:color="auto"/>
              <w:right w:val="single" w:sz="4" w:space="0" w:color="auto"/>
            </w:tcBorders>
            <w:shd w:val="clear" w:color="auto" w:fill="auto"/>
          </w:tcPr>
          <w:p w:rsidR="00A971FE" w:rsidRPr="008F1783"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Adding a task for the President of the UTK involving keeping and updating the national register of railway infrastructure.</w:t>
            </w:r>
          </w:p>
        </w:tc>
        <w:tc>
          <w:tcPr>
            <w:tcW w:w="3827" w:type="dxa"/>
            <w:tcBorders>
              <w:top w:val="single" w:sz="4" w:space="0" w:color="auto"/>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Compliance with Commission Implementing Decision 2011/633/EU of 15 September 2011 on the common specifications of the register of railway infrastructure (OJ L 256, 1.10.2011, page 1). </w:t>
            </w:r>
          </w:p>
        </w:tc>
      </w:tr>
      <w:tr w:rsidR="00F71C97" w:rsidRPr="00F71C97" w:rsidTr="00F71C97">
        <w:trPr>
          <w:trHeight w:val="225"/>
        </w:trPr>
        <w:tc>
          <w:tcPr>
            <w:tcW w:w="2854" w:type="dxa"/>
            <w:vMerge/>
            <w:tcBorders>
              <w:top w:val="single" w:sz="4" w:space="0" w:color="auto"/>
              <w:left w:val="single" w:sz="8"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Article 1(8)(a), second indent of the act of 30 August 2013 on amending the Rail Transport Act (Polish Journal of Laws of 2013, item 1152).  </w:t>
            </w:r>
          </w:p>
        </w:tc>
        <w:tc>
          <w:tcPr>
            <w:tcW w:w="1701"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Expanding the competence of the President of the UTK to grant, refuse, withdraw, suspend and change the scope of authorisations for organisational units to carry out technical tests necessary to obtain type authorisations, conformity to type and the issue of certificates for conformity of type and conformity to type, as well as control over organisational units authorised to perform these activities meeting the requirements of Article 22(g)(2) of the Rail Transport Act.</w:t>
            </w:r>
          </w:p>
        </w:tc>
        <w:tc>
          <w:tcPr>
            <w:tcW w:w="3827" w:type="dxa"/>
            <w:tcBorders>
              <w:top w:val="single" w:sz="4" w:space="0" w:color="auto"/>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Verification that units perform the tests to an appropriate level.  </w:t>
            </w:r>
          </w:p>
        </w:tc>
      </w:tr>
      <w:tr w:rsidR="00F71C97" w:rsidRPr="00F71C97" w:rsidTr="00F71C97">
        <w:trPr>
          <w:trHeight w:val="225"/>
        </w:trPr>
        <w:tc>
          <w:tcPr>
            <w:tcW w:w="2854" w:type="dxa"/>
            <w:vMerge/>
            <w:tcBorders>
              <w:top w:val="single" w:sz="4" w:space="0" w:color="auto"/>
              <w:left w:val="single" w:sz="8"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Article 1(9) of the act of 30 August 2013 on amending the Rail Transport Act (Polish Journal of Laws of 2013, item 1152).  </w:t>
            </w:r>
          </w:p>
        </w:tc>
        <w:tc>
          <w:tcPr>
            <w:tcW w:w="1701"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Broadening of the competences of the President of the UTK as regards excluding rail vehicles from operation and limiting their operation if they were not commissioned in accordance with the provisions of the act or, for freight wagons, if they do not meet the requirements specified in the provisions of Regulation (EU) No 445/2011.</w:t>
            </w:r>
          </w:p>
        </w:tc>
        <w:tc>
          <w:tcPr>
            <w:tcW w:w="3827" w:type="dxa"/>
            <w:tcBorders>
              <w:top w:val="single" w:sz="4" w:space="0" w:color="auto"/>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Increased control over the operation of rail vehicles.</w:t>
            </w:r>
          </w:p>
        </w:tc>
      </w:tr>
      <w:tr w:rsidR="00F71C97" w:rsidRPr="00F71C97" w:rsidTr="00F71C97">
        <w:trPr>
          <w:trHeight w:val="225"/>
        </w:trPr>
        <w:tc>
          <w:tcPr>
            <w:tcW w:w="2854" w:type="dxa"/>
            <w:vMerge/>
            <w:tcBorders>
              <w:left w:val="single" w:sz="8" w:space="0" w:color="auto"/>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Regulation of the Minister for Infrastructure and Development of 28 February 2014 on the register of railway infrastructure (Polish Journal of Laws of 2014, item 286).</w:t>
            </w:r>
          </w:p>
        </w:tc>
        <w:tc>
          <w:tcPr>
            <w:tcW w:w="1701"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single" w:sz="4" w:space="0" w:color="auto"/>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The creation of a national register of railway infrastructure kept by the President of the UTK in a Common User Interface (CUI) based on register data forwarded by managers and users of railway sidings. The regulation sets out which data are to be published in the register of infrastructure.</w:t>
            </w:r>
          </w:p>
        </w:tc>
        <w:tc>
          <w:tcPr>
            <w:tcW w:w="3827" w:type="dxa"/>
            <w:tcBorders>
              <w:top w:val="single" w:sz="4" w:space="0" w:color="auto"/>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Implementation of Commission Implementing Decision 2011/633/EU of 15 September 2011 on the common specifications of the register of railway infrastructure (OJ L 256, 1.10.2011, page 1). The regulation, together with the Rail Transport Act of 28 March 2003 (Polish Journal of Laws of 2013, item 1594) transpose Directive 2008/57/EC of the European Parliament and of the Council of </w:t>
            </w:r>
            <w:r>
              <w:rPr>
                <w:color w:val="1F497D" w:themeColor="text2"/>
              </w:rPr>
              <w:lastRenderedPageBreak/>
              <w:t>17 June 2008 on the interoperability of the rail system within the Community (OJ L 256, 18.07.2008, page 1).</w:t>
            </w:r>
          </w:p>
        </w:tc>
      </w:tr>
      <w:tr w:rsidR="00F71C97" w:rsidRPr="00F71C97" w:rsidTr="00F71C97">
        <w:trPr>
          <w:trHeight w:val="450"/>
        </w:trPr>
        <w:tc>
          <w:tcPr>
            <w:tcW w:w="2854" w:type="dxa"/>
            <w:vMerge w:val="restart"/>
            <w:tcBorders>
              <w:top w:val="nil"/>
              <w:left w:val="single" w:sz="8"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Relating to notified bodies, designated entities, assessment bodies, third parties for registration, testing, etc.</w:t>
            </w:r>
          </w:p>
        </w:tc>
        <w:tc>
          <w:tcPr>
            <w:tcW w:w="2406" w:type="dxa"/>
            <w:tcBorders>
              <w:top w:val="nil"/>
              <w:left w:val="nil"/>
              <w:bottom w:val="single" w:sz="4" w:space="0" w:color="auto"/>
              <w:right w:val="single" w:sz="4" w:space="0" w:color="auto"/>
            </w:tcBorders>
            <w:shd w:val="clear" w:color="auto" w:fill="auto"/>
          </w:tcPr>
          <w:p w:rsidR="00A971FE" w:rsidRPr="00F71C97" w:rsidRDefault="00A971FE" w:rsidP="00FD790F">
            <w:pPr>
              <w:spacing w:before="0" w:after="0" w:line="240" w:lineRule="auto"/>
              <w:jc w:val="left"/>
              <w:rPr>
                <w:rFonts w:eastAsia="Times New Roman"/>
                <w:color w:val="1F497D" w:themeColor="text2"/>
              </w:rPr>
            </w:pPr>
            <w:r>
              <w:rPr>
                <w:color w:val="1F497D" w:themeColor="text2"/>
              </w:rPr>
              <w:t xml:space="preserve">Regulation of the Minister for Infrastructure and Development of 13 May 2014 on the commissioning of specific types of buildings, devices and rail vehicles (Polish Journal of Laws of 2014, item 720); </w:t>
            </w:r>
          </w:p>
        </w:tc>
        <w:tc>
          <w:tcPr>
            <w:tcW w:w="1701"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May 2014</w:t>
            </w:r>
          </w:p>
        </w:tc>
        <w:tc>
          <w:tcPr>
            <w:tcW w:w="3544" w:type="dxa"/>
            <w:tcBorders>
              <w:top w:val="nil"/>
              <w:left w:val="nil"/>
              <w:bottom w:val="single" w:sz="4" w:space="0" w:color="auto"/>
              <w:right w:val="single" w:sz="4" w:space="0" w:color="auto"/>
            </w:tcBorders>
            <w:shd w:val="clear" w:color="auto" w:fill="auto"/>
          </w:tcPr>
          <w:p w:rsidR="00FD790F" w:rsidRDefault="00A971FE" w:rsidP="00F03AB4">
            <w:pPr>
              <w:spacing w:before="0" w:after="0" w:line="240" w:lineRule="auto"/>
              <w:jc w:val="left"/>
              <w:rPr>
                <w:rFonts w:eastAsia="Times New Roman"/>
                <w:color w:val="1F497D" w:themeColor="text2"/>
              </w:rPr>
            </w:pPr>
            <w:r>
              <w:rPr>
                <w:color w:val="1F497D" w:themeColor="text2"/>
              </w:rPr>
              <w:t>A requirement to obtain a certificate only for the first item of a given type was introduced.</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If the given type is manufactured by several manufacturers, a certificate must be obtained for the first item by each manufacturer.</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Technical tests prior to obtaining a certificate are carried out by units that are authorised by the President of the UTK to carry out these activities.</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New procedures were introduced for assessing conformity with type.</w:t>
            </w:r>
          </w:p>
          <w:p w:rsidR="00A971FE" w:rsidRPr="00F71C97" w:rsidRDefault="00A971FE" w:rsidP="00FD790F">
            <w:pPr>
              <w:spacing w:before="0" w:after="0" w:line="240" w:lineRule="auto"/>
              <w:jc w:val="left"/>
              <w:rPr>
                <w:rFonts w:eastAsia="Times New Roman"/>
                <w:color w:val="1F497D" w:themeColor="text2"/>
              </w:rPr>
            </w:pPr>
            <w:r>
              <w:rPr>
                <w:color w:val="1F497D" w:themeColor="text2"/>
              </w:rPr>
              <w:t>The option of submitting applications on paper and electronically was introduced.</w:t>
            </w:r>
          </w:p>
        </w:tc>
        <w:tc>
          <w:tcPr>
            <w:tcW w:w="3827" w:type="dxa"/>
            <w:tcBorders>
              <w:top w:val="nil"/>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The regulation implements Commission Directive 2011/18/EU of 1 March 2011 amending Annexes II, V and VI to Directive 2008/57/EC of the European Parliament and of the Council on the interoperability of the rail system within the Community (OJ L 256, 02.03.2011, page 21).</w:t>
            </w:r>
          </w:p>
          <w:p w:rsidR="00A971FE" w:rsidRPr="00F71C97" w:rsidRDefault="00A971FE" w:rsidP="00F03AB4">
            <w:pPr>
              <w:spacing w:before="0" w:after="0" w:line="240" w:lineRule="auto"/>
              <w:jc w:val="left"/>
              <w:rPr>
                <w:rFonts w:eastAsia="Times New Roman"/>
                <w:color w:val="1F497D" w:themeColor="text2"/>
              </w:rPr>
            </w:pPr>
          </w:p>
        </w:tc>
      </w:tr>
      <w:tr w:rsidR="00F71C97" w:rsidRPr="00F71C97" w:rsidTr="00F71C97">
        <w:trPr>
          <w:trHeight w:val="450"/>
        </w:trPr>
        <w:tc>
          <w:tcPr>
            <w:tcW w:w="2854" w:type="dxa"/>
            <w:vMerge/>
            <w:tcBorders>
              <w:left w:val="single" w:sz="8" w:space="0" w:color="auto"/>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Regulation of the Minister for Transport, Construction and Maritime Economy of 6 November 2013 on the interoperability of the rail system (Polish Journal of Laws of 2013, item 1297). </w:t>
            </w:r>
          </w:p>
        </w:tc>
        <w:tc>
          <w:tcPr>
            <w:tcW w:w="1701"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nil"/>
              <w:left w:val="nil"/>
              <w:bottom w:val="single" w:sz="4" w:space="0" w:color="auto"/>
              <w:right w:val="single" w:sz="4" w:space="0" w:color="auto"/>
            </w:tcBorders>
            <w:shd w:val="clear" w:color="auto" w:fill="auto"/>
          </w:tcPr>
          <w:p w:rsidR="00A971FE" w:rsidRPr="00F71C97" w:rsidRDefault="00A971FE" w:rsidP="0043129E">
            <w:pPr>
              <w:pStyle w:val="ListParagraph"/>
              <w:numPr>
                <w:ilvl w:val="0"/>
                <w:numId w:val="25"/>
              </w:numPr>
              <w:tabs>
                <w:tab w:val="left" w:pos="341"/>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Adapting the list of interoperability constituents for rail system subsystems;</w:t>
            </w:r>
          </w:p>
          <w:p w:rsidR="00A971FE" w:rsidRPr="00F71C97" w:rsidRDefault="00A971FE" w:rsidP="0043129E">
            <w:pPr>
              <w:pStyle w:val="ListParagraph"/>
              <w:numPr>
                <w:ilvl w:val="0"/>
                <w:numId w:val="25"/>
              </w:numPr>
              <w:tabs>
                <w:tab w:val="left" w:pos="309"/>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 xml:space="preserve">Amendment of Annex 2 ‘essential requirements regarding the interoperability of the rail system for subsystems and interoperability constituents’ for the following subsystems: rolling stock, infrastructure, rail traffic and telematics applications for passenger services with to include requirements related to access for persons with reduced mobility to provide these persons with access on the same terms as other persons. </w:t>
            </w:r>
          </w:p>
          <w:p w:rsidR="00A971FE" w:rsidRPr="00F71C97" w:rsidRDefault="00A971FE" w:rsidP="0043129E">
            <w:pPr>
              <w:pStyle w:val="ListParagraph"/>
              <w:numPr>
                <w:ilvl w:val="0"/>
                <w:numId w:val="25"/>
              </w:numPr>
              <w:tabs>
                <w:tab w:val="left" w:pos="363"/>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Annex 3 ‘Procedures for verification of rail vehicles not compliant with the TSI’ was amended.</w:t>
            </w:r>
          </w:p>
          <w:p w:rsidR="00A971FE" w:rsidRPr="00F71C97" w:rsidRDefault="00A971FE" w:rsidP="0043129E">
            <w:pPr>
              <w:pStyle w:val="ListParagraph"/>
              <w:numPr>
                <w:ilvl w:val="0"/>
                <w:numId w:val="25"/>
              </w:numPr>
              <w:tabs>
                <w:tab w:val="left" w:pos="288"/>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The procedures for verification of structural subsystems energy, control</w:t>
            </w:r>
            <w:r>
              <w:noBreakHyphen/>
            </w:r>
            <w:r>
              <w:rPr>
                <w:rFonts w:ascii="Arial" w:hAnsi="Arial"/>
                <w:color w:val="1F497D" w:themeColor="text2"/>
                <w:sz w:val="18"/>
              </w:rPr>
              <w:t xml:space="preserve">command and signalling, and infrastructure as regards the conduct of verifications of the subsystem elements (equipment and buildings) to which the TSI does not apply, so as to enable the conduct of verifications of the entire </w:t>
            </w:r>
            <w:r>
              <w:rPr>
                <w:rFonts w:ascii="Arial" w:hAnsi="Arial"/>
                <w:color w:val="1F497D" w:themeColor="text2"/>
                <w:sz w:val="18"/>
              </w:rPr>
              <w:lastRenderedPageBreak/>
              <w:t>structural subsystem.</w:t>
            </w:r>
          </w:p>
          <w:p w:rsidR="00A971FE" w:rsidRPr="00F71C97" w:rsidRDefault="00A971FE" w:rsidP="00FD790F">
            <w:pPr>
              <w:pStyle w:val="ListParagraph"/>
              <w:numPr>
                <w:ilvl w:val="0"/>
                <w:numId w:val="25"/>
              </w:numPr>
              <w:tabs>
                <w:tab w:val="left" w:pos="309"/>
              </w:tabs>
              <w:spacing w:before="0" w:after="0" w:line="240" w:lineRule="auto"/>
              <w:ind w:left="0" w:firstLine="34"/>
              <w:contextualSpacing w:val="0"/>
              <w:jc w:val="left"/>
              <w:rPr>
                <w:rFonts w:eastAsia="Times New Roman"/>
                <w:color w:val="1F497D" w:themeColor="text2"/>
              </w:rPr>
            </w:pPr>
            <w:r>
              <w:rPr>
                <w:rFonts w:ascii="Arial" w:hAnsi="Arial"/>
                <w:color w:val="1F497D" w:themeColor="text2"/>
                <w:sz w:val="18"/>
              </w:rPr>
              <w:t>In Annex 5, the ‘list of entities authorised to conduct tests necessary to commission rail vehicles that do not comply with the TSI’, a new entity was added – Technical Transport Supervision.</w:t>
            </w:r>
          </w:p>
        </w:tc>
        <w:tc>
          <w:tcPr>
            <w:tcW w:w="3827" w:type="dxa"/>
            <w:tcBorders>
              <w:top w:val="nil"/>
              <w:left w:val="nil"/>
              <w:bottom w:val="single" w:sz="4" w:space="0" w:color="auto"/>
              <w:right w:val="single" w:sz="8" w:space="0" w:color="auto"/>
            </w:tcBorders>
            <w:shd w:val="clear" w:color="auto" w:fill="auto"/>
          </w:tcPr>
          <w:p w:rsidR="00A971FE" w:rsidRPr="00F71C97" w:rsidRDefault="00A971FE" w:rsidP="0043129E">
            <w:pPr>
              <w:pStyle w:val="ListParagraph"/>
              <w:numPr>
                <w:ilvl w:val="0"/>
                <w:numId w:val="26"/>
              </w:numPr>
              <w:tabs>
                <w:tab w:val="left" w:pos="341"/>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lastRenderedPageBreak/>
              <w:t>Adaptation of the list of interoperability constituents for subsystems of the rail system as regards subsystems: control of conventional railways and high</w:t>
            </w:r>
            <w:r>
              <w:noBreakHyphen/>
            </w:r>
            <w:r>
              <w:rPr>
                <w:rFonts w:ascii="Arial" w:hAnsi="Arial"/>
                <w:color w:val="1F497D" w:themeColor="text2"/>
                <w:sz w:val="18"/>
              </w:rPr>
              <w:t>speed railways, and rolling stock – freight wagons of conventional railways, so that it is consistent with the lists contained in the applicable TSI for these subsystems, i.e. Commission Decision of 25 January 2012 on the technical specification for interoperability relating to the control</w:t>
            </w:r>
            <w:r>
              <w:noBreakHyphen/>
            </w:r>
            <w:r>
              <w:rPr>
                <w:rFonts w:ascii="Arial" w:hAnsi="Arial"/>
                <w:color w:val="1F497D" w:themeColor="text2"/>
                <w:sz w:val="18"/>
              </w:rPr>
              <w:t>command and signalling subsystems of the trans</w:t>
            </w:r>
            <w:r>
              <w:noBreakHyphen/>
            </w:r>
            <w:r>
              <w:rPr>
                <w:rFonts w:ascii="Arial" w:hAnsi="Arial"/>
                <w:color w:val="1F497D" w:themeColor="text2"/>
                <w:sz w:val="18"/>
              </w:rPr>
              <w:t>European rail system (OJ L 256, 23/02/2012, page 1) and Commission Regulation (EU) No 321/2013 of 13 March 2013 concerning the technical specification for interoperability relating to the subsystem ‘rolling stock – freight wagons’ of the rail system in the European Union and repealing Decision 2006/861/EC (OJ L 256, 12.04.2013, page 1);</w:t>
            </w:r>
          </w:p>
          <w:p w:rsidR="00A971FE" w:rsidRPr="00F71C97" w:rsidRDefault="00A971FE" w:rsidP="0043129E">
            <w:pPr>
              <w:pStyle w:val="ListParagraph"/>
              <w:numPr>
                <w:ilvl w:val="0"/>
                <w:numId w:val="26"/>
              </w:numPr>
              <w:tabs>
                <w:tab w:val="left" w:pos="317"/>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 xml:space="preserve">Implementation of Commission Directive 2013/9/EU of 11 March 2013 amending Annexes II, V and VI to </w:t>
            </w:r>
            <w:r>
              <w:rPr>
                <w:rFonts w:ascii="Arial" w:hAnsi="Arial"/>
                <w:color w:val="1F497D" w:themeColor="text2"/>
                <w:sz w:val="18"/>
              </w:rPr>
              <w:lastRenderedPageBreak/>
              <w:t>Directive 2008/57/EC on the interoperability of the rail system within the Community (OJ L 256, 12.03.2013, page 55).</w:t>
            </w:r>
          </w:p>
          <w:p w:rsidR="00A971FE" w:rsidRPr="00F71C97" w:rsidRDefault="00A971FE" w:rsidP="0043129E">
            <w:pPr>
              <w:pStyle w:val="ListParagraph"/>
              <w:numPr>
                <w:ilvl w:val="0"/>
                <w:numId w:val="26"/>
              </w:numPr>
              <w:tabs>
                <w:tab w:val="left" w:pos="384"/>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Adaptation of the procedures to the provisions applicable under the TSI as regards the subsystem ‘rolling stock’ and the provisions of Decision No 768/2008/EC of the European Parliament and of the Council of 9 July 2008 on a common framework for the marketing of products, and repealing Council Decision 93/465/EEC (OJ L 256, 13.08.2008, page 82);</w:t>
            </w:r>
          </w:p>
        </w:tc>
      </w:tr>
      <w:tr w:rsidR="00F71C97" w:rsidRPr="00F71C97" w:rsidTr="00F71C97">
        <w:trPr>
          <w:trHeight w:val="450"/>
        </w:trPr>
        <w:tc>
          <w:tcPr>
            <w:tcW w:w="2854" w:type="dxa"/>
            <w:tcBorders>
              <w:left w:val="single" w:sz="8" w:space="0" w:color="auto"/>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Article 1(12), (13), (15), (16), (17), (20</w:t>
            </w:r>
            <w:r>
              <w:noBreakHyphen/>
            </w:r>
            <w:r>
              <w:rPr>
                <w:color w:val="1F497D" w:themeColor="text2"/>
              </w:rPr>
              <w:t xml:space="preserve">26), (28) and (29) of the act of 30 August 2013 on amending the Rail Transport Act (Polish Journal of Laws of 2013, item 1152).  </w:t>
            </w:r>
          </w:p>
        </w:tc>
        <w:tc>
          <w:tcPr>
            <w:tcW w:w="1701"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nil"/>
              <w:left w:val="nil"/>
              <w:bottom w:val="single" w:sz="4" w:space="0" w:color="auto"/>
              <w:right w:val="single" w:sz="4" w:space="0" w:color="auto"/>
            </w:tcBorders>
            <w:shd w:val="clear" w:color="auto" w:fill="auto"/>
          </w:tcPr>
          <w:p w:rsidR="00A971FE" w:rsidRPr="00F71C97" w:rsidRDefault="00A971FE" w:rsidP="0043129E">
            <w:pPr>
              <w:pStyle w:val="ListParagraph"/>
              <w:numPr>
                <w:ilvl w:val="0"/>
                <w:numId w:val="24"/>
              </w:numPr>
              <w:tabs>
                <w:tab w:val="left" w:pos="255"/>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The introduction of a requirement to obtain a type authorisation, only for the first item of a given type.</w:t>
            </w:r>
          </w:p>
          <w:p w:rsidR="00A971FE" w:rsidRPr="00F71C97" w:rsidRDefault="00A971FE" w:rsidP="0043129E">
            <w:pPr>
              <w:pStyle w:val="ListParagraph"/>
              <w:numPr>
                <w:ilvl w:val="0"/>
                <w:numId w:val="24"/>
              </w:numPr>
              <w:tabs>
                <w:tab w:val="left" w:pos="277"/>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If the given type is manufactured by several manufacturers, the requirement was introduced to obtain a certificate for the first item by each manufacturer.</w:t>
            </w:r>
          </w:p>
          <w:p w:rsidR="00A971FE" w:rsidRPr="00F71C97" w:rsidRDefault="00A971FE" w:rsidP="0043129E">
            <w:pPr>
              <w:pStyle w:val="ListParagraph"/>
              <w:numPr>
                <w:ilvl w:val="0"/>
                <w:numId w:val="24"/>
              </w:numPr>
              <w:tabs>
                <w:tab w:val="left" w:pos="309"/>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The issuance of a certificate for a limited period of time for new types, or the necessity of carrying out performance tests with the possibility of issuing another fixed</w:t>
            </w:r>
            <w:r>
              <w:noBreakHyphen/>
            </w:r>
            <w:r>
              <w:rPr>
                <w:rFonts w:ascii="Arial" w:hAnsi="Arial"/>
                <w:color w:val="1F497D" w:themeColor="text2"/>
                <w:sz w:val="18"/>
              </w:rPr>
              <w:t>term certificate for the duration of the performance tests.</w:t>
            </w:r>
          </w:p>
          <w:p w:rsidR="00A971FE" w:rsidRPr="00F71C97" w:rsidRDefault="00A971FE" w:rsidP="0043129E">
            <w:pPr>
              <w:pStyle w:val="ListParagraph"/>
              <w:numPr>
                <w:ilvl w:val="0"/>
                <w:numId w:val="24"/>
              </w:numPr>
              <w:tabs>
                <w:tab w:val="left" w:pos="318"/>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Commissioning by way of obtaining a type authorisation for types of rail vehicles is possible only for trial vehicles intended to be used solely on railway sidings, narrow</w:t>
            </w:r>
            <w:r>
              <w:noBreakHyphen/>
            </w:r>
            <w:r>
              <w:rPr>
                <w:rFonts w:ascii="Arial" w:hAnsi="Arial"/>
                <w:color w:val="1F497D" w:themeColor="text2"/>
                <w:sz w:val="18"/>
              </w:rPr>
              <w:t>gauge railways and railway lines that are separate from the railway system due to functional reasons.</w:t>
            </w:r>
          </w:p>
          <w:p w:rsidR="00A971FE" w:rsidRPr="00F71C97" w:rsidRDefault="00A971FE" w:rsidP="0043129E">
            <w:pPr>
              <w:pStyle w:val="ListParagraph"/>
              <w:numPr>
                <w:ilvl w:val="0"/>
                <w:numId w:val="24"/>
              </w:numPr>
              <w:tabs>
                <w:tab w:val="left" w:pos="234"/>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The requirement of obtaining the approval of the President of the UTK for conducting activities involving carrying out technical tests necessary for awarding type certificates, and also confirming conformity with type, as well as issuing certificates of conformity of a type and certificates of conformity with type.</w:t>
            </w:r>
          </w:p>
          <w:p w:rsidR="00A971FE" w:rsidRPr="00F71C97" w:rsidRDefault="00A971FE" w:rsidP="0043129E">
            <w:pPr>
              <w:pStyle w:val="ListParagraph"/>
              <w:numPr>
                <w:ilvl w:val="0"/>
                <w:numId w:val="24"/>
              </w:numPr>
              <w:tabs>
                <w:tab w:val="left" w:pos="266"/>
              </w:tabs>
              <w:spacing w:before="0" w:after="0" w:line="240" w:lineRule="auto"/>
              <w:ind w:left="0" w:firstLine="34"/>
              <w:contextualSpacing w:val="0"/>
              <w:jc w:val="left"/>
              <w:rPr>
                <w:rFonts w:ascii="Arial" w:hAnsi="Arial"/>
                <w:color w:val="1F497D" w:themeColor="text2"/>
                <w:sz w:val="18"/>
                <w:szCs w:val="18"/>
              </w:rPr>
            </w:pPr>
            <w:r>
              <w:rPr>
                <w:rFonts w:ascii="Arial" w:hAnsi="Arial"/>
                <w:color w:val="1F497D" w:themeColor="text2"/>
                <w:sz w:val="18"/>
              </w:rPr>
              <w:t xml:space="preserve">Determining the conditions for carrying out indirect ‘EC’ verifications of </w:t>
            </w:r>
            <w:r>
              <w:rPr>
                <w:rFonts w:ascii="Arial" w:hAnsi="Arial"/>
                <w:color w:val="1F497D" w:themeColor="text2"/>
                <w:sz w:val="18"/>
              </w:rPr>
              <w:lastRenderedPageBreak/>
              <w:t xml:space="preserve">subsystems and for issuing supplementing documents: an indirect ‘EC’ certificate of verification of a subsystem and an indirect declaration of ‘EC’ verification of a subsystem. </w:t>
            </w:r>
          </w:p>
        </w:tc>
        <w:tc>
          <w:tcPr>
            <w:tcW w:w="3827" w:type="dxa"/>
            <w:tcBorders>
              <w:top w:val="nil"/>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Clarification of the provisions and implementation of Commission Directive 2011/18/EU of 1 March 2011 amending Annexes II, V and VI to Directive 2008/57/EC of the European Parliament and of the Council on the interoperability of the rail system within the Community (OJ L 57, 02.03.2011, page 21).</w:t>
            </w:r>
          </w:p>
          <w:p w:rsidR="00A971FE" w:rsidRPr="00F71C97" w:rsidRDefault="00A971FE" w:rsidP="00F03AB4">
            <w:pPr>
              <w:spacing w:before="0" w:after="0" w:line="240" w:lineRule="auto"/>
              <w:jc w:val="left"/>
              <w:rPr>
                <w:rFonts w:eastAsia="Times New Roman"/>
                <w:color w:val="1F497D" w:themeColor="text2"/>
              </w:rPr>
            </w:pPr>
          </w:p>
        </w:tc>
      </w:tr>
      <w:tr w:rsidR="00F71C97" w:rsidRPr="00F71C97" w:rsidTr="00F71C97">
        <w:trPr>
          <w:trHeight w:val="450"/>
        </w:trPr>
        <w:tc>
          <w:tcPr>
            <w:tcW w:w="2854" w:type="dxa"/>
            <w:tcBorders>
              <w:top w:val="nil"/>
              <w:left w:val="single" w:sz="8" w:space="0" w:color="auto"/>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The act of 24 April 2014 on amending some acts in relation to the standardisation of some letter templates in administrative proceedings (Polish Journal of Laws of 2014, item 822).</w:t>
            </w:r>
          </w:p>
        </w:tc>
        <w:tc>
          <w:tcPr>
            <w:tcW w:w="1701"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25 December 2014</w:t>
            </w:r>
          </w:p>
        </w:tc>
        <w:tc>
          <w:tcPr>
            <w:tcW w:w="3544"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Authorisation of the minister responsible for the economy to specify a template for applications to grant accreditation and authorisation in the form of an electronic document.</w:t>
            </w:r>
          </w:p>
        </w:tc>
        <w:tc>
          <w:tcPr>
            <w:tcW w:w="3827" w:type="dxa"/>
            <w:tcBorders>
              <w:top w:val="nil"/>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Simplification of the legal environment and creation of simplifications in the conduct of economic activity by enterprises.</w:t>
            </w:r>
          </w:p>
        </w:tc>
      </w:tr>
      <w:tr w:rsidR="00F71C97" w:rsidRPr="00F71C97" w:rsidTr="00F71C97">
        <w:trPr>
          <w:trHeight w:val="450"/>
        </w:trPr>
        <w:tc>
          <w:tcPr>
            <w:tcW w:w="2854" w:type="dxa"/>
            <w:tcBorders>
              <w:top w:val="nil"/>
              <w:left w:val="single" w:sz="8" w:space="0" w:color="auto"/>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Act of 26 June 2014 on amending the Rail Transport Act (Polish Journal of Laws of 2014, No 230, item 962);</w:t>
            </w:r>
          </w:p>
        </w:tc>
        <w:tc>
          <w:tcPr>
            <w:tcW w:w="1701"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7 August 2014</w:t>
            </w:r>
          </w:p>
        </w:tc>
        <w:tc>
          <w:tcPr>
            <w:tcW w:w="3544" w:type="dxa"/>
            <w:tcBorders>
              <w:top w:val="nil"/>
              <w:left w:val="nil"/>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Release from the obligation of submitting to the President of the UTK information necessary to obtain a permit for the commissioning of rail vehicles, in paper form, and in its place introducing a rule pursuant to which it is submitted electronically.</w:t>
            </w:r>
          </w:p>
        </w:tc>
        <w:tc>
          <w:tcPr>
            <w:tcW w:w="3827" w:type="dxa"/>
            <w:tcBorders>
              <w:top w:val="nil"/>
              <w:left w:val="nil"/>
              <w:bottom w:val="single" w:sz="4" w:space="0" w:color="auto"/>
              <w:right w:val="single" w:sz="8"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Simplification of proceedings. </w:t>
            </w:r>
          </w:p>
        </w:tc>
      </w:tr>
      <w:tr w:rsidR="00F71C97" w:rsidRPr="00F71C97" w:rsidTr="00F71C97">
        <w:trPr>
          <w:trHeight w:val="450"/>
        </w:trPr>
        <w:tc>
          <w:tcPr>
            <w:tcW w:w="285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Regarding rail operators/infrastructure managers/entities in charge of maintenance</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Act of 30 August 2013 on amending the Rail Transport Act (Polish Journal of Laws of 2013, No 230, item 1152);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31 March 2014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Changes to the rules for certification of entities in charge of maintenance of freight wagons cover further clarification of the tasks of the President of the UTK relating to certification of entities in charge of maintenance of freight wagons that carry out all or at least a part of one of the maintenance functions listed in Commission Regulation (EU) No 445/2011. Pursuant to the provisions of Regulation (EU) No 445/2011, these entities are subject to voluntary certification.</w:t>
            </w:r>
          </w:p>
          <w:p w:rsidR="00A971FE" w:rsidRPr="00F71C97" w:rsidRDefault="00A971FE" w:rsidP="00F03AB4">
            <w:pPr>
              <w:spacing w:before="0" w:after="0" w:line="240" w:lineRule="auto"/>
              <w:jc w:val="left"/>
              <w:rPr>
                <w:rFonts w:eastAsia="Times New Roman"/>
                <w:color w:val="1F497D" w:themeColor="text2"/>
              </w:rPr>
            </w:pPr>
          </w:p>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An exemption from the obligation to issue technical efficiency certificates for freight wagons covered by the maintenance system of the entity in charge of maintenance of the rail vehicle (ECM), for which this entity issued a ‘release to service’ certificate and, if there previously existed a withdrawal from operation, a ‘return to operation’ certificate pursuant to </w:t>
            </w:r>
            <w:r>
              <w:rPr>
                <w:color w:val="1F497D" w:themeColor="text2"/>
              </w:rPr>
              <w:lastRenderedPageBreak/>
              <w:t xml:space="preserve">Regulation (EU) No 445/2011.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Adapting the provisions of the act to Regulation (EU) No 445/2011.</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The removal of the obligation to issue a technical efficiency certificate by an operator for freight wagons for which the entity in charge of maintenance (ECM) issued an assurance confirming its release to service or return to operation aims to avoid the doubling up of activities and issuing equivalent documents confirming the same technical condition.</w:t>
            </w:r>
          </w:p>
        </w:tc>
      </w:tr>
      <w:tr w:rsidR="00F71C97" w:rsidRPr="00F71C97" w:rsidTr="00F71C97">
        <w:trPr>
          <w:trHeight w:val="450"/>
        </w:trPr>
        <w:tc>
          <w:tcPr>
            <w:tcW w:w="285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Article 9 of the act of 9 May 2014 on simplifying access to the conduct of some regulated professions (Polish Journal of Laws of 2014, item 768).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11 December 2014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Deregulation of the following professions: points operator, bridge operator, lineman, metro traffic dispatcher, train and metro station dispatcher, metro shunter, metro traffic control device installer, installer of remote control devices and metro dispatch console, metro train driver, driver of auxiliary metro rail vehicles. Qualification requirements, examination method and rules for assessing the physical and psychological abilities described in the act thus far are specified by the employer.</w:t>
            </w:r>
          </w:p>
          <w:p w:rsidR="00A971FE" w:rsidRPr="00F71C97" w:rsidRDefault="00A971FE" w:rsidP="00F03AB4">
            <w:pPr>
              <w:spacing w:before="0" w:after="0" w:line="240" w:lineRule="auto"/>
              <w:jc w:val="left"/>
              <w:rPr>
                <w:rFonts w:eastAsia="Times New Roman"/>
                <w:color w:val="1F497D" w:themeColor="text2"/>
              </w:rPr>
            </w:pPr>
          </w:p>
          <w:p w:rsidR="00A971FE" w:rsidRPr="00F71C97" w:rsidRDefault="00A971FE" w:rsidP="00F03AB4">
            <w:pPr>
              <w:spacing w:before="0" w:after="0" w:line="240" w:lineRule="auto"/>
              <w:jc w:val="left"/>
              <w:rPr>
                <w:rFonts w:eastAsia="Times New Roman"/>
                <w:color w:val="1F497D" w:themeColor="text2"/>
              </w:rPr>
            </w:pPr>
            <w:r>
              <w:rPr>
                <w:color w:val="1F497D" w:themeColor="text2"/>
              </w:rPr>
              <w:t>The introduction of the obligation to obtain a safety certificate by an enterprise managing infrastructure and conducting metro transport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Simplification of access to the conduct of a profession.</w:t>
            </w:r>
          </w:p>
          <w:p w:rsidR="00A971FE" w:rsidRPr="00F71C97" w:rsidRDefault="00A971FE" w:rsidP="00F03AB4">
            <w:pPr>
              <w:spacing w:before="0" w:after="0" w:line="240" w:lineRule="auto"/>
              <w:jc w:val="left"/>
              <w:rPr>
                <w:rFonts w:eastAsia="Times New Roman"/>
                <w:color w:val="1F497D" w:themeColor="text2"/>
              </w:rPr>
            </w:pPr>
          </w:p>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Increasing safety levels on the metro. </w:t>
            </w:r>
          </w:p>
        </w:tc>
      </w:tr>
      <w:tr w:rsidR="00F71C97" w:rsidRPr="00F71C97" w:rsidTr="00F71C97">
        <w:trPr>
          <w:trHeight w:val="450"/>
        </w:trPr>
        <w:tc>
          <w:tcPr>
            <w:tcW w:w="2854" w:type="dxa"/>
            <w:vMerge w:val="restart"/>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Implementing other EU requirements (if the relate to railway safety)</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Regulation of the Minister for Infrastructure and Development of 10 February 2014 on train driver certificates (Polish Journal of Laws of 2014, No 230, item 211);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4 March 2014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The rules regarding the procedure for issuing train driver licences and for the conduct of other administrative decisions by the President of the UTK were clarified. Uniform standards for the organisation of examinations that include the provisions of Commission Decision No 2011/765/EU were introduced. The training hours were increased, the duration of a lesson was varied depending on whether it revolved around technical or practical issues. The requirements necessary to pass an examination were tightened.</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Adaptation of the implementing rules on licensing train drivers to changes arising under the amending act of 12 July 2013 on amending the Rail Transport Act and the act on amending the Rail Transport Act (Polish Journal of Laws of 2013, No 230, item 1033);</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Implementation of the provision of Directive 2007/59/EC of the European Parliament and of the Council of 23 October 2007 on the certification of train drivers operating locomotives and trains on the railway system in the Community (OJ L 57, 03.12.2007, page 51).</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The regulation also fulfils the provisions of Article 9 of Commission Decision No 2011/765/EU of 22 November 2011 on criteria for the recognition of training centres involved in the training of train drivers, on criteria for the recognition of examiners of train drivers and on criteria for the organisation of examinations in accordance with Directive 2007/59/EC of the European Parliament and of the Council (OJ L 57, </w:t>
            </w:r>
            <w:r>
              <w:rPr>
                <w:color w:val="1F497D" w:themeColor="text2"/>
              </w:rPr>
              <w:lastRenderedPageBreak/>
              <w:t>29.11.2011, page 36).</w:t>
            </w:r>
          </w:p>
        </w:tc>
      </w:tr>
      <w:tr w:rsidR="00F71C97" w:rsidRPr="00F71C97" w:rsidTr="00F71C97">
        <w:trPr>
          <w:trHeight w:val="450"/>
        </w:trPr>
        <w:tc>
          <w:tcPr>
            <w:tcW w:w="2854" w:type="dxa"/>
            <w:vMerge/>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Regulation of the Minister for Infrastructure and Development of 10 February 2014 on train driver certificates (Polish Journal of Laws of 2014, item 212).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4 March 2014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In the current legal status, the programme and duration of training of train driver candidates seeking to obtain a train driver certificate was set individually by rail operators and infrastructure managers as part of the safety management systems used by these entities. In the light of the significant differences between training programmes implemented by individual training and examination centres and rail operators, uniform standards have been introduced for train driver candidates seeking to obtain a train driver certificate. It is now possible to conduct training using a rail vehicle simulator.</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Standardisation of requirements regarding training of train driver candidates seeking to obtain a train driver certificate, and regulation of conditions for professional development of train drivers carrying out activities based on train driver licences and certificates.</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Transposition of the requirements of Annexes V and VI of Directive 2007/59/EC of the European Parliament and of the Council of 23 October 2007 on the certification of train drivers operating locomotives and trains on the railway system in the Community (OJ L 57, 03.12.2007, page 51).</w:t>
            </w:r>
          </w:p>
        </w:tc>
      </w:tr>
      <w:tr w:rsidR="00F71C97" w:rsidRPr="00F71C97" w:rsidTr="00F71C97">
        <w:trPr>
          <w:trHeight w:val="450"/>
        </w:trPr>
        <w:tc>
          <w:tcPr>
            <w:tcW w:w="2854" w:type="dxa"/>
            <w:vMerge w:val="restart"/>
            <w:tcBorders>
              <w:top w:val="single" w:sz="4" w:space="0" w:color="auto"/>
              <w:left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Regulation of the Minister for Infrastructure and Development of 17 October 2014 on the list of entities authorised to carry out medical and psychological examinations and to issue decisions to verify compliance with the health, physical and psychological requirements necessary to obtain a train driver licence and certificate, as well as to maintain their validity (Polish Journal of Laws of 2014, item 1534).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21 November 2014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This Regulation replaces the Regulation of the Minister for Infrastructure of 15 March 2011 on entries on the list of entities authorised to carry out tests to verify compliance with the health, physical and psychological requirements necessary to obtain a train driver licence and certificate (Polish Journal of Laws No 66, item 348).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Repealed by the Regulation of the Minister for Infrastructure of 15 March 2011 on entries on the list of entities authorised to carry out tests to verify compliance with the health, physical and psychological requirements necessary to obtain a train driver licence and certificate pursuant to Article 7 of the act of 12 July 2013 on amending the Rail Transport Act and the act on amending the Rail Transport Act (Polish Journal of Laws, item 1033).</w:t>
            </w:r>
          </w:p>
        </w:tc>
      </w:tr>
      <w:tr w:rsidR="00F71C97" w:rsidRPr="00F71C97" w:rsidTr="00F71C97">
        <w:trPr>
          <w:trHeight w:val="450"/>
        </w:trPr>
        <w:tc>
          <w:tcPr>
            <w:tcW w:w="2854" w:type="dxa"/>
            <w:vMerge/>
            <w:tcBorders>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Regulation of the Minister for Infrastructure and Development of 23 October 2014 on centres for training and examination of train drivers and train driver candidates (Polish Journal of Laws of </w:t>
            </w:r>
            <w:r>
              <w:rPr>
                <w:color w:val="1F497D" w:themeColor="text2"/>
              </w:rPr>
              <w:lastRenderedPageBreak/>
              <w:t xml:space="preserve">2014, item 1566).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28 November 2014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Abolition of the requirement for instructors (lecturers) to possess a higher technical education and a minimum of five years of professional experience specialising in railways, or secondary education and professional experience working as a traction vehicle driver for a minimum of five years. </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 xml:space="preserve">Introduction of a requirement to know the Polish language and procedures for controlling rail traffic applicable on the Polish railway network for examiners from other Member States of the EU conducting examinations on the Polish railway network.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71FE" w:rsidRPr="00F71C97" w:rsidRDefault="00A971FE" w:rsidP="00F03AB4">
            <w:pPr>
              <w:spacing w:before="0" w:after="0" w:line="240" w:lineRule="auto"/>
              <w:jc w:val="left"/>
              <w:rPr>
                <w:rFonts w:eastAsia="Times New Roman"/>
                <w:color w:val="1F497D" w:themeColor="text2"/>
              </w:rPr>
            </w:pPr>
            <w:r>
              <w:rPr>
                <w:color w:val="1F497D" w:themeColor="text2"/>
              </w:rPr>
              <w:lastRenderedPageBreak/>
              <w:t>Adaptation of the implementing rules on licensing train drivers to changes arising under the amending act of 12 July 2013 on amending the Rail Transport Act and the act on amending the Rail Transport Act (Polish Journal of Laws of 2013, No 230, item 1033);</w:t>
            </w:r>
          </w:p>
          <w:p w:rsidR="00A971FE" w:rsidRPr="00F71C97" w:rsidRDefault="00A971FE" w:rsidP="00F03AB4">
            <w:pPr>
              <w:spacing w:before="0" w:after="0" w:line="240" w:lineRule="auto"/>
              <w:jc w:val="left"/>
              <w:rPr>
                <w:rFonts w:eastAsia="Times New Roman"/>
                <w:color w:val="1F497D" w:themeColor="text2"/>
              </w:rPr>
            </w:pPr>
            <w:r>
              <w:rPr>
                <w:color w:val="1F497D" w:themeColor="text2"/>
              </w:rPr>
              <w:t xml:space="preserve">This Regulation fulfils the provisions of Commission Decision No 2011/765/EU of </w:t>
            </w:r>
            <w:r>
              <w:rPr>
                <w:color w:val="1F497D" w:themeColor="text2"/>
              </w:rPr>
              <w:lastRenderedPageBreak/>
              <w:t xml:space="preserve">22 November 2011 on criteria for the recognition of training centres involved in the training of train drivers, on criteria for the recognition of examiners of train drivers and on criteria for the organisation of examinations in accordance with Directive 2007/59/EC of the European Parliament and of the Council (OJ L 57, 29.11.2011, page 36) as regards the requirements that should be met by enterprises seeking recognition of qualification to carry out the activities of a training and examination centre. </w:t>
            </w:r>
          </w:p>
        </w:tc>
      </w:tr>
    </w:tbl>
    <w:p w:rsidR="00F835B6" w:rsidRDefault="00F835B6">
      <w:pPr>
        <w:spacing w:before="0" w:after="0" w:line="240" w:lineRule="auto"/>
        <w:jc w:val="left"/>
      </w:pPr>
      <w:r>
        <w:lastRenderedPageBreak/>
        <w:br w:type="page"/>
      </w:r>
    </w:p>
    <w:p w:rsidR="00F835B6" w:rsidRDefault="00F835B6" w:rsidP="00A740EC">
      <w:pPr>
        <w:pStyle w:val="Heading1"/>
        <w:numPr>
          <w:ilvl w:val="0"/>
          <w:numId w:val="0"/>
        </w:numPr>
        <w:tabs>
          <w:tab w:val="clear" w:pos="567"/>
          <w:tab w:val="left" w:pos="0"/>
        </w:tabs>
        <w:rPr>
          <w:color w:val="1F497D" w:themeColor="text2"/>
        </w:rPr>
      </w:pPr>
      <w:bookmarkStart w:id="73" w:name="_Toc435539950"/>
      <w:bookmarkStart w:id="74" w:name="_Toc441736886"/>
      <w:r>
        <w:rPr>
          <w:color w:val="1F497D" w:themeColor="text2"/>
        </w:rPr>
        <w:lastRenderedPageBreak/>
        <w:t>Annex 3: Priorities and plan for supervision of the President of the Rail Transport Office for 2015</w:t>
      </w:r>
      <w:bookmarkEnd w:id="73"/>
      <w:bookmarkEnd w:id="74"/>
    </w:p>
    <w:p w:rsidR="00F835B6" w:rsidRPr="00F835B6" w:rsidRDefault="00F835B6" w:rsidP="00F835B6">
      <w:pPr>
        <w:rPr>
          <w:color w:val="1F497D" w:themeColor="text2"/>
          <w:szCs w:val="20"/>
        </w:rPr>
      </w:pPr>
      <w:r>
        <w:rPr>
          <w:color w:val="1F497D" w:themeColor="text2"/>
        </w:rPr>
        <w:t>The document containing the priorities and plan for supervision of the President of the UTK for 2015 is in a separate file.</w:t>
      </w:r>
    </w:p>
    <w:sectPr w:rsidR="00F835B6" w:rsidRPr="00F835B6" w:rsidSect="00241F97">
      <w:headerReference w:type="default" r:id="rId36"/>
      <w:footerReference w:type="default" r:id="rId37"/>
      <w:headerReference w:type="first" r:id="rId38"/>
      <w:footerReference w:type="first" r:id="rId39"/>
      <w:pgSz w:w="16838" w:h="11906" w:orient="landscape"/>
      <w:pgMar w:top="1197" w:right="851" w:bottom="991" w:left="1134" w:header="709" w:footer="6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FCB" w:rsidRDefault="00102FCB" w:rsidP="001F40E3">
      <w:r>
        <w:separator/>
      </w:r>
    </w:p>
    <w:p w:rsidR="00102FCB" w:rsidRDefault="00102FCB" w:rsidP="001F40E3"/>
  </w:endnote>
  <w:endnote w:type="continuationSeparator" w:id="0">
    <w:p w:rsidR="00102FCB" w:rsidRDefault="00102FCB" w:rsidP="001F40E3">
      <w:r>
        <w:continuationSeparator/>
      </w:r>
    </w:p>
    <w:p w:rsidR="00102FCB" w:rsidRDefault="00102FCB" w:rsidP="001F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8" w:rsidRDefault="00AC20F8" w:rsidP="001F40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C20F8" w:rsidRDefault="00AC20F8" w:rsidP="001F4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4"/>
      <w:gridCol w:w="2695"/>
    </w:tblGrid>
    <w:tr w:rsidR="00AC20F8" w:rsidRPr="00172A54" w:rsidTr="00E23E37">
      <w:tc>
        <w:tcPr>
          <w:tcW w:w="7284" w:type="dxa"/>
        </w:tcPr>
        <w:p w:rsidR="00AC20F8" w:rsidRPr="00172A54" w:rsidRDefault="00AC20F8" w:rsidP="00E23E37">
          <w:pPr>
            <w:pStyle w:val="Tabelki"/>
            <w:rPr>
              <w:sz w:val="16"/>
            </w:rPr>
          </w:pPr>
          <w:r>
            <w:rPr>
              <w:sz w:val="16"/>
            </w:rPr>
            <w:t>2014 Report on Railway Safety in Poland</w:t>
          </w:r>
        </w:p>
      </w:tc>
      <w:tc>
        <w:tcPr>
          <w:tcW w:w="2695" w:type="dxa"/>
        </w:tcPr>
        <w:p w:rsidR="00AC20F8" w:rsidRPr="00172A54" w:rsidRDefault="00AC20F8" w:rsidP="00E23E37">
          <w:pPr>
            <w:pStyle w:val="Tabelki"/>
            <w:jc w:val="right"/>
            <w:rPr>
              <w:sz w:val="16"/>
            </w:rPr>
          </w:pPr>
          <w:r>
            <w:rPr>
              <w:sz w:val="16"/>
            </w:rPr>
            <w:t xml:space="preserve">Page </w:t>
          </w:r>
          <w:r w:rsidRPr="00172A54">
            <w:rPr>
              <w:sz w:val="16"/>
            </w:rPr>
            <w:fldChar w:fldCharType="begin"/>
          </w:r>
          <w:r w:rsidRPr="00172A54">
            <w:rPr>
              <w:sz w:val="16"/>
            </w:rPr>
            <w:instrText>PAGE   \* MERGEFORMAT</w:instrText>
          </w:r>
          <w:r w:rsidRPr="00172A54">
            <w:rPr>
              <w:sz w:val="16"/>
            </w:rPr>
            <w:fldChar w:fldCharType="separate"/>
          </w:r>
          <w:r w:rsidR="00281B52">
            <w:rPr>
              <w:noProof/>
              <w:sz w:val="16"/>
            </w:rPr>
            <w:t>2</w:t>
          </w:r>
          <w:r w:rsidRPr="00172A54">
            <w:rPr>
              <w:sz w:val="16"/>
            </w:rPr>
            <w:fldChar w:fldCharType="end"/>
          </w:r>
          <w:r>
            <w:rPr>
              <w:sz w:val="16"/>
            </w:rPr>
            <w:t xml:space="preserve">of </w:t>
          </w:r>
          <w:r w:rsidRPr="00172A54">
            <w:rPr>
              <w:sz w:val="16"/>
            </w:rPr>
            <w:fldChar w:fldCharType="begin"/>
          </w:r>
          <w:r w:rsidRPr="00172A54">
            <w:rPr>
              <w:sz w:val="16"/>
            </w:rPr>
            <w:instrText xml:space="preserve"> NUMPAGES  \* Arabic  \* MERGEFORMAT </w:instrText>
          </w:r>
          <w:r w:rsidRPr="00172A54">
            <w:rPr>
              <w:sz w:val="16"/>
            </w:rPr>
            <w:fldChar w:fldCharType="separate"/>
          </w:r>
          <w:r w:rsidR="00281B52">
            <w:rPr>
              <w:noProof/>
              <w:sz w:val="16"/>
            </w:rPr>
            <w:t>56</w:t>
          </w:r>
          <w:r w:rsidRPr="00172A54">
            <w:rPr>
              <w:sz w:val="16"/>
            </w:rPr>
            <w:fldChar w:fldCharType="end"/>
          </w:r>
        </w:p>
      </w:tc>
    </w:tr>
  </w:tbl>
  <w:p w:rsidR="00AC20F8" w:rsidRPr="00172A54" w:rsidRDefault="00AC20F8" w:rsidP="00DC4B99">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5"/>
      <w:gridCol w:w="2660"/>
    </w:tblGrid>
    <w:tr w:rsidR="00AC20F8" w:rsidRPr="00172A54" w:rsidTr="006A185C">
      <w:tc>
        <w:tcPr>
          <w:tcW w:w="7175" w:type="dxa"/>
        </w:tcPr>
        <w:p w:rsidR="00AC20F8" w:rsidRPr="00172A54" w:rsidRDefault="00AC20F8" w:rsidP="006A185C">
          <w:pPr>
            <w:pStyle w:val="Tabelki"/>
            <w:rPr>
              <w:sz w:val="16"/>
            </w:rPr>
          </w:pPr>
          <w:r>
            <w:rPr>
              <w:sz w:val="16"/>
            </w:rPr>
            <w:t>2014 Report on Railway Safety in Poland</w:t>
          </w:r>
        </w:p>
      </w:tc>
      <w:tc>
        <w:tcPr>
          <w:tcW w:w="2660" w:type="dxa"/>
        </w:tcPr>
        <w:p w:rsidR="00AC20F8" w:rsidRPr="00172A54" w:rsidRDefault="00AC20F8" w:rsidP="006A185C">
          <w:pPr>
            <w:pStyle w:val="Tabelki"/>
            <w:jc w:val="right"/>
            <w:rPr>
              <w:sz w:val="16"/>
            </w:rPr>
          </w:pPr>
          <w:r>
            <w:rPr>
              <w:sz w:val="16"/>
            </w:rPr>
            <w:t xml:space="preserve">Page </w:t>
          </w:r>
          <w:r w:rsidRPr="00172A54">
            <w:rPr>
              <w:sz w:val="16"/>
            </w:rPr>
            <w:fldChar w:fldCharType="begin"/>
          </w:r>
          <w:r w:rsidRPr="00172A54">
            <w:rPr>
              <w:sz w:val="16"/>
            </w:rPr>
            <w:instrText>PAGE   \* MERGEFORMAT</w:instrText>
          </w:r>
          <w:r w:rsidRPr="00172A54">
            <w:rPr>
              <w:sz w:val="16"/>
            </w:rPr>
            <w:fldChar w:fldCharType="separate"/>
          </w:r>
          <w:r w:rsidR="00C60444">
            <w:rPr>
              <w:noProof/>
              <w:sz w:val="16"/>
            </w:rPr>
            <w:t>21</w:t>
          </w:r>
          <w:r w:rsidRPr="00172A54">
            <w:rPr>
              <w:sz w:val="16"/>
            </w:rPr>
            <w:fldChar w:fldCharType="end"/>
          </w:r>
          <w:r>
            <w:rPr>
              <w:sz w:val="16"/>
            </w:rPr>
            <w:t xml:space="preserve">of </w:t>
          </w:r>
          <w:r w:rsidRPr="00172A54">
            <w:rPr>
              <w:sz w:val="16"/>
            </w:rPr>
            <w:fldChar w:fldCharType="begin"/>
          </w:r>
          <w:r w:rsidRPr="00172A54">
            <w:rPr>
              <w:sz w:val="16"/>
            </w:rPr>
            <w:instrText xml:space="preserve"> NUMPAGES  \* Arabic  \* MERGEFORMAT </w:instrText>
          </w:r>
          <w:r w:rsidRPr="00172A54">
            <w:rPr>
              <w:sz w:val="16"/>
            </w:rPr>
            <w:fldChar w:fldCharType="separate"/>
          </w:r>
          <w:r w:rsidR="00C60444">
            <w:rPr>
              <w:noProof/>
              <w:sz w:val="16"/>
            </w:rPr>
            <w:t>55</w:t>
          </w:r>
          <w:r w:rsidRPr="00172A54">
            <w:rPr>
              <w:sz w:val="16"/>
            </w:rPr>
            <w:fldChar w:fldCharType="end"/>
          </w:r>
        </w:p>
      </w:tc>
    </w:tr>
  </w:tbl>
  <w:p w:rsidR="00AC20F8" w:rsidRPr="00172A54" w:rsidRDefault="00AC20F8" w:rsidP="006A185C">
    <w:pPr>
      <w:pStyle w:val="Footer"/>
      <w:tabs>
        <w:tab w:val="clear" w:pos="4536"/>
        <w:tab w:val="clear" w:pos="9072"/>
        <w:tab w:val="left" w:pos="1966"/>
      </w:tabs>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35450"/>
      <w:docPartObj>
        <w:docPartGallery w:val="Page Numbers (Bottom of Page)"/>
        <w:docPartUnique/>
      </w:docPartObj>
    </w:sdtPr>
    <w:sdtEndPr/>
    <w:sdtContent>
      <w:tbl>
        <w:tblPr>
          <w:tblStyle w:val="TableGrid"/>
          <w:tblW w:w="495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9"/>
          <w:gridCol w:w="2656"/>
        </w:tblGrid>
        <w:tr w:rsidR="00AC20F8" w:rsidRPr="00172A54" w:rsidTr="00E23E37">
          <w:tc>
            <w:tcPr>
              <w:tcW w:w="7179" w:type="dxa"/>
            </w:tcPr>
            <w:p w:rsidR="00AC20F8" w:rsidRPr="00172A54" w:rsidRDefault="00AC20F8" w:rsidP="00E23E37">
              <w:pPr>
                <w:pStyle w:val="Tabelki"/>
                <w:rPr>
                  <w:sz w:val="16"/>
                </w:rPr>
              </w:pPr>
              <w:r>
                <w:rPr>
                  <w:sz w:val="16"/>
                </w:rPr>
                <w:t>2014 Report on Railway Safety in Poland</w:t>
              </w:r>
            </w:p>
          </w:tc>
          <w:tc>
            <w:tcPr>
              <w:tcW w:w="2656" w:type="dxa"/>
            </w:tcPr>
            <w:p w:rsidR="00AC20F8" w:rsidRPr="00172A54" w:rsidRDefault="00AC20F8" w:rsidP="00E23E37">
              <w:pPr>
                <w:pStyle w:val="Tabelki"/>
                <w:jc w:val="right"/>
                <w:rPr>
                  <w:sz w:val="16"/>
                </w:rPr>
              </w:pPr>
              <w:r>
                <w:rPr>
                  <w:sz w:val="16"/>
                </w:rPr>
                <w:t xml:space="preserve">Page </w:t>
              </w:r>
              <w:r w:rsidRPr="00172A54">
                <w:rPr>
                  <w:sz w:val="16"/>
                </w:rPr>
                <w:fldChar w:fldCharType="begin"/>
              </w:r>
              <w:r w:rsidRPr="00172A54">
                <w:rPr>
                  <w:sz w:val="16"/>
                </w:rPr>
                <w:instrText>PAGE   \* MERGEFORMAT</w:instrText>
              </w:r>
              <w:r w:rsidRPr="00172A54">
                <w:rPr>
                  <w:sz w:val="16"/>
                </w:rPr>
                <w:fldChar w:fldCharType="separate"/>
              </w:r>
              <w:r w:rsidR="00C60444">
                <w:rPr>
                  <w:noProof/>
                  <w:sz w:val="16"/>
                </w:rPr>
                <w:t>2</w:t>
              </w:r>
              <w:r w:rsidRPr="00172A54">
                <w:rPr>
                  <w:sz w:val="16"/>
                </w:rPr>
                <w:fldChar w:fldCharType="end"/>
              </w:r>
              <w:r>
                <w:rPr>
                  <w:sz w:val="16"/>
                </w:rPr>
                <w:t xml:space="preserve">of </w:t>
              </w:r>
              <w:r w:rsidRPr="00172A54">
                <w:rPr>
                  <w:sz w:val="16"/>
                </w:rPr>
                <w:fldChar w:fldCharType="begin"/>
              </w:r>
              <w:r w:rsidRPr="00172A54">
                <w:rPr>
                  <w:sz w:val="16"/>
                </w:rPr>
                <w:instrText xml:space="preserve"> NUMPAGES  \* Arabic  \* MERGEFORMAT </w:instrText>
              </w:r>
              <w:r w:rsidRPr="00172A54">
                <w:rPr>
                  <w:sz w:val="16"/>
                </w:rPr>
                <w:fldChar w:fldCharType="separate"/>
              </w:r>
              <w:r w:rsidR="00C60444">
                <w:rPr>
                  <w:noProof/>
                  <w:sz w:val="16"/>
                </w:rPr>
                <w:t>55</w:t>
              </w:r>
              <w:r w:rsidRPr="00172A54">
                <w:rPr>
                  <w:sz w:val="16"/>
                </w:rPr>
                <w:fldChar w:fldCharType="end"/>
              </w:r>
            </w:p>
          </w:tc>
        </w:tr>
      </w:tbl>
      <w:p w:rsidR="00AC20F8" w:rsidRDefault="00102FCB" w:rsidP="00E23E37">
        <w:pPr>
          <w:pStyle w:val="Foo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9"/>
      <w:gridCol w:w="4029"/>
    </w:tblGrid>
    <w:tr w:rsidR="00AC20F8" w:rsidRPr="00172A54" w:rsidTr="00241F97">
      <w:tc>
        <w:tcPr>
          <w:tcW w:w="10889" w:type="dxa"/>
        </w:tcPr>
        <w:p w:rsidR="00AC20F8" w:rsidRPr="00172A54" w:rsidRDefault="00AC20F8" w:rsidP="0087293C">
          <w:pPr>
            <w:pStyle w:val="Tabelki"/>
            <w:rPr>
              <w:sz w:val="16"/>
            </w:rPr>
          </w:pPr>
          <w:r>
            <w:rPr>
              <w:sz w:val="16"/>
            </w:rPr>
            <w:t>2014 Report on Railway Safety in Poland</w:t>
          </w:r>
        </w:p>
      </w:tc>
      <w:tc>
        <w:tcPr>
          <w:tcW w:w="4029" w:type="dxa"/>
        </w:tcPr>
        <w:p w:rsidR="00AC20F8" w:rsidRPr="00172A54" w:rsidRDefault="00AC20F8" w:rsidP="0087293C">
          <w:pPr>
            <w:pStyle w:val="Tabelki"/>
            <w:jc w:val="right"/>
            <w:rPr>
              <w:sz w:val="16"/>
            </w:rPr>
          </w:pPr>
          <w:r>
            <w:rPr>
              <w:sz w:val="16"/>
            </w:rPr>
            <w:t xml:space="preserve">Page </w:t>
          </w:r>
          <w:r w:rsidRPr="00172A54">
            <w:rPr>
              <w:sz w:val="16"/>
            </w:rPr>
            <w:fldChar w:fldCharType="begin"/>
          </w:r>
          <w:r w:rsidRPr="00172A54">
            <w:rPr>
              <w:sz w:val="16"/>
            </w:rPr>
            <w:instrText>PAGE   \* MERGEFORMAT</w:instrText>
          </w:r>
          <w:r w:rsidRPr="00172A54">
            <w:rPr>
              <w:sz w:val="16"/>
            </w:rPr>
            <w:fldChar w:fldCharType="separate"/>
          </w:r>
          <w:r w:rsidR="00C60444">
            <w:rPr>
              <w:noProof/>
              <w:sz w:val="16"/>
            </w:rPr>
            <w:t>55</w:t>
          </w:r>
          <w:r w:rsidRPr="00172A54">
            <w:rPr>
              <w:sz w:val="16"/>
            </w:rPr>
            <w:fldChar w:fldCharType="end"/>
          </w:r>
          <w:r>
            <w:rPr>
              <w:sz w:val="16"/>
            </w:rPr>
            <w:t xml:space="preserve">of </w:t>
          </w:r>
          <w:r w:rsidRPr="00172A54">
            <w:rPr>
              <w:sz w:val="16"/>
            </w:rPr>
            <w:fldChar w:fldCharType="begin"/>
          </w:r>
          <w:r w:rsidRPr="00172A54">
            <w:rPr>
              <w:sz w:val="16"/>
            </w:rPr>
            <w:instrText xml:space="preserve"> NUMPAGES  \* Arabic  \* MERGEFORMAT </w:instrText>
          </w:r>
          <w:r w:rsidRPr="00172A54">
            <w:rPr>
              <w:sz w:val="16"/>
            </w:rPr>
            <w:fldChar w:fldCharType="separate"/>
          </w:r>
          <w:r w:rsidR="00C60444">
            <w:rPr>
              <w:noProof/>
              <w:sz w:val="16"/>
            </w:rPr>
            <w:t>55</w:t>
          </w:r>
          <w:r w:rsidRPr="00172A54">
            <w:rPr>
              <w:sz w:val="16"/>
            </w:rPr>
            <w:fldChar w:fldCharType="end"/>
          </w:r>
        </w:p>
      </w:tc>
    </w:tr>
  </w:tbl>
  <w:p w:rsidR="00AC20F8" w:rsidRPr="00172A54" w:rsidRDefault="00AC20F8" w:rsidP="00241F97">
    <w:pPr>
      <w:pStyle w:val="Footer"/>
      <w:jc w:val="cen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5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9"/>
      <w:gridCol w:w="4029"/>
    </w:tblGrid>
    <w:tr w:rsidR="00AC20F8" w:rsidRPr="00172A54" w:rsidTr="00241F97">
      <w:tc>
        <w:tcPr>
          <w:tcW w:w="10889" w:type="dxa"/>
        </w:tcPr>
        <w:p w:rsidR="00AC20F8" w:rsidRPr="00172A54" w:rsidRDefault="00AC20F8" w:rsidP="0087293C">
          <w:pPr>
            <w:pStyle w:val="Tabelki"/>
            <w:rPr>
              <w:sz w:val="16"/>
            </w:rPr>
          </w:pPr>
          <w:r>
            <w:rPr>
              <w:sz w:val="16"/>
            </w:rPr>
            <w:t>2014 Report on Railway Safety in Poland</w:t>
          </w:r>
        </w:p>
      </w:tc>
      <w:tc>
        <w:tcPr>
          <w:tcW w:w="4029" w:type="dxa"/>
        </w:tcPr>
        <w:p w:rsidR="00AC20F8" w:rsidRPr="00172A54" w:rsidRDefault="00AC20F8" w:rsidP="0087293C">
          <w:pPr>
            <w:pStyle w:val="Tabelki"/>
            <w:jc w:val="right"/>
            <w:rPr>
              <w:sz w:val="16"/>
            </w:rPr>
          </w:pPr>
          <w:r>
            <w:rPr>
              <w:sz w:val="16"/>
            </w:rPr>
            <w:t xml:space="preserve">Page </w:t>
          </w:r>
          <w:r w:rsidRPr="00172A54">
            <w:rPr>
              <w:sz w:val="16"/>
            </w:rPr>
            <w:fldChar w:fldCharType="begin"/>
          </w:r>
          <w:r w:rsidRPr="00172A54">
            <w:rPr>
              <w:sz w:val="16"/>
            </w:rPr>
            <w:instrText>PAGE   \* MERGEFORMAT</w:instrText>
          </w:r>
          <w:r w:rsidRPr="00172A54">
            <w:rPr>
              <w:sz w:val="16"/>
            </w:rPr>
            <w:fldChar w:fldCharType="separate"/>
          </w:r>
          <w:r w:rsidR="00C60444">
            <w:rPr>
              <w:noProof/>
              <w:sz w:val="16"/>
            </w:rPr>
            <w:t>48</w:t>
          </w:r>
          <w:r w:rsidRPr="00172A54">
            <w:rPr>
              <w:sz w:val="16"/>
            </w:rPr>
            <w:fldChar w:fldCharType="end"/>
          </w:r>
          <w:r>
            <w:rPr>
              <w:sz w:val="16"/>
            </w:rPr>
            <w:t xml:space="preserve">of </w:t>
          </w:r>
          <w:r w:rsidRPr="00172A54">
            <w:rPr>
              <w:sz w:val="16"/>
            </w:rPr>
            <w:fldChar w:fldCharType="begin"/>
          </w:r>
          <w:r w:rsidRPr="00172A54">
            <w:rPr>
              <w:sz w:val="16"/>
            </w:rPr>
            <w:instrText xml:space="preserve"> NUMPAGES  \* Arabic  \* MERGEFORMAT </w:instrText>
          </w:r>
          <w:r w:rsidRPr="00172A54">
            <w:rPr>
              <w:sz w:val="16"/>
            </w:rPr>
            <w:fldChar w:fldCharType="separate"/>
          </w:r>
          <w:r w:rsidR="00C60444">
            <w:rPr>
              <w:noProof/>
              <w:sz w:val="16"/>
            </w:rPr>
            <w:t>52</w:t>
          </w:r>
          <w:r w:rsidRPr="00172A54">
            <w:rPr>
              <w:sz w:val="16"/>
            </w:rPr>
            <w:fldChar w:fldCharType="end"/>
          </w:r>
        </w:p>
      </w:tc>
    </w:tr>
  </w:tbl>
  <w:p w:rsidR="00AC20F8" w:rsidRDefault="00AC20F8" w:rsidP="00241F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FCB" w:rsidRDefault="00102FCB" w:rsidP="0049485B">
      <w:pPr>
        <w:spacing w:before="0" w:after="0"/>
      </w:pPr>
      <w:r>
        <w:separator/>
      </w:r>
    </w:p>
  </w:footnote>
  <w:footnote w:type="continuationSeparator" w:id="0">
    <w:p w:rsidR="00102FCB" w:rsidRDefault="00102FCB" w:rsidP="001F40E3">
      <w:r>
        <w:continuationSeparator/>
      </w:r>
    </w:p>
    <w:p w:rsidR="00102FCB" w:rsidRDefault="00102FCB" w:rsidP="001F40E3"/>
  </w:footnote>
  <w:footnote w:id="1">
    <w:p w:rsidR="00AC20F8" w:rsidRPr="002A05A4" w:rsidRDefault="00AC20F8" w:rsidP="006A7FAD">
      <w:pPr>
        <w:pStyle w:val="FootnoteText"/>
        <w:spacing w:line="240" w:lineRule="auto"/>
        <w:rPr>
          <w:color w:val="1F497D" w:themeColor="text2"/>
          <w:sz w:val="16"/>
        </w:rPr>
      </w:pPr>
      <w:r>
        <w:rPr>
          <w:rStyle w:val="FootnoteReference"/>
          <w:color w:val="1F497D" w:themeColor="text2"/>
        </w:rPr>
        <w:footnoteRef/>
      </w:r>
      <w:r>
        <w:rPr>
          <w:color w:val="1F497D" w:themeColor="text2"/>
        </w:rPr>
        <w:t xml:space="preserve"> </w:t>
      </w:r>
      <w:r>
        <w:rPr>
          <w:color w:val="1F497D" w:themeColor="text2"/>
          <w:sz w:val="16"/>
        </w:rPr>
        <w:t>The national reference values (NRVs) for Poland and other Member States of the European Union are specified in Commission Decision 2012/226/EU of 23 April 2012 on the second set of common safety targets as regards the rail system, amended by Commission Implementing Decision 2013/753/EU.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8" w:rsidRDefault="00AC20F8" w:rsidP="001F40E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AC20F8" w:rsidRDefault="00AC20F8" w:rsidP="001F40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545" w:rsidRPr="0087293C" w:rsidRDefault="00502545" w:rsidP="00502545">
    <w:pPr>
      <w:pStyle w:val="Header"/>
      <w:spacing w:before="0" w:after="0" w:line="240" w:lineRule="auto"/>
    </w:pPr>
    <w:r>
      <w:t xml:space="preserve">2014 Report on </w:t>
    </w:r>
  </w:p>
  <w:p w:rsidR="00502545" w:rsidRPr="0087293C" w:rsidRDefault="00502545" w:rsidP="00502545">
    <w:pPr>
      <w:pStyle w:val="Header"/>
      <w:spacing w:before="0" w:after="0" w:line="240" w:lineRule="auto"/>
    </w:pPr>
    <w:r>
      <w:t>Railway Safety in Poland</w:t>
    </w:r>
  </w:p>
  <w:p w:rsidR="00AC20F8" w:rsidRPr="002C2C44" w:rsidRDefault="00AC20F8" w:rsidP="008220E3">
    <w:pPr>
      <w:pStyle w:val="Header"/>
      <w:spacing w:before="0" w:after="0" w:line="240" w:lineRule="auto"/>
      <w:rPr>
        <w:color w:val="1F497D" w:themeColor="text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8" w:rsidRPr="0087293C" w:rsidRDefault="00AC20F8" w:rsidP="002C2C44">
    <w:pPr>
      <w:pStyle w:val="Header"/>
      <w:spacing w:before="0" w:after="0" w:line="240" w:lineRule="auto"/>
    </w:pPr>
  </w:p>
  <w:p w:rsidR="00AC20F8" w:rsidRPr="0087293C" w:rsidRDefault="00AC20F8" w:rsidP="002C2C44">
    <w:pPr>
      <w:pStyle w:val="Header"/>
      <w:spacing w:before="0" w:after="0" w:line="240" w:lineRule="auto"/>
    </w:pPr>
    <w:r>
      <w:t xml:space="preserve">2014 Report on </w:t>
    </w:r>
  </w:p>
  <w:p w:rsidR="00AC20F8" w:rsidRPr="0087293C" w:rsidRDefault="00AC20F8" w:rsidP="002C2C44">
    <w:pPr>
      <w:pStyle w:val="Header"/>
      <w:spacing w:before="0" w:after="0" w:line="240" w:lineRule="auto"/>
    </w:pPr>
    <w:r>
      <w:t>Railway Safety in Poland</w:t>
    </w:r>
  </w:p>
  <w:p w:rsidR="00AC20F8" w:rsidRPr="0087293C" w:rsidRDefault="00AC20F8" w:rsidP="001E2D14">
    <w:pPr>
      <w:pStyle w:val="Header"/>
      <w:spacing w:before="0" w:after="0" w:line="240" w:lineRule="auto"/>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8" w:rsidRDefault="00AC20F8" w:rsidP="002C2C44">
    <w:pPr>
      <w:pStyle w:val="Header"/>
      <w:spacing w:before="0" w:after="0" w:line="240" w:lineRule="auto"/>
      <w:rPr>
        <w:color w:val="1F497D" w:themeColor="text2"/>
      </w:rPr>
    </w:pPr>
  </w:p>
  <w:p w:rsidR="00AC20F8" w:rsidRPr="002C2C44" w:rsidRDefault="00AC20F8" w:rsidP="002C2C44">
    <w:pPr>
      <w:pStyle w:val="Header"/>
      <w:spacing w:before="0" w:after="0" w:line="240" w:lineRule="auto"/>
      <w:rPr>
        <w:color w:val="1F497D" w:themeColor="text2"/>
      </w:rPr>
    </w:pPr>
  </w:p>
  <w:p w:rsidR="00AC20F8" w:rsidRPr="0029119A" w:rsidRDefault="00AC20F8" w:rsidP="008220E3">
    <w:pPr>
      <w:pStyle w:val="Header"/>
      <w:spacing w:before="0" w:after="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52" w:rsidRPr="0087293C" w:rsidRDefault="00281B52" w:rsidP="00281B52">
    <w:pPr>
      <w:pStyle w:val="Header"/>
      <w:spacing w:before="0" w:after="0" w:line="240" w:lineRule="auto"/>
    </w:pPr>
    <w:r>
      <w:t xml:space="preserve">2014 Report on </w:t>
    </w:r>
  </w:p>
  <w:p w:rsidR="00281B52" w:rsidRPr="0087293C" w:rsidRDefault="00281B52" w:rsidP="00281B52">
    <w:pPr>
      <w:pStyle w:val="Header"/>
      <w:spacing w:before="0" w:after="0" w:line="240" w:lineRule="auto"/>
    </w:pPr>
    <w:r>
      <w:t>Railway Safety in Poland</w:t>
    </w:r>
  </w:p>
  <w:p w:rsidR="00281B52" w:rsidRPr="0087293C" w:rsidRDefault="00281B52" w:rsidP="001E2D14">
    <w:pPr>
      <w:pStyle w:val="Header"/>
      <w:spacing w:before="0" w:after="0" w:line="240" w:lineRule="auto"/>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78" w:rsidRPr="0087293C" w:rsidRDefault="00657778" w:rsidP="00657778">
    <w:pPr>
      <w:pStyle w:val="Header"/>
      <w:spacing w:before="0" w:after="0" w:line="240" w:lineRule="auto"/>
    </w:pPr>
    <w:r>
      <w:t xml:space="preserve">2014 Report on </w:t>
    </w:r>
  </w:p>
  <w:p w:rsidR="00657778" w:rsidRPr="0087293C" w:rsidRDefault="00657778" w:rsidP="00657778">
    <w:pPr>
      <w:pStyle w:val="Header"/>
      <w:spacing w:before="0" w:after="0" w:line="240" w:lineRule="auto"/>
    </w:pPr>
    <w:r>
      <w:t>Railway Safety in Poland</w:t>
    </w:r>
  </w:p>
  <w:p w:rsidR="00502545" w:rsidRPr="0029119A" w:rsidRDefault="00502545" w:rsidP="008220E3">
    <w:pPr>
      <w:pStyle w:val="Header"/>
      <w:spacing w:before="0" w:after="0" w:line="24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78" w:rsidRDefault="00657778" w:rsidP="008220E3">
    <w:pPr>
      <w:pStyle w:val="Header"/>
      <w:spacing w:before="0" w:after="0" w:line="240" w:lineRule="auto"/>
    </w:pPr>
  </w:p>
  <w:p w:rsidR="00657778" w:rsidRDefault="00657778" w:rsidP="008220E3">
    <w:pPr>
      <w:pStyle w:val="Header"/>
      <w:spacing w:before="0" w:after="0" w:line="240" w:lineRule="auto"/>
    </w:pPr>
  </w:p>
  <w:p w:rsidR="00657778" w:rsidRPr="0029119A" w:rsidRDefault="00657778" w:rsidP="008220E3">
    <w:pPr>
      <w:pStyle w:val="Header"/>
      <w:spacing w:before="0" w:after="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8" w:rsidRPr="002C2C44" w:rsidRDefault="00AC20F8" w:rsidP="002C2C44">
    <w:pPr>
      <w:pStyle w:val="Header"/>
      <w:spacing w:before="0" w:after="0" w:line="240" w:lineRule="auto"/>
      <w:rPr>
        <w:color w:val="1F497D" w:themeColor="text2"/>
      </w:rPr>
    </w:pPr>
    <w:r>
      <w:rPr>
        <w:color w:val="1F497D" w:themeColor="text2"/>
      </w:rPr>
      <w:t xml:space="preserve"> </w:t>
    </w:r>
  </w:p>
  <w:p w:rsidR="00AC20F8" w:rsidRPr="002C2C44" w:rsidRDefault="00AC20F8" w:rsidP="002C2C44">
    <w:pPr>
      <w:pStyle w:val="Header"/>
      <w:spacing w:before="0" w:after="0" w:line="240" w:lineRule="auto"/>
      <w:rPr>
        <w:color w:val="1F497D" w:themeColor="text2"/>
      </w:rPr>
    </w:pPr>
  </w:p>
  <w:p w:rsidR="00AC20F8" w:rsidRPr="001E2D14" w:rsidRDefault="00AC20F8" w:rsidP="001E2D14">
    <w:pPr>
      <w:pStyle w:val="Header"/>
      <w:spacing w:before="0"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92E"/>
    <w:multiLevelType w:val="hybridMultilevel"/>
    <w:tmpl w:val="EAC632C0"/>
    <w:lvl w:ilvl="0" w:tplc="140C0017">
      <w:start w:val="1"/>
      <w:numFmt w:val="lowerLetter"/>
      <w:lvlText w:val="%1)"/>
      <w:lvlJc w:val="left"/>
      <w:pPr>
        <w:ind w:left="720" w:hanging="360"/>
      </w:pPr>
    </w:lvl>
    <w:lvl w:ilvl="1" w:tplc="140C0017">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13652D8E"/>
    <w:multiLevelType w:val="hybridMultilevel"/>
    <w:tmpl w:val="9D50954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641796C"/>
    <w:multiLevelType w:val="multilevel"/>
    <w:tmpl w:val="A6E8B1D0"/>
    <w:lvl w:ilvl="0">
      <w:start w:val="1"/>
      <w:numFmt w:val="decimal"/>
      <w:pStyle w:val="Ueber1"/>
      <w:lvlText w:val="%1"/>
      <w:lvlJc w:val="left"/>
      <w:pPr>
        <w:tabs>
          <w:tab w:val="num" w:pos="567"/>
        </w:tabs>
        <w:ind w:left="567" w:hanging="567"/>
      </w:pPr>
      <w:rPr>
        <w:rFonts w:ascii="Arial" w:hAnsi="Arial" w:hint="default"/>
        <w:b/>
        <w:i w:val="0"/>
        <w:sz w:val="28"/>
        <w:szCs w:val="28"/>
      </w:rPr>
    </w:lvl>
    <w:lvl w:ilvl="1">
      <w:start w:val="1"/>
      <w:numFmt w:val="decimal"/>
      <w:pStyle w:val="Ueber2"/>
      <w:lvlText w:val="%1.%2"/>
      <w:lvlJc w:val="left"/>
      <w:pPr>
        <w:tabs>
          <w:tab w:val="num" w:pos="907"/>
        </w:tabs>
        <w:ind w:left="907" w:hanging="567"/>
      </w:pPr>
      <w:rPr>
        <w:rFonts w:ascii="Arial" w:hAnsi="Arial" w:hint="default"/>
        <w:b/>
        <w:i/>
        <w:sz w:val="28"/>
        <w:szCs w:val="28"/>
      </w:rPr>
    </w:lvl>
    <w:lvl w:ilvl="2">
      <w:start w:val="1"/>
      <w:numFmt w:val="decimal"/>
      <w:pStyle w:val="Ueber3"/>
      <w:lvlText w:val="%1.%2.%3"/>
      <w:lvlJc w:val="left"/>
      <w:pPr>
        <w:tabs>
          <w:tab w:val="num" w:pos="1418"/>
        </w:tabs>
        <w:ind w:left="1418" w:hanging="738"/>
      </w:pPr>
      <w:rPr>
        <w:rFonts w:ascii="Arial" w:hAnsi="Arial" w:hint="default"/>
        <w:b/>
        <w:i w:val="0"/>
        <w:sz w:val="24"/>
        <w:szCs w:val="24"/>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3" w15:restartNumberingAfterBreak="0">
    <w:nsid w:val="1C9A76D2"/>
    <w:multiLevelType w:val="hybridMultilevel"/>
    <w:tmpl w:val="5BCAEA46"/>
    <w:lvl w:ilvl="0" w:tplc="F490CAD2">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0F">
      <w:start w:val="1"/>
      <w:numFmt w:val="decimal"/>
      <w:lvlText w:val="%3."/>
      <w:lvlJc w:val="lef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28D367C"/>
    <w:multiLevelType w:val="hybridMultilevel"/>
    <w:tmpl w:val="DC986494"/>
    <w:lvl w:ilvl="0" w:tplc="F490CAD2">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30A5FFE"/>
    <w:multiLevelType w:val="multilevel"/>
    <w:tmpl w:val="005C1862"/>
    <w:lvl w:ilvl="0">
      <w:start w:val="1"/>
      <w:numFmt w:val="decimal"/>
      <w:pStyle w:val="Rysunki"/>
      <w:lvlText w:val="Fig. %1."/>
      <w:lvlJc w:val="left"/>
      <w:pPr>
        <w:ind w:left="360" w:hanging="360"/>
      </w:pPr>
      <w:rPr>
        <w:rFonts w:hint="default"/>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780FA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2335AC"/>
    <w:multiLevelType w:val="multilevel"/>
    <w:tmpl w:val="A8368CDE"/>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65CCC"/>
    <w:multiLevelType w:val="hybridMultilevel"/>
    <w:tmpl w:val="B08A1E36"/>
    <w:lvl w:ilvl="0" w:tplc="637CEACC">
      <w:start w:val="1"/>
      <w:numFmt w:val="bullet"/>
      <w:lvlText w:val=""/>
      <w:lvlJc w:val="left"/>
      <w:pPr>
        <w:tabs>
          <w:tab w:val="num" w:pos="720"/>
        </w:tabs>
        <w:ind w:left="720" w:hanging="360"/>
      </w:pPr>
      <w:rPr>
        <w:rFonts w:ascii="Symbol" w:hAnsi="Symbol" w:hint="default"/>
      </w:rPr>
    </w:lvl>
    <w:lvl w:ilvl="1" w:tplc="69961C96" w:tentative="1">
      <w:start w:val="1"/>
      <w:numFmt w:val="bullet"/>
      <w:lvlText w:val="•"/>
      <w:lvlJc w:val="left"/>
      <w:pPr>
        <w:tabs>
          <w:tab w:val="num" w:pos="1440"/>
        </w:tabs>
        <w:ind w:left="1440" w:hanging="360"/>
      </w:pPr>
      <w:rPr>
        <w:rFonts w:ascii="Arial" w:hAnsi="Arial" w:hint="default"/>
      </w:rPr>
    </w:lvl>
    <w:lvl w:ilvl="2" w:tplc="2C18F74E" w:tentative="1">
      <w:start w:val="1"/>
      <w:numFmt w:val="bullet"/>
      <w:lvlText w:val="•"/>
      <w:lvlJc w:val="left"/>
      <w:pPr>
        <w:tabs>
          <w:tab w:val="num" w:pos="2160"/>
        </w:tabs>
        <w:ind w:left="2160" w:hanging="360"/>
      </w:pPr>
      <w:rPr>
        <w:rFonts w:ascii="Arial" w:hAnsi="Arial" w:hint="default"/>
      </w:rPr>
    </w:lvl>
    <w:lvl w:ilvl="3" w:tplc="31F2A0BE" w:tentative="1">
      <w:start w:val="1"/>
      <w:numFmt w:val="bullet"/>
      <w:lvlText w:val="•"/>
      <w:lvlJc w:val="left"/>
      <w:pPr>
        <w:tabs>
          <w:tab w:val="num" w:pos="2880"/>
        </w:tabs>
        <w:ind w:left="2880" w:hanging="360"/>
      </w:pPr>
      <w:rPr>
        <w:rFonts w:ascii="Arial" w:hAnsi="Arial" w:hint="default"/>
      </w:rPr>
    </w:lvl>
    <w:lvl w:ilvl="4" w:tplc="4A9494D6" w:tentative="1">
      <w:start w:val="1"/>
      <w:numFmt w:val="bullet"/>
      <w:lvlText w:val="•"/>
      <w:lvlJc w:val="left"/>
      <w:pPr>
        <w:tabs>
          <w:tab w:val="num" w:pos="3600"/>
        </w:tabs>
        <w:ind w:left="3600" w:hanging="360"/>
      </w:pPr>
      <w:rPr>
        <w:rFonts w:ascii="Arial" w:hAnsi="Arial" w:hint="default"/>
      </w:rPr>
    </w:lvl>
    <w:lvl w:ilvl="5" w:tplc="817A89E8" w:tentative="1">
      <w:start w:val="1"/>
      <w:numFmt w:val="bullet"/>
      <w:lvlText w:val="•"/>
      <w:lvlJc w:val="left"/>
      <w:pPr>
        <w:tabs>
          <w:tab w:val="num" w:pos="4320"/>
        </w:tabs>
        <w:ind w:left="4320" w:hanging="360"/>
      </w:pPr>
      <w:rPr>
        <w:rFonts w:ascii="Arial" w:hAnsi="Arial" w:hint="default"/>
      </w:rPr>
    </w:lvl>
    <w:lvl w:ilvl="6" w:tplc="02F24120" w:tentative="1">
      <w:start w:val="1"/>
      <w:numFmt w:val="bullet"/>
      <w:lvlText w:val="•"/>
      <w:lvlJc w:val="left"/>
      <w:pPr>
        <w:tabs>
          <w:tab w:val="num" w:pos="5040"/>
        </w:tabs>
        <w:ind w:left="5040" w:hanging="360"/>
      </w:pPr>
      <w:rPr>
        <w:rFonts w:ascii="Arial" w:hAnsi="Arial" w:hint="default"/>
      </w:rPr>
    </w:lvl>
    <w:lvl w:ilvl="7" w:tplc="B49EB2EA" w:tentative="1">
      <w:start w:val="1"/>
      <w:numFmt w:val="bullet"/>
      <w:lvlText w:val="•"/>
      <w:lvlJc w:val="left"/>
      <w:pPr>
        <w:tabs>
          <w:tab w:val="num" w:pos="5760"/>
        </w:tabs>
        <w:ind w:left="5760" w:hanging="360"/>
      </w:pPr>
      <w:rPr>
        <w:rFonts w:ascii="Arial" w:hAnsi="Arial" w:hint="default"/>
      </w:rPr>
    </w:lvl>
    <w:lvl w:ilvl="8" w:tplc="479C89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9819B5"/>
    <w:multiLevelType w:val="multilevel"/>
    <w:tmpl w:val="2BC0EBD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lowerLetter"/>
      <w:pStyle w:val="Literka"/>
      <w:lvlText w:val="%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633AFE"/>
    <w:multiLevelType w:val="hybridMultilevel"/>
    <w:tmpl w:val="76D06906"/>
    <w:lvl w:ilvl="0" w:tplc="942CDB4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FD4719"/>
    <w:multiLevelType w:val="hybridMultilevel"/>
    <w:tmpl w:val="90662F7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5FF02A7"/>
    <w:multiLevelType w:val="hybridMultilevel"/>
    <w:tmpl w:val="DC147E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214A68"/>
    <w:multiLevelType w:val="hybridMultilevel"/>
    <w:tmpl w:val="46EE8262"/>
    <w:lvl w:ilvl="0" w:tplc="2596533C">
      <w:start w:val="1"/>
      <w:numFmt w:val="decimal"/>
      <w:pStyle w:val="Numeracja"/>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6365BF"/>
    <w:multiLevelType w:val="hybridMultilevel"/>
    <w:tmpl w:val="E98C3314"/>
    <w:lvl w:ilvl="0" w:tplc="0008789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7E5798"/>
    <w:multiLevelType w:val="hybridMultilevel"/>
    <w:tmpl w:val="03C4EB88"/>
    <w:lvl w:ilvl="0" w:tplc="8188CB38">
      <w:start w:val="1"/>
      <w:numFmt w:val="bullet"/>
      <w:pStyle w:val="Wypunktowanie"/>
      <w:lvlText w:val=""/>
      <w:lvlJc w:val="left"/>
      <w:pPr>
        <w:ind w:left="7448"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AE0E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A56F74"/>
    <w:multiLevelType w:val="multilevel"/>
    <w:tmpl w:val="25DE2C68"/>
    <w:lvl w:ilvl="0">
      <w:start w:val="1"/>
      <w:numFmt w:val="decimal"/>
      <w:pStyle w:val="Tabele"/>
      <w:lvlText w:val="Tab. %1."/>
      <w:lvlJc w:val="left"/>
      <w:pPr>
        <w:ind w:left="360" w:hanging="360"/>
      </w:pPr>
      <w:rPr>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DA2796"/>
    <w:multiLevelType w:val="hybridMultilevel"/>
    <w:tmpl w:val="A56EDE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33421F"/>
    <w:multiLevelType w:val="hybridMultilevel"/>
    <w:tmpl w:val="CDD4C098"/>
    <w:lvl w:ilvl="0" w:tplc="ECF2C0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3614E4"/>
    <w:multiLevelType w:val="hybridMultilevel"/>
    <w:tmpl w:val="5F6C4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661A79"/>
    <w:multiLevelType w:val="hybridMultilevel"/>
    <w:tmpl w:val="570615B0"/>
    <w:lvl w:ilvl="0" w:tplc="9EBE68A2">
      <w:start w:val="1"/>
      <w:numFmt w:val="upperLetter"/>
      <w:pStyle w:val="Heading1"/>
      <w:lvlText w:val="%1."/>
      <w:lvlJc w:val="left"/>
      <w:pPr>
        <w:ind w:left="360" w:hanging="360"/>
      </w:pPr>
    </w:lvl>
    <w:lvl w:ilvl="1" w:tplc="5002F4C8">
      <w:start w:val="1"/>
      <w:numFmt w:val="lowerLetter"/>
      <w:lvlText w:val="%2)"/>
      <w:lvlJc w:val="left"/>
      <w:pPr>
        <w:ind w:left="1080" w:hanging="360"/>
      </w:pPr>
      <w:rPr>
        <w:rFonts w:hint="default"/>
      </w:rPr>
    </w:lvl>
    <w:lvl w:ilvl="2" w:tplc="657A609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80C681E"/>
    <w:multiLevelType w:val="hybridMultilevel"/>
    <w:tmpl w:val="1890D3AC"/>
    <w:lvl w:ilvl="0" w:tplc="ECF2C0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E77200"/>
    <w:multiLevelType w:val="hybridMultilevel"/>
    <w:tmpl w:val="907A12E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F350E14"/>
    <w:multiLevelType w:val="multilevel"/>
    <w:tmpl w:val="435EF004"/>
    <w:styleLink w:val="Styl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1074" w:hanging="360"/>
      </w:pPr>
      <w:rPr>
        <w:rFonts w:hint="default"/>
      </w:rPr>
    </w:lvl>
    <w:lvl w:ilvl="2">
      <w:start w:val="3"/>
      <w:numFmt w:val="decimal"/>
      <w:lvlText w:val="%3.2.1."/>
      <w:lvlJc w:val="left"/>
      <w:pPr>
        <w:ind w:left="1146"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15:restartNumberingAfterBreak="0">
    <w:nsid w:val="7B9A10ED"/>
    <w:multiLevelType w:val="hybridMultilevel"/>
    <w:tmpl w:val="D7C40F26"/>
    <w:lvl w:ilvl="0" w:tplc="3C001BEC">
      <w:start w:val="1"/>
      <w:numFmt w:val="bullet"/>
      <w:lvlText w:val=""/>
      <w:lvlJc w:val="left"/>
      <w:pPr>
        <w:ind w:left="720" w:hanging="360"/>
      </w:pPr>
      <w:rPr>
        <w:rFonts w:ascii="Wingdings" w:hAnsi="Wingdings" w:hint="default"/>
      </w:rPr>
    </w:lvl>
    <w:lvl w:ilvl="1" w:tplc="660C5F6C">
      <w:start w:val="1"/>
      <w:numFmt w:val="bullet"/>
      <w:pStyle w:val="Wypunktowanie2"/>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6D4CEA"/>
    <w:multiLevelType w:val="hybridMultilevel"/>
    <w:tmpl w:val="1D1ABEA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4"/>
  </w:num>
  <w:num w:numId="4">
    <w:abstractNumId w:val="7"/>
  </w:num>
  <w:num w:numId="5">
    <w:abstractNumId w:val="13"/>
  </w:num>
  <w:num w:numId="6">
    <w:abstractNumId w:val="15"/>
  </w:num>
  <w:num w:numId="7">
    <w:abstractNumId w:val="2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21"/>
  </w:num>
  <w:num w:numId="18">
    <w:abstractNumId w:val="8"/>
  </w:num>
  <w:num w:numId="19">
    <w:abstractNumId w:val="19"/>
  </w:num>
  <w:num w:numId="20">
    <w:abstractNumId w:val="22"/>
  </w:num>
  <w:num w:numId="21">
    <w:abstractNumId w:val="16"/>
  </w:num>
  <w:num w:numId="22">
    <w:abstractNumId w:val="6"/>
  </w:num>
  <w:num w:numId="23">
    <w:abstractNumId w:val="20"/>
  </w:num>
  <w:num w:numId="24">
    <w:abstractNumId w:val="1"/>
  </w:num>
  <w:num w:numId="25">
    <w:abstractNumId w:val="23"/>
  </w:num>
  <w:num w:numId="26">
    <w:abstractNumId w:val="11"/>
  </w:num>
  <w:num w:numId="27">
    <w:abstractNumId w:val="14"/>
  </w:num>
  <w:num w:numId="28">
    <w:abstractNumId w:val="10"/>
  </w:num>
  <w:num w:numId="29">
    <w:abstractNumId w:val="18"/>
  </w:num>
  <w:num w:numId="30">
    <w:abstractNumId w:val="12"/>
  </w:num>
  <w:num w:numId="31">
    <w:abstractNumId w:val="26"/>
  </w:num>
  <w:num w:numId="32">
    <w:abstractNumId w:val="0"/>
  </w:num>
  <w:num w:numId="33">
    <w:abstractNumId w:val="4"/>
  </w:num>
  <w:num w:numId="34">
    <w:abstractNumId w:val="3"/>
  </w:num>
  <w:num w:numId="35">
    <w:abstractNumId w:val="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rawingGridVerticalSpacing w:val="57"/>
  <w:characterSpacingControl w:val="doNotCompress"/>
  <w:hdrShapeDefaults>
    <o:shapedefaults v:ext="edit" spidmax="2049">
      <o:colormru v:ext="edit" colors="#cf9,#c00,#cfc,#ffc,#fcc,#fcf,#cff,#f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2E"/>
    <w:rsid w:val="00000B68"/>
    <w:rsid w:val="000029BE"/>
    <w:rsid w:val="00002DD5"/>
    <w:rsid w:val="000038C3"/>
    <w:rsid w:val="00003AC2"/>
    <w:rsid w:val="00003B06"/>
    <w:rsid w:val="00003B15"/>
    <w:rsid w:val="00003DEE"/>
    <w:rsid w:val="00003F5C"/>
    <w:rsid w:val="0000439D"/>
    <w:rsid w:val="000054CF"/>
    <w:rsid w:val="00005B56"/>
    <w:rsid w:val="00005ED8"/>
    <w:rsid w:val="00006791"/>
    <w:rsid w:val="00007001"/>
    <w:rsid w:val="000073AE"/>
    <w:rsid w:val="00007494"/>
    <w:rsid w:val="00007673"/>
    <w:rsid w:val="00007E38"/>
    <w:rsid w:val="0001180E"/>
    <w:rsid w:val="00011B2E"/>
    <w:rsid w:val="00011B69"/>
    <w:rsid w:val="00015525"/>
    <w:rsid w:val="00015809"/>
    <w:rsid w:val="0001746C"/>
    <w:rsid w:val="00017739"/>
    <w:rsid w:val="00017A73"/>
    <w:rsid w:val="000208B6"/>
    <w:rsid w:val="00020B5C"/>
    <w:rsid w:val="000218F3"/>
    <w:rsid w:val="00021B73"/>
    <w:rsid w:val="00022634"/>
    <w:rsid w:val="00023AFE"/>
    <w:rsid w:val="000245B4"/>
    <w:rsid w:val="00024718"/>
    <w:rsid w:val="00024AAF"/>
    <w:rsid w:val="00024FB5"/>
    <w:rsid w:val="000256CD"/>
    <w:rsid w:val="00025A21"/>
    <w:rsid w:val="00026029"/>
    <w:rsid w:val="00026140"/>
    <w:rsid w:val="000309A8"/>
    <w:rsid w:val="00030BDA"/>
    <w:rsid w:val="00030E07"/>
    <w:rsid w:val="00031086"/>
    <w:rsid w:val="000312D2"/>
    <w:rsid w:val="00031B7C"/>
    <w:rsid w:val="000330D7"/>
    <w:rsid w:val="000336D4"/>
    <w:rsid w:val="00033A26"/>
    <w:rsid w:val="00034478"/>
    <w:rsid w:val="00035BC4"/>
    <w:rsid w:val="00036ECA"/>
    <w:rsid w:val="00037A40"/>
    <w:rsid w:val="00040976"/>
    <w:rsid w:val="00041587"/>
    <w:rsid w:val="00042CBB"/>
    <w:rsid w:val="0004397C"/>
    <w:rsid w:val="00044975"/>
    <w:rsid w:val="00045BE1"/>
    <w:rsid w:val="00045F44"/>
    <w:rsid w:val="00045FBC"/>
    <w:rsid w:val="000505B7"/>
    <w:rsid w:val="00050859"/>
    <w:rsid w:val="00050A44"/>
    <w:rsid w:val="00051B46"/>
    <w:rsid w:val="00051EA0"/>
    <w:rsid w:val="00052974"/>
    <w:rsid w:val="00052D18"/>
    <w:rsid w:val="0005314C"/>
    <w:rsid w:val="0005448E"/>
    <w:rsid w:val="00054D6B"/>
    <w:rsid w:val="00055068"/>
    <w:rsid w:val="000554F3"/>
    <w:rsid w:val="00055525"/>
    <w:rsid w:val="00055AF5"/>
    <w:rsid w:val="0005693A"/>
    <w:rsid w:val="0005697A"/>
    <w:rsid w:val="00056A6B"/>
    <w:rsid w:val="00056BAE"/>
    <w:rsid w:val="0005771F"/>
    <w:rsid w:val="00060136"/>
    <w:rsid w:val="000606EC"/>
    <w:rsid w:val="000614CD"/>
    <w:rsid w:val="00061565"/>
    <w:rsid w:val="00061626"/>
    <w:rsid w:val="0006175D"/>
    <w:rsid w:val="00061F9B"/>
    <w:rsid w:val="000623A4"/>
    <w:rsid w:val="0006297F"/>
    <w:rsid w:val="00062AA4"/>
    <w:rsid w:val="00062F26"/>
    <w:rsid w:val="0006336D"/>
    <w:rsid w:val="00063687"/>
    <w:rsid w:val="00064402"/>
    <w:rsid w:val="00065136"/>
    <w:rsid w:val="0006561D"/>
    <w:rsid w:val="00066C25"/>
    <w:rsid w:val="00067148"/>
    <w:rsid w:val="00070314"/>
    <w:rsid w:val="00070B3C"/>
    <w:rsid w:val="000719DD"/>
    <w:rsid w:val="00071A86"/>
    <w:rsid w:val="00071CB2"/>
    <w:rsid w:val="00072013"/>
    <w:rsid w:val="00072199"/>
    <w:rsid w:val="000732A7"/>
    <w:rsid w:val="00073BCB"/>
    <w:rsid w:val="00074002"/>
    <w:rsid w:val="000742CD"/>
    <w:rsid w:val="00074BA5"/>
    <w:rsid w:val="00074C6F"/>
    <w:rsid w:val="00074D99"/>
    <w:rsid w:val="000758FE"/>
    <w:rsid w:val="00075C0B"/>
    <w:rsid w:val="0007644C"/>
    <w:rsid w:val="00076E9F"/>
    <w:rsid w:val="00077788"/>
    <w:rsid w:val="000801BD"/>
    <w:rsid w:val="0008047B"/>
    <w:rsid w:val="00080E59"/>
    <w:rsid w:val="000813CF"/>
    <w:rsid w:val="00081D22"/>
    <w:rsid w:val="00082472"/>
    <w:rsid w:val="0008262D"/>
    <w:rsid w:val="000831A0"/>
    <w:rsid w:val="00083D46"/>
    <w:rsid w:val="00084835"/>
    <w:rsid w:val="0008486D"/>
    <w:rsid w:val="00084C29"/>
    <w:rsid w:val="000852D7"/>
    <w:rsid w:val="0008586A"/>
    <w:rsid w:val="000861A8"/>
    <w:rsid w:val="00086247"/>
    <w:rsid w:val="00086E79"/>
    <w:rsid w:val="000870CD"/>
    <w:rsid w:val="00090694"/>
    <w:rsid w:val="000913D5"/>
    <w:rsid w:val="0009140B"/>
    <w:rsid w:val="00091A25"/>
    <w:rsid w:val="000938BE"/>
    <w:rsid w:val="00093B95"/>
    <w:rsid w:val="00093EAC"/>
    <w:rsid w:val="000962B0"/>
    <w:rsid w:val="00096CFF"/>
    <w:rsid w:val="00097874"/>
    <w:rsid w:val="000A1E1D"/>
    <w:rsid w:val="000A2B83"/>
    <w:rsid w:val="000A4311"/>
    <w:rsid w:val="000A516C"/>
    <w:rsid w:val="000A54AD"/>
    <w:rsid w:val="000A606C"/>
    <w:rsid w:val="000A783E"/>
    <w:rsid w:val="000A7CB3"/>
    <w:rsid w:val="000B00D0"/>
    <w:rsid w:val="000B1196"/>
    <w:rsid w:val="000B1197"/>
    <w:rsid w:val="000B2163"/>
    <w:rsid w:val="000B361F"/>
    <w:rsid w:val="000B3F08"/>
    <w:rsid w:val="000B53ED"/>
    <w:rsid w:val="000B5DBB"/>
    <w:rsid w:val="000B6096"/>
    <w:rsid w:val="000B6BEB"/>
    <w:rsid w:val="000B77E4"/>
    <w:rsid w:val="000C0175"/>
    <w:rsid w:val="000C02B2"/>
    <w:rsid w:val="000C3A85"/>
    <w:rsid w:val="000C5F02"/>
    <w:rsid w:val="000C6946"/>
    <w:rsid w:val="000C6CD4"/>
    <w:rsid w:val="000D0678"/>
    <w:rsid w:val="000D1029"/>
    <w:rsid w:val="000D17DB"/>
    <w:rsid w:val="000D1AEB"/>
    <w:rsid w:val="000D20A2"/>
    <w:rsid w:val="000D2561"/>
    <w:rsid w:val="000D2AB3"/>
    <w:rsid w:val="000D4141"/>
    <w:rsid w:val="000D5751"/>
    <w:rsid w:val="000D57E9"/>
    <w:rsid w:val="000D5EF8"/>
    <w:rsid w:val="000D6713"/>
    <w:rsid w:val="000D6BAA"/>
    <w:rsid w:val="000E14D5"/>
    <w:rsid w:val="000E163E"/>
    <w:rsid w:val="000E268C"/>
    <w:rsid w:val="000E38D1"/>
    <w:rsid w:val="000E39BE"/>
    <w:rsid w:val="000E3F3B"/>
    <w:rsid w:val="000E3FB3"/>
    <w:rsid w:val="000E4936"/>
    <w:rsid w:val="000E4CC6"/>
    <w:rsid w:val="000E527E"/>
    <w:rsid w:val="000E5D6A"/>
    <w:rsid w:val="000E6763"/>
    <w:rsid w:val="000F23BB"/>
    <w:rsid w:val="000F24AD"/>
    <w:rsid w:val="000F33B4"/>
    <w:rsid w:val="000F3910"/>
    <w:rsid w:val="000F4463"/>
    <w:rsid w:val="000F500B"/>
    <w:rsid w:val="000F5B8D"/>
    <w:rsid w:val="000F6513"/>
    <w:rsid w:val="000F6639"/>
    <w:rsid w:val="000F6A2B"/>
    <w:rsid w:val="000F780C"/>
    <w:rsid w:val="000F7B7F"/>
    <w:rsid w:val="0010018B"/>
    <w:rsid w:val="00102FCB"/>
    <w:rsid w:val="00103594"/>
    <w:rsid w:val="001038CC"/>
    <w:rsid w:val="00105175"/>
    <w:rsid w:val="0010518C"/>
    <w:rsid w:val="00105773"/>
    <w:rsid w:val="00105BCB"/>
    <w:rsid w:val="00105E30"/>
    <w:rsid w:val="00106F8E"/>
    <w:rsid w:val="00110082"/>
    <w:rsid w:val="00110AE7"/>
    <w:rsid w:val="00111418"/>
    <w:rsid w:val="00111758"/>
    <w:rsid w:val="00111AF8"/>
    <w:rsid w:val="00112D34"/>
    <w:rsid w:val="001132FF"/>
    <w:rsid w:val="0011364E"/>
    <w:rsid w:val="00113876"/>
    <w:rsid w:val="00113D7F"/>
    <w:rsid w:val="00114E9C"/>
    <w:rsid w:val="00114EE8"/>
    <w:rsid w:val="00115478"/>
    <w:rsid w:val="00115650"/>
    <w:rsid w:val="0011740B"/>
    <w:rsid w:val="00121421"/>
    <w:rsid w:val="00121E13"/>
    <w:rsid w:val="00122CA3"/>
    <w:rsid w:val="001233D0"/>
    <w:rsid w:val="00123486"/>
    <w:rsid w:val="00123565"/>
    <w:rsid w:val="00123897"/>
    <w:rsid w:val="00123EFD"/>
    <w:rsid w:val="00124320"/>
    <w:rsid w:val="00124ABA"/>
    <w:rsid w:val="00124F98"/>
    <w:rsid w:val="00125374"/>
    <w:rsid w:val="00125763"/>
    <w:rsid w:val="001259ED"/>
    <w:rsid w:val="00125F21"/>
    <w:rsid w:val="0012604B"/>
    <w:rsid w:val="00126EE7"/>
    <w:rsid w:val="00127520"/>
    <w:rsid w:val="001279FC"/>
    <w:rsid w:val="001304E9"/>
    <w:rsid w:val="0013083C"/>
    <w:rsid w:val="001320BA"/>
    <w:rsid w:val="001323FD"/>
    <w:rsid w:val="00132BAF"/>
    <w:rsid w:val="00132CE1"/>
    <w:rsid w:val="00132D7D"/>
    <w:rsid w:val="00133E84"/>
    <w:rsid w:val="00133F2A"/>
    <w:rsid w:val="00136005"/>
    <w:rsid w:val="0013629E"/>
    <w:rsid w:val="00136533"/>
    <w:rsid w:val="00136CDF"/>
    <w:rsid w:val="0013775B"/>
    <w:rsid w:val="00137DFC"/>
    <w:rsid w:val="00137FBA"/>
    <w:rsid w:val="00140209"/>
    <w:rsid w:val="00140587"/>
    <w:rsid w:val="00141136"/>
    <w:rsid w:val="00141345"/>
    <w:rsid w:val="00141719"/>
    <w:rsid w:val="00142279"/>
    <w:rsid w:val="0014626A"/>
    <w:rsid w:val="00146640"/>
    <w:rsid w:val="001471EC"/>
    <w:rsid w:val="00147B3B"/>
    <w:rsid w:val="00147CC9"/>
    <w:rsid w:val="0015033B"/>
    <w:rsid w:val="001503AB"/>
    <w:rsid w:val="001505E7"/>
    <w:rsid w:val="001507CC"/>
    <w:rsid w:val="00150D6A"/>
    <w:rsid w:val="00150F81"/>
    <w:rsid w:val="00151A7E"/>
    <w:rsid w:val="00154669"/>
    <w:rsid w:val="00154B6F"/>
    <w:rsid w:val="00154E96"/>
    <w:rsid w:val="0015559A"/>
    <w:rsid w:val="001560FC"/>
    <w:rsid w:val="001563B7"/>
    <w:rsid w:val="00156698"/>
    <w:rsid w:val="00156B0F"/>
    <w:rsid w:val="00156BDE"/>
    <w:rsid w:val="00156F79"/>
    <w:rsid w:val="00157B5F"/>
    <w:rsid w:val="00157F7D"/>
    <w:rsid w:val="001609F6"/>
    <w:rsid w:val="00161CBA"/>
    <w:rsid w:val="001627EF"/>
    <w:rsid w:val="00163796"/>
    <w:rsid w:val="001639B3"/>
    <w:rsid w:val="00163BA6"/>
    <w:rsid w:val="001640F8"/>
    <w:rsid w:val="00164EED"/>
    <w:rsid w:val="00164F18"/>
    <w:rsid w:val="001654CD"/>
    <w:rsid w:val="001659EB"/>
    <w:rsid w:val="00166003"/>
    <w:rsid w:val="00166160"/>
    <w:rsid w:val="00166640"/>
    <w:rsid w:val="00166E00"/>
    <w:rsid w:val="00167B4D"/>
    <w:rsid w:val="00167BCD"/>
    <w:rsid w:val="00170A73"/>
    <w:rsid w:val="0017147A"/>
    <w:rsid w:val="00171F48"/>
    <w:rsid w:val="00172302"/>
    <w:rsid w:val="00172A54"/>
    <w:rsid w:val="00173012"/>
    <w:rsid w:val="00174649"/>
    <w:rsid w:val="00174890"/>
    <w:rsid w:val="00175236"/>
    <w:rsid w:val="00175370"/>
    <w:rsid w:val="001757A8"/>
    <w:rsid w:val="00175C67"/>
    <w:rsid w:val="0017610B"/>
    <w:rsid w:val="00176E1B"/>
    <w:rsid w:val="00180B95"/>
    <w:rsid w:val="00181256"/>
    <w:rsid w:val="00181FF0"/>
    <w:rsid w:val="0018247C"/>
    <w:rsid w:val="00183EA4"/>
    <w:rsid w:val="00185621"/>
    <w:rsid w:val="0018574E"/>
    <w:rsid w:val="00185925"/>
    <w:rsid w:val="00185E5A"/>
    <w:rsid w:val="00186F4E"/>
    <w:rsid w:val="001873A2"/>
    <w:rsid w:val="00190C22"/>
    <w:rsid w:val="00190DBB"/>
    <w:rsid w:val="00191346"/>
    <w:rsid w:val="001913C5"/>
    <w:rsid w:val="00191617"/>
    <w:rsid w:val="0019181C"/>
    <w:rsid w:val="00192F44"/>
    <w:rsid w:val="00193C3D"/>
    <w:rsid w:val="0019431D"/>
    <w:rsid w:val="00194929"/>
    <w:rsid w:val="001950D9"/>
    <w:rsid w:val="0019567D"/>
    <w:rsid w:val="001965AC"/>
    <w:rsid w:val="001967F5"/>
    <w:rsid w:val="001A0284"/>
    <w:rsid w:val="001A1290"/>
    <w:rsid w:val="001A24ED"/>
    <w:rsid w:val="001A28F6"/>
    <w:rsid w:val="001A32B0"/>
    <w:rsid w:val="001A3F25"/>
    <w:rsid w:val="001A496B"/>
    <w:rsid w:val="001A5EC2"/>
    <w:rsid w:val="001A64FB"/>
    <w:rsid w:val="001A6782"/>
    <w:rsid w:val="001A6DAF"/>
    <w:rsid w:val="001A6F17"/>
    <w:rsid w:val="001A7477"/>
    <w:rsid w:val="001A7C9F"/>
    <w:rsid w:val="001A7E49"/>
    <w:rsid w:val="001A7EA6"/>
    <w:rsid w:val="001B1AE1"/>
    <w:rsid w:val="001B1B75"/>
    <w:rsid w:val="001B1FB3"/>
    <w:rsid w:val="001B33A3"/>
    <w:rsid w:val="001B3406"/>
    <w:rsid w:val="001B4E0B"/>
    <w:rsid w:val="001C1598"/>
    <w:rsid w:val="001C19BC"/>
    <w:rsid w:val="001C1D62"/>
    <w:rsid w:val="001C24F2"/>
    <w:rsid w:val="001C29EB"/>
    <w:rsid w:val="001C395D"/>
    <w:rsid w:val="001C40E2"/>
    <w:rsid w:val="001C42DE"/>
    <w:rsid w:val="001C5133"/>
    <w:rsid w:val="001C5771"/>
    <w:rsid w:val="001C6196"/>
    <w:rsid w:val="001C67B7"/>
    <w:rsid w:val="001C6E63"/>
    <w:rsid w:val="001C7E33"/>
    <w:rsid w:val="001D0633"/>
    <w:rsid w:val="001D09DE"/>
    <w:rsid w:val="001D0B88"/>
    <w:rsid w:val="001D177A"/>
    <w:rsid w:val="001D1F59"/>
    <w:rsid w:val="001D23AA"/>
    <w:rsid w:val="001D247E"/>
    <w:rsid w:val="001D26F4"/>
    <w:rsid w:val="001D2E10"/>
    <w:rsid w:val="001D34DF"/>
    <w:rsid w:val="001D3992"/>
    <w:rsid w:val="001D3F20"/>
    <w:rsid w:val="001D4549"/>
    <w:rsid w:val="001D5278"/>
    <w:rsid w:val="001D52BD"/>
    <w:rsid w:val="001D5596"/>
    <w:rsid w:val="001D576D"/>
    <w:rsid w:val="001D6C2A"/>
    <w:rsid w:val="001D6D7D"/>
    <w:rsid w:val="001D76D1"/>
    <w:rsid w:val="001D76EE"/>
    <w:rsid w:val="001E18DA"/>
    <w:rsid w:val="001E1ED0"/>
    <w:rsid w:val="001E2C7E"/>
    <w:rsid w:val="001E2CC5"/>
    <w:rsid w:val="001E2D14"/>
    <w:rsid w:val="001E3FCC"/>
    <w:rsid w:val="001E5A5A"/>
    <w:rsid w:val="001E5CC7"/>
    <w:rsid w:val="001E759E"/>
    <w:rsid w:val="001E7CE2"/>
    <w:rsid w:val="001E7D36"/>
    <w:rsid w:val="001F16CA"/>
    <w:rsid w:val="001F2495"/>
    <w:rsid w:val="001F3DF3"/>
    <w:rsid w:val="001F40E3"/>
    <w:rsid w:val="001F445B"/>
    <w:rsid w:val="001F5211"/>
    <w:rsid w:val="001F67CE"/>
    <w:rsid w:val="001F69A0"/>
    <w:rsid w:val="001F716A"/>
    <w:rsid w:val="001F7E43"/>
    <w:rsid w:val="0020012B"/>
    <w:rsid w:val="0020028F"/>
    <w:rsid w:val="00200315"/>
    <w:rsid w:val="00200929"/>
    <w:rsid w:val="00200F99"/>
    <w:rsid w:val="00201055"/>
    <w:rsid w:val="0020112F"/>
    <w:rsid w:val="00201398"/>
    <w:rsid w:val="00202B92"/>
    <w:rsid w:val="00203EAB"/>
    <w:rsid w:val="00204024"/>
    <w:rsid w:val="002048DE"/>
    <w:rsid w:val="002051EE"/>
    <w:rsid w:val="0020546E"/>
    <w:rsid w:val="0020553C"/>
    <w:rsid w:val="00206896"/>
    <w:rsid w:val="00207374"/>
    <w:rsid w:val="00207CB1"/>
    <w:rsid w:val="00207D71"/>
    <w:rsid w:val="00207D73"/>
    <w:rsid w:val="00210296"/>
    <w:rsid w:val="002102DD"/>
    <w:rsid w:val="0021089A"/>
    <w:rsid w:val="002116DB"/>
    <w:rsid w:val="002121A8"/>
    <w:rsid w:val="00212491"/>
    <w:rsid w:val="002130C7"/>
    <w:rsid w:val="00214AA1"/>
    <w:rsid w:val="00215310"/>
    <w:rsid w:val="002164C5"/>
    <w:rsid w:val="002203F2"/>
    <w:rsid w:val="00220890"/>
    <w:rsid w:val="00221368"/>
    <w:rsid w:val="00221789"/>
    <w:rsid w:val="00221B2A"/>
    <w:rsid w:val="00221EBC"/>
    <w:rsid w:val="00221F28"/>
    <w:rsid w:val="0022334E"/>
    <w:rsid w:val="002235BC"/>
    <w:rsid w:val="002236BD"/>
    <w:rsid w:val="00223B48"/>
    <w:rsid w:val="00224436"/>
    <w:rsid w:val="00224992"/>
    <w:rsid w:val="002263D4"/>
    <w:rsid w:val="0022725A"/>
    <w:rsid w:val="00227B00"/>
    <w:rsid w:val="0023000A"/>
    <w:rsid w:val="002302BC"/>
    <w:rsid w:val="00230E87"/>
    <w:rsid w:val="00230FDE"/>
    <w:rsid w:val="00231A2A"/>
    <w:rsid w:val="00232224"/>
    <w:rsid w:val="002322D1"/>
    <w:rsid w:val="00232D15"/>
    <w:rsid w:val="0023465A"/>
    <w:rsid w:val="0023479E"/>
    <w:rsid w:val="00234E94"/>
    <w:rsid w:val="00235C59"/>
    <w:rsid w:val="00236D28"/>
    <w:rsid w:val="00236FCF"/>
    <w:rsid w:val="00237EE9"/>
    <w:rsid w:val="00241753"/>
    <w:rsid w:val="00241F97"/>
    <w:rsid w:val="002424D8"/>
    <w:rsid w:val="0024264A"/>
    <w:rsid w:val="002437D7"/>
    <w:rsid w:val="00244323"/>
    <w:rsid w:val="00245112"/>
    <w:rsid w:val="002460E2"/>
    <w:rsid w:val="00246700"/>
    <w:rsid w:val="0024748C"/>
    <w:rsid w:val="002479A6"/>
    <w:rsid w:val="00247F2A"/>
    <w:rsid w:val="00252DE4"/>
    <w:rsid w:val="00252FAC"/>
    <w:rsid w:val="002531B4"/>
    <w:rsid w:val="00253CFE"/>
    <w:rsid w:val="00254F35"/>
    <w:rsid w:val="00255B3C"/>
    <w:rsid w:val="00257E92"/>
    <w:rsid w:val="002601AC"/>
    <w:rsid w:val="00260909"/>
    <w:rsid w:val="00261D70"/>
    <w:rsid w:val="00262A79"/>
    <w:rsid w:val="00262F57"/>
    <w:rsid w:val="00263719"/>
    <w:rsid w:val="0026471A"/>
    <w:rsid w:val="00264805"/>
    <w:rsid w:val="002656BD"/>
    <w:rsid w:val="00265B39"/>
    <w:rsid w:val="00265D0F"/>
    <w:rsid w:val="0027021D"/>
    <w:rsid w:val="002702EB"/>
    <w:rsid w:val="00270A59"/>
    <w:rsid w:val="00270EFF"/>
    <w:rsid w:val="00273794"/>
    <w:rsid w:val="00273E0B"/>
    <w:rsid w:val="00274223"/>
    <w:rsid w:val="002745E2"/>
    <w:rsid w:val="00275095"/>
    <w:rsid w:val="00275715"/>
    <w:rsid w:val="00275C11"/>
    <w:rsid w:val="0027608D"/>
    <w:rsid w:val="002767DC"/>
    <w:rsid w:val="00276B71"/>
    <w:rsid w:val="00277C68"/>
    <w:rsid w:val="0028004F"/>
    <w:rsid w:val="00281431"/>
    <w:rsid w:val="00281B52"/>
    <w:rsid w:val="00281C5D"/>
    <w:rsid w:val="00281FA1"/>
    <w:rsid w:val="0028254A"/>
    <w:rsid w:val="0028277F"/>
    <w:rsid w:val="00282E54"/>
    <w:rsid w:val="00282EDF"/>
    <w:rsid w:val="0028375B"/>
    <w:rsid w:val="002846A8"/>
    <w:rsid w:val="00285E24"/>
    <w:rsid w:val="002861FE"/>
    <w:rsid w:val="00287B1D"/>
    <w:rsid w:val="00290B0F"/>
    <w:rsid w:val="00290C9F"/>
    <w:rsid w:val="00290EC6"/>
    <w:rsid w:val="002910FA"/>
    <w:rsid w:val="0029119A"/>
    <w:rsid w:val="002920CB"/>
    <w:rsid w:val="002927D4"/>
    <w:rsid w:val="0029282F"/>
    <w:rsid w:val="0029289E"/>
    <w:rsid w:val="002934E8"/>
    <w:rsid w:val="00293756"/>
    <w:rsid w:val="00293979"/>
    <w:rsid w:val="00293B99"/>
    <w:rsid w:val="00293F34"/>
    <w:rsid w:val="00294846"/>
    <w:rsid w:val="00294B7B"/>
    <w:rsid w:val="00294BF9"/>
    <w:rsid w:val="002953B3"/>
    <w:rsid w:val="0029642B"/>
    <w:rsid w:val="0029643C"/>
    <w:rsid w:val="00297355"/>
    <w:rsid w:val="002A00AF"/>
    <w:rsid w:val="002A0113"/>
    <w:rsid w:val="002A05A4"/>
    <w:rsid w:val="002A1A20"/>
    <w:rsid w:val="002A1C3E"/>
    <w:rsid w:val="002A2DA3"/>
    <w:rsid w:val="002A2E30"/>
    <w:rsid w:val="002A3BD4"/>
    <w:rsid w:val="002A4056"/>
    <w:rsid w:val="002A4D6A"/>
    <w:rsid w:val="002A5099"/>
    <w:rsid w:val="002A69A5"/>
    <w:rsid w:val="002B07B5"/>
    <w:rsid w:val="002B08A7"/>
    <w:rsid w:val="002B0B77"/>
    <w:rsid w:val="002B1734"/>
    <w:rsid w:val="002B2149"/>
    <w:rsid w:val="002B2F68"/>
    <w:rsid w:val="002B30BE"/>
    <w:rsid w:val="002B32DC"/>
    <w:rsid w:val="002B3A68"/>
    <w:rsid w:val="002B41A7"/>
    <w:rsid w:val="002B4D88"/>
    <w:rsid w:val="002B5B97"/>
    <w:rsid w:val="002B7B6A"/>
    <w:rsid w:val="002C2950"/>
    <w:rsid w:val="002C2C44"/>
    <w:rsid w:val="002C3121"/>
    <w:rsid w:val="002C3736"/>
    <w:rsid w:val="002C3920"/>
    <w:rsid w:val="002C3A7F"/>
    <w:rsid w:val="002C471A"/>
    <w:rsid w:val="002C47FA"/>
    <w:rsid w:val="002C49B3"/>
    <w:rsid w:val="002C4A7D"/>
    <w:rsid w:val="002C5523"/>
    <w:rsid w:val="002C5E13"/>
    <w:rsid w:val="002C70BE"/>
    <w:rsid w:val="002C7968"/>
    <w:rsid w:val="002C7C47"/>
    <w:rsid w:val="002C7FA8"/>
    <w:rsid w:val="002D0920"/>
    <w:rsid w:val="002D0D5B"/>
    <w:rsid w:val="002D253C"/>
    <w:rsid w:val="002D34BB"/>
    <w:rsid w:val="002D3984"/>
    <w:rsid w:val="002D4C5F"/>
    <w:rsid w:val="002D5068"/>
    <w:rsid w:val="002D5A67"/>
    <w:rsid w:val="002D77E3"/>
    <w:rsid w:val="002D7804"/>
    <w:rsid w:val="002E0EE2"/>
    <w:rsid w:val="002E16B9"/>
    <w:rsid w:val="002E1A67"/>
    <w:rsid w:val="002E1C4C"/>
    <w:rsid w:val="002E21EB"/>
    <w:rsid w:val="002E3714"/>
    <w:rsid w:val="002E3D9D"/>
    <w:rsid w:val="002E4A27"/>
    <w:rsid w:val="002E4F2A"/>
    <w:rsid w:val="002E5833"/>
    <w:rsid w:val="002E6AC4"/>
    <w:rsid w:val="002E72A3"/>
    <w:rsid w:val="002E76C3"/>
    <w:rsid w:val="002F10DB"/>
    <w:rsid w:val="002F1113"/>
    <w:rsid w:val="002F143F"/>
    <w:rsid w:val="002F18DB"/>
    <w:rsid w:val="002F205A"/>
    <w:rsid w:val="002F303D"/>
    <w:rsid w:val="002F4D29"/>
    <w:rsid w:val="002F64D8"/>
    <w:rsid w:val="002F661E"/>
    <w:rsid w:val="002F690E"/>
    <w:rsid w:val="002F734B"/>
    <w:rsid w:val="00300925"/>
    <w:rsid w:val="00300D29"/>
    <w:rsid w:val="00300E5B"/>
    <w:rsid w:val="00301FB6"/>
    <w:rsid w:val="00303E9C"/>
    <w:rsid w:val="0030501E"/>
    <w:rsid w:val="00305B53"/>
    <w:rsid w:val="003064DF"/>
    <w:rsid w:val="003069C7"/>
    <w:rsid w:val="003103C4"/>
    <w:rsid w:val="00310550"/>
    <w:rsid w:val="0031184E"/>
    <w:rsid w:val="00311C74"/>
    <w:rsid w:val="00311F9E"/>
    <w:rsid w:val="003142AE"/>
    <w:rsid w:val="003142B6"/>
    <w:rsid w:val="00314C46"/>
    <w:rsid w:val="00314F33"/>
    <w:rsid w:val="0031529F"/>
    <w:rsid w:val="00316496"/>
    <w:rsid w:val="00317BAA"/>
    <w:rsid w:val="00317E9D"/>
    <w:rsid w:val="00322171"/>
    <w:rsid w:val="00322438"/>
    <w:rsid w:val="00323A31"/>
    <w:rsid w:val="00324242"/>
    <w:rsid w:val="0032458F"/>
    <w:rsid w:val="003248FC"/>
    <w:rsid w:val="00325A18"/>
    <w:rsid w:val="0032637E"/>
    <w:rsid w:val="00327931"/>
    <w:rsid w:val="0033191A"/>
    <w:rsid w:val="003321C8"/>
    <w:rsid w:val="00332845"/>
    <w:rsid w:val="003330A1"/>
    <w:rsid w:val="00334C17"/>
    <w:rsid w:val="00334EAE"/>
    <w:rsid w:val="00335A89"/>
    <w:rsid w:val="00336003"/>
    <w:rsid w:val="0033749F"/>
    <w:rsid w:val="003378FD"/>
    <w:rsid w:val="00337CCA"/>
    <w:rsid w:val="00340D7B"/>
    <w:rsid w:val="003443C8"/>
    <w:rsid w:val="003448B4"/>
    <w:rsid w:val="00345A28"/>
    <w:rsid w:val="00345E69"/>
    <w:rsid w:val="00347F55"/>
    <w:rsid w:val="00350952"/>
    <w:rsid w:val="00351EA3"/>
    <w:rsid w:val="00352103"/>
    <w:rsid w:val="0035222C"/>
    <w:rsid w:val="00352984"/>
    <w:rsid w:val="00352A8E"/>
    <w:rsid w:val="00353077"/>
    <w:rsid w:val="003530AB"/>
    <w:rsid w:val="00354C3F"/>
    <w:rsid w:val="00355579"/>
    <w:rsid w:val="003556A8"/>
    <w:rsid w:val="00355B48"/>
    <w:rsid w:val="00355CCD"/>
    <w:rsid w:val="003564A1"/>
    <w:rsid w:val="00356AB8"/>
    <w:rsid w:val="00356B89"/>
    <w:rsid w:val="0035703B"/>
    <w:rsid w:val="00360836"/>
    <w:rsid w:val="003618BC"/>
    <w:rsid w:val="00361EAB"/>
    <w:rsid w:val="003628C3"/>
    <w:rsid w:val="00363020"/>
    <w:rsid w:val="00363505"/>
    <w:rsid w:val="003647AB"/>
    <w:rsid w:val="0036556D"/>
    <w:rsid w:val="003656A5"/>
    <w:rsid w:val="00365BB6"/>
    <w:rsid w:val="0036628C"/>
    <w:rsid w:val="0036651D"/>
    <w:rsid w:val="00366BC2"/>
    <w:rsid w:val="0036765D"/>
    <w:rsid w:val="003678CF"/>
    <w:rsid w:val="00367901"/>
    <w:rsid w:val="00367A21"/>
    <w:rsid w:val="00367A6E"/>
    <w:rsid w:val="00370586"/>
    <w:rsid w:val="00370992"/>
    <w:rsid w:val="00370CD0"/>
    <w:rsid w:val="003710CE"/>
    <w:rsid w:val="00371B27"/>
    <w:rsid w:val="00371CD7"/>
    <w:rsid w:val="00372904"/>
    <w:rsid w:val="00372AF0"/>
    <w:rsid w:val="00372BC6"/>
    <w:rsid w:val="003751E4"/>
    <w:rsid w:val="003755BA"/>
    <w:rsid w:val="00375F01"/>
    <w:rsid w:val="0038031B"/>
    <w:rsid w:val="0038036D"/>
    <w:rsid w:val="0038069B"/>
    <w:rsid w:val="003809D2"/>
    <w:rsid w:val="00380B61"/>
    <w:rsid w:val="0038124D"/>
    <w:rsid w:val="00381820"/>
    <w:rsid w:val="00381930"/>
    <w:rsid w:val="00381EDB"/>
    <w:rsid w:val="003828A5"/>
    <w:rsid w:val="00382F74"/>
    <w:rsid w:val="003838A2"/>
    <w:rsid w:val="003846AC"/>
    <w:rsid w:val="00384964"/>
    <w:rsid w:val="00386518"/>
    <w:rsid w:val="0039117D"/>
    <w:rsid w:val="003911A4"/>
    <w:rsid w:val="00392556"/>
    <w:rsid w:val="00392603"/>
    <w:rsid w:val="00392D3C"/>
    <w:rsid w:val="003938EA"/>
    <w:rsid w:val="00394CFE"/>
    <w:rsid w:val="0039559F"/>
    <w:rsid w:val="003957F9"/>
    <w:rsid w:val="00396490"/>
    <w:rsid w:val="003968DD"/>
    <w:rsid w:val="003979FE"/>
    <w:rsid w:val="003A0948"/>
    <w:rsid w:val="003A0B18"/>
    <w:rsid w:val="003A0D0F"/>
    <w:rsid w:val="003A1176"/>
    <w:rsid w:val="003A13D4"/>
    <w:rsid w:val="003A1F98"/>
    <w:rsid w:val="003A1FC6"/>
    <w:rsid w:val="003A2077"/>
    <w:rsid w:val="003A26DF"/>
    <w:rsid w:val="003A28E2"/>
    <w:rsid w:val="003A2BB6"/>
    <w:rsid w:val="003A38B1"/>
    <w:rsid w:val="003A3984"/>
    <w:rsid w:val="003A3CF2"/>
    <w:rsid w:val="003A4001"/>
    <w:rsid w:val="003A405B"/>
    <w:rsid w:val="003A44D1"/>
    <w:rsid w:val="003A46F6"/>
    <w:rsid w:val="003A4EE5"/>
    <w:rsid w:val="003A528F"/>
    <w:rsid w:val="003A5AE3"/>
    <w:rsid w:val="003A6AB2"/>
    <w:rsid w:val="003A72AD"/>
    <w:rsid w:val="003A7B07"/>
    <w:rsid w:val="003A7B22"/>
    <w:rsid w:val="003A7C62"/>
    <w:rsid w:val="003B13BC"/>
    <w:rsid w:val="003B14F6"/>
    <w:rsid w:val="003B1DDF"/>
    <w:rsid w:val="003B2380"/>
    <w:rsid w:val="003B2CD9"/>
    <w:rsid w:val="003B5AA1"/>
    <w:rsid w:val="003B7B46"/>
    <w:rsid w:val="003C0421"/>
    <w:rsid w:val="003C0986"/>
    <w:rsid w:val="003C28DD"/>
    <w:rsid w:val="003C309E"/>
    <w:rsid w:val="003C45CB"/>
    <w:rsid w:val="003C5704"/>
    <w:rsid w:val="003C58F1"/>
    <w:rsid w:val="003C64A8"/>
    <w:rsid w:val="003C7146"/>
    <w:rsid w:val="003C75F7"/>
    <w:rsid w:val="003C7A8D"/>
    <w:rsid w:val="003C7FB1"/>
    <w:rsid w:val="003D06E1"/>
    <w:rsid w:val="003D120B"/>
    <w:rsid w:val="003D1E4A"/>
    <w:rsid w:val="003D2CFE"/>
    <w:rsid w:val="003D339E"/>
    <w:rsid w:val="003D3F76"/>
    <w:rsid w:val="003D41EC"/>
    <w:rsid w:val="003D46B4"/>
    <w:rsid w:val="003D470B"/>
    <w:rsid w:val="003D4DF8"/>
    <w:rsid w:val="003D5153"/>
    <w:rsid w:val="003D5819"/>
    <w:rsid w:val="003D5B38"/>
    <w:rsid w:val="003D62D6"/>
    <w:rsid w:val="003D6814"/>
    <w:rsid w:val="003D6E4D"/>
    <w:rsid w:val="003D7625"/>
    <w:rsid w:val="003D7675"/>
    <w:rsid w:val="003E031D"/>
    <w:rsid w:val="003E0ABA"/>
    <w:rsid w:val="003E0D4A"/>
    <w:rsid w:val="003E13C0"/>
    <w:rsid w:val="003E2557"/>
    <w:rsid w:val="003E2E08"/>
    <w:rsid w:val="003E2EDB"/>
    <w:rsid w:val="003E3C5F"/>
    <w:rsid w:val="003E3D2D"/>
    <w:rsid w:val="003E3F54"/>
    <w:rsid w:val="003E62BB"/>
    <w:rsid w:val="003E6413"/>
    <w:rsid w:val="003E7929"/>
    <w:rsid w:val="003E7C19"/>
    <w:rsid w:val="003F04E2"/>
    <w:rsid w:val="003F06CA"/>
    <w:rsid w:val="003F16AF"/>
    <w:rsid w:val="003F1EE7"/>
    <w:rsid w:val="003F3271"/>
    <w:rsid w:val="003F34BD"/>
    <w:rsid w:val="003F3588"/>
    <w:rsid w:val="003F3D9E"/>
    <w:rsid w:val="003F423D"/>
    <w:rsid w:val="003F4A89"/>
    <w:rsid w:val="003F4C5E"/>
    <w:rsid w:val="003F5360"/>
    <w:rsid w:val="003F6632"/>
    <w:rsid w:val="003F6697"/>
    <w:rsid w:val="003F6E7D"/>
    <w:rsid w:val="003F7AC7"/>
    <w:rsid w:val="003F7BBA"/>
    <w:rsid w:val="00400632"/>
    <w:rsid w:val="00401B66"/>
    <w:rsid w:val="004031CF"/>
    <w:rsid w:val="00404A3B"/>
    <w:rsid w:val="00404F59"/>
    <w:rsid w:val="00404FF6"/>
    <w:rsid w:val="00405696"/>
    <w:rsid w:val="0040609E"/>
    <w:rsid w:val="00406667"/>
    <w:rsid w:val="00407704"/>
    <w:rsid w:val="00407775"/>
    <w:rsid w:val="00407A99"/>
    <w:rsid w:val="0041104E"/>
    <w:rsid w:val="00411F0D"/>
    <w:rsid w:val="0041469B"/>
    <w:rsid w:val="00414747"/>
    <w:rsid w:val="004148EE"/>
    <w:rsid w:val="00415B52"/>
    <w:rsid w:val="00415BBC"/>
    <w:rsid w:val="00416C0A"/>
    <w:rsid w:val="00416CC7"/>
    <w:rsid w:val="00417846"/>
    <w:rsid w:val="004200BF"/>
    <w:rsid w:val="00420560"/>
    <w:rsid w:val="00420727"/>
    <w:rsid w:val="00422AC0"/>
    <w:rsid w:val="00422C98"/>
    <w:rsid w:val="00422E66"/>
    <w:rsid w:val="00422F08"/>
    <w:rsid w:val="00423246"/>
    <w:rsid w:val="004234F9"/>
    <w:rsid w:val="004243B8"/>
    <w:rsid w:val="00424BAE"/>
    <w:rsid w:val="004253BC"/>
    <w:rsid w:val="0042554C"/>
    <w:rsid w:val="00425618"/>
    <w:rsid w:val="0042603C"/>
    <w:rsid w:val="00426868"/>
    <w:rsid w:val="00427877"/>
    <w:rsid w:val="00427CCF"/>
    <w:rsid w:val="00430843"/>
    <w:rsid w:val="00430DB6"/>
    <w:rsid w:val="004311DC"/>
    <w:rsid w:val="0043129E"/>
    <w:rsid w:val="00432B0C"/>
    <w:rsid w:val="00433515"/>
    <w:rsid w:val="00433F1A"/>
    <w:rsid w:val="00434FF6"/>
    <w:rsid w:val="00435E12"/>
    <w:rsid w:val="004362D7"/>
    <w:rsid w:val="00436373"/>
    <w:rsid w:val="00436E52"/>
    <w:rsid w:val="00437B70"/>
    <w:rsid w:val="00441758"/>
    <w:rsid w:val="00441A86"/>
    <w:rsid w:val="00441DDC"/>
    <w:rsid w:val="004427E1"/>
    <w:rsid w:val="00442E46"/>
    <w:rsid w:val="00443DF3"/>
    <w:rsid w:val="00444627"/>
    <w:rsid w:val="00445413"/>
    <w:rsid w:val="00445BAA"/>
    <w:rsid w:val="00446D3E"/>
    <w:rsid w:val="0044724D"/>
    <w:rsid w:val="0044799A"/>
    <w:rsid w:val="0045066F"/>
    <w:rsid w:val="00451AE8"/>
    <w:rsid w:val="004524F6"/>
    <w:rsid w:val="004525FF"/>
    <w:rsid w:val="00452B7C"/>
    <w:rsid w:val="00452D92"/>
    <w:rsid w:val="00452F25"/>
    <w:rsid w:val="00453A8F"/>
    <w:rsid w:val="00453AC3"/>
    <w:rsid w:val="004540A2"/>
    <w:rsid w:val="00454E8C"/>
    <w:rsid w:val="0045662F"/>
    <w:rsid w:val="00456FFA"/>
    <w:rsid w:val="00457050"/>
    <w:rsid w:val="0045749C"/>
    <w:rsid w:val="00460239"/>
    <w:rsid w:val="0046041D"/>
    <w:rsid w:val="0046060F"/>
    <w:rsid w:val="0046064B"/>
    <w:rsid w:val="00460A4F"/>
    <w:rsid w:val="00460DF7"/>
    <w:rsid w:val="00461A6A"/>
    <w:rsid w:val="004626D8"/>
    <w:rsid w:val="0046279C"/>
    <w:rsid w:val="0046313F"/>
    <w:rsid w:val="00463231"/>
    <w:rsid w:val="00463807"/>
    <w:rsid w:val="004649FF"/>
    <w:rsid w:val="00465CD1"/>
    <w:rsid w:val="00466DBA"/>
    <w:rsid w:val="0046706D"/>
    <w:rsid w:val="004676E0"/>
    <w:rsid w:val="00470A8B"/>
    <w:rsid w:val="00470CF4"/>
    <w:rsid w:val="00470FCF"/>
    <w:rsid w:val="00471CDF"/>
    <w:rsid w:val="00472B88"/>
    <w:rsid w:val="00472FDB"/>
    <w:rsid w:val="00473D4A"/>
    <w:rsid w:val="00476B3A"/>
    <w:rsid w:val="00477249"/>
    <w:rsid w:val="00477D48"/>
    <w:rsid w:val="00481B55"/>
    <w:rsid w:val="00482836"/>
    <w:rsid w:val="004831DA"/>
    <w:rsid w:val="0048369E"/>
    <w:rsid w:val="00483D36"/>
    <w:rsid w:val="00485AF7"/>
    <w:rsid w:val="00485E82"/>
    <w:rsid w:val="00486678"/>
    <w:rsid w:val="00486B64"/>
    <w:rsid w:val="00486CF1"/>
    <w:rsid w:val="004870EF"/>
    <w:rsid w:val="00487370"/>
    <w:rsid w:val="004907F4"/>
    <w:rsid w:val="00490A19"/>
    <w:rsid w:val="004919B8"/>
    <w:rsid w:val="00491F15"/>
    <w:rsid w:val="00492D3A"/>
    <w:rsid w:val="00492D76"/>
    <w:rsid w:val="00493A62"/>
    <w:rsid w:val="0049460A"/>
    <w:rsid w:val="0049485B"/>
    <w:rsid w:val="00495014"/>
    <w:rsid w:val="004950AC"/>
    <w:rsid w:val="00495ACC"/>
    <w:rsid w:val="00496948"/>
    <w:rsid w:val="00496A66"/>
    <w:rsid w:val="00496DEE"/>
    <w:rsid w:val="0049781D"/>
    <w:rsid w:val="004A06E2"/>
    <w:rsid w:val="004A094B"/>
    <w:rsid w:val="004A0BCC"/>
    <w:rsid w:val="004A2DF8"/>
    <w:rsid w:val="004A37C9"/>
    <w:rsid w:val="004A4A53"/>
    <w:rsid w:val="004A5BBF"/>
    <w:rsid w:val="004A6236"/>
    <w:rsid w:val="004A6588"/>
    <w:rsid w:val="004A669A"/>
    <w:rsid w:val="004B028B"/>
    <w:rsid w:val="004B0590"/>
    <w:rsid w:val="004B0BE7"/>
    <w:rsid w:val="004B0C9A"/>
    <w:rsid w:val="004B1E55"/>
    <w:rsid w:val="004B34B1"/>
    <w:rsid w:val="004B3558"/>
    <w:rsid w:val="004B5269"/>
    <w:rsid w:val="004B57F5"/>
    <w:rsid w:val="004B5981"/>
    <w:rsid w:val="004B6591"/>
    <w:rsid w:val="004B7CF3"/>
    <w:rsid w:val="004C0E2E"/>
    <w:rsid w:val="004C0F92"/>
    <w:rsid w:val="004C10F1"/>
    <w:rsid w:val="004C1291"/>
    <w:rsid w:val="004C14ED"/>
    <w:rsid w:val="004C2330"/>
    <w:rsid w:val="004C2B69"/>
    <w:rsid w:val="004C2DFA"/>
    <w:rsid w:val="004C39ED"/>
    <w:rsid w:val="004C3B6D"/>
    <w:rsid w:val="004C3DED"/>
    <w:rsid w:val="004C3F1A"/>
    <w:rsid w:val="004C4F09"/>
    <w:rsid w:val="004C5B7E"/>
    <w:rsid w:val="004C5CCD"/>
    <w:rsid w:val="004C5EA0"/>
    <w:rsid w:val="004C789F"/>
    <w:rsid w:val="004D00A6"/>
    <w:rsid w:val="004D0D9F"/>
    <w:rsid w:val="004D0DC5"/>
    <w:rsid w:val="004D1978"/>
    <w:rsid w:val="004D2ECD"/>
    <w:rsid w:val="004D41D6"/>
    <w:rsid w:val="004D51E9"/>
    <w:rsid w:val="004D5845"/>
    <w:rsid w:val="004D6DE0"/>
    <w:rsid w:val="004D7208"/>
    <w:rsid w:val="004D7684"/>
    <w:rsid w:val="004D7D2B"/>
    <w:rsid w:val="004E17EB"/>
    <w:rsid w:val="004E21BA"/>
    <w:rsid w:val="004E2471"/>
    <w:rsid w:val="004E294D"/>
    <w:rsid w:val="004E3157"/>
    <w:rsid w:val="004E3FBD"/>
    <w:rsid w:val="004E46E8"/>
    <w:rsid w:val="004E4FC6"/>
    <w:rsid w:val="004E6357"/>
    <w:rsid w:val="004E79D1"/>
    <w:rsid w:val="004E7BBD"/>
    <w:rsid w:val="004E7DBD"/>
    <w:rsid w:val="004F1C3A"/>
    <w:rsid w:val="004F1EF3"/>
    <w:rsid w:val="004F2171"/>
    <w:rsid w:val="004F2BF3"/>
    <w:rsid w:val="004F3066"/>
    <w:rsid w:val="004F3146"/>
    <w:rsid w:val="004F33BA"/>
    <w:rsid w:val="004F397F"/>
    <w:rsid w:val="004F4064"/>
    <w:rsid w:val="004F40CD"/>
    <w:rsid w:val="004F4153"/>
    <w:rsid w:val="004F4159"/>
    <w:rsid w:val="004F48F8"/>
    <w:rsid w:val="004F4E63"/>
    <w:rsid w:val="004F527A"/>
    <w:rsid w:val="004F559A"/>
    <w:rsid w:val="004F5C44"/>
    <w:rsid w:val="004F603E"/>
    <w:rsid w:val="004F633F"/>
    <w:rsid w:val="004F69B0"/>
    <w:rsid w:val="00500C4C"/>
    <w:rsid w:val="0050117D"/>
    <w:rsid w:val="00502545"/>
    <w:rsid w:val="005026CB"/>
    <w:rsid w:val="00503BD7"/>
    <w:rsid w:val="005046AD"/>
    <w:rsid w:val="0050475A"/>
    <w:rsid w:val="005056FC"/>
    <w:rsid w:val="00505F9D"/>
    <w:rsid w:val="00506C37"/>
    <w:rsid w:val="005103F3"/>
    <w:rsid w:val="005105F7"/>
    <w:rsid w:val="00510E3E"/>
    <w:rsid w:val="005120E6"/>
    <w:rsid w:val="00512922"/>
    <w:rsid w:val="00512A86"/>
    <w:rsid w:val="00513820"/>
    <w:rsid w:val="00513DA9"/>
    <w:rsid w:val="005156AC"/>
    <w:rsid w:val="00515E42"/>
    <w:rsid w:val="00516808"/>
    <w:rsid w:val="00516860"/>
    <w:rsid w:val="005169D8"/>
    <w:rsid w:val="00517884"/>
    <w:rsid w:val="00517CF7"/>
    <w:rsid w:val="00521851"/>
    <w:rsid w:val="00522114"/>
    <w:rsid w:val="0052282B"/>
    <w:rsid w:val="00522DEF"/>
    <w:rsid w:val="00523899"/>
    <w:rsid w:val="00523EC6"/>
    <w:rsid w:val="00524082"/>
    <w:rsid w:val="00524277"/>
    <w:rsid w:val="005264C0"/>
    <w:rsid w:val="00526632"/>
    <w:rsid w:val="00526BF6"/>
    <w:rsid w:val="005271CE"/>
    <w:rsid w:val="00527380"/>
    <w:rsid w:val="005275AE"/>
    <w:rsid w:val="00530391"/>
    <w:rsid w:val="0053198D"/>
    <w:rsid w:val="005338C4"/>
    <w:rsid w:val="00533919"/>
    <w:rsid w:val="00534EBD"/>
    <w:rsid w:val="00534F6B"/>
    <w:rsid w:val="005358F8"/>
    <w:rsid w:val="0053599E"/>
    <w:rsid w:val="00535A72"/>
    <w:rsid w:val="005367A5"/>
    <w:rsid w:val="005369DF"/>
    <w:rsid w:val="005377D7"/>
    <w:rsid w:val="00537834"/>
    <w:rsid w:val="0054008C"/>
    <w:rsid w:val="00540A29"/>
    <w:rsid w:val="00541427"/>
    <w:rsid w:val="0054149D"/>
    <w:rsid w:val="005414C1"/>
    <w:rsid w:val="0054168B"/>
    <w:rsid w:val="00541B19"/>
    <w:rsid w:val="00543785"/>
    <w:rsid w:val="00543995"/>
    <w:rsid w:val="00543E73"/>
    <w:rsid w:val="00544C60"/>
    <w:rsid w:val="00545197"/>
    <w:rsid w:val="005451B8"/>
    <w:rsid w:val="00546C1E"/>
    <w:rsid w:val="005471CE"/>
    <w:rsid w:val="00550081"/>
    <w:rsid w:val="0055038D"/>
    <w:rsid w:val="005527D6"/>
    <w:rsid w:val="00554856"/>
    <w:rsid w:val="00554CD6"/>
    <w:rsid w:val="00555A03"/>
    <w:rsid w:val="00555EE6"/>
    <w:rsid w:val="00556FF1"/>
    <w:rsid w:val="005574C9"/>
    <w:rsid w:val="00557545"/>
    <w:rsid w:val="00557E7A"/>
    <w:rsid w:val="00561018"/>
    <w:rsid w:val="0056207C"/>
    <w:rsid w:val="005632E2"/>
    <w:rsid w:val="005637D4"/>
    <w:rsid w:val="005642EE"/>
    <w:rsid w:val="0056472D"/>
    <w:rsid w:val="00566125"/>
    <w:rsid w:val="00566161"/>
    <w:rsid w:val="0056720B"/>
    <w:rsid w:val="00567CDD"/>
    <w:rsid w:val="005701EC"/>
    <w:rsid w:val="005704D2"/>
    <w:rsid w:val="005707B4"/>
    <w:rsid w:val="005707E4"/>
    <w:rsid w:val="005710F6"/>
    <w:rsid w:val="0057114D"/>
    <w:rsid w:val="0057122C"/>
    <w:rsid w:val="00571747"/>
    <w:rsid w:val="00572CAD"/>
    <w:rsid w:val="005731E1"/>
    <w:rsid w:val="00573D9F"/>
    <w:rsid w:val="00574609"/>
    <w:rsid w:val="00574AB0"/>
    <w:rsid w:val="00574BC0"/>
    <w:rsid w:val="00574CAB"/>
    <w:rsid w:val="00575448"/>
    <w:rsid w:val="00575E11"/>
    <w:rsid w:val="00576B90"/>
    <w:rsid w:val="005779F0"/>
    <w:rsid w:val="00577A5D"/>
    <w:rsid w:val="00580750"/>
    <w:rsid w:val="00580B68"/>
    <w:rsid w:val="005818BB"/>
    <w:rsid w:val="0058223B"/>
    <w:rsid w:val="00582965"/>
    <w:rsid w:val="00583000"/>
    <w:rsid w:val="005843AC"/>
    <w:rsid w:val="005844D8"/>
    <w:rsid w:val="00584DBC"/>
    <w:rsid w:val="0058565E"/>
    <w:rsid w:val="00585809"/>
    <w:rsid w:val="00585B28"/>
    <w:rsid w:val="00585EB2"/>
    <w:rsid w:val="00586525"/>
    <w:rsid w:val="00586913"/>
    <w:rsid w:val="00586B10"/>
    <w:rsid w:val="00586C14"/>
    <w:rsid w:val="00586E07"/>
    <w:rsid w:val="00590B49"/>
    <w:rsid w:val="0059108D"/>
    <w:rsid w:val="005915DE"/>
    <w:rsid w:val="0059225E"/>
    <w:rsid w:val="00592359"/>
    <w:rsid w:val="005924BC"/>
    <w:rsid w:val="00592DDC"/>
    <w:rsid w:val="005932D3"/>
    <w:rsid w:val="005937E4"/>
    <w:rsid w:val="00593B1D"/>
    <w:rsid w:val="00593C40"/>
    <w:rsid w:val="00593E50"/>
    <w:rsid w:val="005942B2"/>
    <w:rsid w:val="0059474E"/>
    <w:rsid w:val="005948F0"/>
    <w:rsid w:val="005955A7"/>
    <w:rsid w:val="005961EB"/>
    <w:rsid w:val="00596A8C"/>
    <w:rsid w:val="00596F5D"/>
    <w:rsid w:val="005A0A3F"/>
    <w:rsid w:val="005A1A35"/>
    <w:rsid w:val="005A2435"/>
    <w:rsid w:val="005A26EC"/>
    <w:rsid w:val="005A4A06"/>
    <w:rsid w:val="005A5887"/>
    <w:rsid w:val="005A5958"/>
    <w:rsid w:val="005A6043"/>
    <w:rsid w:val="005A69FB"/>
    <w:rsid w:val="005A74DB"/>
    <w:rsid w:val="005B039A"/>
    <w:rsid w:val="005B078B"/>
    <w:rsid w:val="005B0A97"/>
    <w:rsid w:val="005B0B88"/>
    <w:rsid w:val="005B0E12"/>
    <w:rsid w:val="005B1A53"/>
    <w:rsid w:val="005B415F"/>
    <w:rsid w:val="005B4DDF"/>
    <w:rsid w:val="005B53B6"/>
    <w:rsid w:val="005B5659"/>
    <w:rsid w:val="005B6AE5"/>
    <w:rsid w:val="005B6B1B"/>
    <w:rsid w:val="005B7834"/>
    <w:rsid w:val="005B7E4C"/>
    <w:rsid w:val="005C0777"/>
    <w:rsid w:val="005C0B40"/>
    <w:rsid w:val="005C136F"/>
    <w:rsid w:val="005C1711"/>
    <w:rsid w:val="005C27C4"/>
    <w:rsid w:val="005C3604"/>
    <w:rsid w:val="005C3B81"/>
    <w:rsid w:val="005C3F40"/>
    <w:rsid w:val="005C3F7A"/>
    <w:rsid w:val="005C4278"/>
    <w:rsid w:val="005C503F"/>
    <w:rsid w:val="005C54CE"/>
    <w:rsid w:val="005C6927"/>
    <w:rsid w:val="005D08A1"/>
    <w:rsid w:val="005D0F91"/>
    <w:rsid w:val="005D1179"/>
    <w:rsid w:val="005D16F9"/>
    <w:rsid w:val="005D1B38"/>
    <w:rsid w:val="005D2786"/>
    <w:rsid w:val="005D3A05"/>
    <w:rsid w:val="005D3D7E"/>
    <w:rsid w:val="005D42D3"/>
    <w:rsid w:val="005D4A5D"/>
    <w:rsid w:val="005D4FF1"/>
    <w:rsid w:val="005E004C"/>
    <w:rsid w:val="005E00E0"/>
    <w:rsid w:val="005E0130"/>
    <w:rsid w:val="005E0583"/>
    <w:rsid w:val="005E14C6"/>
    <w:rsid w:val="005E3E98"/>
    <w:rsid w:val="005E5088"/>
    <w:rsid w:val="005E54D9"/>
    <w:rsid w:val="005E60FB"/>
    <w:rsid w:val="005E6547"/>
    <w:rsid w:val="005F024E"/>
    <w:rsid w:val="005F0B06"/>
    <w:rsid w:val="005F1DC9"/>
    <w:rsid w:val="005F32CB"/>
    <w:rsid w:val="005F3B0E"/>
    <w:rsid w:val="005F3E9B"/>
    <w:rsid w:val="005F5269"/>
    <w:rsid w:val="005F5332"/>
    <w:rsid w:val="005F5364"/>
    <w:rsid w:val="005F57EC"/>
    <w:rsid w:val="005F5A83"/>
    <w:rsid w:val="005F5B81"/>
    <w:rsid w:val="005F6471"/>
    <w:rsid w:val="005F7377"/>
    <w:rsid w:val="005F78A2"/>
    <w:rsid w:val="006006E0"/>
    <w:rsid w:val="006020C2"/>
    <w:rsid w:val="00602616"/>
    <w:rsid w:val="00603E11"/>
    <w:rsid w:val="00604353"/>
    <w:rsid w:val="006043F2"/>
    <w:rsid w:val="00604DC1"/>
    <w:rsid w:val="00605150"/>
    <w:rsid w:val="00605178"/>
    <w:rsid w:val="00605C18"/>
    <w:rsid w:val="00605E5F"/>
    <w:rsid w:val="00606F13"/>
    <w:rsid w:val="006070C0"/>
    <w:rsid w:val="0060715F"/>
    <w:rsid w:val="0060737E"/>
    <w:rsid w:val="00607A9A"/>
    <w:rsid w:val="00610087"/>
    <w:rsid w:val="00610F5D"/>
    <w:rsid w:val="00611111"/>
    <w:rsid w:val="0061238F"/>
    <w:rsid w:val="00612877"/>
    <w:rsid w:val="00612AEF"/>
    <w:rsid w:val="00612FE9"/>
    <w:rsid w:val="00613168"/>
    <w:rsid w:val="00613FC9"/>
    <w:rsid w:val="00614A58"/>
    <w:rsid w:val="00615409"/>
    <w:rsid w:val="006157B0"/>
    <w:rsid w:val="0061636D"/>
    <w:rsid w:val="00616BBC"/>
    <w:rsid w:val="00617642"/>
    <w:rsid w:val="00617759"/>
    <w:rsid w:val="00617D79"/>
    <w:rsid w:val="00617DD7"/>
    <w:rsid w:val="0062086B"/>
    <w:rsid w:val="006209EB"/>
    <w:rsid w:val="0062114A"/>
    <w:rsid w:val="0062223D"/>
    <w:rsid w:val="006222B3"/>
    <w:rsid w:val="00622ABE"/>
    <w:rsid w:val="006237FB"/>
    <w:rsid w:val="00623B1E"/>
    <w:rsid w:val="006240B0"/>
    <w:rsid w:val="00624552"/>
    <w:rsid w:val="0062474C"/>
    <w:rsid w:val="00625303"/>
    <w:rsid w:val="00625CB3"/>
    <w:rsid w:val="00625F67"/>
    <w:rsid w:val="006267E1"/>
    <w:rsid w:val="00630333"/>
    <w:rsid w:val="00630664"/>
    <w:rsid w:val="00631778"/>
    <w:rsid w:val="00631B6C"/>
    <w:rsid w:val="00632688"/>
    <w:rsid w:val="006339D8"/>
    <w:rsid w:val="00633B57"/>
    <w:rsid w:val="006348E7"/>
    <w:rsid w:val="00635DE7"/>
    <w:rsid w:val="00636B37"/>
    <w:rsid w:val="00636EC5"/>
    <w:rsid w:val="0063706A"/>
    <w:rsid w:val="00637A86"/>
    <w:rsid w:val="00637B21"/>
    <w:rsid w:val="00637CD3"/>
    <w:rsid w:val="00640245"/>
    <w:rsid w:val="006404C9"/>
    <w:rsid w:val="00640B38"/>
    <w:rsid w:val="006412F2"/>
    <w:rsid w:val="00642435"/>
    <w:rsid w:val="00642C2D"/>
    <w:rsid w:val="00642C6E"/>
    <w:rsid w:val="00643511"/>
    <w:rsid w:val="006436B4"/>
    <w:rsid w:val="00644545"/>
    <w:rsid w:val="00644B77"/>
    <w:rsid w:val="00644F8C"/>
    <w:rsid w:val="00645592"/>
    <w:rsid w:val="00645E2F"/>
    <w:rsid w:val="00645ED1"/>
    <w:rsid w:val="0064605D"/>
    <w:rsid w:val="00646AE6"/>
    <w:rsid w:val="00647357"/>
    <w:rsid w:val="0065018E"/>
    <w:rsid w:val="006504F8"/>
    <w:rsid w:val="006507C8"/>
    <w:rsid w:val="00650D42"/>
    <w:rsid w:val="0065185A"/>
    <w:rsid w:val="00651E38"/>
    <w:rsid w:val="0065206F"/>
    <w:rsid w:val="00652687"/>
    <w:rsid w:val="006536C2"/>
    <w:rsid w:val="006537B0"/>
    <w:rsid w:val="006538E9"/>
    <w:rsid w:val="00653C46"/>
    <w:rsid w:val="006550B2"/>
    <w:rsid w:val="006552F2"/>
    <w:rsid w:val="006563A5"/>
    <w:rsid w:val="006569C8"/>
    <w:rsid w:val="00656EFD"/>
    <w:rsid w:val="00657778"/>
    <w:rsid w:val="00657A96"/>
    <w:rsid w:val="00657DD4"/>
    <w:rsid w:val="006603B3"/>
    <w:rsid w:val="00660733"/>
    <w:rsid w:val="0066121F"/>
    <w:rsid w:val="00662291"/>
    <w:rsid w:val="006631BC"/>
    <w:rsid w:val="006636C6"/>
    <w:rsid w:val="00663C43"/>
    <w:rsid w:val="00664C94"/>
    <w:rsid w:val="00664F8E"/>
    <w:rsid w:val="00665A83"/>
    <w:rsid w:val="00666762"/>
    <w:rsid w:val="00666AE4"/>
    <w:rsid w:val="00667237"/>
    <w:rsid w:val="006679DB"/>
    <w:rsid w:val="00667D1A"/>
    <w:rsid w:val="00670CEA"/>
    <w:rsid w:val="00670D81"/>
    <w:rsid w:val="00671014"/>
    <w:rsid w:val="00671246"/>
    <w:rsid w:val="00671293"/>
    <w:rsid w:val="00671AD1"/>
    <w:rsid w:val="0067225F"/>
    <w:rsid w:val="006729D8"/>
    <w:rsid w:val="00674769"/>
    <w:rsid w:val="00674CBE"/>
    <w:rsid w:val="00675CD7"/>
    <w:rsid w:val="00675FE6"/>
    <w:rsid w:val="00676E4C"/>
    <w:rsid w:val="00676EA8"/>
    <w:rsid w:val="0067740D"/>
    <w:rsid w:val="00677470"/>
    <w:rsid w:val="006776C9"/>
    <w:rsid w:val="0067783A"/>
    <w:rsid w:val="00677844"/>
    <w:rsid w:val="006779AA"/>
    <w:rsid w:val="006806F1"/>
    <w:rsid w:val="006821C0"/>
    <w:rsid w:val="006822D9"/>
    <w:rsid w:val="00682FE0"/>
    <w:rsid w:val="006833AB"/>
    <w:rsid w:val="00683D80"/>
    <w:rsid w:val="00683E32"/>
    <w:rsid w:val="00684021"/>
    <w:rsid w:val="006847EF"/>
    <w:rsid w:val="00685287"/>
    <w:rsid w:val="00686F40"/>
    <w:rsid w:val="00687B62"/>
    <w:rsid w:val="00687DFB"/>
    <w:rsid w:val="006902B1"/>
    <w:rsid w:val="006904C9"/>
    <w:rsid w:val="00690934"/>
    <w:rsid w:val="0069137E"/>
    <w:rsid w:val="0069146D"/>
    <w:rsid w:val="00692502"/>
    <w:rsid w:val="006937F9"/>
    <w:rsid w:val="00693CE3"/>
    <w:rsid w:val="0069454B"/>
    <w:rsid w:val="0069477F"/>
    <w:rsid w:val="0069583B"/>
    <w:rsid w:val="00695907"/>
    <w:rsid w:val="00696D94"/>
    <w:rsid w:val="00696DAC"/>
    <w:rsid w:val="00697908"/>
    <w:rsid w:val="00697B88"/>
    <w:rsid w:val="006A0085"/>
    <w:rsid w:val="006A08B0"/>
    <w:rsid w:val="006A0C7C"/>
    <w:rsid w:val="006A15F8"/>
    <w:rsid w:val="006A185C"/>
    <w:rsid w:val="006A1A29"/>
    <w:rsid w:val="006A21BB"/>
    <w:rsid w:val="006A2431"/>
    <w:rsid w:val="006A24A1"/>
    <w:rsid w:val="006A25C1"/>
    <w:rsid w:val="006A2EE8"/>
    <w:rsid w:val="006A3BE1"/>
    <w:rsid w:val="006A455F"/>
    <w:rsid w:val="006A4A43"/>
    <w:rsid w:val="006A54C1"/>
    <w:rsid w:val="006A5B6E"/>
    <w:rsid w:val="006A5F72"/>
    <w:rsid w:val="006A6252"/>
    <w:rsid w:val="006A687C"/>
    <w:rsid w:val="006A7131"/>
    <w:rsid w:val="006A7203"/>
    <w:rsid w:val="006A7FAD"/>
    <w:rsid w:val="006B0969"/>
    <w:rsid w:val="006B145C"/>
    <w:rsid w:val="006B3018"/>
    <w:rsid w:val="006B30C0"/>
    <w:rsid w:val="006B31CD"/>
    <w:rsid w:val="006B3964"/>
    <w:rsid w:val="006B4022"/>
    <w:rsid w:val="006B4154"/>
    <w:rsid w:val="006B5299"/>
    <w:rsid w:val="006B5B78"/>
    <w:rsid w:val="006B5CA2"/>
    <w:rsid w:val="006B6785"/>
    <w:rsid w:val="006B6C8E"/>
    <w:rsid w:val="006B6F4B"/>
    <w:rsid w:val="006B752D"/>
    <w:rsid w:val="006B7DDD"/>
    <w:rsid w:val="006B7F0A"/>
    <w:rsid w:val="006C0AED"/>
    <w:rsid w:val="006C0E65"/>
    <w:rsid w:val="006C1092"/>
    <w:rsid w:val="006C17DB"/>
    <w:rsid w:val="006C2C85"/>
    <w:rsid w:val="006C37E5"/>
    <w:rsid w:val="006C383C"/>
    <w:rsid w:val="006C4B71"/>
    <w:rsid w:val="006C5FA0"/>
    <w:rsid w:val="006C6914"/>
    <w:rsid w:val="006C7862"/>
    <w:rsid w:val="006C79F9"/>
    <w:rsid w:val="006D0201"/>
    <w:rsid w:val="006D08E0"/>
    <w:rsid w:val="006D0CFE"/>
    <w:rsid w:val="006D0FE7"/>
    <w:rsid w:val="006D1B3B"/>
    <w:rsid w:val="006D1D6A"/>
    <w:rsid w:val="006D25E2"/>
    <w:rsid w:val="006D32E8"/>
    <w:rsid w:val="006D36C3"/>
    <w:rsid w:val="006D397C"/>
    <w:rsid w:val="006D3DC7"/>
    <w:rsid w:val="006D672D"/>
    <w:rsid w:val="006D6CC0"/>
    <w:rsid w:val="006D7140"/>
    <w:rsid w:val="006D7236"/>
    <w:rsid w:val="006E0174"/>
    <w:rsid w:val="006E08B1"/>
    <w:rsid w:val="006E1416"/>
    <w:rsid w:val="006E2F0A"/>
    <w:rsid w:val="006E38EF"/>
    <w:rsid w:val="006E3E0B"/>
    <w:rsid w:val="006E49BA"/>
    <w:rsid w:val="006E4B49"/>
    <w:rsid w:val="006E4CD8"/>
    <w:rsid w:val="006E4D89"/>
    <w:rsid w:val="006E4DD1"/>
    <w:rsid w:val="006E4F76"/>
    <w:rsid w:val="006E5332"/>
    <w:rsid w:val="006E55F4"/>
    <w:rsid w:val="006E5709"/>
    <w:rsid w:val="006E6557"/>
    <w:rsid w:val="006E677A"/>
    <w:rsid w:val="006E677F"/>
    <w:rsid w:val="006E6920"/>
    <w:rsid w:val="006E6E08"/>
    <w:rsid w:val="006E7416"/>
    <w:rsid w:val="006E7B0E"/>
    <w:rsid w:val="006F1261"/>
    <w:rsid w:val="006F203C"/>
    <w:rsid w:val="006F2B47"/>
    <w:rsid w:val="006F4B5E"/>
    <w:rsid w:val="006F5508"/>
    <w:rsid w:val="006F55E8"/>
    <w:rsid w:val="006F5EFC"/>
    <w:rsid w:val="006F5F69"/>
    <w:rsid w:val="006F7093"/>
    <w:rsid w:val="006F737E"/>
    <w:rsid w:val="006F77CC"/>
    <w:rsid w:val="006F7B9A"/>
    <w:rsid w:val="006F7D12"/>
    <w:rsid w:val="006F7FD0"/>
    <w:rsid w:val="0070106C"/>
    <w:rsid w:val="00701442"/>
    <w:rsid w:val="007017A4"/>
    <w:rsid w:val="00701F88"/>
    <w:rsid w:val="0070332F"/>
    <w:rsid w:val="00703838"/>
    <w:rsid w:val="007039E8"/>
    <w:rsid w:val="0070427D"/>
    <w:rsid w:val="007049A9"/>
    <w:rsid w:val="00704D28"/>
    <w:rsid w:val="007050EE"/>
    <w:rsid w:val="007054E1"/>
    <w:rsid w:val="007067D6"/>
    <w:rsid w:val="007068FF"/>
    <w:rsid w:val="00706E63"/>
    <w:rsid w:val="00706F07"/>
    <w:rsid w:val="0070747F"/>
    <w:rsid w:val="00707672"/>
    <w:rsid w:val="0070785C"/>
    <w:rsid w:val="00707D89"/>
    <w:rsid w:val="007103AC"/>
    <w:rsid w:val="00710F7C"/>
    <w:rsid w:val="00711969"/>
    <w:rsid w:val="0071254F"/>
    <w:rsid w:val="00712C28"/>
    <w:rsid w:val="00713004"/>
    <w:rsid w:val="00714C24"/>
    <w:rsid w:val="00715317"/>
    <w:rsid w:val="00715EDD"/>
    <w:rsid w:val="0071642D"/>
    <w:rsid w:val="00716F21"/>
    <w:rsid w:val="0072040B"/>
    <w:rsid w:val="0072043A"/>
    <w:rsid w:val="00720C4B"/>
    <w:rsid w:val="00721FEE"/>
    <w:rsid w:val="0072208C"/>
    <w:rsid w:val="00722511"/>
    <w:rsid w:val="007230EE"/>
    <w:rsid w:val="0072321F"/>
    <w:rsid w:val="007237A0"/>
    <w:rsid w:val="00724107"/>
    <w:rsid w:val="00724326"/>
    <w:rsid w:val="00724B28"/>
    <w:rsid w:val="00724F1A"/>
    <w:rsid w:val="00726D6E"/>
    <w:rsid w:val="00726E1E"/>
    <w:rsid w:val="00730FBE"/>
    <w:rsid w:val="007312E1"/>
    <w:rsid w:val="00732A68"/>
    <w:rsid w:val="0073393F"/>
    <w:rsid w:val="0073407C"/>
    <w:rsid w:val="00735483"/>
    <w:rsid w:val="007354FD"/>
    <w:rsid w:val="00736A59"/>
    <w:rsid w:val="00736C7A"/>
    <w:rsid w:val="00737010"/>
    <w:rsid w:val="007370AC"/>
    <w:rsid w:val="0073727A"/>
    <w:rsid w:val="0074051A"/>
    <w:rsid w:val="0074128C"/>
    <w:rsid w:val="00741AA6"/>
    <w:rsid w:val="00742181"/>
    <w:rsid w:val="007421F4"/>
    <w:rsid w:val="007426B8"/>
    <w:rsid w:val="00742A3F"/>
    <w:rsid w:val="0074479E"/>
    <w:rsid w:val="00744B82"/>
    <w:rsid w:val="0074515E"/>
    <w:rsid w:val="00745430"/>
    <w:rsid w:val="0074703D"/>
    <w:rsid w:val="00747102"/>
    <w:rsid w:val="007477B5"/>
    <w:rsid w:val="007504E7"/>
    <w:rsid w:val="00750A07"/>
    <w:rsid w:val="00750F04"/>
    <w:rsid w:val="007514E1"/>
    <w:rsid w:val="00751C0E"/>
    <w:rsid w:val="00751D11"/>
    <w:rsid w:val="0075399D"/>
    <w:rsid w:val="00753A01"/>
    <w:rsid w:val="00753B20"/>
    <w:rsid w:val="00753EC6"/>
    <w:rsid w:val="00755263"/>
    <w:rsid w:val="0075561D"/>
    <w:rsid w:val="00755A7E"/>
    <w:rsid w:val="00756C66"/>
    <w:rsid w:val="00760B64"/>
    <w:rsid w:val="00760C07"/>
    <w:rsid w:val="00761EC1"/>
    <w:rsid w:val="007623CC"/>
    <w:rsid w:val="00762523"/>
    <w:rsid w:val="00763B70"/>
    <w:rsid w:val="00764BBB"/>
    <w:rsid w:val="00764DC1"/>
    <w:rsid w:val="007657A3"/>
    <w:rsid w:val="00765937"/>
    <w:rsid w:val="00765A62"/>
    <w:rsid w:val="00765D67"/>
    <w:rsid w:val="00765ED4"/>
    <w:rsid w:val="007661F9"/>
    <w:rsid w:val="00766EB9"/>
    <w:rsid w:val="00767E02"/>
    <w:rsid w:val="0077079E"/>
    <w:rsid w:val="007718E0"/>
    <w:rsid w:val="00772784"/>
    <w:rsid w:val="007728BB"/>
    <w:rsid w:val="007731EB"/>
    <w:rsid w:val="00773DF2"/>
    <w:rsid w:val="00773E31"/>
    <w:rsid w:val="007741F7"/>
    <w:rsid w:val="00774EFC"/>
    <w:rsid w:val="007753E1"/>
    <w:rsid w:val="0077596C"/>
    <w:rsid w:val="00775B2D"/>
    <w:rsid w:val="00776160"/>
    <w:rsid w:val="00776838"/>
    <w:rsid w:val="00777021"/>
    <w:rsid w:val="007778D4"/>
    <w:rsid w:val="00777BC4"/>
    <w:rsid w:val="00780EB1"/>
    <w:rsid w:val="00783683"/>
    <w:rsid w:val="00783C30"/>
    <w:rsid w:val="007843C8"/>
    <w:rsid w:val="00784767"/>
    <w:rsid w:val="0078627B"/>
    <w:rsid w:val="007865D6"/>
    <w:rsid w:val="0078756E"/>
    <w:rsid w:val="00787CBD"/>
    <w:rsid w:val="007914AF"/>
    <w:rsid w:val="0079199B"/>
    <w:rsid w:val="00791B0A"/>
    <w:rsid w:val="00793125"/>
    <w:rsid w:val="00793253"/>
    <w:rsid w:val="00793C11"/>
    <w:rsid w:val="00794BB3"/>
    <w:rsid w:val="00795860"/>
    <w:rsid w:val="00795D1C"/>
    <w:rsid w:val="007960C3"/>
    <w:rsid w:val="00796412"/>
    <w:rsid w:val="00797893"/>
    <w:rsid w:val="00797E78"/>
    <w:rsid w:val="007A067A"/>
    <w:rsid w:val="007A223B"/>
    <w:rsid w:val="007A237E"/>
    <w:rsid w:val="007A3EA8"/>
    <w:rsid w:val="007A42EB"/>
    <w:rsid w:val="007A44DF"/>
    <w:rsid w:val="007A49AB"/>
    <w:rsid w:val="007A4B48"/>
    <w:rsid w:val="007A4BAB"/>
    <w:rsid w:val="007A5107"/>
    <w:rsid w:val="007A55E6"/>
    <w:rsid w:val="007A5B22"/>
    <w:rsid w:val="007A5B2F"/>
    <w:rsid w:val="007A5F49"/>
    <w:rsid w:val="007A6465"/>
    <w:rsid w:val="007A6E03"/>
    <w:rsid w:val="007A76FA"/>
    <w:rsid w:val="007B0A2A"/>
    <w:rsid w:val="007B1C86"/>
    <w:rsid w:val="007B2A46"/>
    <w:rsid w:val="007B2E00"/>
    <w:rsid w:val="007B3405"/>
    <w:rsid w:val="007B3DB2"/>
    <w:rsid w:val="007B4B51"/>
    <w:rsid w:val="007B53A5"/>
    <w:rsid w:val="007B5705"/>
    <w:rsid w:val="007B57BD"/>
    <w:rsid w:val="007B57EF"/>
    <w:rsid w:val="007B5F5D"/>
    <w:rsid w:val="007B6317"/>
    <w:rsid w:val="007B759D"/>
    <w:rsid w:val="007B763F"/>
    <w:rsid w:val="007B7F25"/>
    <w:rsid w:val="007C14EE"/>
    <w:rsid w:val="007C166D"/>
    <w:rsid w:val="007C2F35"/>
    <w:rsid w:val="007C38F4"/>
    <w:rsid w:val="007C4724"/>
    <w:rsid w:val="007C696F"/>
    <w:rsid w:val="007C728A"/>
    <w:rsid w:val="007C75EC"/>
    <w:rsid w:val="007C77E7"/>
    <w:rsid w:val="007C7D3B"/>
    <w:rsid w:val="007C7E56"/>
    <w:rsid w:val="007D0D19"/>
    <w:rsid w:val="007D1734"/>
    <w:rsid w:val="007D17FC"/>
    <w:rsid w:val="007D28B5"/>
    <w:rsid w:val="007D29DC"/>
    <w:rsid w:val="007D31A4"/>
    <w:rsid w:val="007D3C14"/>
    <w:rsid w:val="007D3D36"/>
    <w:rsid w:val="007D3FF5"/>
    <w:rsid w:val="007D4934"/>
    <w:rsid w:val="007D4EDA"/>
    <w:rsid w:val="007D4F7D"/>
    <w:rsid w:val="007D58EE"/>
    <w:rsid w:val="007D5CEE"/>
    <w:rsid w:val="007D6250"/>
    <w:rsid w:val="007D6BB7"/>
    <w:rsid w:val="007D7D7E"/>
    <w:rsid w:val="007E0DAB"/>
    <w:rsid w:val="007E1494"/>
    <w:rsid w:val="007E16FE"/>
    <w:rsid w:val="007E20F3"/>
    <w:rsid w:val="007E26FD"/>
    <w:rsid w:val="007E2BAF"/>
    <w:rsid w:val="007E3507"/>
    <w:rsid w:val="007E3591"/>
    <w:rsid w:val="007E3D80"/>
    <w:rsid w:val="007E4080"/>
    <w:rsid w:val="007E4BB3"/>
    <w:rsid w:val="007E5313"/>
    <w:rsid w:val="007E6F83"/>
    <w:rsid w:val="007E74B4"/>
    <w:rsid w:val="007F024E"/>
    <w:rsid w:val="007F0492"/>
    <w:rsid w:val="007F04C1"/>
    <w:rsid w:val="007F17C4"/>
    <w:rsid w:val="007F1895"/>
    <w:rsid w:val="007F249B"/>
    <w:rsid w:val="007F24FA"/>
    <w:rsid w:val="007F2A22"/>
    <w:rsid w:val="007F2D1F"/>
    <w:rsid w:val="007F3529"/>
    <w:rsid w:val="007F375D"/>
    <w:rsid w:val="007F470A"/>
    <w:rsid w:val="007F4F5C"/>
    <w:rsid w:val="007F5492"/>
    <w:rsid w:val="007F5DC2"/>
    <w:rsid w:val="007F6772"/>
    <w:rsid w:val="007F6E59"/>
    <w:rsid w:val="007F7031"/>
    <w:rsid w:val="007F7A73"/>
    <w:rsid w:val="00800346"/>
    <w:rsid w:val="008008B9"/>
    <w:rsid w:val="0080205A"/>
    <w:rsid w:val="008026B6"/>
    <w:rsid w:val="00803491"/>
    <w:rsid w:val="00804238"/>
    <w:rsid w:val="00806460"/>
    <w:rsid w:val="00806574"/>
    <w:rsid w:val="008066D2"/>
    <w:rsid w:val="00806C70"/>
    <w:rsid w:val="008070CC"/>
    <w:rsid w:val="00812471"/>
    <w:rsid w:val="0081333B"/>
    <w:rsid w:val="008138E5"/>
    <w:rsid w:val="0081545F"/>
    <w:rsid w:val="0081586C"/>
    <w:rsid w:val="008159DE"/>
    <w:rsid w:val="00816402"/>
    <w:rsid w:val="00816DBC"/>
    <w:rsid w:val="00817CD8"/>
    <w:rsid w:val="008208DC"/>
    <w:rsid w:val="00821113"/>
    <w:rsid w:val="00821505"/>
    <w:rsid w:val="0082184F"/>
    <w:rsid w:val="00821F29"/>
    <w:rsid w:val="0082208A"/>
    <w:rsid w:val="008220E3"/>
    <w:rsid w:val="00823582"/>
    <w:rsid w:val="00824CC4"/>
    <w:rsid w:val="00824E27"/>
    <w:rsid w:val="00826521"/>
    <w:rsid w:val="0082684D"/>
    <w:rsid w:val="0083059E"/>
    <w:rsid w:val="00830720"/>
    <w:rsid w:val="00830EE2"/>
    <w:rsid w:val="0083193C"/>
    <w:rsid w:val="00832A31"/>
    <w:rsid w:val="0083347D"/>
    <w:rsid w:val="00833D49"/>
    <w:rsid w:val="00834450"/>
    <w:rsid w:val="0083480F"/>
    <w:rsid w:val="008357AA"/>
    <w:rsid w:val="008360E7"/>
    <w:rsid w:val="00837096"/>
    <w:rsid w:val="00837603"/>
    <w:rsid w:val="00837991"/>
    <w:rsid w:val="00837A3D"/>
    <w:rsid w:val="00840D6D"/>
    <w:rsid w:val="00841020"/>
    <w:rsid w:val="0084293D"/>
    <w:rsid w:val="00842984"/>
    <w:rsid w:val="008431AF"/>
    <w:rsid w:val="008431C3"/>
    <w:rsid w:val="00844946"/>
    <w:rsid w:val="00844C05"/>
    <w:rsid w:val="00844F77"/>
    <w:rsid w:val="0084501E"/>
    <w:rsid w:val="008451FE"/>
    <w:rsid w:val="008453D4"/>
    <w:rsid w:val="00845B6F"/>
    <w:rsid w:val="00845BA9"/>
    <w:rsid w:val="008464C9"/>
    <w:rsid w:val="00846774"/>
    <w:rsid w:val="00846BB6"/>
    <w:rsid w:val="0084798E"/>
    <w:rsid w:val="00847BD1"/>
    <w:rsid w:val="00847FE9"/>
    <w:rsid w:val="008502CB"/>
    <w:rsid w:val="00850883"/>
    <w:rsid w:val="0085097F"/>
    <w:rsid w:val="00850E55"/>
    <w:rsid w:val="00851296"/>
    <w:rsid w:val="00851297"/>
    <w:rsid w:val="00852211"/>
    <w:rsid w:val="00852278"/>
    <w:rsid w:val="008525B9"/>
    <w:rsid w:val="00852D24"/>
    <w:rsid w:val="0085315A"/>
    <w:rsid w:val="00853758"/>
    <w:rsid w:val="00854482"/>
    <w:rsid w:val="00854533"/>
    <w:rsid w:val="00854673"/>
    <w:rsid w:val="00855394"/>
    <w:rsid w:val="00855498"/>
    <w:rsid w:val="008556F1"/>
    <w:rsid w:val="0085593F"/>
    <w:rsid w:val="00855C82"/>
    <w:rsid w:val="008564FF"/>
    <w:rsid w:val="00856EAC"/>
    <w:rsid w:val="008573B3"/>
    <w:rsid w:val="008611A6"/>
    <w:rsid w:val="00861874"/>
    <w:rsid w:val="00861CEC"/>
    <w:rsid w:val="00861F35"/>
    <w:rsid w:val="0086375A"/>
    <w:rsid w:val="008642CD"/>
    <w:rsid w:val="00864729"/>
    <w:rsid w:val="00864DEC"/>
    <w:rsid w:val="00864F58"/>
    <w:rsid w:val="0086645B"/>
    <w:rsid w:val="00866DAC"/>
    <w:rsid w:val="008672D1"/>
    <w:rsid w:val="00870801"/>
    <w:rsid w:val="00871FF4"/>
    <w:rsid w:val="0087212C"/>
    <w:rsid w:val="0087217F"/>
    <w:rsid w:val="008721C1"/>
    <w:rsid w:val="0087229E"/>
    <w:rsid w:val="008723C6"/>
    <w:rsid w:val="00872793"/>
    <w:rsid w:val="0087293C"/>
    <w:rsid w:val="00873F3B"/>
    <w:rsid w:val="008740F5"/>
    <w:rsid w:val="008744E3"/>
    <w:rsid w:val="00874533"/>
    <w:rsid w:val="008749BD"/>
    <w:rsid w:val="00874FB2"/>
    <w:rsid w:val="008756B8"/>
    <w:rsid w:val="00875CDE"/>
    <w:rsid w:val="00876AC2"/>
    <w:rsid w:val="00876BA6"/>
    <w:rsid w:val="0087783D"/>
    <w:rsid w:val="00877EC2"/>
    <w:rsid w:val="008814AE"/>
    <w:rsid w:val="00882000"/>
    <w:rsid w:val="0088252D"/>
    <w:rsid w:val="00883397"/>
    <w:rsid w:val="0088358A"/>
    <w:rsid w:val="008842CE"/>
    <w:rsid w:val="00884F50"/>
    <w:rsid w:val="00885583"/>
    <w:rsid w:val="008856A3"/>
    <w:rsid w:val="008872AD"/>
    <w:rsid w:val="00887749"/>
    <w:rsid w:val="00887D2C"/>
    <w:rsid w:val="00887DC1"/>
    <w:rsid w:val="0089056F"/>
    <w:rsid w:val="00892877"/>
    <w:rsid w:val="00892A67"/>
    <w:rsid w:val="00893082"/>
    <w:rsid w:val="0089333C"/>
    <w:rsid w:val="00894AA0"/>
    <w:rsid w:val="00894EA7"/>
    <w:rsid w:val="00895B85"/>
    <w:rsid w:val="008A02F2"/>
    <w:rsid w:val="008A08E6"/>
    <w:rsid w:val="008A0E5A"/>
    <w:rsid w:val="008A1CE8"/>
    <w:rsid w:val="008A29EB"/>
    <w:rsid w:val="008A3A42"/>
    <w:rsid w:val="008A416C"/>
    <w:rsid w:val="008A458C"/>
    <w:rsid w:val="008A4DAD"/>
    <w:rsid w:val="008A5604"/>
    <w:rsid w:val="008A56CC"/>
    <w:rsid w:val="008A60B8"/>
    <w:rsid w:val="008A617B"/>
    <w:rsid w:val="008A68F0"/>
    <w:rsid w:val="008A74D4"/>
    <w:rsid w:val="008A78C6"/>
    <w:rsid w:val="008A7FF3"/>
    <w:rsid w:val="008B00DC"/>
    <w:rsid w:val="008B1500"/>
    <w:rsid w:val="008B1586"/>
    <w:rsid w:val="008B2357"/>
    <w:rsid w:val="008B250A"/>
    <w:rsid w:val="008B25BE"/>
    <w:rsid w:val="008B3753"/>
    <w:rsid w:val="008B395E"/>
    <w:rsid w:val="008B45F9"/>
    <w:rsid w:val="008B4E28"/>
    <w:rsid w:val="008B4E40"/>
    <w:rsid w:val="008B52E9"/>
    <w:rsid w:val="008B5422"/>
    <w:rsid w:val="008B5656"/>
    <w:rsid w:val="008B5832"/>
    <w:rsid w:val="008B6020"/>
    <w:rsid w:val="008B6860"/>
    <w:rsid w:val="008B7128"/>
    <w:rsid w:val="008B71D7"/>
    <w:rsid w:val="008B7AFC"/>
    <w:rsid w:val="008C0AA9"/>
    <w:rsid w:val="008C0CE5"/>
    <w:rsid w:val="008C0FDC"/>
    <w:rsid w:val="008C16F6"/>
    <w:rsid w:val="008C188E"/>
    <w:rsid w:val="008C2CFC"/>
    <w:rsid w:val="008C46FB"/>
    <w:rsid w:val="008C52AB"/>
    <w:rsid w:val="008C6341"/>
    <w:rsid w:val="008C6B7A"/>
    <w:rsid w:val="008C7319"/>
    <w:rsid w:val="008D04E9"/>
    <w:rsid w:val="008D0A26"/>
    <w:rsid w:val="008D1B4D"/>
    <w:rsid w:val="008D1F69"/>
    <w:rsid w:val="008D3067"/>
    <w:rsid w:val="008D3F85"/>
    <w:rsid w:val="008D4334"/>
    <w:rsid w:val="008D4342"/>
    <w:rsid w:val="008D48CB"/>
    <w:rsid w:val="008D5169"/>
    <w:rsid w:val="008D5243"/>
    <w:rsid w:val="008D5A97"/>
    <w:rsid w:val="008D6295"/>
    <w:rsid w:val="008D78A1"/>
    <w:rsid w:val="008D7D50"/>
    <w:rsid w:val="008E0D9C"/>
    <w:rsid w:val="008E194B"/>
    <w:rsid w:val="008E2C38"/>
    <w:rsid w:val="008E3077"/>
    <w:rsid w:val="008E3445"/>
    <w:rsid w:val="008E3E0F"/>
    <w:rsid w:val="008E4226"/>
    <w:rsid w:val="008E5B10"/>
    <w:rsid w:val="008E5E80"/>
    <w:rsid w:val="008E6121"/>
    <w:rsid w:val="008E75CF"/>
    <w:rsid w:val="008E7959"/>
    <w:rsid w:val="008E7DF3"/>
    <w:rsid w:val="008F0CFB"/>
    <w:rsid w:val="008F1783"/>
    <w:rsid w:val="008F2453"/>
    <w:rsid w:val="008F3226"/>
    <w:rsid w:val="008F3FEF"/>
    <w:rsid w:val="008F64BF"/>
    <w:rsid w:val="008F6935"/>
    <w:rsid w:val="008F6970"/>
    <w:rsid w:val="008F6A81"/>
    <w:rsid w:val="008F7ABA"/>
    <w:rsid w:val="0090032A"/>
    <w:rsid w:val="00900430"/>
    <w:rsid w:val="00900FA8"/>
    <w:rsid w:val="00901052"/>
    <w:rsid w:val="009025A3"/>
    <w:rsid w:val="00902FDE"/>
    <w:rsid w:val="0090335F"/>
    <w:rsid w:val="00904052"/>
    <w:rsid w:val="009049D5"/>
    <w:rsid w:val="00904EDC"/>
    <w:rsid w:val="00905F41"/>
    <w:rsid w:val="00906AE8"/>
    <w:rsid w:val="00907CE2"/>
    <w:rsid w:val="00907FCD"/>
    <w:rsid w:val="00910818"/>
    <w:rsid w:val="00910EAA"/>
    <w:rsid w:val="00911656"/>
    <w:rsid w:val="00911D8C"/>
    <w:rsid w:val="00911ED4"/>
    <w:rsid w:val="009124D1"/>
    <w:rsid w:val="00912617"/>
    <w:rsid w:val="00912CDA"/>
    <w:rsid w:val="00913957"/>
    <w:rsid w:val="00913997"/>
    <w:rsid w:val="00914DC5"/>
    <w:rsid w:val="00915CB2"/>
    <w:rsid w:val="009175E5"/>
    <w:rsid w:val="00921458"/>
    <w:rsid w:val="0092228D"/>
    <w:rsid w:val="009225E6"/>
    <w:rsid w:val="00922F9B"/>
    <w:rsid w:val="00923569"/>
    <w:rsid w:val="00923C70"/>
    <w:rsid w:val="0092535A"/>
    <w:rsid w:val="00925A08"/>
    <w:rsid w:val="009263E7"/>
    <w:rsid w:val="009272B0"/>
    <w:rsid w:val="0093002E"/>
    <w:rsid w:val="00930161"/>
    <w:rsid w:val="009301D0"/>
    <w:rsid w:val="009305E8"/>
    <w:rsid w:val="009309CD"/>
    <w:rsid w:val="0093148F"/>
    <w:rsid w:val="009316FF"/>
    <w:rsid w:val="00931E8E"/>
    <w:rsid w:val="009322CF"/>
    <w:rsid w:val="00932E7D"/>
    <w:rsid w:val="00933BDD"/>
    <w:rsid w:val="00933FFE"/>
    <w:rsid w:val="009348FE"/>
    <w:rsid w:val="00934921"/>
    <w:rsid w:val="00934E49"/>
    <w:rsid w:val="00934F01"/>
    <w:rsid w:val="00935811"/>
    <w:rsid w:val="00936543"/>
    <w:rsid w:val="009401C4"/>
    <w:rsid w:val="009408E2"/>
    <w:rsid w:val="00940B4E"/>
    <w:rsid w:val="00942186"/>
    <w:rsid w:val="00942260"/>
    <w:rsid w:val="00942BD4"/>
    <w:rsid w:val="00942D74"/>
    <w:rsid w:val="009431BC"/>
    <w:rsid w:val="0094355C"/>
    <w:rsid w:val="00943BD6"/>
    <w:rsid w:val="009440B3"/>
    <w:rsid w:val="009449F1"/>
    <w:rsid w:val="00944A88"/>
    <w:rsid w:val="009458D7"/>
    <w:rsid w:val="00946293"/>
    <w:rsid w:val="0095050E"/>
    <w:rsid w:val="0095100A"/>
    <w:rsid w:val="0095108D"/>
    <w:rsid w:val="0095124E"/>
    <w:rsid w:val="009523F4"/>
    <w:rsid w:val="00952A01"/>
    <w:rsid w:val="009541A1"/>
    <w:rsid w:val="009547EC"/>
    <w:rsid w:val="0095515B"/>
    <w:rsid w:val="0095528E"/>
    <w:rsid w:val="009553A5"/>
    <w:rsid w:val="009558ED"/>
    <w:rsid w:val="00955EA4"/>
    <w:rsid w:val="00956415"/>
    <w:rsid w:val="00957766"/>
    <w:rsid w:val="009577DC"/>
    <w:rsid w:val="009607B2"/>
    <w:rsid w:val="00960F79"/>
    <w:rsid w:val="009620E4"/>
    <w:rsid w:val="00963768"/>
    <w:rsid w:val="00963872"/>
    <w:rsid w:val="00963B74"/>
    <w:rsid w:val="00964FD0"/>
    <w:rsid w:val="009654BE"/>
    <w:rsid w:val="009664F4"/>
    <w:rsid w:val="009664FC"/>
    <w:rsid w:val="009667DD"/>
    <w:rsid w:val="00966953"/>
    <w:rsid w:val="00966BC2"/>
    <w:rsid w:val="009672E2"/>
    <w:rsid w:val="00967EC9"/>
    <w:rsid w:val="00970668"/>
    <w:rsid w:val="009707B8"/>
    <w:rsid w:val="0097103E"/>
    <w:rsid w:val="00971D8B"/>
    <w:rsid w:val="00973C74"/>
    <w:rsid w:val="009748BA"/>
    <w:rsid w:val="009750F1"/>
    <w:rsid w:val="00975131"/>
    <w:rsid w:val="00976B93"/>
    <w:rsid w:val="0097766C"/>
    <w:rsid w:val="00977D1A"/>
    <w:rsid w:val="009804F2"/>
    <w:rsid w:val="009811CB"/>
    <w:rsid w:val="0098140F"/>
    <w:rsid w:val="009819DC"/>
    <w:rsid w:val="00981A77"/>
    <w:rsid w:val="00982242"/>
    <w:rsid w:val="009828DA"/>
    <w:rsid w:val="0098429A"/>
    <w:rsid w:val="00984EC4"/>
    <w:rsid w:val="009857F5"/>
    <w:rsid w:val="009863C2"/>
    <w:rsid w:val="009863F6"/>
    <w:rsid w:val="0098710C"/>
    <w:rsid w:val="00987265"/>
    <w:rsid w:val="00987A99"/>
    <w:rsid w:val="00990C94"/>
    <w:rsid w:val="00991167"/>
    <w:rsid w:val="009914D9"/>
    <w:rsid w:val="009921F8"/>
    <w:rsid w:val="00992944"/>
    <w:rsid w:val="00992C71"/>
    <w:rsid w:val="009953B6"/>
    <w:rsid w:val="0099578E"/>
    <w:rsid w:val="00995DC6"/>
    <w:rsid w:val="00995E8A"/>
    <w:rsid w:val="0099768A"/>
    <w:rsid w:val="00997956"/>
    <w:rsid w:val="00997FC1"/>
    <w:rsid w:val="009A03E6"/>
    <w:rsid w:val="009A0660"/>
    <w:rsid w:val="009A0A67"/>
    <w:rsid w:val="009A1406"/>
    <w:rsid w:val="009A15CC"/>
    <w:rsid w:val="009A1690"/>
    <w:rsid w:val="009A2269"/>
    <w:rsid w:val="009A28DF"/>
    <w:rsid w:val="009A5A03"/>
    <w:rsid w:val="009A5A85"/>
    <w:rsid w:val="009A5BD2"/>
    <w:rsid w:val="009A61EF"/>
    <w:rsid w:val="009A69AD"/>
    <w:rsid w:val="009A6CDC"/>
    <w:rsid w:val="009A714A"/>
    <w:rsid w:val="009A7446"/>
    <w:rsid w:val="009A7EAE"/>
    <w:rsid w:val="009B0790"/>
    <w:rsid w:val="009B0969"/>
    <w:rsid w:val="009B13A8"/>
    <w:rsid w:val="009B16E5"/>
    <w:rsid w:val="009B1787"/>
    <w:rsid w:val="009B1C87"/>
    <w:rsid w:val="009B2480"/>
    <w:rsid w:val="009B2DB8"/>
    <w:rsid w:val="009B34EA"/>
    <w:rsid w:val="009B3946"/>
    <w:rsid w:val="009B3BF8"/>
    <w:rsid w:val="009B45BB"/>
    <w:rsid w:val="009B5535"/>
    <w:rsid w:val="009B5794"/>
    <w:rsid w:val="009B57DB"/>
    <w:rsid w:val="009B61C4"/>
    <w:rsid w:val="009B7F38"/>
    <w:rsid w:val="009B7F3B"/>
    <w:rsid w:val="009C0AFB"/>
    <w:rsid w:val="009C0BA0"/>
    <w:rsid w:val="009C2500"/>
    <w:rsid w:val="009C2BC1"/>
    <w:rsid w:val="009C2E71"/>
    <w:rsid w:val="009C2FB0"/>
    <w:rsid w:val="009C3CC6"/>
    <w:rsid w:val="009C3D6B"/>
    <w:rsid w:val="009C4437"/>
    <w:rsid w:val="009C579A"/>
    <w:rsid w:val="009C5D53"/>
    <w:rsid w:val="009C5EE8"/>
    <w:rsid w:val="009C625E"/>
    <w:rsid w:val="009C656D"/>
    <w:rsid w:val="009C6876"/>
    <w:rsid w:val="009C745E"/>
    <w:rsid w:val="009C785A"/>
    <w:rsid w:val="009D08A4"/>
    <w:rsid w:val="009D095E"/>
    <w:rsid w:val="009D1699"/>
    <w:rsid w:val="009D1DC5"/>
    <w:rsid w:val="009D2218"/>
    <w:rsid w:val="009D224A"/>
    <w:rsid w:val="009D233A"/>
    <w:rsid w:val="009D2754"/>
    <w:rsid w:val="009D43AE"/>
    <w:rsid w:val="009D5546"/>
    <w:rsid w:val="009D6A6F"/>
    <w:rsid w:val="009E00A1"/>
    <w:rsid w:val="009E00A5"/>
    <w:rsid w:val="009E05AA"/>
    <w:rsid w:val="009E1134"/>
    <w:rsid w:val="009E125D"/>
    <w:rsid w:val="009E12CB"/>
    <w:rsid w:val="009E22B4"/>
    <w:rsid w:val="009E2342"/>
    <w:rsid w:val="009E30F6"/>
    <w:rsid w:val="009E350C"/>
    <w:rsid w:val="009E3A59"/>
    <w:rsid w:val="009E4169"/>
    <w:rsid w:val="009E4ADC"/>
    <w:rsid w:val="009E5AE2"/>
    <w:rsid w:val="009E5C4E"/>
    <w:rsid w:val="009E5D86"/>
    <w:rsid w:val="009E5FD7"/>
    <w:rsid w:val="009E71F2"/>
    <w:rsid w:val="009E7460"/>
    <w:rsid w:val="009E7E96"/>
    <w:rsid w:val="009F05C3"/>
    <w:rsid w:val="009F0E17"/>
    <w:rsid w:val="009F0F1A"/>
    <w:rsid w:val="009F1165"/>
    <w:rsid w:val="009F11FD"/>
    <w:rsid w:val="009F13FC"/>
    <w:rsid w:val="009F2E10"/>
    <w:rsid w:val="009F3045"/>
    <w:rsid w:val="009F3176"/>
    <w:rsid w:val="009F3199"/>
    <w:rsid w:val="009F31EF"/>
    <w:rsid w:val="009F37CF"/>
    <w:rsid w:val="009F40BB"/>
    <w:rsid w:val="009F46E6"/>
    <w:rsid w:val="009F59EB"/>
    <w:rsid w:val="009F5D82"/>
    <w:rsid w:val="009F6849"/>
    <w:rsid w:val="009F6B73"/>
    <w:rsid w:val="009F7BD5"/>
    <w:rsid w:val="00A02201"/>
    <w:rsid w:val="00A02B07"/>
    <w:rsid w:val="00A03615"/>
    <w:rsid w:val="00A03677"/>
    <w:rsid w:val="00A04528"/>
    <w:rsid w:val="00A04AC3"/>
    <w:rsid w:val="00A04AF9"/>
    <w:rsid w:val="00A04CFC"/>
    <w:rsid w:val="00A04D76"/>
    <w:rsid w:val="00A05CB3"/>
    <w:rsid w:val="00A06287"/>
    <w:rsid w:val="00A066A5"/>
    <w:rsid w:val="00A066F4"/>
    <w:rsid w:val="00A071F6"/>
    <w:rsid w:val="00A07A60"/>
    <w:rsid w:val="00A07A80"/>
    <w:rsid w:val="00A10E38"/>
    <w:rsid w:val="00A137A9"/>
    <w:rsid w:val="00A14C07"/>
    <w:rsid w:val="00A1533E"/>
    <w:rsid w:val="00A1627F"/>
    <w:rsid w:val="00A1631D"/>
    <w:rsid w:val="00A178DD"/>
    <w:rsid w:val="00A17BDD"/>
    <w:rsid w:val="00A17E63"/>
    <w:rsid w:val="00A205FE"/>
    <w:rsid w:val="00A20635"/>
    <w:rsid w:val="00A2096E"/>
    <w:rsid w:val="00A22054"/>
    <w:rsid w:val="00A22158"/>
    <w:rsid w:val="00A2364F"/>
    <w:rsid w:val="00A23A31"/>
    <w:rsid w:val="00A23D5D"/>
    <w:rsid w:val="00A24527"/>
    <w:rsid w:val="00A2496E"/>
    <w:rsid w:val="00A24FC1"/>
    <w:rsid w:val="00A2597E"/>
    <w:rsid w:val="00A263F5"/>
    <w:rsid w:val="00A26471"/>
    <w:rsid w:val="00A26698"/>
    <w:rsid w:val="00A27857"/>
    <w:rsid w:val="00A27C2E"/>
    <w:rsid w:val="00A31658"/>
    <w:rsid w:val="00A31A44"/>
    <w:rsid w:val="00A32C9F"/>
    <w:rsid w:val="00A330C7"/>
    <w:rsid w:val="00A3314B"/>
    <w:rsid w:val="00A331E6"/>
    <w:rsid w:val="00A3363E"/>
    <w:rsid w:val="00A33AE0"/>
    <w:rsid w:val="00A33B68"/>
    <w:rsid w:val="00A33C93"/>
    <w:rsid w:val="00A3455B"/>
    <w:rsid w:val="00A3496C"/>
    <w:rsid w:val="00A35D3A"/>
    <w:rsid w:val="00A35D87"/>
    <w:rsid w:val="00A372E2"/>
    <w:rsid w:val="00A373CC"/>
    <w:rsid w:val="00A3747C"/>
    <w:rsid w:val="00A3768C"/>
    <w:rsid w:val="00A4079A"/>
    <w:rsid w:val="00A409A8"/>
    <w:rsid w:val="00A40D5D"/>
    <w:rsid w:val="00A43546"/>
    <w:rsid w:val="00A4370B"/>
    <w:rsid w:val="00A43998"/>
    <w:rsid w:val="00A45155"/>
    <w:rsid w:val="00A4540F"/>
    <w:rsid w:val="00A45BC4"/>
    <w:rsid w:val="00A45CB6"/>
    <w:rsid w:val="00A46A9C"/>
    <w:rsid w:val="00A46D16"/>
    <w:rsid w:val="00A46EC9"/>
    <w:rsid w:val="00A50045"/>
    <w:rsid w:val="00A50218"/>
    <w:rsid w:val="00A5115B"/>
    <w:rsid w:val="00A51579"/>
    <w:rsid w:val="00A51A50"/>
    <w:rsid w:val="00A52CE6"/>
    <w:rsid w:val="00A53ADE"/>
    <w:rsid w:val="00A54182"/>
    <w:rsid w:val="00A555B9"/>
    <w:rsid w:val="00A55FD3"/>
    <w:rsid w:val="00A56C8A"/>
    <w:rsid w:val="00A56F46"/>
    <w:rsid w:val="00A57491"/>
    <w:rsid w:val="00A60422"/>
    <w:rsid w:val="00A60445"/>
    <w:rsid w:val="00A60FE8"/>
    <w:rsid w:val="00A61DC6"/>
    <w:rsid w:val="00A62BD4"/>
    <w:rsid w:val="00A65769"/>
    <w:rsid w:val="00A65AA3"/>
    <w:rsid w:val="00A6646F"/>
    <w:rsid w:val="00A710D6"/>
    <w:rsid w:val="00A717EB"/>
    <w:rsid w:val="00A722AC"/>
    <w:rsid w:val="00A72E40"/>
    <w:rsid w:val="00A73112"/>
    <w:rsid w:val="00A73848"/>
    <w:rsid w:val="00A73BED"/>
    <w:rsid w:val="00A740EC"/>
    <w:rsid w:val="00A74188"/>
    <w:rsid w:val="00A74CAE"/>
    <w:rsid w:val="00A7500A"/>
    <w:rsid w:val="00A76CF0"/>
    <w:rsid w:val="00A76DAD"/>
    <w:rsid w:val="00A77404"/>
    <w:rsid w:val="00A774A6"/>
    <w:rsid w:val="00A778C7"/>
    <w:rsid w:val="00A806CE"/>
    <w:rsid w:val="00A8087F"/>
    <w:rsid w:val="00A80BD4"/>
    <w:rsid w:val="00A81457"/>
    <w:rsid w:val="00A82824"/>
    <w:rsid w:val="00A838C2"/>
    <w:rsid w:val="00A843B7"/>
    <w:rsid w:val="00A84AD0"/>
    <w:rsid w:val="00A84DF1"/>
    <w:rsid w:val="00A86C86"/>
    <w:rsid w:val="00A86EA0"/>
    <w:rsid w:val="00A87B8F"/>
    <w:rsid w:val="00A9084B"/>
    <w:rsid w:val="00A91668"/>
    <w:rsid w:val="00A918E5"/>
    <w:rsid w:val="00A93186"/>
    <w:rsid w:val="00A93EF6"/>
    <w:rsid w:val="00A943CC"/>
    <w:rsid w:val="00A9513A"/>
    <w:rsid w:val="00A95383"/>
    <w:rsid w:val="00A95545"/>
    <w:rsid w:val="00A967B5"/>
    <w:rsid w:val="00A96DD8"/>
    <w:rsid w:val="00A9706D"/>
    <w:rsid w:val="00A971FE"/>
    <w:rsid w:val="00A97793"/>
    <w:rsid w:val="00AA013C"/>
    <w:rsid w:val="00AA1A5F"/>
    <w:rsid w:val="00AA2276"/>
    <w:rsid w:val="00AA2D73"/>
    <w:rsid w:val="00AA2F81"/>
    <w:rsid w:val="00AA3004"/>
    <w:rsid w:val="00AA33AD"/>
    <w:rsid w:val="00AA3FB9"/>
    <w:rsid w:val="00AA4031"/>
    <w:rsid w:val="00AA40FF"/>
    <w:rsid w:val="00AA4523"/>
    <w:rsid w:val="00AA4D96"/>
    <w:rsid w:val="00AA574D"/>
    <w:rsid w:val="00AA578F"/>
    <w:rsid w:val="00AA592D"/>
    <w:rsid w:val="00AA5F41"/>
    <w:rsid w:val="00AA6164"/>
    <w:rsid w:val="00AA6605"/>
    <w:rsid w:val="00AA67FE"/>
    <w:rsid w:val="00AA7083"/>
    <w:rsid w:val="00AA7F06"/>
    <w:rsid w:val="00AB00EA"/>
    <w:rsid w:val="00AB086E"/>
    <w:rsid w:val="00AB1256"/>
    <w:rsid w:val="00AB14A5"/>
    <w:rsid w:val="00AB2302"/>
    <w:rsid w:val="00AB28AE"/>
    <w:rsid w:val="00AB328C"/>
    <w:rsid w:val="00AB33B0"/>
    <w:rsid w:val="00AB3BFA"/>
    <w:rsid w:val="00AB6513"/>
    <w:rsid w:val="00AB67A4"/>
    <w:rsid w:val="00AB682C"/>
    <w:rsid w:val="00AB6FB8"/>
    <w:rsid w:val="00AB710E"/>
    <w:rsid w:val="00AB754E"/>
    <w:rsid w:val="00AC20F8"/>
    <w:rsid w:val="00AC3789"/>
    <w:rsid w:val="00AC37BD"/>
    <w:rsid w:val="00AC3806"/>
    <w:rsid w:val="00AC4117"/>
    <w:rsid w:val="00AC473A"/>
    <w:rsid w:val="00AC48B5"/>
    <w:rsid w:val="00AC6133"/>
    <w:rsid w:val="00AD01DC"/>
    <w:rsid w:val="00AD11D1"/>
    <w:rsid w:val="00AD23FD"/>
    <w:rsid w:val="00AD380B"/>
    <w:rsid w:val="00AD41B6"/>
    <w:rsid w:val="00AD541D"/>
    <w:rsid w:val="00AD56F7"/>
    <w:rsid w:val="00AD5F0B"/>
    <w:rsid w:val="00AD723C"/>
    <w:rsid w:val="00AD73D8"/>
    <w:rsid w:val="00AD7C22"/>
    <w:rsid w:val="00AD7C3F"/>
    <w:rsid w:val="00AD7C65"/>
    <w:rsid w:val="00AE01EA"/>
    <w:rsid w:val="00AE0BE8"/>
    <w:rsid w:val="00AE1408"/>
    <w:rsid w:val="00AE1736"/>
    <w:rsid w:val="00AE1762"/>
    <w:rsid w:val="00AE18C7"/>
    <w:rsid w:val="00AE1BCC"/>
    <w:rsid w:val="00AE215A"/>
    <w:rsid w:val="00AE2483"/>
    <w:rsid w:val="00AE316B"/>
    <w:rsid w:val="00AE3288"/>
    <w:rsid w:val="00AE3BC4"/>
    <w:rsid w:val="00AE5805"/>
    <w:rsid w:val="00AE5850"/>
    <w:rsid w:val="00AE5F73"/>
    <w:rsid w:val="00AE6E91"/>
    <w:rsid w:val="00AE6F9F"/>
    <w:rsid w:val="00AF0762"/>
    <w:rsid w:val="00AF0A4E"/>
    <w:rsid w:val="00AF13E6"/>
    <w:rsid w:val="00AF1CEE"/>
    <w:rsid w:val="00AF1E06"/>
    <w:rsid w:val="00AF238C"/>
    <w:rsid w:val="00AF253F"/>
    <w:rsid w:val="00AF3F00"/>
    <w:rsid w:val="00AF423D"/>
    <w:rsid w:val="00AF4C5D"/>
    <w:rsid w:val="00AF5735"/>
    <w:rsid w:val="00AF6183"/>
    <w:rsid w:val="00AF647F"/>
    <w:rsid w:val="00AF6A17"/>
    <w:rsid w:val="00AF7096"/>
    <w:rsid w:val="00AF7399"/>
    <w:rsid w:val="00AF7AF2"/>
    <w:rsid w:val="00B00937"/>
    <w:rsid w:val="00B00A39"/>
    <w:rsid w:val="00B00D0A"/>
    <w:rsid w:val="00B02741"/>
    <w:rsid w:val="00B02ABC"/>
    <w:rsid w:val="00B0300E"/>
    <w:rsid w:val="00B03262"/>
    <w:rsid w:val="00B041A2"/>
    <w:rsid w:val="00B04B63"/>
    <w:rsid w:val="00B05820"/>
    <w:rsid w:val="00B05DE8"/>
    <w:rsid w:val="00B06551"/>
    <w:rsid w:val="00B06CA1"/>
    <w:rsid w:val="00B10698"/>
    <w:rsid w:val="00B10C9E"/>
    <w:rsid w:val="00B120A4"/>
    <w:rsid w:val="00B132C4"/>
    <w:rsid w:val="00B14577"/>
    <w:rsid w:val="00B14C88"/>
    <w:rsid w:val="00B155AE"/>
    <w:rsid w:val="00B155FB"/>
    <w:rsid w:val="00B1563C"/>
    <w:rsid w:val="00B15B95"/>
    <w:rsid w:val="00B1669D"/>
    <w:rsid w:val="00B167B6"/>
    <w:rsid w:val="00B1693F"/>
    <w:rsid w:val="00B16B1D"/>
    <w:rsid w:val="00B176DF"/>
    <w:rsid w:val="00B17C21"/>
    <w:rsid w:val="00B21A9A"/>
    <w:rsid w:val="00B24072"/>
    <w:rsid w:val="00B2409B"/>
    <w:rsid w:val="00B24895"/>
    <w:rsid w:val="00B25D3C"/>
    <w:rsid w:val="00B25DA1"/>
    <w:rsid w:val="00B263F3"/>
    <w:rsid w:val="00B26573"/>
    <w:rsid w:val="00B26D2C"/>
    <w:rsid w:val="00B26E96"/>
    <w:rsid w:val="00B277A4"/>
    <w:rsid w:val="00B27DF6"/>
    <w:rsid w:val="00B31683"/>
    <w:rsid w:val="00B31A14"/>
    <w:rsid w:val="00B31CE9"/>
    <w:rsid w:val="00B31DEA"/>
    <w:rsid w:val="00B321C2"/>
    <w:rsid w:val="00B322D4"/>
    <w:rsid w:val="00B33DB0"/>
    <w:rsid w:val="00B34143"/>
    <w:rsid w:val="00B34A65"/>
    <w:rsid w:val="00B35059"/>
    <w:rsid w:val="00B35AC4"/>
    <w:rsid w:val="00B36AD4"/>
    <w:rsid w:val="00B36D96"/>
    <w:rsid w:val="00B375C2"/>
    <w:rsid w:val="00B40471"/>
    <w:rsid w:val="00B4074A"/>
    <w:rsid w:val="00B40DE2"/>
    <w:rsid w:val="00B40FFA"/>
    <w:rsid w:val="00B422FA"/>
    <w:rsid w:val="00B4251F"/>
    <w:rsid w:val="00B42802"/>
    <w:rsid w:val="00B428CC"/>
    <w:rsid w:val="00B42B2C"/>
    <w:rsid w:val="00B42B41"/>
    <w:rsid w:val="00B43732"/>
    <w:rsid w:val="00B439E1"/>
    <w:rsid w:val="00B44E21"/>
    <w:rsid w:val="00B4701D"/>
    <w:rsid w:val="00B47A43"/>
    <w:rsid w:val="00B47CF3"/>
    <w:rsid w:val="00B47E40"/>
    <w:rsid w:val="00B506E4"/>
    <w:rsid w:val="00B5253E"/>
    <w:rsid w:val="00B53D89"/>
    <w:rsid w:val="00B544BE"/>
    <w:rsid w:val="00B57535"/>
    <w:rsid w:val="00B57C82"/>
    <w:rsid w:val="00B60073"/>
    <w:rsid w:val="00B60618"/>
    <w:rsid w:val="00B60836"/>
    <w:rsid w:val="00B61233"/>
    <w:rsid w:val="00B61771"/>
    <w:rsid w:val="00B61A93"/>
    <w:rsid w:val="00B61FDD"/>
    <w:rsid w:val="00B623B4"/>
    <w:rsid w:val="00B631C8"/>
    <w:rsid w:val="00B6327F"/>
    <w:rsid w:val="00B642FF"/>
    <w:rsid w:val="00B647F6"/>
    <w:rsid w:val="00B664A5"/>
    <w:rsid w:val="00B66BE8"/>
    <w:rsid w:val="00B66EA0"/>
    <w:rsid w:val="00B679F3"/>
    <w:rsid w:val="00B67E7A"/>
    <w:rsid w:val="00B70352"/>
    <w:rsid w:val="00B708B0"/>
    <w:rsid w:val="00B70B07"/>
    <w:rsid w:val="00B7102F"/>
    <w:rsid w:val="00B71534"/>
    <w:rsid w:val="00B733E1"/>
    <w:rsid w:val="00B73464"/>
    <w:rsid w:val="00B73DC8"/>
    <w:rsid w:val="00B74A4E"/>
    <w:rsid w:val="00B74CD0"/>
    <w:rsid w:val="00B74FD4"/>
    <w:rsid w:val="00B77321"/>
    <w:rsid w:val="00B80A78"/>
    <w:rsid w:val="00B8124F"/>
    <w:rsid w:val="00B81289"/>
    <w:rsid w:val="00B8204E"/>
    <w:rsid w:val="00B82AB6"/>
    <w:rsid w:val="00B82F15"/>
    <w:rsid w:val="00B83410"/>
    <w:rsid w:val="00B83414"/>
    <w:rsid w:val="00B83E67"/>
    <w:rsid w:val="00B84A60"/>
    <w:rsid w:val="00B84F9C"/>
    <w:rsid w:val="00B84FEF"/>
    <w:rsid w:val="00B855A5"/>
    <w:rsid w:val="00B85B11"/>
    <w:rsid w:val="00B8601E"/>
    <w:rsid w:val="00B87C79"/>
    <w:rsid w:val="00B904BA"/>
    <w:rsid w:val="00B906B6"/>
    <w:rsid w:val="00B90ACA"/>
    <w:rsid w:val="00B914DA"/>
    <w:rsid w:val="00B9237E"/>
    <w:rsid w:val="00B93754"/>
    <w:rsid w:val="00B937E1"/>
    <w:rsid w:val="00B948C7"/>
    <w:rsid w:val="00B95C7C"/>
    <w:rsid w:val="00B9636F"/>
    <w:rsid w:val="00B971AD"/>
    <w:rsid w:val="00B971E8"/>
    <w:rsid w:val="00B97288"/>
    <w:rsid w:val="00B978DA"/>
    <w:rsid w:val="00B97FCA"/>
    <w:rsid w:val="00BA0AF4"/>
    <w:rsid w:val="00BA16EE"/>
    <w:rsid w:val="00BA23CC"/>
    <w:rsid w:val="00BA28C6"/>
    <w:rsid w:val="00BA2DAF"/>
    <w:rsid w:val="00BA3931"/>
    <w:rsid w:val="00BA4538"/>
    <w:rsid w:val="00BA466B"/>
    <w:rsid w:val="00BA4AC8"/>
    <w:rsid w:val="00BA4BC5"/>
    <w:rsid w:val="00BA54EC"/>
    <w:rsid w:val="00BA5F37"/>
    <w:rsid w:val="00BA60AF"/>
    <w:rsid w:val="00BB0590"/>
    <w:rsid w:val="00BB06FF"/>
    <w:rsid w:val="00BB0A6F"/>
    <w:rsid w:val="00BB1772"/>
    <w:rsid w:val="00BB2B2E"/>
    <w:rsid w:val="00BB3036"/>
    <w:rsid w:val="00BB52A3"/>
    <w:rsid w:val="00BB535F"/>
    <w:rsid w:val="00BB5867"/>
    <w:rsid w:val="00BB6BE8"/>
    <w:rsid w:val="00BB6DE3"/>
    <w:rsid w:val="00BB726E"/>
    <w:rsid w:val="00BB736D"/>
    <w:rsid w:val="00BC0735"/>
    <w:rsid w:val="00BC0742"/>
    <w:rsid w:val="00BC1664"/>
    <w:rsid w:val="00BC1C0E"/>
    <w:rsid w:val="00BC212D"/>
    <w:rsid w:val="00BC3EF2"/>
    <w:rsid w:val="00BC40DF"/>
    <w:rsid w:val="00BC5056"/>
    <w:rsid w:val="00BC5AC3"/>
    <w:rsid w:val="00BC5B13"/>
    <w:rsid w:val="00BC64A8"/>
    <w:rsid w:val="00BD0D23"/>
    <w:rsid w:val="00BD1869"/>
    <w:rsid w:val="00BD22B2"/>
    <w:rsid w:val="00BD4AD7"/>
    <w:rsid w:val="00BD64E8"/>
    <w:rsid w:val="00BD6766"/>
    <w:rsid w:val="00BD7013"/>
    <w:rsid w:val="00BE081A"/>
    <w:rsid w:val="00BE115C"/>
    <w:rsid w:val="00BE122E"/>
    <w:rsid w:val="00BE199C"/>
    <w:rsid w:val="00BE3085"/>
    <w:rsid w:val="00BE3B72"/>
    <w:rsid w:val="00BE4058"/>
    <w:rsid w:val="00BE447A"/>
    <w:rsid w:val="00BE458D"/>
    <w:rsid w:val="00BE5025"/>
    <w:rsid w:val="00BE69A5"/>
    <w:rsid w:val="00BE7526"/>
    <w:rsid w:val="00BE7CDE"/>
    <w:rsid w:val="00BF14BC"/>
    <w:rsid w:val="00BF1F76"/>
    <w:rsid w:val="00BF305F"/>
    <w:rsid w:val="00BF3B66"/>
    <w:rsid w:val="00BF4571"/>
    <w:rsid w:val="00BF5A04"/>
    <w:rsid w:val="00BF6CD6"/>
    <w:rsid w:val="00BF6E5A"/>
    <w:rsid w:val="00BF709E"/>
    <w:rsid w:val="00BF712E"/>
    <w:rsid w:val="00BF718B"/>
    <w:rsid w:val="00BF7E6B"/>
    <w:rsid w:val="00C010A9"/>
    <w:rsid w:val="00C0173F"/>
    <w:rsid w:val="00C018DD"/>
    <w:rsid w:val="00C01C65"/>
    <w:rsid w:val="00C035B3"/>
    <w:rsid w:val="00C03897"/>
    <w:rsid w:val="00C04681"/>
    <w:rsid w:val="00C064D4"/>
    <w:rsid w:val="00C0673E"/>
    <w:rsid w:val="00C0793C"/>
    <w:rsid w:val="00C07A75"/>
    <w:rsid w:val="00C07C72"/>
    <w:rsid w:val="00C1006F"/>
    <w:rsid w:val="00C10E8F"/>
    <w:rsid w:val="00C1156B"/>
    <w:rsid w:val="00C11651"/>
    <w:rsid w:val="00C11A3A"/>
    <w:rsid w:val="00C11B2C"/>
    <w:rsid w:val="00C11C80"/>
    <w:rsid w:val="00C1200F"/>
    <w:rsid w:val="00C122FF"/>
    <w:rsid w:val="00C13155"/>
    <w:rsid w:val="00C139A4"/>
    <w:rsid w:val="00C14C88"/>
    <w:rsid w:val="00C156EF"/>
    <w:rsid w:val="00C1679B"/>
    <w:rsid w:val="00C1679E"/>
    <w:rsid w:val="00C16AF3"/>
    <w:rsid w:val="00C16F23"/>
    <w:rsid w:val="00C17B4F"/>
    <w:rsid w:val="00C17D91"/>
    <w:rsid w:val="00C20163"/>
    <w:rsid w:val="00C20189"/>
    <w:rsid w:val="00C206B9"/>
    <w:rsid w:val="00C20C76"/>
    <w:rsid w:val="00C225B5"/>
    <w:rsid w:val="00C227FB"/>
    <w:rsid w:val="00C229B5"/>
    <w:rsid w:val="00C22EC8"/>
    <w:rsid w:val="00C24622"/>
    <w:rsid w:val="00C24899"/>
    <w:rsid w:val="00C24EC4"/>
    <w:rsid w:val="00C25A0B"/>
    <w:rsid w:val="00C260B2"/>
    <w:rsid w:val="00C26259"/>
    <w:rsid w:val="00C264A3"/>
    <w:rsid w:val="00C26C25"/>
    <w:rsid w:val="00C26DE0"/>
    <w:rsid w:val="00C275F1"/>
    <w:rsid w:val="00C30A77"/>
    <w:rsid w:val="00C30AE8"/>
    <w:rsid w:val="00C30EB6"/>
    <w:rsid w:val="00C312D7"/>
    <w:rsid w:val="00C316A8"/>
    <w:rsid w:val="00C32497"/>
    <w:rsid w:val="00C33540"/>
    <w:rsid w:val="00C337EB"/>
    <w:rsid w:val="00C34212"/>
    <w:rsid w:val="00C345BF"/>
    <w:rsid w:val="00C348D8"/>
    <w:rsid w:val="00C35395"/>
    <w:rsid w:val="00C355A3"/>
    <w:rsid w:val="00C35ECB"/>
    <w:rsid w:val="00C36F07"/>
    <w:rsid w:val="00C37CC8"/>
    <w:rsid w:val="00C4047A"/>
    <w:rsid w:val="00C416B4"/>
    <w:rsid w:val="00C42C3A"/>
    <w:rsid w:val="00C42D12"/>
    <w:rsid w:val="00C42D24"/>
    <w:rsid w:val="00C45B9F"/>
    <w:rsid w:val="00C46F93"/>
    <w:rsid w:val="00C473A2"/>
    <w:rsid w:val="00C47B0E"/>
    <w:rsid w:val="00C47B21"/>
    <w:rsid w:val="00C510C2"/>
    <w:rsid w:val="00C51886"/>
    <w:rsid w:val="00C52E6A"/>
    <w:rsid w:val="00C52EEB"/>
    <w:rsid w:val="00C534AD"/>
    <w:rsid w:val="00C545D5"/>
    <w:rsid w:val="00C548FF"/>
    <w:rsid w:val="00C54A81"/>
    <w:rsid w:val="00C55DEA"/>
    <w:rsid w:val="00C5620D"/>
    <w:rsid w:val="00C56226"/>
    <w:rsid w:val="00C5631A"/>
    <w:rsid w:val="00C56B3B"/>
    <w:rsid w:val="00C56B8C"/>
    <w:rsid w:val="00C60444"/>
    <w:rsid w:val="00C605A3"/>
    <w:rsid w:val="00C60DFD"/>
    <w:rsid w:val="00C61C5B"/>
    <w:rsid w:val="00C61F9E"/>
    <w:rsid w:val="00C62321"/>
    <w:rsid w:val="00C62BD4"/>
    <w:rsid w:val="00C65484"/>
    <w:rsid w:val="00C664DA"/>
    <w:rsid w:val="00C67397"/>
    <w:rsid w:val="00C7023F"/>
    <w:rsid w:val="00C70A46"/>
    <w:rsid w:val="00C71622"/>
    <w:rsid w:val="00C7464C"/>
    <w:rsid w:val="00C74680"/>
    <w:rsid w:val="00C7522C"/>
    <w:rsid w:val="00C76F0D"/>
    <w:rsid w:val="00C80050"/>
    <w:rsid w:val="00C80A00"/>
    <w:rsid w:val="00C80BBE"/>
    <w:rsid w:val="00C8157F"/>
    <w:rsid w:val="00C81AD2"/>
    <w:rsid w:val="00C8215D"/>
    <w:rsid w:val="00C82E16"/>
    <w:rsid w:val="00C82ED6"/>
    <w:rsid w:val="00C83341"/>
    <w:rsid w:val="00C83C5F"/>
    <w:rsid w:val="00C83E74"/>
    <w:rsid w:val="00C850F4"/>
    <w:rsid w:val="00C85C83"/>
    <w:rsid w:val="00C8738F"/>
    <w:rsid w:val="00C87CA2"/>
    <w:rsid w:val="00C905D5"/>
    <w:rsid w:val="00C91A6A"/>
    <w:rsid w:val="00C91DD6"/>
    <w:rsid w:val="00C91F56"/>
    <w:rsid w:val="00C922E7"/>
    <w:rsid w:val="00C92AC8"/>
    <w:rsid w:val="00C92D09"/>
    <w:rsid w:val="00C92F6C"/>
    <w:rsid w:val="00C9365C"/>
    <w:rsid w:val="00C93F00"/>
    <w:rsid w:val="00C948DB"/>
    <w:rsid w:val="00C94ABB"/>
    <w:rsid w:val="00C9519A"/>
    <w:rsid w:val="00C95274"/>
    <w:rsid w:val="00C959FA"/>
    <w:rsid w:val="00C9634C"/>
    <w:rsid w:val="00C964CB"/>
    <w:rsid w:val="00C966FF"/>
    <w:rsid w:val="00C96941"/>
    <w:rsid w:val="00C96AC8"/>
    <w:rsid w:val="00C9766D"/>
    <w:rsid w:val="00C9774E"/>
    <w:rsid w:val="00CA0738"/>
    <w:rsid w:val="00CA1523"/>
    <w:rsid w:val="00CA1F9F"/>
    <w:rsid w:val="00CA259C"/>
    <w:rsid w:val="00CA3252"/>
    <w:rsid w:val="00CA3841"/>
    <w:rsid w:val="00CA3CB3"/>
    <w:rsid w:val="00CA3D44"/>
    <w:rsid w:val="00CA3D7C"/>
    <w:rsid w:val="00CA4739"/>
    <w:rsid w:val="00CA5275"/>
    <w:rsid w:val="00CA676A"/>
    <w:rsid w:val="00CA6F3F"/>
    <w:rsid w:val="00CA7150"/>
    <w:rsid w:val="00CA7DE0"/>
    <w:rsid w:val="00CB01F4"/>
    <w:rsid w:val="00CB050A"/>
    <w:rsid w:val="00CB0D40"/>
    <w:rsid w:val="00CB2B8E"/>
    <w:rsid w:val="00CB310B"/>
    <w:rsid w:val="00CB31F3"/>
    <w:rsid w:val="00CB3A00"/>
    <w:rsid w:val="00CB4771"/>
    <w:rsid w:val="00CB4FF0"/>
    <w:rsid w:val="00CB7359"/>
    <w:rsid w:val="00CC03EE"/>
    <w:rsid w:val="00CC0850"/>
    <w:rsid w:val="00CC0CCA"/>
    <w:rsid w:val="00CC1711"/>
    <w:rsid w:val="00CC1ECD"/>
    <w:rsid w:val="00CC342F"/>
    <w:rsid w:val="00CC38E9"/>
    <w:rsid w:val="00CC3E19"/>
    <w:rsid w:val="00CC3EA8"/>
    <w:rsid w:val="00CC4AC2"/>
    <w:rsid w:val="00CC5244"/>
    <w:rsid w:val="00CC533F"/>
    <w:rsid w:val="00CC547F"/>
    <w:rsid w:val="00CC7B68"/>
    <w:rsid w:val="00CD0BAA"/>
    <w:rsid w:val="00CD1977"/>
    <w:rsid w:val="00CD1D11"/>
    <w:rsid w:val="00CD2D63"/>
    <w:rsid w:val="00CD2F0D"/>
    <w:rsid w:val="00CD337B"/>
    <w:rsid w:val="00CD3BA6"/>
    <w:rsid w:val="00CD46FA"/>
    <w:rsid w:val="00CD55F1"/>
    <w:rsid w:val="00CD66DE"/>
    <w:rsid w:val="00CD68C8"/>
    <w:rsid w:val="00CE00D9"/>
    <w:rsid w:val="00CE04D2"/>
    <w:rsid w:val="00CE056E"/>
    <w:rsid w:val="00CE19DF"/>
    <w:rsid w:val="00CE2412"/>
    <w:rsid w:val="00CE2E5F"/>
    <w:rsid w:val="00CE31F4"/>
    <w:rsid w:val="00CE38E1"/>
    <w:rsid w:val="00CE38EB"/>
    <w:rsid w:val="00CE3C1A"/>
    <w:rsid w:val="00CE3CBA"/>
    <w:rsid w:val="00CE551D"/>
    <w:rsid w:val="00CE5A3F"/>
    <w:rsid w:val="00CE7278"/>
    <w:rsid w:val="00CE7596"/>
    <w:rsid w:val="00CE7E4A"/>
    <w:rsid w:val="00CF05A4"/>
    <w:rsid w:val="00CF12EB"/>
    <w:rsid w:val="00CF150A"/>
    <w:rsid w:val="00CF1822"/>
    <w:rsid w:val="00CF27F9"/>
    <w:rsid w:val="00CF27FB"/>
    <w:rsid w:val="00CF3847"/>
    <w:rsid w:val="00CF3AFC"/>
    <w:rsid w:val="00CF3B95"/>
    <w:rsid w:val="00CF5321"/>
    <w:rsid w:val="00CF5338"/>
    <w:rsid w:val="00CF5488"/>
    <w:rsid w:val="00CF682B"/>
    <w:rsid w:val="00D00DD2"/>
    <w:rsid w:val="00D01B1C"/>
    <w:rsid w:val="00D01C92"/>
    <w:rsid w:val="00D02939"/>
    <w:rsid w:val="00D02D94"/>
    <w:rsid w:val="00D030D6"/>
    <w:rsid w:val="00D03E8D"/>
    <w:rsid w:val="00D05263"/>
    <w:rsid w:val="00D053FD"/>
    <w:rsid w:val="00D060F0"/>
    <w:rsid w:val="00D0724E"/>
    <w:rsid w:val="00D0760B"/>
    <w:rsid w:val="00D104D2"/>
    <w:rsid w:val="00D10738"/>
    <w:rsid w:val="00D10B0E"/>
    <w:rsid w:val="00D11080"/>
    <w:rsid w:val="00D11741"/>
    <w:rsid w:val="00D1213F"/>
    <w:rsid w:val="00D1276D"/>
    <w:rsid w:val="00D13732"/>
    <w:rsid w:val="00D13F4F"/>
    <w:rsid w:val="00D14330"/>
    <w:rsid w:val="00D149D4"/>
    <w:rsid w:val="00D15F19"/>
    <w:rsid w:val="00D166B8"/>
    <w:rsid w:val="00D16BE3"/>
    <w:rsid w:val="00D172F3"/>
    <w:rsid w:val="00D17D6E"/>
    <w:rsid w:val="00D201A0"/>
    <w:rsid w:val="00D2196D"/>
    <w:rsid w:val="00D21D4E"/>
    <w:rsid w:val="00D2230B"/>
    <w:rsid w:val="00D22879"/>
    <w:rsid w:val="00D22EB6"/>
    <w:rsid w:val="00D241C7"/>
    <w:rsid w:val="00D2501B"/>
    <w:rsid w:val="00D261EB"/>
    <w:rsid w:val="00D26661"/>
    <w:rsid w:val="00D267C1"/>
    <w:rsid w:val="00D26B47"/>
    <w:rsid w:val="00D26D54"/>
    <w:rsid w:val="00D26E44"/>
    <w:rsid w:val="00D26F1E"/>
    <w:rsid w:val="00D2798C"/>
    <w:rsid w:val="00D27997"/>
    <w:rsid w:val="00D3021A"/>
    <w:rsid w:val="00D30838"/>
    <w:rsid w:val="00D30A83"/>
    <w:rsid w:val="00D30AFB"/>
    <w:rsid w:val="00D30EE7"/>
    <w:rsid w:val="00D31493"/>
    <w:rsid w:val="00D31A5D"/>
    <w:rsid w:val="00D31AAE"/>
    <w:rsid w:val="00D33982"/>
    <w:rsid w:val="00D33A3E"/>
    <w:rsid w:val="00D33B38"/>
    <w:rsid w:val="00D340A6"/>
    <w:rsid w:val="00D3442F"/>
    <w:rsid w:val="00D36F53"/>
    <w:rsid w:val="00D3797C"/>
    <w:rsid w:val="00D41C3A"/>
    <w:rsid w:val="00D41C65"/>
    <w:rsid w:val="00D425D2"/>
    <w:rsid w:val="00D433B8"/>
    <w:rsid w:val="00D44C7A"/>
    <w:rsid w:val="00D44D35"/>
    <w:rsid w:val="00D4512F"/>
    <w:rsid w:val="00D45C36"/>
    <w:rsid w:val="00D472FE"/>
    <w:rsid w:val="00D47CD5"/>
    <w:rsid w:val="00D5020A"/>
    <w:rsid w:val="00D50B4E"/>
    <w:rsid w:val="00D51921"/>
    <w:rsid w:val="00D527C9"/>
    <w:rsid w:val="00D53C64"/>
    <w:rsid w:val="00D53FBA"/>
    <w:rsid w:val="00D5414C"/>
    <w:rsid w:val="00D55023"/>
    <w:rsid w:val="00D5536D"/>
    <w:rsid w:val="00D557C2"/>
    <w:rsid w:val="00D559BE"/>
    <w:rsid w:val="00D56066"/>
    <w:rsid w:val="00D57652"/>
    <w:rsid w:val="00D60686"/>
    <w:rsid w:val="00D61367"/>
    <w:rsid w:val="00D6188A"/>
    <w:rsid w:val="00D618EA"/>
    <w:rsid w:val="00D61A07"/>
    <w:rsid w:val="00D61FC1"/>
    <w:rsid w:val="00D62372"/>
    <w:rsid w:val="00D638AA"/>
    <w:rsid w:val="00D63B5E"/>
    <w:rsid w:val="00D63EAE"/>
    <w:rsid w:val="00D6532E"/>
    <w:rsid w:val="00D65F77"/>
    <w:rsid w:val="00D67195"/>
    <w:rsid w:val="00D673A7"/>
    <w:rsid w:val="00D67D3F"/>
    <w:rsid w:val="00D71FC9"/>
    <w:rsid w:val="00D7263C"/>
    <w:rsid w:val="00D72680"/>
    <w:rsid w:val="00D73575"/>
    <w:rsid w:val="00D753D7"/>
    <w:rsid w:val="00D75946"/>
    <w:rsid w:val="00D75973"/>
    <w:rsid w:val="00D75A46"/>
    <w:rsid w:val="00D76582"/>
    <w:rsid w:val="00D76A55"/>
    <w:rsid w:val="00D76A68"/>
    <w:rsid w:val="00D77925"/>
    <w:rsid w:val="00D77B93"/>
    <w:rsid w:val="00D77BD2"/>
    <w:rsid w:val="00D801B9"/>
    <w:rsid w:val="00D80B0C"/>
    <w:rsid w:val="00D82F86"/>
    <w:rsid w:val="00D8344C"/>
    <w:rsid w:val="00D83B19"/>
    <w:rsid w:val="00D842E3"/>
    <w:rsid w:val="00D8555E"/>
    <w:rsid w:val="00D85D56"/>
    <w:rsid w:val="00D86460"/>
    <w:rsid w:val="00D8658D"/>
    <w:rsid w:val="00D872AC"/>
    <w:rsid w:val="00D8732C"/>
    <w:rsid w:val="00D876A7"/>
    <w:rsid w:val="00D9051B"/>
    <w:rsid w:val="00D907F8"/>
    <w:rsid w:val="00D90C5E"/>
    <w:rsid w:val="00D9144E"/>
    <w:rsid w:val="00D91631"/>
    <w:rsid w:val="00D9276C"/>
    <w:rsid w:val="00D935F0"/>
    <w:rsid w:val="00D93EFB"/>
    <w:rsid w:val="00D94085"/>
    <w:rsid w:val="00D941DD"/>
    <w:rsid w:val="00D95C4C"/>
    <w:rsid w:val="00D95FC0"/>
    <w:rsid w:val="00D972D2"/>
    <w:rsid w:val="00D97BF0"/>
    <w:rsid w:val="00D97C19"/>
    <w:rsid w:val="00D97E7A"/>
    <w:rsid w:val="00DA0884"/>
    <w:rsid w:val="00DA0D07"/>
    <w:rsid w:val="00DA14D2"/>
    <w:rsid w:val="00DA2553"/>
    <w:rsid w:val="00DA4304"/>
    <w:rsid w:val="00DA5412"/>
    <w:rsid w:val="00DA6023"/>
    <w:rsid w:val="00DA640D"/>
    <w:rsid w:val="00DA6A6F"/>
    <w:rsid w:val="00DA7FD3"/>
    <w:rsid w:val="00DA7FF6"/>
    <w:rsid w:val="00DB0138"/>
    <w:rsid w:val="00DB05BA"/>
    <w:rsid w:val="00DB0D2D"/>
    <w:rsid w:val="00DB0D6D"/>
    <w:rsid w:val="00DB0FB7"/>
    <w:rsid w:val="00DB1493"/>
    <w:rsid w:val="00DB1D3D"/>
    <w:rsid w:val="00DB2D2A"/>
    <w:rsid w:val="00DB4F81"/>
    <w:rsid w:val="00DB633E"/>
    <w:rsid w:val="00DB6617"/>
    <w:rsid w:val="00DB7F76"/>
    <w:rsid w:val="00DC018A"/>
    <w:rsid w:val="00DC0281"/>
    <w:rsid w:val="00DC0D63"/>
    <w:rsid w:val="00DC1275"/>
    <w:rsid w:val="00DC199E"/>
    <w:rsid w:val="00DC1ABE"/>
    <w:rsid w:val="00DC232F"/>
    <w:rsid w:val="00DC280B"/>
    <w:rsid w:val="00DC2B25"/>
    <w:rsid w:val="00DC3814"/>
    <w:rsid w:val="00DC3999"/>
    <w:rsid w:val="00DC3FDB"/>
    <w:rsid w:val="00DC4253"/>
    <w:rsid w:val="00DC4B99"/>
    <w:rsid w:val="00DC4DC5"/>
    <w:rsid w:val="00DC57DA"/>
    <w:rsid w:val="00DC5B5E"/>
    <w:rsid w:val="00DC6646"/>
    <w:rsid w:val="00DC6720"/>
    <w:rsid w:val="00DC7AE8"/>
    <w:rsid w:val="00DD0B62"/>
    <w:rsid w:val="00DD1DBA"/>
    <w:rsid w:val="00DD21E8"/>
    <w:rsid w:val="00DD259E"/>
    <w:rsid w:val="00DD29E0"/>
    <w:rsid w:val="00DD2DD0"/>
    <w:rsid w:val="00DD3DCD"/>
    <w:rsid w:val="00DD4B42"/>
    <w:rsid w:val="00DD5A63"/>
    <w:rsid w:val="00DD5E35"/>
    <w:rsid w:val="00DD6014"/>
    <w:rsid w:val="00DD64C7"/>
    <w:rsid w:val="00DD68B8"/>
    <w:rsid w:val="00DD6E18"/>
    <w:rsid w:val="00DD72F9"/>
    <w:rsid w:val="00DD7368"/>
    <w:rsid w:val="00DD738C"/>
    <w:rsid w:val="00DD73A5"/>
    <w:rsid w:val="00DD7A10"/>
    <w:rsid w:val="00DD7FD8"/>
    <w:rsid w:val="00DE1570"/>
    <w:rsid w:val="00DE2ABE"/>
    <w:rsid w:val="00DE3024"/>
    <w:rsid w:val="00DE4EDB"/>
    <w:rsid w:val="00DE5D4A"/>
    <w:rsid w:val="00DE7024"/>
    <w:rsid w:val="00DE76C5"/>
    <w:rsid w:val="00DE7E58"/>
    <w:rsid w:val="00DF039C"/>
    <w:rsid w:val="00DF0835"/>
    <w:rsid w:val="00DF15AC"/>
    <w:rsid w:val="00DF1723"/>
    <w:rsid w:val="00DF1C05"/>
    <w:rsid w:val="00DF20FF"/>
    <w:rsid w:val="00DF29AE"/>
    <w:rsid w:val="00DF3FD9"/>
    <w:rsid w:val="00DF6FFD"/>
    <w:rsid w:val="00DF701A"/>
    <w:rsid w:val="00DF7257"/>
    <w:rsid w:val="00DF7265"/>
    <w:rsid w:val="00DF7C70"/>
    <w:rsid w:val="00E00906"/>
    <w:rsid w:val="00E009C9"/>
    <w:rsid w:val="00E00F26"/>
    <w:rsid w:val="00E01304"/>
    <w:rsid w:val="00E01751"/>
    <w:rsid w:val="00E01D66"/>
    <w:rsid w:val="00E01F4A"/>
    <w:rsid w:val="00E01F4D"/>
    <w:rsid w:val="00E0243E"/>
    <w:rsid w:val="00E027EF"/>
    <w:rsid w:val="00E02DFC"/>
    <w:rsid w:val="00E03165"/>
    <w:rsid w:val="00E0378E"/>
    <w:rsid w:val="00E03AE4"/>
    <w:rsid w:val="00E047C0"/>
    <w:rsid w:val="00E04D69"/>
    <w:rsid w:val="00E05F56"/>
    <w:rsid w:val="00E061F1"/>
    <w:rsid w:val="00E0685B"/>
    <w:rsid w:val="00E0696E"/>
    <w:rsid w:val="00E06AD6"/>
    <w:rsid w:val="00E0783A"/>
    <w:rsid w:val="00E07C36"/>
    <w:rsid w:val="00E11275"/>
    <w:rsid w:val="00E1143B"/>
    <w:rsid w:val="00E124DC"/>
    <w:rsid w:val="00E12E49"/>
    <w:rsid w:val="00E13840"/>
    <w:rsid w:val="00E13CB9"/>
    <w:rsid w:val="00E13ED2"/>
    <w:rsid w:val="00E1411C"/>
    <w:rsid w:val="00E1544A"/>
    <w:rsid w:val="00E16464"/>
    <w:rsid w:val="00E165E1"/>
    <w:rsid w:val="00E17311"/>
    <w:rsid w:val="00E17386"/>
    <w:rsid w:val="00E1790C"/>
    <w:rsid w:val="00E17BF6"/>
    <w:rsid w:val="00E209D9"/>
    <w:rsid w:val="00E21BB5"/>
    <w:rsid w:val="00E2297A"/>
    <w:rsid w:val="00E22C2B"/>
    <w:rsid w:val="00E22F31"/>
    <w:rsid w:val="00E2374E"/>
    <w:rsid w:val="00E239A8"/>
    <w:rsid w:val="00E23E37"/>
    <w:rsid w:val="00E249A6"/>
    <w:rsid w:val="00E25145"/>
    <w:rsid w:val="00E25555"/>
    <w:rsid w:val="00E259AA"/>
    <w:rsid w:val="00E263F5"/>
    <w:rsid w:val="00E26BFC"/>
    <w:rsid w:val="00E26FD5"/>
    <w:rsid w:val="00E301E5"/>
    <w:rsid w:val="00E30CB6"/>
    <w:rsid w:val="00E317B1"/>
    <w:rsid w:val="00E3226F"/>
    <w:rsid w:val="00E32C02"/>
    <w:rsid w:val="00E332FC"/>
    <w:rsid w:val="00E33702"/>
    <w:rsid w:val="00E3379D"/>
    <w:rsid w:val="00E355F5"/>
    <w:rsid w:val="00E35B00"/>
    <w:rsid w:val="00E35EDE"/>
    <w:rsid w:val="00E363FF"/>
    <w:rsid w:val="00E364B4"/>
    <w:rsid w:val="00E36CC4"/>
    <w:rsid w:val="00E40304"/>
    <w:rsid w:val="00E40C9E"/>
    <w:rsid w:val="00E41AB4"/>
    <w:rsid w:val="00E41D8D"/>
    <w:rsid w:val="00E42139"/>
    <w:rsid w:val="00E42F97"/>
    <w:rsid w:val="00E43599"/>
    <w:rsid w:val="00E437B4"/>
    <w:rsid w:val="00E4413A"/>
    <w:rsid w:val="00E4447A"/>
    <w:rsid w:val="00E44FC5"/>
    <w:rsid w:val="00E4676E"/>
    <w:rsid w:val="00E46777"/>
    <w:rsid w:val="00E46876"/>
    <w:rsid w:val="00E47505"/>
    <w:rsid w:val="00E47D85"/>
    <w:rsid w:val="00E507A1"/>
    <w:rsid w:val="00E51066"/>
    <w:rsid w:val="00E5148B"/>
    <w:rsid w:val="00E52961"/>
    <w:rsid w:val="00E530A3"/>
    <w:rsid w:val="00E532EC"/>
    <w:rsid w:val="00E53D6F"/>
    <w:rsid w:val="00E547A2"/>
    <w:rsid w:val="00E547CE"/>
    <w:rsid w:val="00E56518"/>
    <w:rsid w:val="00E6016B"/>
    <w:rsid w:val="00E610B2"/>
    <w:rsid w:val="00E61733"/>
    <w:rsid w:val="00E62937"/>
    <w:rsid w:val="00E6450C"/>
    <w:rsid w:val="00E65EA0"/>
    <w:rsid w:val="00E66664"/>
    <w:rsid w:val="00E70859"/>
    <w:rsid w:val="00E710BE"/>
    <w:rsid w:val="00E72812"/>
    <w:rsid w:val="00E72BD3"/>
    <w:rsid w:val="00E72DDD"/>
    <w:rsid w:val="00E733F7"/>
    <w:rsid w:val="00E734D5"/>
    <w:rsid w:val="00E73DA1"/>
    <w:rsid w:val="00E75C50"/>
    <w:rsid w:val="00E7640A"/>
    <w:rsid w:val="00E76C5E"/>
    <w:rsid w:val="00E775B5"/>
    <w:rsid w:val="00E77C5A"/>
    <w:rsid w:val="00E80DA5"/>
    <w:rsid w:val="00E80DFF"/>
    <w:rsid w:val="00E814D9"/>
    <w:rsid w:val="00E8175A"/>
    <w:rsid w:val="00E81AB8"/>
    <w:rsid w:val="00E82374"/>
    <w:rsid w:val="00E82486"/>
    <w:rsid w:val="00E82F04"/>
    <w:rsid w:val="00E84512"/>
    <w:rsid w:val="00E8564A"/>
    <w:rsid w:val="00E8680E"/>
    <w:rsid w:val="00E86D0D"/>
    <w:rsid w:val="00E86DDD"/>
    <w:rsid w:val="00E87B83"/>
    <w:rsid w:val="00E87D31"/>
    <w:rsid w:val="00E900DB"/>
    <w:rsid w:val="00E92375"/>
    <w:rsid w:val="00E93218"/>
    <w:rsid w:val="00E94140"/>
    <w:rsid w:val="00E94145"/>
    <w:rsid w:val="00E9435D"/>
    <w:rsid w:val="00E9489F"/>
    <w:rsid w:val="00E94E2C"/>
    <w:rsid w:val="00E9582F"/>
    <w:rsid w:val="00E95B94"/>
    <w:rsid w:val="00E960F1"/>
    <w:rsid w:val="00E968B2"/>
    <w:rsid w:val="00E969AD"/>
    <w:rsid w:val="00E97502"/>
    <w:rsid w:val="00E97547"/>
    <w:rsid w:val="00EA1331"/>
    <w:rsid w:val="00EA151D"/>
    <w:rsid w:val="00EA1775"/>
    <w:rsid w:val="00EA1B58"/>
    <w:rsid w:val="00EA33B4"/>
    <w:rsid w:val="00EA366D"/>
    <w:rsid w:val="00EA46C9"/>
    <w:rsid w:val="00EA4DC6"/>
    <w:rsid w:val="00EA53A2"/>
    <w:rsid w:val="00EA7179"/>
    <w:rsid w:val="00EA77B7"/>
    <w:rsid w:val="00EA7A03"/>
    <w:rsid w:val="00EB0E74"/>
    <w:rsid w:val="00EB2734"/>
    <w:rsid w:val="00EB27D8"/>
    <w:rsid w:val="00EB305D"/>
    <w:rsid w:val="00EB3128"/>
    <w:rsid w:val="00EB362A"/>
    <w:rsid w:val="00EB3AC3"/>
    <w:rsid w:val="00EB46F9"/>
    <w:rsid w:val="00EB47A1"/>
    <w:rsid w:val="00EB4CDD"/>
    <w:rsid w:val="00EB50F5"/>
    <w:rsid w:val="00EB52E5"/>
    <w:rsid w:val="00EB55B9"/>
    <w:rsid w:val="00EB5D9A"/>
    <w:rsid w:val="00EB7108"/>
    <w:rsid w:val="00EC1A5C"/>
    <w:rsid w:val="00EC1D5D"/>
    <w:rsid w:val="00EC290E"/>
    <w:rsid w:val="00EC2E24"/>
    <w:rsid w:val="00EC3DEB"/>
    <w:rsid w:val="00EC3E2C"/>
    <w:rsid w:val="00EC58FF"/>
    <w:rsid w:val="00EC5972"/>
    <w:rsid w:val="00EC6090"/>
    <w:rsid w:val="00EC60A1"/>
    <w:rsid w:val="00EC7E12"/>
    <w:rsid w:val="00ED0538"/>
    <w:rsid w:val="00ED08E9"/>
    <w:rsid w:val="00ED0A68"/>
    <w:rsid w:val="00ED1B00"/>
    <w:rsid w:val="00ED2642"/>
    <w:rsid w:val="00ED3A01"/>
    <w:rsid w:val="00ED4FF2"/>
    <w:rsid w:val="00ED5FA6"/>
    <w:rsid w:val="00ED60A0"/>
    <w:rsid w:val="00ED6E3B"/>
    <w:rsid w:val="00ED72CC"/>
    <w:rsid w:val="00ED746B"/>
    <w:rsid w:val="00ED78F7"/>
    <w:rsid w:val="00EE0150"/>
    <w:rsid w:val="00EE257B"/>
    <w:rsid w:val="00EE2691"/>
    <w:rsid w:val="00EE3147"/>
    <w:rsid w:val="00EE3F41"/>
    <w:rsid w:val="00EE493E"/>
    <w:rsid w:val="00EE5DFB"/>
    <w:rsid w:val="00EE5E30"/>
    <w:rsid w:val="00EF04F6"/>
    <w:rsid w:val="00EF0879"/>
    <w:rsid w:val="00EF1493"/>
    <w:rsid w:val="00EF14D6"/>
    <w:rsid w:val="00EF1568"/>
    <w:rsid w:val="00EF1E57"/>
    <w:rsid w:val="00EF2396"/>
    <w:rsid w:val="00EF29C7"/>
    <w:rsid w:val="00EF36C5"/>
    <w:rsid w:val="00EF4530"/>
    <w:rsid w:val="00EF4A4D"/>
    <w:rsid w:val="00EF4AEF"/>
    <w:rsid w:val="00EF5756"/>
    <w:rsid w:val="00EF5E48"/>
    <w:rsid w:val="00EF77B3"/>
    <w:rsid w:val="00EF79C4"/>
    <w:rsid w:val="00EF7B18"/>
    <w:rsid w:val="00F003C4"/>
    <w:rsid w:val="00F01451"/>
    <w:rsid w:val="00F014FC"/>
    <w:rsid w:val="00F0189B"/>
    <w:rsid w:val="00F01A3B"/>
    <w:rsid w:val="00F01F48"/>
    <w:rsid w:val="00F025AA"/>
    <w:rsid w:val="00F025FA"/>
    <w:rsid w:val="00F03AB4"/>
    <w:rsid w:val="00F03E69"/>
    <w:rsid w:val="00F050C6"/>
    <w:rsid w:val="00F0651E"/>
    <w:rsid w:val="00F06936"/>
    <w:rsid w:val="00F1044C"/>
    <w:rsid w:val="00F115B7"/>
    <w:rsid w:val="00F11830"/>
    <w:rsid w:val="00F12F95"/>
    <w:rsid w:val="00F13028"/>
    <w:rsid w:val="00F1396E"/>
    <w:rsid w:val="00F14DC6"/>
    <w:rsid w:val="00F15587"/>
    <w:rsid w:val="00F16A6D"/>
    <w:rsid w:val="00F17A5E"/>
    <w:rsid w:val="00F20094"/>
    <w:rsid w:val="00F20C59"/>
    <w:rsid w:val="00F20ED6"/>
    <w:rsid w:val="00F21071"/>
    <w:rsid w:val="00F21264"/>
    <w:rsid w:val="00F21799"/>
    <w:rsid w:val="00F226BC"/>
    <w:rsid w:val="00F22CB4"/>
    <w:rsid w:val="00F242C2"/>
    <w:rsid w:val="00F2497E"/>
    <w:rsid w:val="00F24AC4"/>
    <w:rsid w:val="00F24FBE"/>
    <w:rsid w:val="00F25757"/>
    <w:rsid w:val="00F258D1"/>
    <w:rsid w:val="00F2668E"/>
    <w:rsid w:val="00F26748"/>
    <w:rsid w:val="00F26883"/>
    <w:rsid w:val="00F2733D"/>
    <w:rsid w:val="00F27607"/>
    <w:rsid w:val="00F27A4D"/>
    <w:rsid w:val="00F27B1D"/>
    <w:rsid w:val="00F30096"/>
    <w:rsid w:val="00F30B84"/>
    <w:rsid w:val="00F3201C"/>
    <w:rsid w:val="00F3291E"/>
    <w:rsid w:val="00F329F6"/>
    <w:rsid w:val="00F3514D"/>
    <w:rsid w:val="00F35FC6"/>
    <w:rsid w:val="00F362C7"/>
    <w:rsid w:val="00F36566"/>
    <w:rsid w:val="00F3689D"/>
    <w:rsid w:val="00F36FF6"/>
    <w:rsid w:val="00F37F0C"/>
    <w:rsid w:val="00F40999"/>
    <w:rsid w:val="00F41282"/>
    <w:rsid w:val="00F41C51"/>
    <w:rsid w:val="00F44597"/>
    <w:rsid w:val="00F44FFA"/>
    <w:rsid w:val="00F4504D"/>
    <w:rsid w:val="00F4568B"/>
    <w:rsid w:val="00F457D6"/>
    <w:rsid w:val="00F45D46"/>
    <w:rsid w:val="00F45FEF"/>
    <w:rsid w:val="00F4637A"/>
    <w:rsid w:val="00F4688B"/>
    <w:rsid w:val="00F468C1"/>
    <w:rsid w:val="00F46A76"/>
    <w:rsid w:val="00F474B7"/>
    <w:rsid w:val="00F47CD7"/>
    <w:rsid w:val="00F47FE6"/>
    <w:rsid w:val="00F50CEB"/>
    <w:rsid w:val="00F50FEA"/>
    <w:rsid w:val="00F51898"/>
    <w:rsid w:val="00F532AC"/>
    <w:rsid w:val="00F536C3"/>
    <w:rsid w:val="00F54A0A"/>
    <w:rsid w:val="00F54B03"/>
    <w:rsid w:val="00F5537E"/>
    <w:rsid w:val="00F55CC1"/>
    <w:rsid w:val="00F5650A"/>
    <w:rsid w:val="00F56B10"/>
    <w:rsid w:val="00F57D09"/>
    <w:rsid w:val="00F57F41"/>
    <w:rsid w:val="00F601AA"/>
    <w:rsid w:val="00F6021E"/>
    <w:rsid w:val="00F6024E"/>
    <w:rsid w:val="00F611D6"/>
    <w:rsid w:val="00F62854"/>
    <w:rsid w:val="00F62C21"/>
    <w:rsid w:val="00F63C92"/>
    <w:rsid w:val="00F6481F"/>
    <w:rsid w:val="00F64854"/>
    <w:rsid w:val="00F65038"/>
    <w:rsid w:val="00F652EC"/>
    <w:rsid w:val="00F65E1C"/>
    <w:rsid w:val="00F661FD"/>
    <w:rsid w:val="00F66322"/>
    <w:rsid w:val="00F66B40"/>
    <w:rsid w:val="00F66BC0"/>
    <w:rsid w:val="00F66ECF"/>
    <w:rsid w:val="00F66F25"/>
    <w:rsid w:val="00F67655"/>
    <w:rsid w:val="00F67BD3"/>
    <w:rsid w:val="00F701AE"/>
    <w:rsid w:val="00F71548"/>
    <w:rsid w:val="00F71584"/>
    <w:rsid w:val="00F71C97"/>
    <w:rsid w:val="00F72CD3"/>
    <w:rsid w:val="00F74F70"/>
    <w:rsid w:val="00F75D94"/>
    <w:rsid w:val="00F760AC"/>
    <w:rsid w:val="00F7636B"/>
    <w:rsid w:val="00F77006"/>
    <w:rsid w:val="00F77510"/>
    <w:rsid w:val="00F777A1"/>
    <w:rsid w:val="00F779F2"/>
    <w:rsid w:val="00F77E27"/>
    <w:rsid w:val="00F80139"/>
    <w:rsid w:val="00F81535"/>
    <w:rsid w:val="00F81827"/>
    <w:rsid w:val="00F81E9C"/>
    <w:rsid w:val="00F81ED9"/>
    <w:rsid w:val="00F82EAE"/>
    <w:rsid w:val="00F835B6"/>
    <w:rsid w:val="00F83E4A"/>
    <w:rsid w:val="00F8437C"/>
    <w:rsid w:val="00F84795"/>
    <w:rsid w:val="00F84EB7"/>
    <w:rsid w:val="00F84FFC"/>
    <w:rsid w:val="00F8534D"/>
    <w:rsid w:val="00F86795"/>
    <w:rsid w:val="00F86DED"/>
    <w:rsid w:val="00F86E98"/>
    <w:rsid w:val="00F87116"/>
    <w:rsid w:val="00F872B4"/>
    <w:rsid w:val="00F9019A"/>
    <w:rsid w:val="00F92B09"/>
    <w:rsid w:val="00F92F97"/>
    <w:rsid w:val="00F9365F"/>
    <w:rsid w:val="00F94A7F"/>
    <w:rsid w:val="00F96061"/>
    <w:rsid w:val="00F9676E"/>
    <w:rsid w:val="00F967CE"/>
    <w:rsid w:val="00F97E77"/>
    <w:rsid w:val="00FA025C"/>
    <w:rsid w:val="00FA101F"/>
    <w:rsid w:val="00FA120A"/>
    <w:rsid w:val="00FA13C5"/>
    <w:rsid w:val="00FA172D"/>
    <w:rsid w:val="00FA1AA0"/>
    <w:rsid w:val="00FA1BA1"/>
    <w:rsid w:val="00FA2765"/>
    <w:rsid w:val="00FA37E4"/>
    <w:rsid w:val="00FA3E23"/>
    <w:rsid w:val="00FA5A33"/>
    <w:rsid w:val="00FA5DF1"/>
    <w:rsid w:val="00FA67E6"/>
    <w:rsid w:val="00FA6A70"/>
    <w:rsid w:val="00FA7087"/>
    <w:rsid w:val="00FB06D8"/>
    <w:rsid w:val="00FB2150"/>
    <w:rsid w:val="00FB280C"/>
    <w:rsid w:val="00FB2B47"/>
    <w:rsid w:val="00FB2D23"/>
    <w:rsid w:val="00FB34A5"/>
    <w:rsid w:val="00FB34EC"/>
    <w:rsid w:val="00FB3995"/>
    <w:rsid w:val="00FB3F17"/>
    <w:rsid w:val="00FB4B5D"/>
    <w:rsid w:val="00FB4CDA"/>
    <w:rsid w:val="00FB524F"/>
    <w:rsid w:val="00FB5A00"/>
    <w:rsid w:val="00FB5CC4"/>
    <w:rsid w:val="00FC018B"/>
    <w:rsid w:val="00FC0F41"/>
    <w:rsid w:val="00FC270C"/>
    <w:rsid w:val="00FC2B2C"/>
    <w:rsid w:val="00FC30EC"/>
    <w:rsid w:val="00FC35C8"/>
    <w:rsid w:val="00FC3AFB"/>
    <w:rsid w:val="00FC3CE6"/>
    <w:rsid w:val="00FC3F50"/>
    <w:rsid w:val="00FC3FF2"/>
    <w:rsid w:val="00FC407A"/>
    <w:rsid w:val="00FC4377"/>
    <w:rsid w:val="00FC4B44"/>
    <w:rsid w:val="00FC60AB"/>
    <w:rsid w:val="00FC643F"/>
    <w:rsid w:val="00FC6607"/>
    <w:rsid w:val="00FC736B"/>
    <w:rsid w:val="00FC7710"/>
    <w:rsid w:val="00FC7905"/>
    <w:rsid w:val="00FC7DAF"/>
    <w:rsid w:val="00FD0259"/>
    <w:rsid w:val="00FD0332"/>
    <w:rsid w:val="00FD09D9"/>
    <w:rsid w:val="00FD11C9"/>
    <w:rsid w:val="00FD2874"/>
    <w:rsid w:val="00FD28E1"/>
    <w:rsid w:val="00FD35C8"/>
    <w:rsid w:val="00FD4646"/>
    <w:rsid w:val="00FD5711"/>
    <w:rsid w:val="00FD58A1"/>
    <w:rsid w:val="00FD5AD9"/>
    <w:rsid w:val="00FD790F"/>
    <w:rsid w:val="00FD7950"/>
    <w:rsid w:val="00FE0189"/>
    <w:rsid w:val="00FE02A1"/>
    <w:rsid w:val="00FE065C"/>
    <w:rsid w:val="00FE0CC6"/>
    <w:rsid w:val="00FE1274"/>
    <w:rsid w:val="00FE1548"/>
    <w:rsid w:val="00FE236E"/>
    <w:rsid w:val="00FE2D53"/>
    <w:rsid w:val="00FE2F9E"/>
    <w:rsid w:val="00FE3DAD"/>
    <w:rsid w:val="00FE51A8"/>
    <w:rsid w:val="00FE56F9"/>
    <w:rsid w:val="00FE590D"/>
    <w:rsid w:val="00FE5CF5"/>
    <w:rsid w:val="00FE6A8B"/>
    <w:rsid w:val="00FE788D"/>
    <w:rsid w:val="00FF0068"/>
    <w:rsid w:val="00FF0084"/>
    <w:rsid w:val="00FF0253"/>
    <w:rsid w:val="00FF293A"/>
    <w:rsid w:val="00FF3054"/>
    <w:rsid w:val="00FF30E7"/>
    <w:rsid w:val="00FF3D80"/>
    <w:rsid w:val="00FF431F"/>
    <w:rsid w:val="00FF458F"/>
    <w:rsid w:val="00FF6A25"/>
    <w:rsid w:val="00FF71BB"/>
    <w:rsid w:val="00FF7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9,#c00,#cfc,#ffc,#fcc,#fcf,#cff,#f06"/>
    </o:shapedefaults>
    <o:shapelayout v:ext="edit">
      <o:idmap v:ext="edit" data="1"/>
    </o:shapelayout>
  </w:shapeDefaults>
  <w:decimalSymbol w:val="."/>
  <w:listSeparator w:val=","/>
  <w15:docId w15:val="{B2D25446-BB54-4EA7-AD4E-145E6CA5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E3"/>
    <w:pPr>
      <w:spacing w:before="120" w:after="120" w:line="360" w:lineRule="auto"/>
      <w:jc w:val="both"/>
    </w:pPr>
    <w:rPr>
      <w:rFonts w:ascii="Arial" w:eastAsia="Batang" w:hAnsi="Arial" w:cs="Arial"/>
      <w:sz w:val="18"/>
      <w:szCs w:val="18"/>
    </w:rPr>
  </w:style>
  <w:style w:type="paragraph" w:styleId="Heading1">
    <w:name w:val="heading 1"/>
    <w:basedOn w:val="Normal"/>
    <w:next w:val="Normal"/>
    <w:link w:val="Heading1Char"/>
    <w:qFormat/>
    <w:rsid w:val="009B1787"/>
    <w:pPr>
      <w:keepNext/>
      <w:pageBreakBefore/>
      <w:numPr>
        <w:numId w:val="17"/>
      </w:numPr>
      <w:tabs>
        <w:tab w:val="left" w:pos="567"/>
      </w:tabs>
      <w:spacing w:after="240" w:line="240" w:lineRule="auto"/>
      <w:outlineLvl w:val="0"/>
    </w:pPr>
    <w:rPr>
      <w:b/>
      <w:bCs/>
      <w:kern w:val="32"/>
      <w:sz w:val="44"/>
      <w:szCs w:val="56"/>
    </w:rPr>
  </w:style>
  <w:style w:type="paragraph" w:styleId="Heading2">
    <w:name w:val="heading 2"/>
    <w:basedOn w:val="Normal"/>
    <w:next w:val="Normal"/>
    <w:qFormat/>
    <w:rsid w:val="001F40E3"/>
    <w:pPr>
      <w:keepNext/>
      <w:numPr>
        <w:numId w:val="4"/>
      </w:numPr>
      <w:spacing w:after="0"/>
      <w:outlineLvl w:val="1"/>
    </w:pPr>
    <w:rPr>
      <w:b/>
      <w:bCs/>
      <w:iCs/>
      <w:sz w:val="28"/>
      <w:szCs w:val="28"/>
    </w:rPr>
  </w:style>
  <w:style w:type="paragraph" w:styleId="Heading3">
    <w:name w:val="heading 3"/>
    <w:basedOn w:val="Heading2"/>
    <w:next w:val="Normal"/>
    <w:link w:val="Heading3Char"/>
    <w:uiPriority w:val="9"/>
    <w:qFormat/>
    <w:rsid w:val="00B43732"/>
    <w:pPr>
      <w:numPr>
        <w:ilvl w:val="1"/>
      </w:numPr>
      <w:ind w:left="567" w:hanging="567"/>
      <w:outlineLvl w:val="2"/>
    </w:pPr>
    <w:rPr>
      <w:sz w:val="24"/>
    </w:rPr>
  </w:style>
  <w:style w:type="paragraph" w:styleId="Heading4">
    <w:name w:val="heading 4"/>
    <w:basedOn w:val="Normal"/>
    <w:next w:val="Normal"/>
    <w:qFormat/>
    <w:rsid w:val="00011B2E"/>
    <w:pPr>
      <w:keepNext/>
      <w:tabs>
        <w:tab w:val="num" w:pos="1887"/>
      </w:tabs>
      <w:spacing w:after="240"/>
      <w:ind w:left="1887" w:hanging="960"/>
      <w:outlineLvl w:val="3"/>
    </w:pPr>
    <w:rPr>
      <w:szCs w:val="20"/>
    </w:rPr>
  </w:style>
  <w:style w:type="paragraph" w:styleId="Heading7">
    <w:name w:val="heading 7"/>
    <w:basedOn w:val="Normal"/>
    <w:next w:val="Normal"/>
    <w:link w:val="Heading7Char"/>
    <w:qFormat/>
    <w:rsid w:val="00696D9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1B2E"/>
    <w:pPr>
      <w:tabs>
        <w:tab w:val="center" w:pos="4536"/>
        <w:tab w:val="right" w:pos="9072"/>
      </w:tabs>
    </w:pPr>
  </w:style>
  <w:style w:type="character" w:styleId="PageNumber">
    <w:name w:val="page number"/>
    <w:basedOn w:val="DefaultParagraphFont"/>
    <w:rsid w:val="00011B2E"/>
  </w:style>
  <w:style w:type="paragraph" w:styleId="Footer">
    <w:name w:val="footer"/>
    <w:basedOn w:val="Normal"/>
    <w:link w:val="FooterChar"/>
    <w:uiPriority w:val="99"/>
    <w:rsid w:val="00011B2E"/>
    <w:pPr>
      <w:tabs>
        <w:tab w:val="center" w:pos="4536"/>
        <w:tab w:val="right" w:pos="9072"/>
      </w:tabs>
    </w:pPr>
  </w:style>
  <w:style w:type="paragraph" w:customStyle="1" w:styleId="Text1">
    <w:name w:val="Text 1"/>
    <w:basedOn w:val="Normal"/>
    <w:rsid w:val="00011B2E"/>
    <w:pPr>
      <w:spacing w:after="240"/>
      <w:ind w:left="482"/>
    </w:pPr>
    <w:rPr>
      <w:szCs w:val="20"/>
    </w:rPr>
  </w:style>
  <w:style w:type="paragraph" w:customStyle="1" w:styleId="StandardText">
    <w:name w:val="Standard Text"/>
    <w:basedOn w:val="Normal"/>
    <w:link w:val="StandardTextZnak"/>
    <w:rsid w:val="00011B2E"/>
    <w:pPr>
      <w:spacing w:after="240" w:line="240" w:lineRule="exact"/>
    </w:pPr>
  </w:style>
  <w:style w:type="paragraph" w:customStyle="1" w:styleId="Ueber1">
    <w:name w:val="Ueber 1"/>
    <w:basedOn w:val="Heading1"/>
    <w:next w:val="StandardText"/>
    <w:rsid w:val="00011B2E"/>
    <w:pPr>
      <w:numPr>
        <w:numId w:val="1"/>
      </w:numPr>
      <w:spacing w:before="480" w:line="320" w:lineRule="exact"/>
    </w:pPr>
    <w:rPr>
      <w:sz w:val="28"/>
    </w:rPr>
  </w:style>
  <w:style w:type="paragraph" w:customStyle="1" w:styleId="Ueber2">
    <w:name w:val="Ueber 2"/>
    <w:basedOn w:val="Heading2"/>
    <w:next w:val="StandardText"/>
    <w:rsid w:val="00011B2E"/>
    <w:pPr>
      <w:numPr>
        <w:ilvl w:val="1"/>
        <w:numId w:val="1"/>
      </w:numPr>
      <w:spacing w:before="360" w:line="320" w:lineRule="exact"/>
    </w:pPr>
  </w:style>
  <w:style w:type="paragraph" w:customStyle="1" w:styleId="Ueber3">
    <w:name w:val="Ueber 3"/>
    <w:basedOn w:val="Heading3"/>
    <w:next w:val="StandardText"/>
    <w:rsid w:val="00011B2E"/>
    <w:pPr>
      <w:numPr>
        <w:ilvl w:val="2"/>
        <w:numId w:val="1"/>
      </w:numPr>
      <w:spacing w:before="360" w:line="240" w:lineRule="exact"/>
    </w:pPr>
  </w:style>
  <w:style w:type="paragraph" w:customStyle="1" w:styleId="NumPar1">
    <w:name w:val="NumPar 1"/>
    <w:basedOn w:val="Heading1"/>
    <w:next w:val="Text1"/>
    <w:rsid w:val="00011B2E"/>
    <w:pPr>
      <w:keepNext w:val="0"/>
      <w:tabs>
        <w:tab w:val="num" w:pos="480"/>
      </w:tabs>
      <w:spacing w:before="0"/>
      <w:ind w:left="480" w:hanging="480"/>
      <w:outlineLvl w:val="9"/>
    </w:pPr>
    <w:rPr>
      <w:rFonts w:ascii="Times New Roman" w:hAnsi="Times New Roman"/>
      <w:b w:val="0"/>
      <w:bCs w:val="0"/>
      <w:kern w:val="0"/>
      <w:sz w:val="24"/>
      <w:szCs w:val="20"/>
    </w:rPr>
  </w:style>
  <w:style w:type="table" w:styleId="TableGrid">
    <w:name w:val="Table Grid"/>
    <w:basedOn w:val="TableNormal"/>
    <w:rsid w:val="0061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07494"/>
    <w:rPr>
      <w:b/>
      <w:sz w:val="20"/>
    </w:rPr>
  </w:style>
  <w:style w:type="character" w:customStyle="1" w:styleId="style14">
    <w:name w:val="style14"/>
    <w:basedOn w:val="DefaultParagraphFont"/>
    <w:rsid w:val="00A76CF0"/>
  </w:style>
  <w:style w:type="character" w:styleId="Strong">
    <w:name w:val="Strong"/>
    <w:qFormat/>
    <w:rsid w:val="00AE01EA"/>
    <w:rPr>
      <w:rFonts w:ascii="Times New Roman" w:hAnsi="Times New Roman"/>
      <w:b/>
      <w:bCs/>
      <w:sz w:val="28"/>
    </w:rPr>
  </w:style>
  <w:style w:type="paragraph" w:styleId="BodyText">
    <w:name w:val="Body Text"/>
    <w:basedOn w:val="Normal"/>
    <w:rsid w:val="00696D94"/>
    <w:pPr>
      <w:spacing w:before="100" w:beforeAutospacing="1" w:after="100" w:afterAutospacing="1"/>
    </w:pPr>
  </w:style>
  <w:style w:type="paragraph" w:styleId="BodyTextIndent">
    <w:name w:val="Body Text Indent"/>
    <w:basedOn w:val="Normal"/>
    <w:rsid w:val="00460239"/>
    <w:pPr>
      <w:ind w:left="283"/>
    </w:pPr>
  </w:style>
  <w:style w:type="paragraph" w:styleId="BodyTextIndent2">
    <w:name w:val="Body Text Indent 2"/>
    <w:basedOn w:val="Normal"/>
    <w:rsid w:val="00460239"/>
    <w:pPr>
      <w:spacing w:line="480" w:lineRule="auto"/>
      <w:ind w:left="283"/>
    </w:pPr>
  </w:style>
  <w:style w:type="paragraph" w:styleId="BodyText3">
    <w:name w:val="Body Text 3"/>
    <w:basedOn w:val="Normal"/>
    <w:rsid w:val="00F4504D"/>
    <w:rPr>
      <w:sz w:val="16"/>
      <w:szCs w:val="16"/>
    </w:rPr>
  </w:style>
  <w:style w:type="paragraph" w:styleId="BalloonText">
    <w:name w:val="Balloon Text"/>
    <w:basedOn w:val="Normal"/>
    <w:link w:val="BalloonTextChar"/>
    <w:uiPriority w:val="99"/>
    <w:semiHidden/>
    <w:rsid w:val="002F205A"/>
    <w:rPr>
      <w:rFonts w:ascii="Tahoma" w:hAnsi="Tahoma" w:cs="Tahoma"/>
      <w:sz w:val="16"/>
      <w:szCs w:val="16"/>
    </w:rPr>
  </w:style>
  <w:style w:type="character" w:styleId="Hyperlink">
    <w:name w:val="Hyperlink"/>
    <w:uiPriority w:val="99"/>
    <w:rsid w:val="00934F01"/>
    <w:rPr>
      <w:color w:val="0000FF"/>
      <w:u w:val="single"/>
    </w:rPr>
  </w:style>
  <w:style w:type="character" w:customStyle="1" w:styleId="FooterChar">
    <w:name w:val="Footer Char"/>
    <w:link w:val="Footer"/>
    <w:uiPriority w:val="99"/>
    <w:rsid w:val="00F532AC"/>
    <w:rPr>
      <w:sz w:val="24"/>
      <w:szCs w:val="24"/>
      <w:lang w:val="en-GB" w:eastAsia="en-GB" w:bidi="en-GB"/>
    </w:rPr>
  </w:style>
  <w:style w:type="paragraph" w:styleId="BodyText2">
    <w:name w:val="Body Text 2"/>
    <w:basedOn w:val="Normal"/>
    <w:rsid w:val="00CA0738"/>
    <w:pPr>
      <w:spacing w:line="480" w:lineRule="auto"/>
    </w:pPr>
  </w:style>
  <w:style w:type="paragraph" w:styleId="NormalWeb">
    <w:name w:val="Normal (Web)"/>
    <w:basedOn w:val="Normal"/>
    <w:rsid w:val="00CA0738"/>
    <w:pPr>
      <w:spacing w:before="100" w:beforeAutospacing="1" w:after="100" w:afterAutospacing="1"/>
    </w:pPr>
  </w:style>
  <w:style w:type="character" w:customStyle="1" w:styleId="metryka-odst">
    <w:name w:val="metryka-odst"/>
    <w:basedOn w:val="DefaultParagraphFont"/>
    <w:rsid w:val="003C58F1"/>
  </w:style>
  <w:style w:type="paragraph" w:customStyle="1" w:styleId="p1">
    <w:name w:val="p1"/>
    <w:basedOn w:val="Normal"/>
    <w:rsid w:val="003C58F1"/>
    <w:pPr>
      <w:spacing w:before="100" w:beforeAutospacing="1" w:after="100" w:afterAutospacing="1"/>
    </w:pPr>
  </w:style>
  <w:style w:type="paragraph" w:customStyle="1" w:styleId="dtu">
    <w:name w:val="dtu"/>
    <w:basedOn w:val="Normal"/>
    <w:rsid w:val="003C58F1"/>
    <w:pPr>
      <w:spacing w:before="100" w:beforeAutospacing="1" w:after="100" w:afterAutospacing="1"/>
    </w:pPr>
  </w:style>
  <w:style w:type="paragraph" w:customStyle="1" w:styleId="p0">
    <w:name w:val="p0"/>
    <w:basedOn w:val="Normal"/>
    <w:rsid w:val="003C58F1"/>
    <w:pPr>
      <w:spacing w:before="100" w:beforeAutospacing="1" w:after="100" w:afterAutospacing="1"/>
    </w:pPr>
  </w:style>
  <w:style w:type="paragraph" w:customStyle="1" w:styleId="dtn">
    <w:name w:val="dtn"/>
    <w:basedOn w:val="Normal"/>
    <w:rsid w:val="008723C6"/>
    <w:pPr>
      <w:spacing w:before="100" w:beforeAutospacing="1" w:after="100" w:afterAutospacing="1"/>
    </w:pPr>
  </w:style>
  <w:style w:type="paragraph" w:customStyle="1" w:styleId="dtz">
    <w:name w:val="dtz"/>
    <w:basedOn w:val="Normal"/>
    <w:rsid w:val="00E94145"/>
    <w:pPr>
      <w:spacing w:before="100" w:beforeAutospacing="1" w:after="100" w:afterAutospacing="1"/>
    </w:pPr>
  </w:style>
  <w:style w:type="paragraph" w:customStyle="1" w:styleId="akapitlewyblock">
    <w:name w:val="akapitlewyblock"/>
    <w:basedOn w:val="Normal"/>
    <w:rsid w:val="0036765D"/>
    <w:pPr>
      <w:spacing w:before="100" w:beforeAutospacing="1" w:after="100" w:afterAutospacing="1"/>
    </w:pPr>
  </w:style>
  <w:style w:type="character" w:customStyle="1" w:styleId="akapitdomyslny">
    <w:name w:val="akapitdomyslny"/>
    <w:basedOn w:val="DefaultParagraphFont"/>
    <w:rsid w:val="0036765D"/>
  </w:style>
  <w:style w:type="character" w:styleId="FootnoteReference">
    <w:name w:val="footnote reference"/>
    <w:rsid w:val="00E610B2"/>
    <w:rPr>
      <w:vertAlign w:val="superscript"/>
    </w:rPr>
  </w:style>
  <w:style w:type="paragraph" w:styleId="FootnoteText">
    <w:name w:val="footnote text"/>
    <w:basedOn w:val="Normal"/>
    <w:link w:val="FootnoteTextChar"/>
    <w:rsid w:val="00E610B2"/>
    <w:pPr>
      <w:widowControl w:val="0"/>
    </w:pPr>
    <w:rPr>
      <w:snapToGrid w:val="0"/>
      <w:sz w:val="20"/>
      <w:szCs w:val="20"/>
    </w:rPr>
  </w:style>
  <w:style w:type="character" w:customStyle="1" w:styleId="FootnoteTextChar">
    <w:name w:val="Footnote Text Char"/>
    <w:link w:val="FootnoteText"/>
    <w:rsid w:val="00E610B2"/>
    <w:rPr>
      <w:rFonts w:ascii="Arial" w:hAnsi="Arial"/>
      <w:snapToGrid w:val="0"/>
    </w:rPr>
  </w:style>
  <w:style w:type="character" w:customStyle="1" w:styleId="annotation2">
    <w:name w:val="annotation2"/>
    <w:basedOn w:val="DefaultParagraphFont"/>
    <w:rsid w:val="00A1627F"/>
  </w:style>
  <w:style w:type="character" w:customStyle="1" w:styleId="Nagwek1">
    <w:name w:val="Nagłówek1"/>
    <w:basedOn w:val="DefaultParagraphFont"/>
    <w:rsid w:val="00A1627F"/>
  </w:style>
  <w:style w:type="character" w:customStyle="1" w:styleId="aktprzedmiot">
    <w:name w:val="aktprzedmiot"/>
    <w:basedOn w:val="DefaultParagraphFont"/>
    <w:rsid w:val="00A1627F"/>
  </w:style>
  <w:style w:type="character" w:customStyle="1" w:styleId="artykul">
    <w:name w:val="artykul"/>
    <w:basedOn w:val="DefaultParagraphFont"/>
    <w:rsid w:val="00A1627F"/>
  </w:style>
  <w:style w:type="character" w:customStyle="1" w:styleId="Heading1Char">
    <w:name w:val="Heading 1 Char"/>
    <w:link w:val="Heading1"/>
    <w:rsid w:val="009B1787"/>
    <w:rPr>
      <w:rFonts w:ascii="Arial" w:eastAsia="Batang" w:hAnsi="Arial" w:cs="Arial"/>
      <w:b/>
      <w:bCs/>
      <w:kern w:val="32"/>
      <w:sz w:val="44"/>
      <w:szCs w:val="56"/>
      <w:lang w:eastAsia="en-GB"/>
    </w:rPr>
  </w:style>
  <w:style w:type="character" w:styleId="FollowedHyperlink">
    <w:name w:val="FollowedHyperlink"/>
    <w:rsid w:val="00207374"/>
    <w:rPr>
      <w:color w:val="800080"/>
      <w:u w:val="single"/>
    </w:rPr>
  </w:style>
  <w:style w:type="character" w:styleId="HTMLCite">
    <w:name w:val="HTML Cite"/>
    <w:rsid w:val="00207374"/>
    <w:rPr>
      <w:i w:val="0"/>
      <w:iCs w:val="0"/>
      <w:color w:val="009933"/>
    </w:rPr>
  </w:style>
  <w:style w:type="character" w:customStyle="1" w:styleId="st1">
    <w:name w:val="st1"/>
    <w:basedOn w:val="DefaultParagraphFont"/>
    <w:rsid w:val="00D63B5E"/>
  </w:style>
  <w:style w:type="paragraph" w:styleId="EndnoteText">
    <w:name w:val="endnote text"/>
    <w:basedOn w:val="Normal"/>
    <w:semiHidden/>
    <w:rsid w:val="00B8204E"/>
    <w:rPr>
      <w:sz w:val="20"/>
      <w:szCs w:val="20"/>
    </w:rPr>
  </w:style>
  <w:style w:type="character" w:styleId="EndnoteReference">
    <w:name w:val="endnote reference"/>
    <w:semiHidden/>
    <w:rsid w:val="00B8204E"/>
    <w:rPr>
      <w:vertAlign w:val="superscript"/>
    </w:rPr>
  </w:style>
  <w:style w:type="character" w:customStyle="1" w:styleId="akapitustep1">
    <w:name w:val="akapitustep1"/>
    <w:basedOn w:val="DefaultParagraphFont"/>
    <w:rsid w:val="002235BC"/>
  </w:style>
  <w:style w:type="character" w:customStyle="1" w:styleId="Heading7Char">
    <w:name w:val="Heading 7 Char"/>
    <w:link w:val="Heading7"/>
    <w:locked/>
    <w:rsid w:val="00166640"/>
    <w:rPr>
      <w:sz w:val="24"/>
      <w:szCs w:val="24"/>
      <w:lang w:val="en-GB" w:eastAsia="en-GB" w:bidi="en-GB"/>
    </w:rPr>
  </w:style>
  <w:style w:type="paragraph" w:customStyle="1" w:styleId="Akapitzlist1">
    <w:name w:val="Akapit z listą1"/>
    <w:basedOn w:val="Normal"/>
    <w:rsid w:val="00241753"/>
    <w:pPr>
      <w:spacing w:after="200" w:line="276" w:lineRule="auto"/>
      <w:ind w:left="720"/>
    </w:pPr>
    <w:rPr>
      <w:rFonts w:ascii="Calibri" w:hAnsi="Calibri"/>
      <w:sz w:val="22"/>
      <w:szCs w:val="22"/>
    </w:rPr>
  </w:style>
  <w:style w:type="character" w:customStyle="1" w:styleId="akapitdomyslny1">
    <w:name w:val="akapitdomyslny1"/>
    <w:basedOn w:val="DefaultParagraphFont"/>
    <w:rsid w:val="00281431"/>
  </w:style>
  <w:style w:type="character" w:customStyle="1" w:styleId="luchili">
    <w:name w:val="luc_hili"/>
    <w:basedOn w:val="DefaultParagraphFont"/>
    <w:rsid w:val="00D31AAE"/>
  </w:style>
  <w:style w:type="character" w:customStyle="1" w:styleId="dokument-obowiazujacy">
    <w:name w:val="dokument-obowiazujacy"/>
    <w:basedOn w:val="DefaultParagraphFont"/>
    <w:rsid w:val="00D31AAE"/>
  </w:style>
  <w:style w:type="paragraph" w:customStyle="1" w:styleId="CM4">
    <w:name w:val="CM4"/>
    <w:basedOn w:val="Normal"/>
    <w:next w:val="Normal"/>
    <w:uiPriority w:val="99"/>
    <w:rsid w:val="00573D9F"/>
    <w:pPr>
      <w:autoSpaceDE w:val="0"/>
      <w:autoSpaceDN w:val="0"/>
      <w:adjustRightInd w:val="0"/>
    </w:pPr>
  </w:style>
  <w:style w:type="numbering" w:customStyle="1" w:styleId="Bezlisty1">
    <w:name w:val="Bez listy1"/>
    <w:next w:val="NoList"/>
    <w:uiPriority w:val="99"/>
    <w:semiHidden/>
    <w:unhideWhenUsed/>
    <w:rsid w:val="00F24FBE"/>
  </w:style>
  <w:style w:type="paragraph" w:styleId="ListParagraph">
    <w:name w:val="List Paragraph"/>
    <w:aliases w:val="BulletC"/>
    <w:basedOn w:val="Normal"/>
    <w:link w:val="ListParagraphChar"/>
    <w:uiPriority w:val="34"/>
    <w:qFormat/>
    <w:rsid w:val="00F24FBE"/>
    <w:pPr>
      <w:spacing w:after="200" w:line="276" w:lineRule="auto"/>
      <w:ind w:left="720"/>
      <w:contextualSpacing/>
    </w:pPr>
    <w:rPr>
      <w:rFonts w:ascii="Calibri" w:eastAsia="Calibri" w:hAnsi="Calibri"/>
      <w:sz w:val="22"/>
      <w:szCs w:val="22"/>
    </w:rPr>
  </w:style>
  <w:style w:type="table" w:customStyle="1" w:styleId="Tabela-Siatka1">
    <w:name w:val="Tabela - Siatka1"/>
    <w:basedOn w:val="TableNormal"/>
    <w:next w:val="TableGrid"/>
    <w:uiPriority w:val="59"/>
    <w:rsid w:val="00F24F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F24FBE"/>
    <w:rPr>
      <w:rFonts w:ascii="Tahoma" w:hAnsi="Tahoma" w:cs="Tahoma"/>
      <w:sz w:val="16"/>
      <w:szCs w:val="16"/>
    </w:rPr>
  </w:style>
  <w:style w:type="character" w:customStyle="1" w:styleId="HeaderChar">
    <w:name w:val="Header Char"/>
    <w:link w:val="Header"/>
    <w:uiPriority w:val="99"/>
    <w:rsid w:val="00F24FBE"/>
    <w:rPr>
      <w:sz w:val="24"/>
      <w:szCs w:val="24"/>
    </w:rPr>
  </w:style>
  <w:style w:type="character" w:customStyle="1" w:styleId="Heading3Char">
    <w:name w:val="Heading 3 Char"/>
    <w:link w:val="Heading3"/>
    <w:uiPriority w:val="9"/>
    <w:rsid w:val="00B43732"/>
    <w:rPr>
      <w:rFonts w:ascii="Arial" w:eastAsia="Batang" w:hAnsi="Arial" w:cs="Arial"/>
      <w:b/>
      <w:bCs/>
      <w:iCs/>
      <w:sz w:val="24"/>
      <w:szCs w:val="28"/>
      <w:lang w:eastAsia="en-GB"/>
    </w:rPr>
  </w:style>
  <w:style w:type="character" w:customStyle="1" w:styleId="StandardTextZnak">
    <w:name w:val="Standard Text Znak"/>
    <w:link w:val="StandardText"/>
    <w:rsid w:val="00F24FBE"/>
    <w:rPr>
      <w:sz w:val="24"/>
      <w:szCs w:val="24"/>
      <w:lang w:val="en-GB" w:eastAsia="en-GB"/>
    </w:rPr>
  </w:style>
  <w:style w:type="paragraph" w:styleId="ListContinue">
    <w:name w:val="List Continue"/>
    <w:basedOn w:val="Normal"/>
    <w:uiPriority w:val="99"/>
    <w:unhideWhenUsed/>
    <w:rsid w:val="00F24FBE"/>
    <w:pPr>
      <w:spacing w:line="276" w:lineRule="auto"/>
      <w:ind w:left="283"/>
      <w:contextualSpacing/>
    </w:pPr>
    <w:rPr>
      <w:rFonts w:ascii="Calibri" w:eastAsia="Calibri" w:hAnsi="Calibri"/>
      <w:sz w:val="22"/>
      <w:szCs w:val="22"/>
    </w:rPr>
  </w:style>
  <w:style w:type="character" w:customStyle="1" w:styleId="tabulatory">
    <w:name w:val="tabulatory"/>
    <w:rsid w:val="00BC1C0E"/>
  </w:style>
  <w:style w:type="numbering" w:customStyle="1" w:styleId="Styl1">
    <w:name w:val="Styl1"/>
    <w:rsid w:val="00CC4AC2"/>
    <w:pPr>
      <w:numPr>
        <w:numId w:val="3"/>
      </w:numPr>
    </w:pPr>
  </w:style>
  <w:style w:type="paragraph" w:styleId="TOCHeading">
    <w:name w:val="TOC Heading"/>
    <w:basedOn w:val="Heading1"/>
    <w:next w:val="Normal"/>
    <w:uiPriority w:val="39"/>
    <w:unhideWhenUsed/>
    <w:qFormat/>
    <w:rsid w:val="00554CD6"/>
    <w:pPr>
      <w:keepLines/>
      <w:spacing w:before="480" w:after="0" w:line="276" w:lineRule="auto"/>
      <w:outlineLvl w:val="9"/>
    </w:pPr>
    <w:rPr>
      <w:rFonts w:ascii="Cambria" w:hAnsi="Cambria"/>
      <w:color w:val="365F91"/>
      <w:kern w:val="0"/>
      <w:sz w:val="28"/>
      <w:szCs w:val="28"/>
    </w:rPr>
  </w:style>
  <w:style w:type="paragraph" w:styleId="TOC1">
    <w:name w:val="toc 1"/>
    <w:basedOn w:val="Normal"/>
    <w:next w:val="Normal"/>
    <w:autoRedefine/>
    <w:uiPriority w:val="39"/>
    <w:rsid w:val="00E23E37"/>
    <w:pPr>
      <w:tabs>
        <w:tab w:val="left" w:pos="440"/>
        <w:tab w:val="right" w:leader="dot" w:pos="9639"/>
      </w:tabs>
      <w:spacing w:before="60" w:after="60" w:line="240" w:lineRule="auto"/>
      <w:ind w:left="437" w:hanging="437"/>
    </w:pPr>
    <w:rPr>
      <w:b/>
      <w:noProof/>
      <w:color w:val="1F497D" w:themeColor="text2"/>
    </w:rPr>
  </w:style>
  <w:style w:type="paragraph" w:styleId="TOC3">
    <w:name w:val="toc 3"/>
    <w:basedOn w:val="Normal"/>
    <w:next w:val="Normal"/>
    <w:autoRedefine/>
    <w:uiPriority w:val="39"/>
    <w:rsid w:val="00B937E1"/>
    <w:pPr>
      <w:tabs>
        <w:tab w:val="right" w:leader="dot" w:pos="9639"/>
      </w:tabs>
      <w:ind w:left="1276" w:hanging="796"/>
    </w:pPr>
  </w:style>
  <w:style w:type="paragraph" w:styleId="TOC2">
    <w:name w:val="toc 2"/>
    <w:basedOn w:val="Normal"/>
    <w:next w:val="Normal"/>
    <w:autoRedefine/>
    <w:uiPriority w:val="39"/>
    <w:rsid w:val="00DD5A63"/>
    <w:pPr>
      <w:tabs>
        <w:tab w:val="left" w:pos="660"/>
        <w:tab w:val="right" w:leader="dot" w:pos="9628"/>
      </w:tabs>
      <w:spacing w:before="0" w:after="0"/>
      <w:ind w:left="908" w:hanging="471"/>
    </w:pPr>
  </w:style>
  <w:style w:type="paragraph" w:styleId="Title">
    <w:name w:val="Title"/>
    <w:basedOn w:val="Normal"/>
    <w:next w:val="Normal"/>
    <w:link w:val="TitleChar"/>
    <w:qFormat/>
    <w:rsid w:val="00AE01EA"/>
    <w:pPr>
      <w:spacing w:before="240" w:after="60"/>
      <w:jc w:val="center"/>
      <w:outlineLvl w:val="0"/>
    </w:pPr>
    <w:rPr>
      <w:b/>
      <w:bCs/>
      <w:color w:val="002060"/>
      <w:kern w:val="28"/>
      <w:sz w:val="32"/>
      <w:szCs w:val="32"/>
    </w:rPr>
  </w:style>
  <w:style w:type="character" w:customStyle="1" w:styleId="TitleChar">
    <w:name w:val="Title Char"/>
    <w:link w:val="Title"/>
    <w:rsid w:val="00AE01EA"/>
    <w:rPr>
      <w:rFonts w:eastAsia="Times New Roman" w:cs="Times New Roman"/>
      <w:b/>
      <w:bCs/>
      <w:color w:val="002060"/>
      <w:kern w:val="28"/>
      <w:sz w:val="32"/>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rsid w:val="001A7EA6"/>
    <w:rPr>
      <w:rFonts w:ascii="Verdana" w:hAnsi="Verdana"/>
    </w:rPr>
  </w:style>
  <w:style w:type="paragraph" w:styleId="CommentSubject">
    <w:name w:val="annotation subject"/>
    <w:basedOn w:val="CommentText"/>
    <w:next w:val="CommentText"/>
    <w:link w:val="CommentSubjectChar"/>
    <w:rsid w:val="001A7EA6"/>
    <w:rPr>
      <w:b/>
      <w:bCs/>
    </w:rPr>
  </w:style>
  <w:style w:type="character" w:customStyle="1" w:styleId="CommentSubjectChar">
    <w:name w:val="Comment Subject Char"/>
    <w:link w:val="CommentSubject"/>
    <w:rsid w:val="001A7EA6"/>
    <w:rPr>
      <w:rFonts w:ascii="Verdana" w:hAnsi="Verdana"/>
      <w:b/>
      <w:bCs/>
    </w:rPr>
  </w:style>
  <w:style w:type="paragraph" w:customStyle="1" w:styleId="Tekstzwyky">
    <w:name w:val="Tekst zwykły"/>
    <w:link w:val="TekstzwykyZnak"/>
    <w:qFormat/>
    <w:rsid w:val="00CA3D44"/>
    <w:pPr>
      <w:spacing w:before="120" w:after="120" w:line="360" w:lineRule="auto"/>
      <w:jc w:val="both"/>
    </w:pPr>
    <w:rPr>
      <w:rFonts w:ascii="Verdana" w:eastAsia="Batang" w:hAnsi="Verdana"/>
      <w:sz w:val="18"/>
    </w:rPr>
  </w:style>
  <w:style w:type="paragraph" w:customStyle="1" w:styleId="Numeracja">
    <w:name w:val="Numeracja"/>
    <w:basedOn w:val="Tekstzwyky"/>
    <w:link w:val="NumeracjaZnak"/>
    <w:qFormat/>
    <w:rsid w:val="00CA3D44"/>
    <w:pPr>
      <w:numPr>
        <w:numId w:val="5"/>
      </w:numPr>
      <w:contextualSpacing/>
    </w:pPr>
  </w:style>
  <w:style w:type="character" w:customStyle="1" w:styleId="TekstzwykyZnak">
    <w:name w:val="Tekst zwykły Znak"/>
    <w:link w:val="Tekstzwyky"/>
    <w:rsid w:val="00CA3D44"/>
    <w:rPr>
      <w:rFonts w:ascii="Verdana" w:eastAsia="Batang" w:hAnsi="Verdana"/>
      <w:sz w:val="18"/>
      <w:lang w:eastAsia="en-GB"/>
    </w:rPr>
  </w:style>
  <w:style w:type="paragraph" w:customStyle="1" w:styleId="Wypunktowanie">
    <w:name w:val="Wypunktowanie"/>
    <w:basedOn w:val="Tekstzwyky"/>
    <w:link w:val="WypunktowanieZnak"/>
    <w:qFormat/>
    <w:rsid w:val="001F40E3"/>
    <w:pPr>
      <w:numPr>
        <w:numId w:val="6"/>
      </w:numPr>
      <w:contextualSpacing/>
    </w:pPr>
    <w:rPr>
      <w:rFonts w:ascii="Arial" w:hAnsi="Arial" w:cs="Arial"/>
    </w:rPr>
  </w:style>
  <w:style w:type="character" w:customStyle="1" w:styleId="NumeracjaZnak">
    <w:name w:val="Numeracja Znak"/>
    <w:basedOn w:val="TekstzwykyZnak"/>
    <w:link w:val="Numeracja"/>
    <w:rsid w:val="00CA3D44"/>
    <w:rPr>
      <w:rFonts w:ascii="Verdana" w:eastAsia="Batang" w:hAnsi="Verdana"/>
      <w:sz w:val="18"/>
      <w:lang w:eastAsia="en-GB"/>
    </w:rPr>
  </w:style>
  <w:style w:type="paragraph" w:customStyle="1" w:styleId="Wypunktowanie2">
    <w:name w:val="Wypunktowanie 2"/>
    <w:basedOn w:val="Wypunktowanie"/>
    <w:link w:val="Wypunktowanie2Znak"/>
    <w:qFormat/>
    <w:rsid w:val="00CA3D44"/>
    <w:pPr>
      <w:numPr>
        <w:ilvl w:val="1"/>
        <w:numId w:val="7"/>
      </w:numPr>
      <w:ind w:left="1276" w:hanging="283"/>
    </w:pPr>
  </w:style>
  <w:style w:type="character" w:customStyle="1" w:styleId="WypunktowanieZnak">
    <w:name w:val="Wypunktowanie Znak"/>
    <w:basedOn w:val="TekstzwykyZnak"/>
    <w:link w:val="Wypunktowanie"/>
    <w:rsid w:val="001F40E3"/>
    <w:rPr>
      <w:rFonts w:ascii="Arial" w:eastAsia="Batang" w:hAnsi="Arial" w:cs="Arial"/>
      <w:sz w:val="18"/>
      <w:lang w:eastAsia="en-GB"/>
    </w:rPr>
  </w:style>
  <w:style w:type="paragraph" w:styleId="NoSpacing">
    <w:name w:val="No Spacing"/>
    <w:uiPriority w:val="1"/>
    <w:qFormat/>
    <w:rsid w:val="00FE590D"/>
    <w:rPr>
      <w:rFonts w:ascii="Verdana" w:hAnsi="Verdana"/>
      <w:sz w:val="18"/>
      <w:szCs w:val="24"/>
    </w:rPr>
  </w:style>
  <w:style w:type="character" w:customStyle="1" w:styleId="Wypunktowanie2Znak">
    <w:name w:val="Wypunktowanie 2 Znak"/>
    <w:basedOn w:val="WypunktowanieZnak"/>
    <w:link w:val="Wypunktowanie2"/>
    <w:rsid w:val="00CA3D44"/>
    <w:rPr>
      <w:rFonts w:ascii="Arial" w:eastAsia="Batang" w:hAnsi="Arial" w:cs="Arial"/>
      <w:sz w:val="18"/>
      <w:lang w:eastAsia="en-GB"/>
    </w:rPr>
  </w:style>
  <w:style w:type="paragraph" w:styleId="IntenseQuote">
    <w:name w:val="Intense Quote"/>
    <w:basedOn w:val="Normal"/>
    <w:next w:val="Normal"/>
    <w:link w:val="IntenseQuoteChar"/>
    <w:uiPriority w:val="30"/>
    <w:qFormat/>
    <w:rsid w:val="00FE590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E590D"/>
    <w:rPr>
      <w:rFonts w:ascii="Verdana" w:hAnsi="Verdana"/>
      <w:b/>
      <w:bCs/>
      <w:i/>
      <w:iCs/>
      <w:color w:val="4F81BD"/>
      <w:sz w:val="18"/>
      <w:szCs w:val="24"/>
    </w:rPr>
  </w:style>
  <w:style w:type="paragraph" w:customStyle="1" w:styleId="Literka">
    <w:name w:val="Literka"/>
    <w:basedOn w:val="Normal"/>
    <w:link w:val="LiterkaZnak"/>
    <w:qFormat/>
    <w:rsid w:val="00B43732"/>
    <w:pPr>
      <w:numPr>
        <w:ilvl w:val="2"/>
        <w:numId w:val="2"/>
      </w:numPr>
      <w:ind w:left="426" w:hanging="426"/>
    </w:pPr>
    <w:rPr>
      <w:rFonts w:eastAsia="Calibri"/>
      <w:b/>
      <w:color w:val="1F497D"/>
      <w:sz w:val="20"/>
      <w:szCs w:val="20"/>
    </w:rPr>
  </w:style>
  <w:style w:type="table" w:styleId="LightList-Accent1">
    <w:name w:val="Light List Accent 1"/>
    <w:basedOn w:val="TableNormal"/>
    <w:uiPriority w:val="61"/>
    <w:rsid w:val="00B4373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LiterkaZnak">
    <w:name w:val="Literka Znak"/>
    <w:link w:val="Literka"/>
    <w:rsid w:val="00B43732"/>
    <w:rPr>
      <w:rFonts w:ascii="Arial" w:eastAsia="Calibri" w:hAnsi="Arial" w:cs="Arial"/>
      <w:b/>
      <w:color w:val="1F497D"/>
      <w:lang w:eastAsia="en-GB"/>
    </w:rPr>
  </w:style>
  <w:style w:type="table" w:styleId="MediumShading1-Accent1">
    <w:name w:val="Medium Shading 1 Accent 1"/>
    <w:basedOn w:val="TableNormal"/>
    <w:uiPriority w:val="63"/>
    <w:rsid w:val="006247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5">
    <w:name w:val="Light List Accent 5"/>
    <w:basedOn w:val="TableNormal"/>
    <w:uiPriority w:val="61"/>
    <w:rsid w:val="00A5021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ysunek">
    <w:name w:val="rysunek"/>
    <w:basedOn w:val="Normal"/>
    <w:link w:val="rysunekZnak"/>
    <w:qFormat/>
    <w:rsid w:val="00C20189"/>
    <w:pPr>
      <w:keepNext/>
      <w:spacing w:before="360" w:after="240" w:line="240" w:lineRule="exact"/>
      <w:jc w:val="center"/>
      <w:outlineLvl w:val="2"/>
    </w:pPr>
    <w:rPr>
      <w:b/>
      <w:sz w:val="22"/>
      <w:szCs w:val="28"/>
    </w:rPr>
  </w:style>
  <w:style w:type="paragraph" w:styleId="Revision">
    <w:name w:val="Revision"/>
    <w:hidden/>
    <w:uiPriority w:val="99"/>
    <w:semiHidden/>
    <w:rsid w:val="005707E4"/>
    <w:rPr>
      <w:rFonts w:ascii="Verdana" w:hAnsi="Verdana"/>
      <w:sz w:val="18"/>
      <w:szCs w:val="24"/>
    </w:rPr>
  </w:style>
  <w:style w:type="character" w:customStyle="1" w:styleId="rysunekZnak">
    <w:name w:val="rysunek Znak"/>
    <w:link w:val="rysunek"/>
    <w:rsid w:val="00C20189"/>
    <w:rPr>
      <w:rFonts w:ascii="Verdana" w:hAnsi="Verdana"/>
      <w:b/>
      <w:sz w:val="22"/>
      <w:szCs w:val="28"/>
      <w:lang w:eastAsia="en-GB"/>
    </w:rPr>
  </w:style>
  <w:style w:type="paragraph" w:customStyle="1" w:styleId="Default">
    <w:name w:val="Default"/>
    <w:basedOn w:val="Normal"/>
    <w:rsid w:val="00803491"/>
    <w:pPr>
      <w:autoSpaceDE w:val="0"/>
      <w:autoSpaceDN w:val="0"/>
    </w:pPr>
    <w:rPr>
      <w:rFonts w:eastAsia="Calibri"/>
      <w:color w:val="000000"/>
      <w:sz w:val="24"/>
    </w:rPr>
  </w:style>
  <w:style w:type="paragraph" w:customStyle="1" w:styleId="Wypunkt">
    <w:name w:val="Wypunkt"/>
    <w:basedOn w:val="Normal"/>
    <w:link w:val="WypunktZnak"/>
    <w:qFormat/>
    <w:rsid w:val="00F1396E"/>
    <w:pPr>
      <w:spacing w:after="240" w:line="276" w:lineRule="auto"/>
      <w:ind w:left="357" w:hanging="357"/>
      <w:contextualSpacing/>
    </w:pPr>
    <w:rPr>
      <w:rFonts w:ascii="Times New Roman" w:eastAsia="Calibri" w:hAnsi="Times New Roman"/>
      <w:bCs/>
      <w:sz w:val="20"/>
    </w:rPr>
  </w:style>
  <w:style w:type="character" w:customStyle="1" w:styleId="WypunktZnak">
    <w:name w:val="Wypunkt Znak"/>
    <w:link w:val="Wypunkt"/>
    <w:rsid w:val="00F1396E"/>
    <w:rPr>
      <w:rFonts w:eastAsia="Calibri"/>
      <w:bCs/>
      <w:szCs w:val="24"/>
      <w:lang w:eastAsia="en-GB"/>
    </w:rPr>
  </w:style>
  <w:style w:type="paragraph" w:customStyle="1" w:styleId="Rysunki">
    <w:name w:val="Rysunki"/>
    <w:basedOn w:val="Normal"/>
    <w:link w:val="RysunkiZnak"/>
    <w:qFormat/>
    <w:rsid w:val="00367901"/>
    <w:pPr>
      <w:numPr>
        <w:numId w:val="37"/>
      </w:numPr>
    </w:pPr>
  </w:style>
  <w:style w:type="paragraph" w:customStyle="1" w:styleId="Rysunek0">
    <w:name w:val="Rysunek"/>
    <w:basedOn w:val="Rysunki"/>
    <w:link w:val="RysunekZnak0"/>
    <w:qFormat/>
    <w:rsid w:val="00657A96"/>
    <w:pPr>
      <w:tabs>
        <w:tab w:val="left" w:pos="709"/>
      </w:tabs>
    </w:pPr>
    <w:rPr>
      <w:b/>
    </w:rPr>
  </w:style>
  <w:style w:type="paragraph" w:customStyle="1" w:styleId="Tabele">
    <w:name w:val="Tabele"/>
    <w:basedOn w:val="Tekstzwyky"/>
    <w:link w:val="TabeleZnak"/>
    <w:qFormat/>
    <w:rsid w:val="009C656D"/>
    <w:pPr>
      <w:numPr>
        <w:numId w:val="16"/>
      </w:numPr>
      <w:tabs>
        <w:tab w:val="left" w:pos="851"/>
      </w:tabs>
    </w:pPr>
    <w:rPr>
      <w:rFonts w:ascii="Arial" w:eastAsia="Times New Roman" w:hAnsi="Arial" w:cs="Arial"/>
      <w:b/>
      <w:szCs w:val="18"/>
    </w:rPr>
  </w:style>
  <w:style w:type="character" w:customStyle="1" w:styleId="RysunkiZnak">
    <w:name w:val="Rysunki Znak"/>
    <w:link w:val="Rysunki"/>
    <w:rsid w:val="00367901"/>
    <w:rPr>
      <w:rFonts w:ascii="Arial" w:eastAsia="Batang" w:hAnsi="Arial" w:cs="Arial"/>
      <w:sz w:val="18"/>
      <w:szCs w:val="18"/>
      <w:lang w:eastAsia="en-GB"/>
    </w:rPr>
  </w:style>
  <w:style w:type="character" w:customStyle="1" w:styleId="RysunekZnak0">
    <w:name w:val="Rysunek Znak"/>
    <w:link w:val="Rysunek0"/>
    <w:rsid w:val="00657A96"/>
    <w:rPr>
      <w:rFonts w:ascii="Arial" w:eastAsia="Batang" w:hAnsi="Arial" w:cs="Arial"/>
      <w:b/>
      <w:sz w:val="18"/>
      <w:szCs w:val="18"/>
      <w:lang w:eastAsia="en-GB"/>
    </w:rPr>
  </w:style>
  <w:style w:type="paragraph" w:customStyle="1" w:styleId="rda">
    <w:name w:val="źródła"/>
    <w:basedOn w:val="Tekstzwyky"/>
    <w:link w:val="rdaZnak"/>
    <w:qFormat/>
    <w:rsid w:val="00FE02A1"/>
    <w:pPr>
      <w:jc w:val="left"/>
    </w:pPr>
    <w:rPr>
      <w:rFonts w:ascii="Arial" w:hAnsi="Arial" w:cs="Arial"/>
      <w:i/>
    </w:rPr>
  </w:style>
  <w:style w:type="character" w:customStyle="1" w:styleId="TabeleZnak">
    <w:name w:val="Tabele Znak"/>
    <w:link w:val="Tabele"/>
    <w:rsid w:val="009C656D"/>
    <w:rPr>
      <w:rFonts w:ascii="Arial" w:hAnsi="Arial" w:cs="Arial"/>
      <w:b/>
      <w:sz w:val="18"/>
      <w:szCs w:val="18"/>
      <w:lang w:eastAsia="en-GB"/>
    </w:rPr>
  </w:style>
  <w:style w:type="table" w:styleId="MediumGrid3-Accent1">
    <w:name w:val="Medium Grid 3 Accent 1"/>
    <w:basedOn w:val="TableNormal"/>
    <w:uiPriority w:val="69"/>
    <w:rsid w:val="00A73B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rdaZnak">
    <w:name w:val="źródła Znak"/>
    <w:link w:val="rda"/>
    <w:rsid w:val="00FE02A1"/>
    <w:rPr>
      <w:rFonts w:ascii="Arial" w:eastAsia="Batang" w:hAnsi="Arial" w:cs="Arial"/>
      <w:i/>
      <w:sz w:val="18"/>
      <w:lang w:eastAsia="en-GB"/>
    </w:rPr>
  </w:style>
  <w:style w:type="table" w:customStyle="1" w:styleId="Tabela-Siatka2">
    <w:name w:val="Tabela - Siatka2"/>
    <w:basedOn w:val="TableNormal"/>
    <w:next w:val="TableGrid"/>
    <w:uiPriority w:val="59"/>
    <w:rsid w:val="00B82A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5">
    <w:name w:val="Medium Shading 1 Accent 5"/>
    <w:basedOn w:val="TableNormal"/>
    <w:uiPriority w:val="63"/>
    <w:rsid w:val="0035307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528F"/>
    <w:rPr>
      <w:rFonts w:ascii="Calibri" w:eastAsia="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numbering" w:customStyle="1" w:styleId="Bezlisty2">
    <w:name w:val="Bez listy2"/>
    <w:next w:val="NoList"/>
    <w:uiPriority w:val="99"/>
    <w:semiHidden/>
    <w:unhideWhenUsed/>
    <w:rsid w:val="00B971E8"/>
  </w:style>
  <w:style w:type="table" w:styleId="TableList7">
    <w:name w:val="Table List 7"/>
    <w:basedOn w:val="TableNormal"/>
    <w:rsid w:val="00657A96"/>
    <w:pPr>
      <w:spacing w:before="120" w:after="12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abelki">
    <w:name w:val="Tabelki"/>
    <w:basedOn w:val="Normal"/>
    <w:link w:val="TabelkiZnak"/>
    <w:qFormat/>
    <w:rsid w:val="00411F0D"/>
    <w:pPr>
      <w:spacing w:before="60" w:after="60" w:line="240" w:lineRule="auto"/>
    </w:pPr>
  </w:style>
  <w:style w:type="character" w:customStyle="1" w:styleId="TabelkiZnak">
    <w:name w:val="Tabelki Znak"/>
    <w:basedOn w:val="DefaultParagraphFont"/>
    <w:link w:val="Tabelki"/>
    <w:rsid w:val="00411F0D"/>
    <w:rPr>
      <w:rFonts w:ascii="Arial" w:eastAsia="Batang" w:hAnsi="Arial" w:cs="Arial"/>
      <w:sz w:val="18"/>
      <w:szCs w:val="18"/>
      <w:lang w:eastAsia="en-GB"/>
    </w:rPr>
  </w:style>
  <w:style w:type="character" w:customStyle="1" w:styleId="StandardTextChar">
    <w:name w:val="Standard Text Char"/>
    <w:basedOn w:val="DefaultParagraphFont"/>
    <w:rsid w:val="00DC3999"/>
    <w:rPr>
      <w:rFonts w:ascii="Times New Roman" w:eastAsia="Times New Roman" w:hAnsi="Times New Roman"/>
      <w:sz w:val="24"/>
      <w:szCs w:val="24"/>
      <w:lang w:val="en-GB" w:eastAsia="en-GB"/>
    </w:rPr>
  </w:style>
  <w:style w:type="table" w:customStyle="1" w:styleId="Tabela-Siatka11">
    <w:name w:val="Tabela - Siatka11"/>
    <w:basedOn w:val="TableNormal"/>
    <w:next w:val="TableGrid"/>
    <w:uiPriority w:val="59"/>
    <w:rsid w:val="00C936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rodlo">
    <w:name w:val="zrodlo"/>
    <w:basedOn w:val="Normal"/>
    <w:link w:val="zrodloZnak"/>
    <w:qFormat/>
    <w:rsid w:val="009E30F6"/>
    <w:pPr>
      <w:spacing w:line="276" w:lineRule="auto"/>
    </w:pPr>
    <w:rPr>
      <w:rFonts w:ascii="Times New Roman" w:eastAsia="Calibri" w:hAnsi="Times New Roman" w:cs="Times New Roman"/>
      <w:bCs/>
      <w:i/>
      <w:sz w:val="20"/>
      <w:szCs w:val="22"/>
    </w:rPr>
  </w:style>
  <w:style w:type="character" w:customStyle="1" w:styleId="zrodloZnak">
    <w:name w:val="zrodlo Znak"/>
    <w:link w:val="zrodlo"/>
    <w:rsid w:val="009E30F6"/>
    <w:rPr>
      <w:rFonts w:eastAsia="Calibri"/>
      <w:bCs/>
      <w:i/>
      <w:szCs w:val="22"/>
    </w:rPr>
  </w:style>
  <w:style w:type="character" w:customStyle="1" w:styleId="ListParagraphChar">
    <w:name w:val="List Paragraph Char"/>
    <w:aliases w:val="BulletC Char"/>
    <w:link w:val="ListParagraph"/>
    <w:rsid w:val="00F66322"/>
    <w:rPr>
      <w:rFonts w:ascii="Calibri" w:eastAsia="Calibri" w:hAnsi="Calibri" w:cs="Arial"/>
      <w:sz w:val="22"/>
      <w:szCs w:val="22"/>
      <w:lang w:eastAsia="en-GB"/>
    </w:rPr>
  </w:style>
  <w:style w:type="paragraph" w:customStyle="1" w:styleId="DoNotTranslateExternal1">
    <w:name w:val="DoNotTranslateExternal1"/>
    <w:basedOn w:val="Tabelki"/>
    <w:qFormat/>
    <w:rsid w:val="00DD5A63"/>
    <w:pPr>
      <w:spacing w:before="120" w:after="120"/>
      <w:jc w:val="center"/>
    </w:pPr>
    <w:rPr>
      <w:color w:val="1F497D" w:themeColor="text2"/>
    </w:rPr>
  </w:style>
  <w:style w:type="paragraph" w:customStyle="1" w:styleId="DoNotTranslateExternal2">
    <w:name w:val="DoNotTranslateExternal2"/>
    <w:basedOn w:val="Normal"/>
    <w:qFormat/>
    <w:rsid w:val="00FD790F"/>
    <w:pPr>
      <w:spacing w:before="0" w:after="0" w:line="240" w:lineRule="auto"/>
      <w:jc w:val="left"/>
    </w:pPr>
    <w:rPr>
      <w:color w:val="000000"/>
    </w:rPr>
  </w:style>
  <w:style w:type="paragraph" w:customStyle="1" w:styleId="DoNotTranslateExternal3">
    <w:name w:val="DoNotTranslateExternal3"/>
    <w:basedOn w:val="Normal"/>
    <w:autoRedefine/>
    <w:qFormat/>
    <w:rsid w:val="00C8215D"/>
    <w:pPr>
      <w:spacing w:before="0" w:after="0" w:line="276" w:lineRule="auto"/>
      <w:jc w:val="center"/>
    </w:pPr>
    <w:rPr>
      <w:color w:val="1F497D" w:themeColor="text2"/>
      <w:sz w:val="16"/>
      <w:szCs w:val="16"/>
    </w:rPr>
  </w:style>
  <w:style w:type="paragraph" w:customStyle="1" w:styleId="DoNotTranslateExternal4">
    <w:name w:val="DoNotTranslateExternal4"/>
    <w:basedOn w:val="Normal"/>
    <w:qFormat/>
    <w:rsid w:val="00FD790F"/>
    <w:pPr>
      <w:spacing w:before="60" w:after="60" w:line="240" w:lineRule="auto"/>
    </w:pPr>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176">
      <w:bodyDiv w:val="1"/>
      <w:marLeft w:val="0"/>
      <w:marRight w:val="0"/>
      <w:marTop w:val="0"/>
      <w:marBottom w:val="0"/>
      <w:divBdr>
        <w:top w:val="none" w:sz="0" w:space="0" w:color="auto"/>
        <w:left w:val="none" w:sz="0" w:space="0" w:color="auto"/>
        <w:bottom w:val="none" w:sz="0" w:space="0" w:color="auto"/>
        <w:right w:val="none" w:sz="0" w:space="0" w:color="auto"/>
      </w:divBdr>
    </w:div>
    <w:div w:id="105276133">
      <w:bodyDiv w:val="1"/>
      <w:marLeft w:val="0"/>
      <w:marRight w:val="0"/>
      <w:marTop w:val="0"/>
      <w:marBottom w:val="0"/>
      <w:divBdr>
        <w:top w:val="none" w:sz="0" w:space="0" w:color="auto"/>
        <w:left w:val="none" w:sz="0" w:space="0" w:color="auto"/>
        <w:bottom w:val="none" w:sz="0" w:space="0" w:color="auto"/>
        <w:right w:val="none" w:sz="0" w:space="0" w:color="auto"/>
      </w:divBdr>
      <w:divsChild>
        <w:div w:id="1285160970">
          <w:marLeft w:val="0"/>
          <w:marRight w:val="0"/>
          <w:marTop w:val="0"/>
          <w:marBottom w:val="0"/>
          <w:divBdr>
            <w:top w:val="none" w:sz="0" w:space="0" w:color="auto"/>
            <w:left w:val="none" w:sz="0" w:space="0" w:color="auto"/>
            <w:bottom w:val="none" w:sz="0" w:space="0" w:color="auto"/>
            <w:right w:val="none" w:sz="0" w:space="0" w:color="auto"/>
          </w:divBdr>
        </w:div>
      </w:divsChild>
    </w:div>
    <w:div w:id="108428118">
      <w:bodyDiv w:val="1"/>
      <w:marLeft w:val="0"/>
      <w:marRight w:val="0"/>
      <w:marTop w:val="0"/>
      <w:marBottom w:val="0"/>
      <w:divBdr>
        <w:top w:val="none" w:sz="0" w:space="0" w:color="auto"/>
        <w:left w:val="none" w:sz="0" w:space="0" w:color="auto"/>
        <w:bottom w:val="none" w:sz="0" w:space="0" w:color="auto"/>
        <w:right w:val="none" w:sz="0" w:space="0" w:color="auto"/>
      </w:divBdr>
    </w:div>
    <w:div w:id="108817784">
      <w:bodyDiv w:val="1"/>
      <w:marLeft w:val="0"/>
      <w:marRight w:val="0"/>
      <w:marTop w:val="0"/>
      <w:marBottom w:val="0"/>
      <w:divBdr>
        <w:top w:val="none" w:sz="0" w:space="0" w:color="auto"/>
        <w:left w:val="none" w:sz="0" w:space="0" w:color="auto"/>
        <w:bottom w:val="none" w:sz="0" w:space="0" w:color="auto"/>
        <w:right w:val="none" w:sz="0" w:space="0" w:color="auto"/>
      </w:divBdr>
    </w:div>
    <w:div w:id="158624474">
      <w:bodyDiv w:val="1"/>
      <w:marLeft w:val="0"/>
      <w:marRight w:val="0"/>
      <w:marTop w:val="0"/>
      <w:marBottom w:val="0"/>
      <w:divBdr>
        <w:top w:val="none" w:sz="0" w:space="0" w:color="auto"/>
        <w:left w:val="none" w:sz="0" w:space="0" w:color="auto"/>
        <w:bottom w:val="none" w:sz="0" w:space="0" w:color="auto"/>
        <w:right w:val="none" w:sz="0" w:space="0" w:color="auto"/>
      </w:divBdr>
      <w:divsChild>
        <w:div w:id="658928308">
          <w:marLeft w:val="0"/>
          <w:marRight w:val="0"/>
          <w:marTop w:val="0"/>
          <w:marBottom w:val="0"/>
          <w:divBdr>
            <w:top w:val="none" w:sz="0" w:space="0" w:color="auto"/>
            <w:left w:val="none" w:sz="0" w:space="0" w:color="auto"/>
            <w:bottom w:val="none" w:sz="0" w:space="0" w:color="auto"/>
            <w:right w:val="none" w:sz="0" w:space="0" w:color="auto"/>
          </w:divBdr>
        </w:div>
      </w:divsChild>
    </w:div>
    <w:div w:id="187258529">
      <w:bodyDiv w:val="1"/>
      <w:marLeft w:val="0"/>
      <w:marRight w:val="0"/>
      <w:marTop w:val="0"/>
      <w:marBottom w:val="0"/>
      <w:divBdr>
        <w:top w:val="none" w:sz="0" w:space="0" w:color="auto"/>
        <w:left w:val="none" w:sz="0" w:space="0" w:color="auto"/>
        <w:bottom w:val="none" w:sz="0" w:space="0" w:color="auto"/>
        <w:right w:val="none" w:sz="0" w:space="0" w:color="auto"/>
      </w:divBdr>
    </w:div>
    <w:div w:id="360086024">
      <w:bodyDiv w:val="1"/>
      <w:marLeft w:val="0"/>
      <w:marRight w:val="0"/>
      <w:marTop w:val="0"/>
      <w:marBottom w:val="0"/>
      <w:divBdr>
        <w:top w:val="none" w:sz="0" w:space="0" w:color="auto"/>
        <w:left w:val="none" w:sz="0" w:space="0" w:color="auto"/>
        <w:bottom w:val="none" w:sz="0" w:space="0" w:color="auto"/>
        <w:right w:val="none" w:sz="0" w:space="0" w:color="auto"/>
      </w:divBdr>
      <w:divsChild>
        <w:div w:id="293878642">
          <w:marLeft w:val="0"/>
          <w:marRight w:val="0"/>
          <w:marTop w:val="0"/>
          <w:marBottom w:val="0"/>
          <w:divBdr>
            <w:top w:val="none" w:sz="0" w:space="0" w:color="auto"/>
            <w:left w:val="none" w:sz="0" w:space="0" w:color="auto"/>
            <w:bottom w:val="none" w:sz="0" w:space="0" w:color="auto"/>
            <w:right w:val="none" w:sz="0" w:space="0" w:color="auto"/>
          </w:divBdr>
        </w:div>
      </w:divsChild>
    </w:div>
    <w:div w:id="493302278">
      <w:bodyDiv w:val="1"/>
      <w:marLeft w:val="0"/>
      <w:marRight w:val="0"/>
      <w:marTop w:val="0"/>
      <w:marBottom w:val="0"/>
      <w:divBdr>
        <w:top w:val="none" w:sz="0" w:space="0" w:color="auto"/>
        <w:left w:val="none" w:sz="0" w:space="0" w:color="auto"/>
        <w:bottom w:val="none" w:sz="0" w:space="0" w:color="auto"/>
        <w:right w:val="none" w:sz="0" w:space="0" w:color="auto"/>
      </w:divBdr>
      <w:divsChild>
        <w:div w:id="731924652">
          <w:marLeft w:val="0"/>
          <w:marRight w:val="0"/>
          <w:marTop w:val="0"/>
          <w:marBottom w:val="0"/>
          <w:divBdr>
            <w:top w:val="none" w:sz="0" w:space="0" w:color="auto"/>
            <w:left w:val="single" w:sz="4" w:space="2" w:color="EFF1F5"/>
            <w:bottom w:val="none" w:sz="0" w:space="0" w:color="auto"/>
            <w:right w:val="single" w:sz="4" w:space="2" w:color="EFF1F5"/>
          </w:divBdr>
          <w:divsChild>
            <w:div w:id="68424209">
              <w:marLeft w:val="0"/>
              <w:marRight w:val="0"/>
              <w:marTop w:val="115"/>
              <w:marBottom w:val="115"/>
              <w:divBdr>
                <w:top w:val="none" w:sz="0" w:space="0" w:color="auto"/>
                <w:left w:val="none" w:sz="0" w:space="0" w:color="auto"/>
                <w:bottom w:val="none" w:sz="0" w:space="0" w:color="auto"/>
                <w:right w:val="none" w:sz="0" w:space="0" w:color="auto"/>
              </w:divBdr>
              <w:divsChild>
                <w:div w:id="2103333103">
                  <w:marLeft w:val="0"/>
                  <w:marRight w:val="0"/>
                  <w:marTop w:val="0"/>
                  <w:marBottom w:val="0"/>
                  <w:divBdr>
                    <w:top w:val="none" w:sz="0" w:space="0" w:color="auto"/>
                    <w:left w:val="none" w:sz="0" w:space="0" w:color="auto"/>
                    <w:bottom w:val="none" w:sz="0" w:space="0" w:color="auto"/>
                    <w:right w:val="none" w:sz="0" w:space="0" w:color="auto"/>
                  </w:divBdr>
                  <w:divsChild>
                    <w:div w:id="759714578">
                      <w:marLeft w:val="0"/>
                      <w:marRight w:val="0"/>
                      <w:marTop w:val="0"/>
                      <w:marBottom w:val="58"/>
                      <w:divBdr>
                        <w:top w:val="none" w:sz="0" w:space="0" w:color="auto"/>
                        <w:left w:val="single" w:sz="4" w:space="1" w:color="E5E5E5"/>
                        <w:bottom w:val="none" w:sz="0" w:space="0" w:color="auto"/>
                        <w:right w:val="single" w:sz="4" w:space="1" w:color="E5E5E5"/>
                      </w:divBdr>
                      <w:divsChild>
                        <w:div w:id="1081949600">
                          <w:marLeft w:val="0"/>
                          <w:marRight w:val="0"/>
                          <w:marTop w:val="0"/>
                          <w:marBottom w:val="0"/>
                          <w:divBdr>
                            <w:top w:val="none" w:sz="0" w:space="0" w:color="auto"/>
                            <w:left w:val="none" w:sz="0" w:space="0" w:color="auto"/>
                            <w:bottom w:val="none" w:sz="0" w:space="0" w:color="auto"/>
                            <w:right w:val="none" w:sz="0" w:space="0" w:color="auto"/>
                          </w:divBdr>
                          <w:divsChild>
                            <w:div w:id="1705057013">
                              <w:marLeft w:val="0"/>
                              <w:marRight w:val="0"/>
                              <w:marTop w:val="0"/>
                              <w:marBottom w:val="0"/>
                              <w:divBdr>
                                <w:top w:val="none" w:sz="0" w:space="0" w:color="auto"/>
                                <w:left w:val="none" w:sz="0" w:space="0" w:color="auto"/>
                                <w:bottom w:val="none" w:sz="0" w:space="0" w:color="auto"/>
                                <w:right w:val="none" w:sz="0" w:space="0" w:color="auto"/>
                              </w:divBdr>
                              <w:divsChild>
                                <w:div w:id="481508986">
                                  <w:marLeft w:val="0"/>
                                  <w:marRight w:val="0"/>
                                  <w:marTop w:val="0"/>
                                  <w:marBottom w:val="0"/>
                                  <w:divBdr>
                                    <w:top w:val="none" w:sz="0" w:space="0" w:color="auto"/>
                                    <w:left w:val="none" w:sz="0" w:space="0" w:color="auto"/>
                                    <w:bottom w:val="none" w:sz="0" w:space="0" w:color="auto"/>
                                    <w:right w:val="none" w:sz="0" w:space="0" w:color="auto"/>
                                  </w:divBdr>
                                </w:div>
                                <w:div w:id="527793476">
                                  <w:marLeft w:val="0"/>
                                  <w:marRight w:val="0"/>
                                  <w:marTop w:val="0"/>
                                  <w:marBottom w:val="0"/>
                                  <w:divBdr>
                                    <w:top w:val="none" w:sz="0" w:space="0" w:color="auto"/>
                                    <w:left w:val="none" w:sz="0" w:space="0" w:color="auto"/>
                                    <w:bottom w:val="none" w:sz="0" w:space="0" w:color="auto"/>
                                    <w:right w:val="none" w:sz="0" w:space="0" w:color="auto"/>
                                  </w:divBdr>
                                </w:div>
                                <w:div w:id="711854560">
                                  <w:marLeft w:val="0"/>
                                  <w:marRight w:val="0"/>
                                  <w:marTop w:val="0"/>
                                  <w:marBottom w:val="0"/>
                                  <w:divBdr>
                                    <w:top w:val="none" w:sz="0" w:space="0" w:color="auto"/>
                                    <w:left w:val="none" w:sz="0" w:space="0" w:color="auto"/>
                                    <w:bottom w:val="none" w:sz="0" w:space="0" w:color="auto"/>
                                    <w:right w:val="none" w:sz="0" w:space="0" w:color="auto"/>
                                  </w:divBdr>
                                </w:div>
                                <w:div w:id="1385373604">
                                  <w:marLeft w:val="0"/>
                                  <w:marRight w:val="0"/>
                                  <w:marTop w:val="0"/>
                                  <w:marBottom w:val="0"/>
                                  <w:divBdr>
                                    <w:top w:val="none" w:sz="0" w:space="0" w:color="auto"/>
                                    <w:left w:val="none" w:sz="0" w:space="0" w:color="auto"/>
                                    <w:bottom w:val="none" w:sz="0" w:space="0" w:color="auto"/>
                                    <w:right w:val="none" w:sz="0" w:space="0" w:color="auto"/>
                                  </w:divBdr>
                                </w:div>
                                <w:div w:id="1502308257">
                                  <w:marLeft w:val="0"/>
                                  <w:marRight w:val="0"/>
                                  <w:marTop w:val="0"/>
                                  <w:marBottom w:val="0"/>
                                  <w:divBdr>
                                    <w:top w:val="none" w:sz="0" w:space="0" w:color="auto"/>
                                    <w:left w:val="none" w:sz="0" w:space="0" w:color="auto"/>
                                    <w:bottom w:val="none" w:sz="0" w:space="0" w:color="auto"/>
                                    <w:right w:val="none" w:sz="0" w:space="0" w:color="auto"/>
                                  </w:divBdr>
                                </w:div>
                                <w:div w:id="1644853134">
                                  <w:marLeft w:val="0"/>
                                  <w:marRight w:val="0"/>
                                  <w:marTop w:val="0"/>
                                  <w:marBottom w:val="0"/>
                                  <w:divBdr>
                                    <w:top w:val="none" w:sz="0" w:space="0" w:color="auto"/>
                                    <w:left w:val="none" w:sz="0" w:space="0" w:color="auto"/>
                                    <w:bottom w:val="none" w:sz="0" w:space="0" w:color="auto"/>
                                    <w:right w:val="none" w:sz="0" w:space="0" w:color="auto"/>
                                  </w:divBdr>
                                </w:div>
                                <w:div w:id="18695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43704">
      <w:bodyDiv w:val="1"/>
      <w:marLeft w:val="0"/>
      <w:marRight w:val="0"/>
      <w:marTop w:val="0"/>
      <w:marBottom w:val="0"/>
      <w:divBdr>
        <w:top w:val="none" w:sz="0" w:space="0" w:color="auto"/>
        <w:left w:val="none" w:sz="0" w:space="0" w:color="auto"/>
        <w:bottom w:val="none" w:sz="0" w:space="0" w:color="auto"/>
        <w:right w:val="none" w:sz="0" w:space="0" w:color="auto"/>
      </w:divBdr>
    </w:div>
    <w:div w:id="604193804">
      <w:bodyDiv w:val="1"/>
      <w:marLeft w:val="0"/>
      <w:marRight w:val="0"/>
      <w:marTop w:val="0"/>
      <w:marBottom w:val="0"/>
      <w:divBdr>
        <w:top w:val="none" w:sz="0" w:space="0" w:color="auto"/>
        <w:left w:val="none" w:sz="0" w:space="0" w:color="auto"/>
        <w:bottom w:val="none" w:sz="0" w:space="0" w:color="auto"/>
        <w:right w:val="none" w:sz="0" w:space="0" w:color="auto"/>
      </w:divBdr>
    </w:div>
    <w:div w:id="670523843">
      <w:bodyDiv w:val="1"/>
      <w:marLeft w:val="0"/>
      <w:marRight w:val="0"/>
      <w:marTop w:val="0"/>
      <w:marBottom w:val="0"/>
      <w:divBdr>
        <w:top w:val="none" w:sz="0" w:space="0" w:color="auto"/>
        <w:left w:val="none" w:sz="0" w:space="0" w:color="auto"/>
        <w:bottom w:val="none" w:sz="0" w:space="0" w:color="auto"/>
        <w:right w:val="none" w:sz="0" w:space="0" w:color="auto"/>
      </w:divBdr>
    </w:div>
    <w:div w:id="677191802">
      <w:bodyDiv w:val="1"/>
      <w:marLeft w:val="0"/>
      <w:marRight w:val="0"/>
      <w:marTop w:val="0"/>
      <w:marBottom w:val="0"/>
      <w:divBdr>
        <w:top w:val="none" w:sz="0" w:space="0" w:color="auto"/>
        <w:left w:val="none" w:sz="0" w:space="0" w:color="auto"/>
        <w:bottom w:val="none" w:sz="0" w:space="0" w:color="auto"/>
        <w:right w:val="none" w:sz="0" w:space="0" w:color="auto"/>
      </w:divBdr>
      <w:divsChild>
        <w:div w:id="1313172805">
          <w:marLeft w:val="0"/>
          <w:marRight w:val="0"/>
          <w:marTop w:val="0"/>
          <w:marBottom w:val="0"/>
          <w:divBdr>
            <w:top w:val="none" w:sz="0" w:space="0" w:color="auto"/>
            <w:left w:val="none" w:sz="0" w:space="0" w:color="auto"/>
            <w:bottom w:val="none" w:sz="0" w:space="0" w:color="auto"/>
            <w:right w:val="none" w:sz="0" w:space="0" w:color="auto"/>
          </w:divBdr>
          <w:divsChild>
            <w:div w:id="7787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01484">
      <w:bodyDiv w:val="1"/>
      <w:marLeft w:val="0"/>
      <w:marRight w:val="0"/>
      <w:marTop w:val="0"/>
      <w:marBottom w:val="0"/>
      <w:divBdr>
        <w:top w:val="none" w:sz="0" w:space="0" w:color="auto"/>
        <w:left w:val="none" w:sz="0" w:space="0" w:color="auto"/>
        <w:bottom w:val="none" w:sz="0" w:space="0" w:color="auto"/>
        <w:right w:val="none" w:sz="0" w:space="0" w:color="auto"/>
      </w:divBdr>
    </w:div>
    <w:div w:id="801852793">
      <w:bodyDiv w:val="1"/>
      <w:marLeft w:val="0"/>
      <w:marRight w:val="0"/>
      <w:marTop w:val="0"/>
      <w:marBottom w:val="0"/>
      <w:divBdr>
        <w:top w:val="none" w:sz="0" w:space="0" w:color="auto"/>
        <w:left w:val="none" w:sz="0" w:space="0" w:color="auto"/>
        <w:bottom w:val="none" w:sz="0" w:space="0" w:color="auto"/>
        <w:right w:val="none" w:sz="0" w:space="0" w:color="auto"/>
      </w:divBdr>
    </w:div>
    <w:div w:id="910189366">
      <w:bodyDiv w:val="1"/>
      <w:marLeft w:val="0"/>
      <w:marRight w:val="0"/>
      <w:marTop w:val="0"/>
      <w:marBottom w:val="0"/>
      <w:divBdr>
        <w:top w:val="none" w:sz="0" w:space="0" w:color="auto"/>
        <w:left w:val="none" w:sz="0" w:space="0" w:color="auto"/>
        <w:bottom w:val="none" w:sz="0" w:space="0" w:color="auto"/>
        <w:right w:val="none" w:sz="0" w:space="0" w:color="auto"/>
      </w:divBdr>
      <w:divsChild>
        <w:div w:id="333604921">
          <w:marLeft w:val="0"/>
          <w:marRight w:val="0"/>
          <w:marTop w:val="0"/>
          <w:marBottom w:val="0"/>
          <w:divBdr>
            <w:top w:val="none" w:sz="0" w:space="0" w:color="auto"/>
            <w:left w:val="none" w:sz="0" w:space="0" w:color="auto"/>
            <w:bottom w:val="none" w:sz="0" w:space="0" w:color="auto"/>
            <w:right w:val="none" w:sz="0" w:space="0" w:color="auto"/>
          </w:divBdr>
          <w:divsChild>
            <w:div w:id="331879409">
              <w:marLeft w:val="0"/>
              <w:marRight w:val="0"/>
              <w:marTop w:val="0"/>
              <w:marBottom w:val="0"/>
              <w:divBdr>
                <w:top w:val="none" w:sz="0" w:space="0" w:color="auto"/>
                <w:left w:val="none" w:sz="0" w:space="0" w:color="auto"/>
                <w:bottom w:val="none" w:sz="0" w:space="0" w:color="auto"/>
                <w:right w:val="none" w:sz="0" w:space="0" w:color="auto"/>
              </w:divBdr>
              <w:divsChild>
                <w:div w:id="1473327489">
                  <w:marLeft w:val="0"/>
                  <w:marRight w:val="0"/>
                  <w:marTop w:val="0"/>
                  <w:marBottom w:val="0"/>
                  <w:divBdr>
                    <w:top w:val="none" w:sz="0" w:space="0" w:color="auto"/>
                    <w:left w:val="none" w:sz="0" w:space="0" w:color="auto"/>
                    <w:bottom w:val="none" w:sz="0" w:space="0" w:color="auto"/>
                    <w:right w:val="none" w:sz="0" w:space="0" w:color="auto"/>
                  </w:divBdr>
                </w:div>
                <w:div w:id="1430271273">
                  <w:marLeft w:val="0"/>
                  <w:marRight w:val="0"/>
                  <w:marTop w:val="0"/>
                  <w:marBottom w:val="0"/>
                  <w:divBdr>
                    <w:top w:val="none" w:sz="0" w:space="0" w:color="auto"/>
                    <w:left w:val="none" w:sz="0" w:space="0" w:color="auto"/>
                    <w:bottom w:val="none" w:sz="0" w:space="0" w:color="auto"/>
                    <w:right w:val="none" w:sz="0" w:space="0" w:color="auto"/>
                  </w:divBdr>
                  <w:divsChild>
                    <w:div w:id="751312727">
                      <w:marLeft w:val="600"/>
                      <w:marRight w:val="0"/>
                      <w:marTop w:val="0"/>
                      <w:marBottom w:val="0"/>
                      <w:divBdr>
                        <w:top w:val="none" w:sz="0" w:space="0" w:color="auto"/>
                        <w:left w:val="none" w:sz="0" w:space="0" w:color="auto"/>
                        <w:bottom w:val="none" w:sz="0" w:space="0" w:color="auto"/>
                        <w:right w:val="none" w:sz="0" w:space="0" w:color="auto"/>
                      </w:divBdr>
                    </w:div>
                  </w:divsChild>
                </w:div>
                <w:div w:id="607933850">
                  <w:marLeft w:val="0"/>
                  <w:marRight w:val="0"/>
                  <w:marTop w:val="0"/>
                  <w:marBottom w:val="0"/>
                  <w:divBdr>
                    <w:top w:val="none" w:sz="0" w:space="0" w:color="auto"/>
                    <w:left w:val="none" w:sz="0" w:space="0" w:color="auto"/>
                    <w:bottom w:val="none" w:sz="0" w:space="0" w:color="auto"/>
                    <w:right w:val="none" w:sz="0" w:space="0" w:color="auto"/>
                  </w:divBdr>
                  <w:divsChild>
                    <w:div w:id="2631387">
                      <w:marLeft w:val="600"/>
                      <w:marRight w:val="0"/>
                      <w:marTop w:val="0"/>
                      <w:marBottom w:val="0"/>
                      <w:divBdr>
                        <w:top w:val="none" w:sz="0" w:space="0" w:color="auto"/>
                        <w:left w:val="none" w:sz="0" w:space="0" w:color="auto"/>
                        <w:bottom w:val="none" w:sz="0" w:space="0" w:color="auto"/>
                        <w:right w:val="none" w:sz="0" w:space="0" w:color="auto"/>
                      </w:divBdr>
                    </w:div>
                  </w:divsChild>
                </w:div>
                <w:div w:id="1202478333">
                  <w:marLeft w:val="0"/>
                  <w:marRight w:val="0"/>
                  <w:marTop w:val="0"/>
                  <w:marBottom w:val="0"/>
                  <w:divBdr>
                    <w:top w:val="none" w:sz="0" w:space="0" w:color="auto"/>
                    <w:left w:val="none" w:sz="0" w:space="0" w:color="auto"/>
                    <w:bottom w:val="none" w:sz="0" w:space="0" w:color="auto"/>
                    <w:right w:val="none" w:sz="0" w:space="0" w:color="auto"/>
                  </w:divBdr>
                  <w:divsChild>
                    <w:div w:id="163250495">
                      <w:marLeft w:val="600"/>
                      <w:marRight w:val="0"/>
                      <w:marTop w:val="0"/>
                      <w:marBottom w:val="0"/>
                      <w:divBdr>
                        <w:top w:val="none" w:sz="0" w:space="0" w:color="auto"/>
                        <w:left w:val="none" w:sz="0" w:space="0" w:color="auto"/>
                        <w:bottom w:val="none" w:sz="0" w:space="0" w:color="auto"/>
                        <w:right w:val="none" w:sz="0" w:space="0" w:color="auto"/>
                      </w:divBdr>
                    </w:div>
                  </w:divsChild>
                </w:div>
                <w:div w:id="1116485854">
                  <w:marLeft w:val="0"/>
                  <w:marRight w:val="0"/>
                  <w:marTop w:val="0"/>
                  <w:marBottom w:val="0"/>
                  <w:divBdr>
                    <w:top w:val="none" w:sz="0" w:space="0" w:color="auto"/>
                    <w:left w:val="none" w:sz="0" w:space="0" w:color="auto"/>
                    <w:bottom w:val="none" w:sz="0" w:space="0" w:color="auto"/>
                    <w:right w:val="none" w:sz="0" w:space="0" w:color="auto"/>
                  </w:divBdr>
                  <w:divsChild>
                    <w:div w:id="1900969871">
                      <w:marLeft w:val="600"/>
                      <w:marRight w:val="0"/>
                      <w:marTop w:val="0"/>
                      <w:marBottom w:val="0"/>
                      <w:divBdr>
                        <w:top w:val="none" w:sz="0" w:space="0" w:color="auto"/>
                        <w:left w:val="none" w:sz="0" w:space="0" w:color="auto"/>
                        <w:bottom w:val="none" w:sz="0" w:space="0" w:color="auto"/>
                        <w:right w:val="none" w:sz="0" w:space="0" w:color="auto"/>
                      </w:divBdr>
                    </w:div>
                  </w:divsChild>
                </w:div>
                <w:div w:id="389420504">
                  <w:marLeft w:val="0"/>
                  <w:marRight w:val="0"/>
                  <w:marTop w:val="0"/>
                  <w:marBottom w:val="0"/>
                  <w:divBdr>
                    <w:top w:val="none" w:sz="0" w:space="0" w:color="auto"/>
                    <w:left w:val="none" w:sz="0" w:space="0" w:color="auto"/>
                    <w:bottom w:val="none" w:sz="0" w:space="0" w:color="auto"/>
                    <w:right w:val="none" w:sz="0" w:space="0" w:color="auto"/>
                  </w:divBdr>
                  <w:divsChild>
                    <w:div w:id="66127878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6395">
          <w:marLeft w:val="0"/>
          <w:marRight w:val="0"/>
          <w:marTop w:val="0"/>
          <w:marBottom w:val="0"/>
          <w:divBdr>
            <w:top w:val="none" w:sz="0" w:space="0" w:color="auto"/>
            <w:left w:val="none" w:sz="0" w:space="0" w:color="auto"/>
            <w:bottom w:val="none" w:sz="0" w:space="0" w:color="auto"/>
            <w:right w:val="none" w:sz="0" w:space="0" w:color="auto"/>
          </w:divBdr>
        </w:div>
      </w:divsChild>
    </w:div>
    <w:div w:id="916325768">
      <w:bodyDiv w:val="1"/>
      <w:marLeft w:val="0"/>
      <w:marRight w:val="0"/>
      <w:marTop w:val="0"/>
      <w:marBottom w:val="0"/>
      <w:divBdr>
        <w:top w:val="none" w:sz="0" w:space="0" w:color="auto"/>
        <w:left w:val="none" w:sz="0" w:space="0" w:color="auto"/>
        <w:bottom w:val="none" w:sz="0" w:space="0" w:color="auto"/>
        <w:right w:val="none" w:sz="0" w:space="0" w:color="auto"/>
      </w:divBdr>
    </w:div>
    <w:div w:id="973869760">
      <w:bodyDiv w:val="1"/>
      <w:marLeft w:val="0"/>
      <w:marRight w:val="0"/>
      <w:marTop w:val="0"/>
      <w:marBottom w:val="0"/>
      <w:divBdr>
        <w:top w:val="none" w:sz="0" w:space="0" w:color="auto"/>
        <w:left w:val="none" w:sz="0" w:space="0" w:color="auto"/>
        <w:bottom w:val="none" w:sz="0" w:space="0" w:color="auto"/>
        <w:right w:val="none" w:sz="0" w:space="0" w:color="auto"/>
      </w:divBdr>
    </w:div>
    <w:div w:id="996154162">
      <w:bodyDiv w:val="1"/>
      <w:marLeft w:val="0"/>
      <w:marRight w:val="0"/>
      <w:marTop w:val="0"/>
      <w:marBottom w:val="0"/>
      <w:divBdr>
        <w:top w:val="none" w:sz="0" w:space="0" w:color="auto"/>
        <w:left w:val="none" w:sz="0" w:space="0" w:color="auto"/>
        <w:bottom w:val="none" w:sz="0" w:space="0" w:color="auto"/>
        <w:right w:val="none" w:sz="0" w:space="0" w:color="auto"/>
      </w:divBdr>
    </w:div>
    <w:div w:id="1022319005">
      <w:bodyDiv w:val="1"/>
      <w:marLeft w:val="0"/>
      <w:marRight w:val="0"/>
      <w:marTop w:val="0"/>
      <w:marBottom w:val="0"/>
      <w:divBdr>
        <w:top w:val="none" w:sz="0" w:space="0" w:color="auto"/>
        <w:left w:val="none" w:sz="0" w:space="0" w:color="auto"/>
        <w:bottom w:val="none" w:sz="0" w:space="0" w:color="auto"/>
        <w:right w:val="none" w:sz="0" w:space="0" w:color="auto"/>
      </w:divBdr>
      <w:divsChild>
        <w:div w:id="723792921">
          <w:marLeft w:val="0"/>
          <w:marRight w:val="0"/>
          <w:marTop w:val="0"/>
          <w:marBottom w:val="240"/>
          <w:divBdr>
            <w:top w:val="none" w:sz="0" w:space="0" w:color="auto"/>
            <w:left w:val="none" w:sz="0" w:space="0" w:color="auto"/>
            <w:bottom w:val="none" w:sz="0" w:space="0" w:color="auto"/>
            <w:right w:val="none" w:sz="0" w:space="0" w:color="auto"/>
          </w:divBdr>
        </w:div>
        <w:div w:id="780339112">
          <w:marLeft w:val="0"/>
          <w:marRight w:val="0"/>
          <w:marTop w:val="0"/>
          <w:marBottom w:val="240"/>
          <w:divBdr>
            <w:top w:val="none" w:sz="0" w:space="0" w:color="auto"/>
            <w:left w:val="none" w:sz="0" w:space="0" w:color="auto"/>
            <w:bottom w:val="none" w:sz="0" w:space="0" w:color="auto"/>
            <w:right w:val="none" w:sz="0" w:space="0" w:color="auto"/>
          </w:divBdr>
        </w:div>
        <w:div w:id="1771582308">
          <w:marLeft w:val="0"/>
          <w:marRight w:val="0"/>
          <w:marTop w:val="0"/>
          <w:marBottom w:val="240"/>
          <w:divBdr>
            <w:top w:val="none" w:sz="0" w:space="0" w:color="auto"/>
            <w:left w:val="none" w:sz="0" w:space="0" w:color="auto"/>
            <w:bottom w:val="none" w:sz="0" w:space="0" w:color="auto"/>
            <w:right w:val="none" w:sz="0" w:space="0" w:color="auto"/>
          </w:divBdr>
        </w:div>
      </w:divsChild>
    </w:div>
    <w:div w:id="1054045156">
      <w:bodyDiv w:val="1"/>
      <w:marLeft w:val="0"/>
      <w:marRight w:val="0"/>
      <w:marTop w:val="0"/>
      <w:marBottom w:val="0"/>
      <w:divBdr>
        <w:top w:val="none" w:sz="0" w:space="0" w:color="auto"/>
        <w:left w:val="none" w:sz="0" w:space="0" w:color="auto"/>
        <w:bottom w:val="none" w:sz="0" w:space="0" w:color="auto"/>
        <w:right w:val="none" w:sz="0" w:space="0" w:color="auto"/>
      </w:divBdr>
      <w:divsChild>
        <w:div w:id="2063284163">
          <w:marLeft w:val="0"/>
          <w:marRight w:val="0"/>
          <w:marTop w:val="0"/>
          <w:marBottom w:val="0"/>
          <w:divBdr>
            <w:top w:val="none" w:sz="0" w:space="0" w:color="auto"/>
            <w:left w:val="none" w:sz="0" w:space="0" w:color="auto"/>
            <w:bottom w:val="none" w:sz="0" w:space="0" w:color="auto"/>
            <w:right w:val="none" w:sz="0" w:space="0" w:color="auto"/>
          </w:divBdr>
        </w:div>
      </w:divsChild>
    </w:div>
    <w:div w:id="1118991822">
      <w:bodyDiv w:val="1"/>
      <w:marLeft w:val="0"/>
      <w:marRight w:val="0"/>
      <w:marTop w:val="0"/>
      <w:marBottom w:val="0"/>
      <w:divBdr>
        <w:top w:val="none" w:sz="0" w:space="0" w:color="auto"/>
        <w:left w:val="none" w:sz="0" w:space="0" w:color="auto"/>
        <w:bottom w:val="none" w:sz="0" w:space="0" w:color="auto"/>
        <w:right w:val="none" w:sz="0" w:space="0" w:color="auto"/>
      </w:divBdr>
    </w:div>
    <w:div w:id="1138689408">
      <w:bodyDiv w:val="1"/>
      <w:marLeft w:val="0"/>
      <w:marRight w:val="0"/>
      <w:marTop w:val="0"/>
      <w:marBottom w:val="0"/>
      <w:divBdr>
        <w:top w:val="none" w:sz="0" w:space="0" w:color="auto"/>
        <w:left w:val="none" w:sz="0" w:space="0" w:color="auto"/>
        <w:bottom w:val="none" w:sz="0" w:space="0" w:color="auto"/>
        <w:right w:val="none" w:sz="0" w:space="0" w:color="auto"/>
      </w:divBdr>
      <w:divsChild>
        <w:div w:id="397634379">
          <w:marLeft w:val="0"/>
          <w:marRight w:val="0"/>
          <w:marTop w:val="0"/>
          <w:marBottom w:val="0"/>
          <w:divBdr>
            <w:top w:val="none" w:sz="0" w:space="0" w:color="auto"/>
            <w:left w:val="none" w:sz="0" w:space="0" w:color="auto"/>
            <w:bottom w:val="none" w:sz="0" w:space="0" w:color="auto"/>
            <w:right w:val="none" w:sz="0" w:space="0" w:color="auto"/>
          </w:divBdr>
        </w:div>
      </w:divsChild>
    </w:div>
    <w:div w:id="1361737182">
      <w:bodyDiv w:val="1"/>
      <w:marLeft w:val="0"/>
      <w:marRight w:val="0"/>
      <w:marTop w:val="0"/>
      <w:marBottom w:val="0"/>
      <w:divBdr>
        <w:top w:val="none" w:sz="0" w:space="0" w:color="auto"/>
        <w:left w:val="none" w:sz="0" w:space="0" w:color="auto"/>
        <w:bottom w:val="none" w:sz="0" w:space="0" w:color="auto"/>
        <w:right w:val="none" w:sz="0" w:space="0" w:color="auto"/>
      </w:divBdr>
      <w:divsChild>
        <w:div w:id="1362704703">
          <w:marLeft w:val="0"/>
          <w:marRight w:val="0"/>
          <w:marTop w:val="0"/>
          <w:marBottom w:val="0"/>
          <w:divBdr>
            <w:top w:val="none" w:sz="0" w:space="0" w:color="auto"/>
            <w:left w:val="none" w:sz="0" w:space="0" w:color="auto"/>
            <w:bottom w:val="none" w:sz="0" w:space="0" w:color="auto"/>
            <w:right w:val="none" w:sz="0" w:space="0" w:color="auto"/>
          </w:divBdr>
        </w:div>
      </w:divsChild>
    </w:div>
    <w:div w:id="1389451207">
      <w:bodyDiv w:val="1"/>
      <w:marLeft w:val="0"/>
      <w:marRight w:val="0"/>
      <w:marTop w:val="0"/>
      <w:marBottom w:val="0"/>
      <w:divBdr>
        <w:top w:val="none" w:sz="0" w:space="0" w:color="auto"/>
        <w:left w:val="none" w:sz="0" w:space="0" w:color="auto"/>
        <w:bottom w:val="none" w:sz="0" w:space="0" w:color="auto"/>
        <w:right w:val="none" w:sz="0" w:space="0" w:color="auto"/>
      </w:divBdr>
    </w:div>
    <w:div w:id="1427143845">
      <w:bodyDiv w:val="1"/>
      <w:marLeft w:val="0"/>
      <w:marRight w:val="0"/>
      <w:marTop w:val="0"/>
      <w:marBottom w:val="0"/>
      <w:divBdr>
        <w:top w:val="none" w:sz="0" w:space="0" w:color="auto"/>
        <w:left w:val="none" w:sz="0" w:space="0" w:color="auto"/>
        <w:bottom w:val="none" w:sz="0" w:space="0" w:color="auto"/>
        <w:right w:val="none" w:sz="0" w:space="0" w:color="auto"/>
      </w:divBdr>
    </w:div>
    <w:div w:id="1545949445">
      <w:bodyDiv w:val="1"/>
      <w:marLeft w:val="0"/>
      <w:marRight w:val="0"/>
      <w:marTop w:val="0"/>
      <w:marBottom w:val="0"/>
      <w:divBdr>
        <w:top w:val="none" w:sz="0" w:space="0" w:color="auto"/>
        <w:left w:val="none" w:sz="0" w:space="0" w:color="auto"/>
        <w:bottom w:val="none" w:sz="0" w:space="0" w:color="auto"/>
        <w:right w:val="none" w:sz="0" w:space="0" w:color="auto"/>
      </w:divBdr>
    </w:div>
    <w:div w:id="1577783184">
      <w:bodyDiv w:val="1"/>
      <w:marLeft w:val="0"/>
      <w:marRight w:val="0"/>
      <w:marTop w:val="0"/>
      <w:marBottom w:val="0"/>
      <w:divBdr>
        <w:top w:val="none" w:sz="0" w:space="0" w:color="auto"/>
        <w:left w:val="none" w:sz="0" w:space="0" w:color="auto"/>
        <w:bottom w:val="none" w:sz="0" w:space="0" w:color="auto"/>
        <w:right w:val="none" w:sz="0" w:space="0" w:color="auto"/>
      </w:divBdr>
    </w:div>
    <w:div w:id="1608000494">
      <w:bodyDiv w:val="1"/>
      <w:marLeft w:val="0"/>
      <w:marRight w:val="0"/>
      <w:marTop w:val="0"/>
      <w:marBottom w:val="0"/>
      <w:divBdr>
        <w:top w:val="none" w:sz="0" w:space="0" w:color="auto"/>
        <w:left w:val="none" w:sz="0" w:space="0" w:color="auto"/>
        <w:bottom w:val="none" w:sz="0" w:space="0" w:color="auto"/>
        <w:right w:val="none" w:sz="0" w:space="0" w:color="auto"/>
      </w:divBdr>
      <w:divsChild>
        <w:div w:id="1152790307">
          <w:marLeft w:val="0"/>
          <w:marRight w:val="0"/>
          <w:marTop w:val="0"/>
          <w:marBottom w:val="0"/>
          <w:divBdr>
            <w:top w:val="none" w:sz="0" w:space="0" w:color="auto"/>
            <w:left w:val="none" w:sz="0" w:space="0" w:color="auto"/>
            <w:bottom w:val="none" w:sz="0" w:space="0" w:color="auto"/>
            <w:right w:val="none" w:sz="0" w:space="0" w:color="auto"/>
          </w:divBdr>
          <w:divsChild>
            <w:div w:id="6333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55520">
      <w:bodyDiv w:val="1"/>
      <w:marLeft w:val="0"/>
      <w:marRight w:val="0"/>
      <w:marTop w:val="0"/>
      <w:marBottom w:val="0"/>
      <w:divBdr>
        <w:top w:val="none" w:sz="0" w:space="0" w:color="auto"/>
        <w:left w:val="none" w:sz="0" w:space="0" w:color="auto"/>
        <w:bottom w:val="none" w:sz="0" w:space="0" w:color="auto"/>
        <w:right w:val="none" w:sz="0" w:space="0" w:color="auto"/>
      </w:divBdr>
      <w:divsChild>
        <w:div w:id="1680694424">
          <w:marLeft w:val="0"/>
          <w:marRight w:val="0"/>
          <w:marTop w:val="0"/>
          <w:marBottom w:val="0"/>
          <w:divBdr>
            <w:top w:val="none" w:sz="0" w:space="0" w:color="auto"/>
            <w:left w:val="none" w:sz="0" w:space="0" w:color="auto"/>
            <w:bottom w:val="none" w:sz="0" w:space="0" w:color="auto"/>
            <w:right w:val="none" w:sz="0" w:space="0" w:color="auto"/>
          </w:divBdr>
        </w:div>
      </w:divsChild>
    </w:div>
    <w:div w:id="1699240247">
      <w:bodyDiv w:val="1"/>
      <w:marLeft w:val="0"/>
      <w:marRight w:val="0"/>
      <w:marTop w:val="0"/>
      <w:marBottom w:val="0"/>
      <w:divBdr>
        <w:top w:val="none" w:sz="0" w:space="0" w:color="auto"/>
        <w:left w:val="none" w:sz="0" w:space="0" w:color="auto"/>
        <w:bottom w:val="none" w:sz="0" w:space="0" w:color="auto"/>
        <w:right w:val="none" w:sz="0" w:space="0" w:color="auto"/>
      </w:divBdr>
    </w:div>
    <w:div w:id="1765422849">
      <w:bodyDiv w:val="1"/>
      <w:marLeft w:val="0"/>
      <w:marRight w:val="0"/>
      <w:marTop w:val="0"/>
      <w:marBottom w:val="0"/>
      <w:divBdr>
        <w:top w:val="none" w:sz="0" w:space="0" w:color="auto"/>
        <w:left w:val="none" w:sz="0" w:space="0" w:color="auto"/>
        <w:bottom w:val="none" w:sz="0" w:space="0" w:color="auto"/>
        <w:right w:val="none" w:sz="0" w:space="0" w:color="auto"/>
      </w:divBdr>
      <w:divsChild>
        <w:div w:id="1546872385">
          <w:marLeft w:val="0"/>
          <w:marRight w:val="0"/>
          <w:marTop w:val="0"/>
          <w:marBottom w:val="0"/>
          <w:divBdr>
            <w:top w:val="none" w:sz="0" w:space="0" w:color="auto"/>
            <w:left w:val="none" w:sz="0" w:space="0" w:color="auto"/>
            <w:bottom w:val="none" w:sz="0" w:space="0" w:color="auto"/>
            <w:right w:val="none" w:sz="0" w:space="0" w:color="auto"/>
          </w:divBdr>
        </w:div>
      </w:divsChild>
    </w:div>
    <w:div w:id="1775860336">
      <w:bodyDiv w:val="1"/>
      <w:marLeft w:val="0"/>
      <w:marRight w:val="0"/>
      <w:marTop w:val="0"/>
      <w:marBottom w:val="0"/>
      <w:divBdr>
        <w:top w:val="none" w:sz="0" w:space="0" w:color="auto"/>
        <w:left w:val="none" w:sz="0" w:space="0" w:color="auto"/>
        <w:bottom w:val="none" w:sz="0" w:space="0" w:color="auto"/>
        <w:right w:val="none" w:sz="0" w:space="0" w:color="auto"/>
      </w:divBdr>
      <w:divsChild>
        <w:div w:id="1592742140">
          <w:marLeft w:val="0"/>
          <w:marRight w:val="0"/>
          <w:marTop w:val="0"/>
          <w:marBottom w:val="0"/>
          <w:divBdr>
            <w:top w:val="none" w:sz="0" w:space="0" w:color="auto"/>
            <w:left w:val="none" w:sz="0" w:space="0" w:color="auto"/>
            <w:bottom w:val="none" w:sz="0" w:space="0" w:color="auto"/>
            <w:right w:val="none" w:sz="0" w:space="0" w:color="auto"/>
          </w:divBdr>
          <w:divsChild>
            <w:div w:id="5174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7648">
      <w:bodyDiv w:val="1"/>
      <w:marLeft w:val="0"/>
      <w:marRight w:val="0"/>
      <w:marTop w:val="0"/>
      <w:marBottom w:val="0"/>
      <w:divBdr>
        <w:top w:val="none" w:sz="0" w:space="0" w:color="auto"/>
        <w:left w:val="none" w:sz="0" w:space="0" w:color="auto"/>
        <w:bottom w:val="none" w:sz="0" w:space="0" w:color="auto"/>
        <w:right w:val="none" w:sz="0" w:space="0" w:color="auto"/>
      </w:divBdr>
    </w:div>
    <w:div w:id="1866744331">
      <w:bodyDiv w:val="1"/>
      <w:marLeft w:val="0"/>
      <w:marRight w:val="0"/>
      <w:marTop w:val="0"/>
      <w:marBottom w:val="0"/>
      <w:divBdr>
        <w:top w:val="none" w:sz="0" w:space="0" w:color="auto"/>
        <w:left w:val="none" w:sz="0" w:space="0" w:color="auto"/>
        <w:bottom w:val="none" w:sz="0" w:space="0" w:color="auto"/>
        <w:right w:val="none" w:sz="0" w:space="0" w:color="auto"/>
      </w:divBdr>
      <w:divsChild>
        <w:div w:id="183642404">
          <w:marLeft w:val="0"/>
          <w:marRight w:val="0"/>
          <w:marTop w:val="0"/>
          <w:marBottom w:val="0"/>
          <w:divBdr>
            <w:top w:val="none" w:sz="0" w:space="0" w:color="auto"/>
            <w:left w:val="none" w:sz="0" w:space="0" w:color="auto"/>
            <w:bottom w:val="none" w:sz="0" w:space="0" w:color="auto"/>
            <w:right w:val="none" w:sz="0" w:space="0" w:color="auto"/>
          </w:divBdr>
          <w:divsChild>
            <w:div w:id="54620909">
              <w:marLeft w:val="0"/>
              <w:marRight w:val="0"/>
              <w:marTop w:val="0"/>
              <w:marBottom w:val="0"/>
              <w:divBdr>
                <w:top w:val="none" w:sz="0" w:space="0" w:color="auto"/>
                <w:left w:val="none" w:sz="0" w:space="0" w:color="auto"/>
                <w:bottom w:val="none" w:sz="0" w:space="0" w:color="auto"/>
                <w:right w:val="none" w:sz="0" w:space="0" w:color="auto"/>
              </w:divBdr>
            </w:div>
            <w:div w:id="329329008">
              <w:marLeft w:val="0"/>
              <w:marRight w:val="0"/>
              <w:marTop w:val="0"/>
              <w:marBottom w:val="0"/>
              <w:divBdr>
                <w:top w:val="none" w:sz="0" w:space="0" w:color="auto"/>
                <w:left w:val="none" w:sz="0" w:space="0" w:color="auto"/>
                <w:bottom w:val="none" w:sz="0" w:space="0" w:color="auto"/>
                <w:right w:val="none" w:sz="0" w:space="0" w:color="auto"/>
              </w:divBdr>
            </w:div>
            <w:div w:id="354038654">
              <w:marLeft w:val="0"/>
              <w:marRight w:val="0"/>
              <w:marTop w:val="0"/>
              <w:marBottom w:val="0"/>
              <w:divBdr>
                <w:top w:val="none" w:sz="0" w:space="0" w:color="auto"/>
                <w:left w:val="none" w:sz="0" w:space="0" w:color="auto"/>
                <w:bottom w:val="none" w:sz="0" w:space="0" w:color="auto"/>
                <w:right w:val="none" w:sz="0" w:space="0" w:color="auto"/>
              </w:divBdr>
            </w:div>
            <w:div w:id="574777459">
              <w:marLeft w:val="0"/>
              <w:marRight w:val="0"/>
              <w:marTop w:val="0"/>
              <w:marBottom w:val="0"/>
              <w:divBdr>
                <w:top w:val="none" w:sz="0" w:space="0" w:color="auto"/>
                <w:left w:val="none" w:sz="0" w:space="0" w:color="auto"/>
                <w:bottom w:val="none" w:sz="0" w:space="0" w:color="auto"/>
                <w:right w:val="none" w:sz="0" w:space="0" w:color="auto"/>
              </w:divBdr>
            </w:div>
            <w:div w:id="606698446">
              <w:marLeft w:val="0"/>
              <w:marRight w:val="0"/>
              <w:marTop w:val="0"/>
              <w:marBottom w:val="0"/>
              <w:divBdr>
                <w:top w:val="none" w:sz="0" w:space="0" w:color="auto"/>
                <w:left w:val="none" w:sz="0" w:space="0" w:color="auto"/>
                <w:bottom w:val="none" w:sz="0" w:space="0" w:color="auto"/>
                <w:right w:val="none" w:sz="0" w:space="0" w:color="auto"/>
              </w:divBdr>
            </w:div>
            <w:div w:id="769471244">
              <w:marLeft w:val="0"/>
              <w:marRight w:val="0"/>
              <w:marTop w:val="0"/>
              <w:marBottom w:val="0"/>
              <w:divBdr>
                <w:top w:val="none" w:sz="0" w:space="0" w:color="auto"/>
                <w:left w:val="none" w:sz="0" w:space="0" w:color="auto"/>
                <w:bottom w:val="none" w:sz="0" w:space="0" w:color="auto"/>
                <w:right w:val="none" w:sz="0" w:space="0" w:color="auto"/>
              </w:divBdr>
            </w:div>
            <w:div w:id="824129028">
              <w:marLeft w:val="0"/>
              <w:marRight w:val="0"/>
              <w:marTop w:val="0"/>
              <w:marBottom w:val="0"/>
              <w:divBdr>
                <w:top w:val="none" w:sz="0" w:space="0" w:color="auto"/>
                <w:left w:val="none" w:sz="0" w:space="0" w:color="auto"/>
                <w:bottom w:val="none" w:sz="0" w:space="0" w:color="auto"/>
                <w:right w:val="none" w:sz="0" w:space="0" w:color="auto"/>
              </w:divBdr>
            </w:div>
            <w:div w:id="1140196981">
              <w:marLeft w:val="0"/>
              <w:marRight w:val="0"/>
              <w:marTop w:val="0"/>
              <w:marBottom w:val="0"/>
              <w:divBdr>
                <w:top w:val="none" w:sz="0" w:space="0" w:color="auto"/>
                <w:left w:val="none" w:sz="0" w:space="0" w:color="auto"/>
                <w:bottom w:val="none" w:sz="0" w:space="0" w:color="auto"/>
                <w:right w:val="none" w:sz="0" w:space="0" w:color="auto"/>
              </w:divBdr>
            </w:div>
            <w:div w:id="1179007520">
              <w:marLeft w:val="0"/>
              <w:marRight w:val="0"/>
              <w:marTop w:val="0"/>
              <w:marBottom w:val="0"/>
              <w:divBdr>
                <w:top w:val="none" w:sz="0" w:space="0" w:color="auto"/>
                <w:left w:val="none" w:sz="0" w:space="0" w:color="auto"/>
                <w:bottom w:val="none" w:sz="0" w:space="0" w:color="auto"/>
                <w:right w:val="none" w:sz="0" w:space="0" w:color="auto"/>
              </w:divBdr>
            </w:div>
            <w:div w:id="1262647105">
              <w:marLeft w:val="0"/>
              <w:marRight w:val="0"/>
              <w:marTop w:val="0"/>
              <w:marBottom w:val="0"/>
              <w:divBdr>
                <w:top w:val="none" w:sz="0" w:space="0" w:color="auto"/>
                <w:left w:val="none" w:sz="0" w:space="0" w:color="auto"/>
                <w:bottom w:val="none" w:sz="0" w:space="0" w:color="auto"/>
                <w:right w:val="none" w:sz="0" w:space="0" w:color="auto"/>
              </w:divBdr>
            </w:div>
            <w:div w:id="1304772884">
              <w:marLeft w:val="0"/>
              <w:marRight w:val="0"/>
              <w:marTop w:val="0"/>
              <w:marBottom w:val="0"/>
              <w:divBdr>
                <w:top w:val="none" w:sz="0" w:space="0" w:color="auto"/>
                <w:left w:val="none" w:sz="0" w:space="0" w:color="auto"/>
                <w:bottom w:val="none" w:sz="0" w:space="0" w:color="auto"/>
                <w:right w:val="none" w:sz="0" w:space="0" w:color="auto"/>
              </w:divBdr>
            </w:div>
            <w:div w:id="1484273855">
              <w:marLeft w:val="0"/>
              <w:marRight w:val="0"/>
              <w:marTop w:val="0"/>
              <w:marBottom w:val="0"/>
              <w:divBdr>
                <w:top w:val="none" w:sz="0" w:space="0" w:color="auto"/>
                <w:left w:val="none" w:sz="0" w:space="0" w:color="auto"/>
                <w:bottom w:val="none" w:sz="0" w:space="0" w:color="auto"/>
                <w:right w:val="none" w:sz="0" w:space="0" w:color="auto"/>
              </w:divBdr>
            </w:div>
            <w:div w:id="20773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5906">
      <w:bodyDiv w:val="1"/>
      <w:marLeft w:val="0"/>
      <w:marRight w:val="0"/>
      <w:marTop w:val="0"/>
      <w:marBottom w:val="0"/>
      <w:divBdr>
        <w:top w:val="none" w:sz="0" w:space="0" w:color="auto"/>
        <w:left w:val="none" w:sz="0" w:space="0" w:color="auto"/>
        <w:bottom w:val="none" w:sz="0" w:space="0" w:color="auto"/>
        <w:right w:val="none" w:sz="0" w:space="0" w:color="auto"/>
      </w:divBdr>
    </w:div>
    <w:div w:id="1921787369">
      <w:bodyDiv w:val="1"/>
      <w:marLeft w:val="0"/>
      <w:marRight w:val="0"/>
      <w:marTop w:val="0"/>
      <w:marBottom w:val="0"/>
      <w:divBdr>
        <w:top w:val="none" w:sz="0" w:space="0" w:color="auto"/>
        <w:left w:val="none" w:sz="0" w:space="0" w:color="auto"/>
        <w:bottom w:val="none" w:sz="0" w:space="0" w:color="auto"/>
        <w:right w:val="none" w:sz="0" w:space="0" w:color="auto"/>
      </w:divBdr>
    </w:div>
    <w:div w:id="1926383003">
      <w:bodyDiv w:val="1"/>
      <w:marLeft w:val="0"/>
      <w:marRight w:val="0"/>
      <w:marTop w:val="0"/>
      <w:marBottom w:val="0"/>
      <w:divBdr>
        <w:top w:val="none" w:sz="0" w:space="0" w:color="auto"/>
        <w:left w:val="none" w:sz="0" w:space="0" w:color="auto"/>
        <w:bottom w:val="none" w:sz="0" w:space="0" w:color="auto"/>
        <w:right w:val="none" w:sz="0" w:space="0" w:color="auto"/>
      </w:divBdr>
      <w:divsChild>
        <w:div w:id="1763137422">
          <w:marLeft w:val="0"/>
          <w:marRight w:val="0"/>
          <w:marTop w:val="0"/>
          <w:marBottom w:val="0"/>
          <w:divBdr>
            <w:top w:val="none" w:sz="0" w:space="0" w:color="auto"/>
            <w:left w:val="none" w:sz="0" w:space="0" w:color="auto"/>
            <w:bottom w:val="none" w:sz="0" w:space="0" w:color="auto"/>
            <w:right w:val="none" w:sz="0" w:space="0" w:color="auto"/>
          </w:divBdr>
        </w:div>
      </w:divsChild>
    </w:div>
    <w:div w:id="1931161292">
      <w:bodyDiv w:val="1"/>
      <w:marLeft w:val="0"/>
      <w:marRight w:val="0"/>
      <w:marTop w:val="0"/>
      <w:marBottom w:val="0"/>
      <w:divBdr>
        <w:top w:val="none" w:sz="0" w:space="0" w:color="auto"/>
        <w:left w:val="none" w:sz="0" w:space="0" w:color="auto"/>
        <w:bottom w:val="none" w:sz="0" w:space="0" w:color="auto"/>
        <w:right w:val="none" w:sz="0" w:space="0" w:color="auto"/>
      </w:divBdr>
      <w:divsChild>
        <w:div w:id="1453746226">
          <w:marLeft w:val="0"/>
          <w:marRight w:val="0"/>
          <w:marTop w:val="0"/>
          <w:marBottom w:val="0"/>
          <w:divBdr>
            <w:top w:val="none" w:sz="0" w:space="0" w:color="auto"/>
            <w:left w:val="none" w:sz="0" w:space="0" w:color="auto"/>
            <w:bottom w:val="none" w:sz="0" w:space="0" w:color="auto"/>
            <w:right w:val="none" w:sz="0" w:space="0" w:color="auto"/>
          </w:divBdr>
          <w:divsChild>
            <w:div w:id="9987236">
              <w:marLeft w:val="0"/>
              <w:marRight w:val="0"/>
              <w:marTop w:val="0"/>
              <w:marBottom w:val="0"/>
              <w:divBdr>
                <w:top w:val="none" w:sz="0" w:space="0" w:color="auto"/>
                <w:left w:val="none" w:sz="0" w:space="0" w:color="auto"/>
                <w:bottom w:val="none" w:sz="0" w:space="0" w:color="auto"/>
                <w:right w:val="none" w:sz="0" w:space="0" w:color="auto"/>
              </w:divBdr>
            </w:div>
            <w:div w:id="21355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4510">
      <w:bodyDiv w:val="1"/>
      <w:marLeft w:val="0"/>
      <w:marRight w:val="0"/>
      <w:marTop w:val="0"/>
      <w:marBottom w:val="0"/>
      <w:divBdr>
        <w:top w:val="none" w:sz="0" w:space="0" w:color="auto"/>
        <w:left w:val="none" w:sz="0" w:space="0" w:color="auto"/>
        <w:bottom w:val="none" w:sz="0" w:space="0" w:color="auto"/>
        <w:right w:val="none" w:sz="0" w:space="0" w:color="auto"/>
      </w:divBdr>
    </w:div>
    <w:div w:id="2030137485">
      <w:bodyDiv w:val="1"/>
      <w:marLeft w:val="0"/>
      <w:marRight w:val="0"/>
      <w:marTop w:val="0"/>
      <w:marBottom w:val="0"/>
      <w:divBdr>
        <w:top w:val="none" w:sz="0" w:space="0" w:color="auto"/>
        <w:left w:val="none" w:sz="0" w:space="0" w:color="auto"/>
        <w:bottom w:val="none" w:sz="0" w:space="0" w:color="auto"/>
        <w:right w:val="none" w:sz="0" w:space="0" w:color="auto"/>
      </w:divBdr>
    </w:div>
    <w:div w:id="2061244574">
      <w:bodyDiv w:val="1"/>
      <w:marLeft w:val="0"/>
      <w:marRight w:val="0"/>
      <w:marTop w:val="0"/>
      <w:marBottom w:val="0"/>
      <w:divBdr>
        <w:top w:val="none" w:sz="0" w:space="0" w:color="auto"/>
        <w:left w:val="none" w:sz="0" w:space="0" w:color="auto"/>
        <w:bottom w:val="none" w:sz="0" w:space="0" w:color="auto"/>
        <w:right w:val="none" w:sz="0" w:space="0" w:color="auto"/>
      </w:divBdr>
      <w:divsChild>
        <w:div w:id="585261236">
          <w:marLeft w:val="0"/>
          <w:marRight w:val="0"/>
          <w:marTop w:val="0"/>
          <w:marBottom w:val="0"/>
          <w:divBdr>
            <w:top w:val="none" w:sz="0" w:space="0" w:color="auto"/>
            <w:left w:val="none" w:sz="0" w:space="0" w:color="auto"/>
            <w:bottom w:val="none" w:sz="0" w:space="0" w:color="auto"/>
            <w:right w:val="none" w:sz="0" w:space="0" w:color="auto"/>
          </w:divBdr>
          <w:divsChild>
            <w:div w:id="110325258">
              <w:marLeft w:val="0"/>
              <w:marRight w:val="0"/>
              <w:marTop w:val="0"/>
              <w:marBottom w:val="0"/>
              <w:divBdr>
                <w:top w:val="none" w:sz="0" w:space="0" w:color="auto"/>
                <w:left w:val="none" w:sz="0" w:space="0" w:color="auto"/>
                <w:bottom w:val="none" w:sz="0" w:space="0" w:color="auto"/>
                <w:right w:val="none" w:sz="0" w:space="0" w:color="auto"/>
              </w:divBdr>
            </w:div>
            <w:div w:id="223104201">
              <w:marLeft w:val="0"/>
              <w:marRight w:val="0"/>
              <w:marTop w:val="0"/>
              <w:marBottom w:val="0"/>
              <w:divBdr>
                <w:top w:val="none" w:sz="0" w:space="0" w:color="auto"/>
                <w:left w:val="none" w:sz="0" w:space="0" w:color="auto"/>
                <w:bottom w:val="none" w:sz="0" w:space="0" w:color="auto"/>
                <w:right w:val="none" w:sz="0" w:space="0" w:color="auto"/>
              </w:divBdr>
            </w:div>
            <w:div w:id="230039256">
              <w:marLeft w:val="0"/>
              <w:marRight w:val="0"/>
              <w:marTop w:val="0"/>
              <w:marBottom w:val="0"/>
              <w:divBdr>
                <w:top w:val="none" w:sz="0" w:space="0" w:color="auto"/>
                <w:left w:val="none" w:sz="0" w:space="0" w:color="auto"/>
                <w:bottom w:val="none" w:sz="0" w:space="0" w:color="auto"/>
                <w:right w:val="none" w:sz="0" w:space="0" w:color="auto"/>
              </w:divBdr>
            </w:div>
            <w:div w:id="474875281">
              <w:marLeft w:val="0"/>
              <w:marRight w:val="0"/>
              <w:marTop w:val="0"/>
              <w:marBottom w:val="0"/>
              <w:divBdr>
                <w:top w:val="none" w:sz="0" w:space="0" w:color="auto"/>
                <w:left w:val="none" w:sz="0" w:space="0" w:color="auto"/>
                <w:bottom w:val="none" w:sz="0" w:space="0" w:color="auto"/>
                <w:right w:val="none" w:sz="0" w:space="0" w:color="auto"/>
              </w:divBdr>
            </w:div>
            <w:div w:id="662587975">
              <w:marLeft w:val="0"/>
              <w:marRight w:val="0"/>
              <w:marTop w:val="0"/>
              <w:marBottom w:val="0"/>
              <w:divBdr>
                <w:top w:val="none" w:sz="0" w:space="0" w:color="auto"/>
                <w:left w:val="none" w:sz="0" w:space="0" w:color="auto"/>
                <w:bottom w:val="none" w:sz="0" w:space="0" w:color="auto"/>
                <w:right w:val="none" w:sz="0" w:space="0" w:color="auto"/>
              </w:divBdr>
            </w:div>
            <w:div w:id="668408064">
              <w:marLeft w:val="0"/>
              <w:marRight w:val="0"/>
              <w:marTop w:val="0"/>
              <w:marBottom w:val="0"/>
              <w:divBdr>
                <w:top w:val="none" w:sz="0" w:space="0" w:color="auto"/>
                <w:left w:val="none" w:sz="0" w:space="0" w:color="auto"/>
                <w:bottom w:val="none" w:sz="0" w:space="0" w:color="auto"/>
                <w:right w:val="none" w:sz="0" w:space="0" w:color="auto"/>
              </w:divBdr>
            </w:div>
            <w:div w:id="922953464">
              <w:marLeft w:val="0"/>
              <w:marRight w:val="0"/>
              <w:marTop w:val="0"/>
              <w:marBottom w:val="0"/>
              <w:divBdr>
                <w:top w:val="none" w:sz="0" w:space="0" w:color="auto"/>
                <w:left w:val="none" w:sz="0" w:space="0" w:color="auto"/>
                <w:bottom w:val="none" w:sz="0" w:space="0" w:color="auto"/>
                <w:right w:val="none" w:sz="0" w:space="0" w:color="auto"/>
              </w:divBdr>
            </w:div>
            <w:div w:id="1018233592">
              <w:marLeft w:val="0"/>
              <w:marRight w:val="0"/>
              <w:marTop w:val="0"/>
              <w:marBottom w:val="0"/>
              <w:divBdr>
                <w:top w:val="none" w:sz="0" w:space="0" w:color="auto"/>
                <w:left w:val="none" w:sz="0" w:space="0" w:color="auto"/>
                <w:bottom w:val="none" w:sz="0" w:space="0" w:color="auto"/>
                <w:right w:val="none" w:sz="0" w:space="0" w:color="auto"/>
              </w:divBdr>
            </w:div>
            <w:div w:id="1102383766">
              <w:marLeft w:val="0"/>
              <w:marRight w:val="0"/>
              <w:marTop w:val="0"/>
              <w:marBottom w:val="0"/>
              <w:divBdr>
                <w:top w:val="none" w:sz="0" w:space="0" w:color="auto"/>
                <w:left w:val="none" w:sz="0" w:space="0" w:color="auto"/>
                <w:bottom w:val="none" w:sz="0" w:space="0" w:color="auto"/>
                <w:right w:val="none" w:sz="0" w:space="0" w:color="auto"/>
              </w:divBdr>
            </w:div>
            <w:div w:id="1156189374">
              <w:marLeft w:val="0"/>
              <w:marRight w:val="0"/>
              <w:marTop w:val="0"/>
              <w:marBottom w:val="0"/>
              <w:divBdr>
                <w:top w:val="none" w:sz="0" w:space="0" w:color="auto"/>
                <w:left w:val="none" w:sz="0" w:space="0" w:color="auto"/>
                <w:bottom w:val="none" w:sz="0" w:space="0" w:color="auto"/>
                <w:right w:val="none" w:sz="0" w:space="0" w:color="auto"/>
              </w:divBdr>
            </w:div>
            <w:div w:id="1542356542">
              <w:marLeft w:val="0"/>
              <w:marRight w:val="0"/>
              <w:marTop w:val="0"/>
              <w:marBottom w:val="0"/>
              <w:divBdr>
                <w:top w:val="none" w:sz="0" w:space="0" w:color="auto"/>
                <w:left w:val="none" w:sz="0" w:space="0" w:color="auto"/>
                <w:bottom w:val="none" w:sz="0" w:space="0" w:color="auto"/>
                <w:right w:val="none" w:sz="0" w:space="0" w:color="auto"/>
              </w:divBdr>
            </w:div>
            <w:div w:id="1593050705">
              <w:marLeft w:val="0"/>
              <w:marRight w:val="0"/>
              <w:marTop w:val="0"/>
              <w:marBottom w:val="0"/>
              <w:divBdr>
                <w:top w:val="none" w:sz="0" w:space="0" w:color="auto"/>
                <w:left w:val="none" w:sz="0" w:space="0" w:color="auto"/>
                <w:bottom w:val="none" w:sz="0" w:space="0" w:color="auto"/>
                <w:right w:val="none" w:sz="0" w:space="0" w:color="auto"/>
              </w:divBdr>
            </w:div>
            <w:div w:id="19784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5.xml"/><Relationship Id="rId26" Type="http://schemas.openxmlformats.org/officeDocument/2006/relationships/diagramData" Target="diagrams/data1.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header" Target="header5.xml"/><Relationship Id="rId33" Type="http://schemas.openxmlformats.org/officeDocument/2006/relationships/chart" Target="charts/chart11.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diagramColors" Target="diagrams/colors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chart" Target="charts/chart10.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28" Type="http://schemas.openxmlformats.org/officeDocument/2006/relationships/diagramQuickStyle" Target="diagrams/quickStyle1.xm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chart" Target="charts/chart6.xm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4106374261177169E-2"/>
          <c:y val="7.0175438596491224E-2"/>
          <c:w val="0.91704251806236736"/>
          <c:h val="0.71304625199362037"/>
        </c:manualLayout>
      </c:layout>
      <c:barChart>
        <c:barDir val="col"/>
        <c:grouping val="stacked"/>
        <c:varyColors val="0"/>
        <c:ser>
          <c:idx val="0"/>
          <c:order val="0"/>
          <c:tx>
            <c:strRef>
              <c:f>Arkusz1!$B$1</c:f>
              <c:strCache>
                <c:ptCount val="1"/>
                <c:pt idx="0">
                  <c:v>Razem</c:v>
                </c:pt>
              </c:strCache>
            </c:strRef>
          </c:tx>
          <c:spPr>
            <a:solidFill>
              <a:schemeClr val="tx2"/>
            </a:solidFill>
          </c:spPr>
          <c:invertIfNegative val="0"/>
          <c:dLbls>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General</c:formatCode>
                <c:ptCount val="6"/>
                <c:pt idx="0">
                  <c:v>365</c:v>
                </c:pt>
                <c:pt idx="1">
                  <c:v>283</c:v>
                </c:pt>
                <c:pt idx="2">
                  <c:v>320</c:v>
                </c:pt>
                <c:pt idx="3">
                  <c:v>271</c:v>
                </c:pt>
                <c:pt idx="4">
                  <c:v>227</c:v>
                </c:pt>
                <c:pt idx="5">
                  <c:v>206</c:v>
                </c:pt>
              </c:numCache>
            </c:numRef>
          </c:val>
        </c:ser>
        <c:dLbls>
          <c:showLegendKey val="0"/>
          <c:showVal val="0"/>
          <c:showCatName val="0"/>
          <c:showSerName val="0"/>
          <c:showPercent val="0"/>
          <c:showBubbleSize val="0"/>
        </c:dLbls>
        <c:gapWidth val="76"/>
        <c:overlap val="100"/>
        <c:axId val="232980408"/>
        <c:axId val="232980800"/>
      </c:barChart>
      <c:catAx>
        <c:axId val="232980408"/>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2980800"/>
        <c:crosses val="autoZero"/>
        <c:auto val="1"/>
        <c:lblAlgn val="ctr"/>
        <c:lblOffset val="100"/>
        <c:noMultiLvlLbl val="0"/>
      </c:catAx>
      <c:valAx>
        <c:axId val="232980800"/>
        <c:scaling>
          <c:orientation val="minMax"/>
          <c:max val="400"/>
          <c:min val="0"/>
        </c:scaling>
        <c:delete val="0"/>
        <c:axPos val="l"/>
        <c:majorGridlines/>
        <c:numFmt formatCode="General" sourceLinked="1"/>
        <c:majorTickMark val="out"/>
        <c:minorTickMark val="none"/>
        <c:tickLblPos val="nextTo"/>
        <c:txPr>
          <a:bodyPr/>
          <a:lstStyle/>
          <a:p>
            <a:pPr>
              <a:defRPr>
                <a:solidFill>
                  <a:schemeClr val="tx2"/>
                </a:solidFill>
              </a:defRPr>
            </a:pPr>
            <a:endParaRPr lang="fr-FR"/>
          </a:p>
        </c:txPr>
        <c:crossAx val="232980408"/>
        <c:crosses val="autoZero"/>
        <c:crossBetween val="between"/>
      </c:valAx>
    </c:plotArea>
    <c:legend>
      <c:legendPos val="b"/>
      <c:legendEntry>
        <c:idx val="0"/>
        <c:delete val="1"/>
      </c:legendEntry>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noFill/>
            <a:ln w="28575">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Arkusz1!$C$142:$C$155</c:f>
              <c:strCache>
                <c:ptCount val="14"/>
                <c:pt idx="0">
                  <c:v>repair workshop (MMS function)</c:v>
                </c:pt>
                <c:pt idx="1">
                  <c:v>training centres</c:v>
                </c:pt>
                <c:pt idx="2">
                  <c:v>level crossing user</c:v>
                </c:pt>
                <c:pt idx="3">
                  <c:v>cable cars</c:v>
                </c:pt>
                <c:pt idx="4">
                  <c:v>enterprise transporting within a railway siding</c:v>
                </c:pt>
                <c:pt idx="5">
                  <c:v>entity in charge of maintenance of freight wagons</c:v>
                </c:pt>
                <c:pt idx="6">
                  <c:v>training centres (train driver’s licence and certificate)</c:v>
                </c:pt>
                <c:pt idx="7">
                  <c:v>railway station manager</c:v>
                </c:pt>
                <c:pt idx="8">
                  <c:v>manufacturer/distributor launching a product</c:v>
                </c:pt>
                <c:pt idx="9">
                  <c:v>other entity, including entities that have had their train drivers’ working hours verified</c:v>
                </c:pt>
                <c:pt idx="10">
                  <c:v>railway siding user </c:v>
                </c:pt>
                <c:pt idx="11">
                  <c:v>transporter of goods</c:v>
                </c:pt>
                <c:pt idx="12">
                  <c:v>transporter of passengers</c:v>
                </c:pt>
                <c:pt idx="13">
                  <c:v>infrastructure manager</c:v>
                </c:pt>
              </c:strCache>
            </c:strRef>
          </c:cat>
          <c:val>
            <c:numRef>
              <c:f>Arkusz1!$D$142:$D$155</c:f>
              <c:numCache>
                <c:formatCode>General</c:formatCode>
                <c:ptCount val="14"/>
                <c:pt idx="0">
                  <c:v>8</c:v>
                </c:pt>
                <c:pt idx="1">
                  <c:v>10</c:v>
                </c:pt>
                <c:pt idx="2">
                  <c:v>13</c:v>
                </c:pt>
                <c:pt idx="3">
                  <c:v>14</c:v>
                </c:pt>
                <c:pt idx="4">
                  <c:v>15</c:v>
                </c:pt>
                <c:pt idx="5">
                  <c:v>26</c:v>
                </c:pt>
                <c:pt idx="6">
                  <c:v>30</c:v>
                </c:pt>
                <c:pt idx="7">
                  <c:v>49</c:v>
                </c:pt>
                <c:pt idx="8">
                  <c:v>51</c:v>
                </c:pt>
                <c:pt idx="9">
                  <c:v>89</c:v>
                </c:pt>
                <c:pt idx="10">
                  <c:v>231</c:v>
                </c:pt>
                <c:pt idx="11">
                  <c:v>741</c:v>
                </c:pt>
                <c:pt idx="12">
                  <c:v>791</c:v>
                </c:pt>
                <c:pt idx="13">
                  <c:v>805</c:v>
                </c:pt>
              </c:numCache>
            </c:numRef>
          </c:val>
        </c:ser>
        <c:dLbls>
          <c:showLegendKey val="0"/>
          <c:showVal val="0"/>
          <c:showCatName val="0"/>
          <c:showSerName val="0"/>
          <c:showPercent val="0"/>
          <c:showBubbleSize val="0"/>
        </c:dLbls>
        <c:gapWidth val="69"/>
        <c:axId val="236683320"/>
        <c:axId val="236683712"/>
      </c:barChart>
      <c:catAx>
        <c:axId val="236683320"/>
        <c:scaling>
          <c:orientation val="minMax"/>
        </c:scaling>
        <c:delete val="0"/>
        <c:axPos val="l"/>
        <c:numFmt formatCode="General" sourceLinked="0"/>
        <c:majorTickMark val="out"/>
        <c:minorTickMark val="none"/>
        <c:tickLblPos val="nextTo"/>
        <c:crossAx val="236683712"/>
        <c:crosses val="autoZero"/>
        <c:auto val="1"/>
        <c:lblAlgn val="ctr"/>
        <c:lblOffset val="100"/>
        <c:noMultiLvlLbl val="0"/>
      </c:catAx>
      <c:valAx>
        <c:axId val="236683712"/>
        <c:scaling>
          <c:orientation val="minMax"/>
        </c:scaling>
        <c:delete val="0"/>
        <c:axPos val="b"/>
        <c:majorGridlines>
          <c:spPr>
            <a:ln>
              <a:noFill/>
            </a:ln>
          </c:spPr>
        </c:majorGridlines>
        <c:numFmt formatCode="General" sourceLinked="1"/>
        <c:majorTickMark val="out"/>
        <c:minorTickMark val="none"/>
        <c:tickLblPos val="nextTo"/>
        <c:crossAx val="236683320"/>
        <c:crosses val="autoZero"/>
        <c:crossBetween val="between"/>
      </c:valAx>
    </c:plotArea>
    <c:plotVisOnly val="1"/>
    <c:dispBlanksAs val="gap"/>
    <c:showDLblsOverMax val="0"/>
  </c:chart>
  <c:spPr>
    <a:ln>
      <a:noFill/>
    </a:ln>
  </c:spPr>
  <c:txPr>
    <a:bodyPr/>
    <a:lstStyle/>
    <a:p>
      <a:pPr>
        <a:defRPr sz="900">
          <a:solidFill>
            <a:schemeClr val="tx2"/>
          </a:solidFill>
          <a:latin typeface="Arial" panose="020B0604020202020204" pitchFamily="34" charset="0"/>
          <a:cs typeface="Arial" panose="020B0604020202020204" pitchFamily="34" charset="0"/>
        </a:defRPr>
      </a:pPr>
      <a:endParaRPr lang="fr-F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noFill/>
            <a:ln w="28575">
              <a:solidFill>
                <a:schemeClr val="accent1"/>
              </a:solidFill>
            </a:ln>
          </c:spPr>
          <c:invertIfNegative val="0"/>
          <c:dLbls>
            <c:spPr>
              <a:noFill/>
              <a:ln>
                <a:noFill/>
              </a:ln>
              <a:effectLst/>
            </c:spPr>
            <c:txPr>
              <a:bodyPr/>
              <a:lstStyle/>
              <a:p>
                <a:pPr>
                  <a:defRPr sz="1000" b="0">
                    <a:solidFill>
                      <a:schemeClr val="tx2"/>
                    </a:solidFill>
                    <a:latin typeface="+mn-lt"/>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Arkusz9!$C$3:$C$4</c:f>
              <c:strCache>
                <c:ptCount val="2"/>
                <c:pt idx="0">
                  <c:v>Number of post audit recommendations issued by the President of the UTK in 2013</c:v>
                </c:pt>
                <c:pt idx="1">
                  <c:v>Number of post audit recommendations issued by the President of the UTK in 2014</c:v>
                </c:pt>
              </c:strCache>
            </c:strRef>
          </c:cat>
          <c:val>
            <c:numRef>
              <c:f>Arkusz9!$D$3:$D$4</c:f>
              <c:numCache>
                <c:formatCode>General</c:formatCode>
                <c:ptCount val="2"/>
                <c:pt idx="0">
                  <c:v>1614</c:v>
                </c:pt>
                <c:pt idx="1">
                  <c:v>3906</c:v>
                </c:pt>
              </c:numCache>
            </c:numRef>
          </c:val>
        </c:ser>
        <c:dLbls>
          <c:showLegendKey val="0"/>
          <c:showVal val="0"/>
          <c:showCatName val="0"/>
          <c:showSerName val="0"/>
          <c:showPercent val="0"/>
          <c:showBubbleSize val="0"/>
        </c:dLbls>
        <c:gapWidth val="150"/>
        <c:axId val="236684496"/>
        <c:axId val="236684888"/>
      </c:barChart>
      <c:catAx>
        <c:axId val="236684496"/>
        <c:scaling>
          <c:orientation val="minMax"/>
        </c:scaling>
        <c:delete val="0"/>
        <c:axPos val="b"/>
        <c:numFmt formatCode="General" sourceLinked="1"/>
        <c:majorTickMark val="out"/>
        <c:minorTickMark val="none"/>
        <c:tickLblPos val="nextTo"/>
        <c:txPr>
          <a:bodyPr/>
          <a:lstStyle/>
          <a:p>
            <a:pPr>
              <a:defRPr sz="900">
                <a:solidFill>
                  <a:schemeClr val="tx2"/>
                </a:solidFill>
                <a:latin typeface="+mn-lt"/>
                <a:cs typeface="Times New Roman" panose="02020603050405020304" pitchFamily="18" charset="0"/>
              </a:defRPr>
            </a:pPr>
            <a:endParaRPr lang="fr-FR"/>
          </a:p>
        </c:txPr>
        <c:crossAx val="236684888"/>
        <c:crosses val="autoZero"/>
        <c:auto val="1"/>
        <c:lblAlgn val="ctr"/>
        <c:lblOffset val="100"/>
        <c:noMultiLvlLbl val="0"/>
      </c:catAx>
      <c:valAx>
        <c:axId val="236684888"/>
        <c:scaling>
          <c:orientation val="minMax"/>
        </c:scaling>
        <c:delete val="0"/>
        <c:axPos val="l"/>
        <c:majorGridlines>
          <c:spPr>
            <a:ln>
              <a:noFill/>
            </a:ln>
          </c:spPr>
        </c:majorGridlines>
        <c:numFmt formatCode="General" sourceLinked="1"/>
        <c:majorTickMark val="out"/>
        <c:minorTickMark val="none"/>
        <c:tickLblPos val="nextTo"/>
        <c:txPr>
          <a:bodyPr/>
          <a:lstStyle/>
          <a:p>
            <a:pPr>
              <a:defRPr>
                <a:solidFill>
                  <a:schemeClr val="tx2"/>
                </a:solidFill>
                <a:latin typeface="Arial" panose="020B0604020202020204" pitchFamily="34" charset="0"/>
                <a:cs typeface="Arial" panose="020B0604020202020204" pitchFamily="34" charset="0"/>
              </a:defRPr>
            </a:pPr>
            <a:endParaRPr lang="fr-FR"/>
          </a:p>
        </c:txPr>
        <c:crossAx val="236684496"/>
        <c:crosses val="autoZero"/>
        <c:crossBetween val="between"/>
        <c:majorUnit val="1000"/>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Razem</c:v>
                </c:pt>
              </c:strCache>
            </c:strRef>
          </c:tx>
          <c:spPr>
            <a:solidFill>
              <a:schemeClr val="tx2"/>
            </a:solidFill>
          </c:spPr>
          <c:invertIfNegative val="0"/>
          <c:dLbls>
            <c:dLbl>
              <c:idx val="5"/>
              <c:tx>
                <c:rich>
                  <a:bodyPr/>
                  <a:lstStyle/>
                  <a:p>
                    <a:r>
                      <a:rPr lang="en-US">
                        <a:solidFill>
                          <a:schemeClr val="bg1"/>
                        </a:solidFill>
                      </a:rPr>
                      <a:t>0,96</a:t>
                    </a:r>
                    <a:endParaRPr lang="en-US"/>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0.00</c:formatCode>
                <c:ptCount val="6"/>
                <c:pt idx="0">
                  <c:v>1.7494248466257669</c:v>
                </c:pt>
                <c:pt idx="1">
                  <c:v>1.2918704986102008</c:v>
                </c:pt>
                <c:pt idx="2">
                  <c:v>1.4075895468881274</c:v>
                </c:pt>
                <c:pt idx="3">
                  <c:v>1.2098916454972835</c:v>
                </c:pt>
                <c:pt idx="4">
                  <c:v>1.0460308164825793</c:v>
                </c:pt>
                <c:pt idx="5">
                  <c:v>0.98</c:v>
                </c:pt>
              </c:numCache>
            </c:numRef>
          </c:val>
        </c:ser>
        <c:dLbls>
          <c:showLegendKey val="0"/>
          <c:showVal val="0"/>
          <c:showCatName val="0"/>
          <c:showSerName val="0"/>
          <c:showPercent val="0"/>
          <c:showBubbleSize val="0"/>
        </c:dLbls>
        <c:gapWidth val="76"/>
        <c:overlap val="100"/>
        <c:axId val="232981584"/>
        <c:axId val="232981976"/>
      </c:barChart>
      <c:catAx>
        <c:axId val="232981584"/>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2981976"/>
        <c:crosses val="autoZero"/>
        <c:auto val="1"/>
        <c:lblAlgn val="ctr"/>
        <c:lblOffset val="100"/>
        <c:noMultiLvlLbl val="0"/>
      </c:catAx>
      <c:valAx>
        <c:axId val="232981976"/>
        <c:scaling>
          <c:orientation val="minMax"/>
          <c:max val="2"/>
          <c:min val="0"/>
        </c:scaling>
        <c:delete val="0"/>
        <c:axPos val="l"/>
        <c:majorGridlines/>
        <c:numFmt formatCode="0.00" sourceLinked="1"/>
        <c:majorTickMark val="out"/>
        <c:minorTickMark val="none"/>
        <c:tickLblPos val="nextTo"/>
        <c:txPr>
          <a:bodyPr/>
          <a:lstStyle/>
          <a:p>
            <a:pPr>
              <a:defRPr>
                <a:solidFill>
                  <a:schemeClr val="tx2"/>
                </a:solidFill>
              </a:defRPr>
            </a:pPr>
            <a:endParaRPr lang="fr-FR"/>
          </a:p>
        </c:txPr>
        <c:crossAx val="232981584"/>
        <c:crosses val="autoZero"/>
        <c:crossBetween val="between"/>
      </c:valAx>
    </c:plotArea>
    <c:legend>
      <c:legendPos val="b"/>
      <c:legendEntry>
        <c:idx val="0"/>
        <c:delete val="1"/>
      </c:legendEntry>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Razem</c:v>
                </c:pt>
              </c:strCache>
            </c:strRef>
          </c:tx>
          <c:spPr>
            <a:solidFill>
              <a:schemeClr val="tx2"/>
            </a:solidFill>
          </c:spPr>
          <c:invertIfNegative val="0"/>
          <c:dLbls>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General</c:formatCode>
                <c:ptCount val="6"/>
                <c:pt idx="0">
                  <c:v>199</c:v>
                </c:pt>
                <c:pt idx="1">
                  <c:v>187</c:v>
                </c:pt>
                <c:pt idx="2">
                  <c:v>209</c:v>
                </c:pt>
                <c:pt idx="3">
                  <c:v>184</c:v>
                </c:pt>
                <c:pt idx="4">
                  <c:v>101</c:v>
                </c:pt>
                <c:pt idx="5">
                  <c:v>95</c:v>
                </c:pt>
              </c:numCache>
            </c:numRef>
          </c:val>
        </c:ser>
        <c:dLbls>
          <c:showLegendKey val="0"/>
          <c:showVal val="0"/>
          <c:showCatName val="0"/>
          <c:showSerName val="0"/>
          <c:showPercent val="0"/>
          <c:showBubbleSize val="0"/>
        </c:dLbls>
        <c:gapWidth val="76"/>
        <c:overlap val="100"/>
        <c:axId val="232982760"/>
        <c:axId val="236083640"/>
      </c:barChart>
      <c:catAx>
        <c:axId val="232982760"/>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6083640"/>
        <c:crosses val="autoZero"/>
        <c:auto val="1"/>
        <c:lblAlgn val="ctr"/>
        <c:lblOffset val="100"/>
        <c:noMultiLvlLbl val="0"/>
      </c:catAx>
      <c:valAx>
        <c:axId val="236083640"/>
        <c:scaling>
          <c:orientation val="minMax"/>
          <c:max val="250"/>
          <c:min val="0"/>
        </c:scaling>
        <c:delete val="0"/>
        <c:axPos val="l"/>
        <c:majorGridlines/>
        <c:numFmt formatCode="General" sourceLinked="1"/>
        <c:majorTickMark val="out"/>
        <c:minorTickMark val="none"/>
        <c:tickLblPos val="nextTo"/>
        <c:txPr>
          <a:bodyPr/>
          <a:lstStyle/>
          <a:p>
            <a:pPr>
              <a:defRPr>
                <a:solidFill>
                  <a:schemeClr val="tx2"/>
                </a:solidFill>
              </a:defRPr>
            </a:pPr>
            <a:endParaRPr lang="fr-FR"/>
          </a:p>
        </c:txPr>
        <c:crossAx val="232982760"/>
        <c:crosses val="autoZero"/>
        <c:crossBetween val="between"/>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Razem</c:v>
                </c:pt>
              </c:strCache>
            </c:strRef>
          </c:tx>
          <c:spPr>
            <a:solidFill>
              <a:schemeClr val="tx2"/>
            </a:solidFill>
          </c:spPr>
          <c:invertIfNegative val="0"/>
          <c:dPt>
            <c:idx val="0"/>
            <c:invertIfNegative val="0"/>
            <c:bubble3D val="0"/>
            <c:spPr>
              <a:solidFill>
                <a:schemeClr val="tx2"/>
              </a:solidFill>
            </c:spPr>
          </c:dPt>
          <c:dLbls>
            <c:dLbl>
              <c:idx val="1"/>
              <c:spPr>
                <a:solidFill>
                  <a:schemeClr val="tx2"/>
                </a:solidFill>
              </c:spPr>
              <c:txPr>
                <a:bodyPr/>
                <a:lstStyle/>
                <a:p>
                  <a:pPr>
                    <a:defRPr>
                      <a:solidFill>
                        <a:schemeClr val="bg1"/>
                      </a:solidFill>
                    </a:defRPr>
                  </a:pPr>
                  <a:endParaRPr lang="fr-FR"/>
                </a:p>
              </c:txPr>
              <c:dLblPos val="inEnd"/>
              <c:showLegendKey val="0"/>
              <c:showVal val="1"/>
              <c:showCatName val="0"/>
              <c:showSerName val="0"/>
              <c:showPercent val="0"/>
              <c:showBubbleSize val="0"/>
            </c:dLbl>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0.00</c:formatCode>
                <c:ptCount val="6"/>
                <c:pt idx="0">
                  <c:v>0.95379601226993871</c:v>
                </c:pt>
                <c:pt idx="1">
                  <c:v>0.85363881003571562</c:v>
                </c:pt>
                <c:pt idx="2">
                  <c:v>0.91933192281130827</c:v>
                </c:pt>
                <c:pt idx="3">
                  <c:v>0.82147624638929939</c:v>
                </c:pt>
                <c:pt idx="4">
                  <c:v>0.46541459235568511</c:v>
                </c:pt>
                <c:pt idx="5">
                  <c:v>0.44</c:v>
                </c:pt>
              </c:numCache>
            </c:numRef>
          </c:val>
        </c:ser>
        <c:dLbls>
          <c:showLegendKey val="0"/>
          <c:showVal val="0"/>
          <c:showCatName val="0"/>
          <c:showSerName val="0"/>
          <c:showPercent val="0"/>
          <c:showBubbleSize val="0"/>
        </c:dLbls>
        <c:gapWidth val="76"/>
        <c:overlap val="100"/>
        <c:axId val="236084424"/>
        <c:axId val="236084816"/>
      </c:barChart>
      <c:catAx>
        <c:axId val="236084424"/>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6084816"/>
        <c:crosses val="autoZero"/>
        <c:auto val="1"/>
        <c:lblAlgn val="ctr"/>
        <c:lblOffset val="100"/>
        <c:noMultiLvlLbl val="0"/>
      </c:catAx>
      <c:valAx>
        <c:axId val="236084816"/>
        <c:scaling>
          <c:orientation val="minMax"/>
          <c:max val="1"/>
          <c:min val="0"/>
        </c:scaling>
        <c:delete val="0"/>
        <c:axPos val="l"/>
        <c:majorGridlines/>
        <c:numFmt formatCode="0.00" sourceLinked="1"/>
        <c:majorTickMark val="out"/>
        <c:minorTickMark val="none"/>
        <c:tickLblPos val="nextTo"/>
        <c:txPr>
          <a:bodyPr/>
          <a:lstStyle/>
          <a:p>
            <a:pPr>
              <a:defRPr>
                <a:solidFill>
                  <a:schemeClr val="tx2"/>
                </a:solidFill>
              </a:defRPr>
            </a:pPr>
            <a:endParaRPr lang="fr-FR"/>
          </a:p>
        </c:txPr>
        <c:crossAx val="236084424"/>
        <c:crosses val="autoZero"/>
        <c:crossBetween val="between"/>
      </c:valAx>
      <c:spPr>
        <a:noFill/>
        <a:ln w="25400">
          <a:noFill/>
        </a:ln>
      </c:spPr>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Razem</c:v>
                </c:pt>
              </c:strCache>
            </c:strRef>
          </c:tx>
          <c:spPr>
            <a:solidFill>
              <a:schemeClr val="tx2"/>
            </a:solidFill>
          </c:spPr>
          <c:invertIfNegative val="0"/>
          <c:dLbls>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0</c:formatCode>
                <c:ptCount val="6"/>
                <c:pt idx="0">
                  <c:v>523</c:v>
                </c:pt>
                <c:pt idx="1">
                  <c:v>449</c:v>
                </c:pt>
                <c:pt idx="2">
                  <c:v>488</c:v>
                </c:pt>
                <c:pt idx="3">
                  <c:v>379</c:v>
                </c:pt>
                <c:pt idx="4">
                  <c:v>328</c:v>
                </c:pt>
                <c:pt idx="5">
                  <c:v>313</c:v>
                </c:pt>
              </c:numCache>
            </c:numRef>
          </c:val>
        </c:ser>
        <c:dLbls>
          <c:showLegendKey val="0"/>
          <c:showVal val="0"/>
          <c:showCatName val="0"/>
          <c:showSerName val="0"/>
          <c:showPercent val="0"/>
          <c:showBubbleSize val="0"/>
        </c:dLbls>
        <c:gapWidth val="76"/>
        <c:overlap val="100"/>
        <c:axId val="236085600"/>
        <c:axId val="236085992"/>
      </c:barChart>
      <c:catAx>
        <c:axId val="236085600"/>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6085992"/>
        <c:crosses val="autoZero"/>
        <c:auto val="1"/>
        <c:lblAlgn val="ctr"/>
        <c:lblOffset val="100"/>
        <c:noMultiLvlLbl val="0"/>
      </c:catAx>
      <c:valAx>
        <c:axId val="236085992"/>
        <c:scaling>
          <c:orientation val="minMax"/>
          <c:max val="600"/>
          <c:min val="0"/>
        </c:scaling>
        <c:delete val="0"/>
        <c:axPos val="l"/>
        <c:majorGridlines/>
        <c:numFmt formatCode="0" sourceLinked="1"/>
        <c:majorTickMark val="out"/>
        <c:minorTickMark val="none"/>
        <c:tickLblPos val="nextTo"/>
        <c:txPr>
          <a:bodyPr/>
          <a:lstStyle/>
          <a:p>
            <a:pPr>
              <a:defRPr>
                <a:solidFill>
                  <a:schemeClr val="tx2"/>
                </a:solidFill>
              </a:defRPr>
            </a:pPr>
            <a:endParaRPr lang="fr-FR"/>
          </a:p>
        </c:txPr>
        <c:crossAx val="236085600"/>
        <c:crosses val="autoZero"/>
        <c:crossBetween val="between"/>
      </c:valAx>
    </c:plotArea>
    <c:legend>
      <c:legendPos val="b"/>
      <c:legendEntry>
        <c:idx val="0"/>
        <c:delete val="1"/>
      </c:legendEntry>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Razem</c:v>
                </c:pt>
              </c:strCache>
            </c:strRef>
          </c:tx>
          <c:spPr>
            <a:solidFill>
              <a:schemeClr val="tx2"/>
            </a:solidFill>
          </c:spPr>
          <c:invertIfNegative val="0"/>
          <c:dLbls>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0.00</c:formatCode>
                <c:ptCount val="6"/>
                <c:pt idx="0">
                  <c:v>2.5067101226993866</c:v>
                </c:pt>
                <c:pt idx="1">
                  <c:v>2.0496461267702477</c:v>
                </c:pt>
                <c:pt idx="2">
                  <c:v>2.1465740590043945</c:v>
                </c:pt>
                <c:pt idx="3">
                  <c:v>1.6920624857692634</c:v>
                </c:pt>
                <c:pt idx="4">
                  <c:v>1.5114454088382645</c:v>
                </c:pt>
                <c:pt idx="5">
                  <c:v>1.47</c:v>
                </c:pt>
              </c:numCache>
            </c:numRef>
          </c:val>
        </c:ser>
        <c:dLbls>
          <c:showLegendKey val="0"/>
          <c:showVal val="0"/>
          <c:showCatName val="0"/>
          <c:showSerName val="0"/>
          <c:showPercent val="0"/>
          <c:showBubbleSize val="0"/>
        </c:dLbls>
        <c:gapWidth val="76"/>
        <c:overlap val="100"/>
        <c:axId val="236086776"/>
        <c:axId val="236087168"/>
      </c:barChart>
      <c:catAx>
        <c:axId val="236086776"/>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6087168"/>
        <c:crosses val="autoZero"/>
        <c:auto val="1"/>
        <c:lblAlgn val="ctr"/>
        <c:lblOffset val="100"/>
        <c:noMultiLvlLbl val="0"/>
      </c:catAx>
      <c:valAx>
        <c:axId val="236087168"/>
        <c:scaling>
          <c:orientation val="minMax"/>
          <c:max val="3"/>
          <c:min val="0"/>
        </c:scaling>
        <c:delete val="0"/>
        <c:axPos val="l"/>
        <c:majorGridlines/>
        <c:numFmt formatCode="0.00" sourceLinked="1"/>
        <c:majorTickMark val="out"/>
        <c:minorTickMark val="none"/>
        <c:tickLblPos val="nextTo"/>
        <c:txPr>
          <a:bodyPr/>
          <a:lstStyle/>
          <a:p>
            <a:pPr>
              <a:defRPr>
                <a:solidFill>
                  <a:schemeClr val="tx2"/>
                </a:solidFill>
              </a:defRPr>
            </a:pPr>
            <a:endParaRPr lang="fr-FR"/>
          </a:p>
        </c:txPr>
        <c:crossAx val="236086776"/>
        <c:crosses val="autoZero"/>
        <c:crossBetween val="between"/>
      </c:valAx>
    </c:plotArea>
    <c:legend>
      <c:legendPos val="b"/>
      <c:legendEntry>
        <c:idx val="0"/>
        <c:delete val="1"/>
      </c:legendEntry>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Arkusz1!$B$1</c:f>
              <c:strCache>
                <c:ptCount val="1"/>
                <c:pt idx="0">
                  <c:v>Broken rails</c:v>
                </c:pt>
              </c:strCache>
            </c:strRef>
          </c:tx>
          <c:spPr>
            <a:solidFill>
              <a:schemeClr val="tx2"/>
            </a:solidFill>
          </c:spPr>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General</c:formatCode>
                <c:ptCount val="6"/>
                <c:pt idx="0">
                  <c:v>1506</c:v>
                </c:pt>
                <c:pt idx="1">
                  <c:v>1461</c:v>
                </c:pt>
                <c:pt idx="2">
                  <c:v>1564</c:v>
                </c:pt>
                <c:pt idx="3">
                  <c:v>1800</c:v>
                </c:pt>
                <c:pt idx="4">
                  <c:v>1145</c:v>
                </c:pt>
                <c:pt idx="5">
                  <c:v>1293</c:v>
                </c:pt>
              </c:numCache>
            </c:numRef>
          </c:val>
        </c:ser>
        <c:ser>
          <c:idx val="1"/>
          <c:order val="1"/>
          <c:tx>
            <c:strRef>
              <c:f>Arkusz1!$C$1</c:f>
              <c:strCache>
                <c:ptCount val="1"/>
                <c:pt idx="0">
                  <c:v>Track buckling</c:v>
                </c:pt>
              </c:strCache>
            </c:strRef>
          </c:tx>
          <c:spPr>
            <a:solidFill>
              <a:schemeClr val="accent1"/>
            </a:solidFill>
          </c:spPr>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Arkusz1!$C$2:$C$7</c:f>
              <c:numCache>
                <c:formatCode>General</c:formatCode>
                <c:ptCount val="6"/>
                <c:pt idx="0">
                  <c:v>22</c:v>
                </c:pt>
                <c:pt idx="1">
                  <c:v>23</c:v>
                </c:pt>
                <c:pt idx="2">
                  <c:v>20</c:v>
                </c:pt>
                <c:pt idx="3">
                  <c:v>53</c:v>
                </c:pt>
                <c:pt idx="4">
                  <c:v>83</c:v>
                </c:pt>
                <c:pt idx="5">
                  <c:v>77</c:v>
                </c:pt>
              </c:numCache>
            </c:numRef>
          </c:val>
        </c:ser>
        <c:ser>
          <c:idx val="2"/>
          <c:order val="2"/>
          <c:tx>
            <c:strRef>
              <c:f>Arkusz1!$D$1</c:f>
              <c:strCache>
                <c:ptCount val="1"/>
                <c:pt idx="0">
                  <c:v>Signalling failure</c:v>
                </c:pt>
              </c:strCache>
            </c:strRef>
          </c:tx>
          <c:spPr>
            <a:solidFill>
              <a:schemeClr val="tx2">
                <a:lumMod val="60000"/>
                <a:lumOff val="40000"/>
              </a:schemeClr>
            </a:solidFill>
          </c:spPr>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Arkusz1!$D$2:$D$7</c:f>
              <c:numCache>
                <c:formatCode>General</c:formatCode>
                <c:ptCount val="6"/>
                <c:pt idx="0">
                  <c:v>21</c:v>
                </c:pt>
                <c:pt idx="1">
                  <c:v>16</c:v>
                </c:pt>
                <c:pt idx="2">
                  <c:v>0</c:v>
                </c:pt>
                <c:pt idx="3">
                  <c:v>5</c:v>
                </c:pt>
                <c:pt idx="4">
                  <c:v>13</c:v>
                </c:pt>
                <c:pt idx="5">
                  <c:v>10</c:v>
                </c:pt>
              </c:numCache>
            </c:numRef>
          </c:val>
        </c:ser>
        <c:ser>
          <c:idx val="3"/>
          <c:order val="3"/>
          <c:tx>
            <c:strRef>
              <c:f>Arkusz1!$E$1</c:f>
              <c:strCache>
                <c:ptCount val="1"/>
                <c:pt idx="0">
                  <c:v>Passing a ‘Stop’ signal</c:v>
                </c:pt>
              </c:strCache>
            </c:strRef>
          </c:tx>
          <c:spPr>
            <a:solidFill>
              <a:schemeClr val="accent1">
                <a:lumMod val="60000"/>
                <a:lumOff val="40000"/>
              </a:schemeClr>
            </a:solidFill>
          </c:spPr>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Arkusz1!$E$2:$E$7</c:f>
              <c:numCache>
                <c:formatCode>General</c:formatCode>
                <c:ptCount val="6"/>
                <c:pt idx="0">
                  <c:v>13</c:v>
                </c:pt>
                <c:pt idx="1">
                  <c:v>13</c:v>
                </c:pt>
                <c:pt idx="2">
                  <c:v>29</c:v>
                </c:pt>
                <c:pt idx="3">
                  <c:v>33</c:v>
                </c:pt>
                <c:pt idx="4">
                  <c:v>34</c:v>
                </c:pt>
                <c:pt idx="5">
                  <c:v>64</c:v>
                </c:pt>
              </c:numCache>
            </c:numRef>
          </c:val>
        </c:ser>
        <c:ser>
          <c:idx val="4"/>
          <c:order val="4"/>
          <c:tx>
            <c:strRef>
              <c:f>Arkusz1!$F$1</c:f>
              <c:strCache>
                <c:ptCount val="1"/>
                <c:pt idx="0">
                  <c:v>Broken wheels</c:v>
                </c:pt>
              </c:strCache>
            </c:strRef>
          </c:tx>
          <c:spPr>
            <a:solidFill>
              <a:schemeClr val="accent1">
                <a:lumMod val="20000"/>
                <a:lumOff val="80000"/>
              </a:schemeClr>
            </a:solidFill>
          </c:spPr>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Arkusz1!$F$2:$F$7</c:f>
              <c:numCache>
                <c:formatCode>General</c:formatCode>
                <c:ptCount val="6"/>
                <c:pt idx="0">
                  <c:v>105</c:v>
                </c:pt>
                <c:pt idx="1">
                  <c:v>23</c:v>
                </c:pt>
                <c:pt idx="2">
                  <c:v>3</c:v>
                </c:pt>
                <c:pt idx="3">
                  <c:v>3</c:v>
                </c:pt>
                <c:pt idx="4">
                  <c:v>1</c:v>
                </c:pt>
                <c:pt idx="5">
                  <c:v>1</c:v>
                </c:pt>
              </c:numCache>
            </c:numRef>
          </c:val>
        </c:ser>
        <c:ser>
          <c:idx val="5"/>
          <c:order val="5"/>
          <c:tx>
            <c:strRef>
              <c:f>Arkusz1!$G$1</c:f>
              <c:strCache>
                <c:ptCount val="1"/>
                <c:pt idx="0">
                  <c:v>Broken axles</c:v>
                </c:pt>
              </c:strCache>
            </c:strRef>
          </c:tx>
          <c:invertIfNegative val="0"/>
          <c:cat>
            <c:numRef>
              <c:f>Arkusz1!$A$2:$A$7</c:f>
              <c:numCache>
                <c:formatCode>General</c:formatCode>
                <c:ptCount val="6"/>
                <c:pt idx="0">
                  <c:v>2009</c:v>
                </c:pt>
                <c:pt idx="1">
                  <c:v>2010</c:v>
                </c:pt>
                <c:pt idx="2">
                  <c:v>2011</c:v>
                </c:pt>
                <c:pt idx="3">
                  <c:v>2012</c:v>
                </c:pt>
                <c:pt idx="4">
                  <c:v>2013</c:v>
                </c:pt>
                <c:pt idx="5">
                  <c:v>2014</c:v>
                </c:pt>
              </c:numCache>
            </c:numRef>
          </c:cat>
          <c:val>
            <c:numRef>
              <c:f>Arkusz1!$G$2:$G$7</c:f>
              <c:numCache>
                <c:formatCode>General</c:formatCode>
                <c:ptCount val="6"/>
                <c:pt idx="0">
                  <c:v>12</c:v>
                </c:pt>
                <c:pt idx="1">
                  <c:v>3</c:v>
                </c:pt>
                <c:pt idx="2">
                  <c:v>2</c:v>
                </c:pt>
                <c:pt idx="3">
                  <c:v>4</c:v>
                </c:pt>
                <c:pt idx="4">
                  <c:v>2</c:v>
                </c:pt>
                <c:pt idx="5">
                  <c:v>0</c:v>
                </c:pt>
              </c:numCache>
            </c:numRef>
          </c:val>
        </c:ser>
        <c:dLbls>
          <c:showLegendKey val="0"/>
          <c:showVal val="0"/>
          <c:showCatName val="0"/>
          <c:showSerName val="0"/>
          <c:showPercent val="0"/>
          <c:showBubbleSize val="0"/>
        </c:dLbls>
        <c:gapWidth val="150"/>
        <c:overlap val="100"/>
        <c:axId val="236087952"/>
        <c:axId val="236088344"/>
      </c:barChart>
      <c:catAx>
        <c:axId val="236087952"/>
        <c:scaling>
          <c:orientation val="minMax"/>
        </c:scaling>
        <c:delete val="0"/>
        <c:axPos val="b"/>
        <c:numFmt formatCode="General" sourceLinked="1"/>
        <c:majorTickMark val="out"/>
        <c:minorTickMark val="none"/>
        <c:tickLblPos val="nextTo"/>
        <c:crossAx val="236088344"/>
        <c:crosses val="autoZero"/>
        <c:auto val="1"/>
        <c:lblAlgn val="ctr"/>
        <c:lblOffset val="100"/>
        <c:noMultiLvlLbl val="0"/>
      </c:catAx>
      <c:valAx>
        <c:axId val="236088344"/>
        <c:scaling>
          <c:orientation val="minMax"/>
        </c:scaling>
        <c:delete val="0"/>
        <c:axPos val="l"/>
        <c:majorGridlines/>
        <c:numFmt formatCode="General" sourceLinked="1"/>
        <c:majorTickMark val="out"/>
        <c:minorTickMark val="none"/>
        <c:tickLblPos val="nextTo"/>
        <c:crossAx val="236087952"/>
        <c:crosses val="autoZero"/>
        <c:crossBetween val="between"/>
      </c:valAx>
    </c:plotArea>
    <c:legend>
      <c:legendPos val="b"/>
      <c:layout>
        <c:manualLayout>
          <c:xMode val="edge"/>
          <c:yMode val="edge"/>
          <c:x val="0.14285925196850394"/>
          <c:y val="0.74372968720985899"/>
          <c:w val="0.71428149606299207"/>
          <c:h val="0.2562704512235372"/>
        </c:manualLayout>
      </c:layout>
      <c:overlay val="0"/>
    </c:legend>
    <c:plotVisOnly val="1"/>
    <c:dispBlanksAs val="gap"/>
    <c:showDLblsOverMax val="0"/>
  </c:chart>
  <c:spPr>
    <a:ln>
      <a:noFill/>
    </a:ln>
  </c:spPr>
  <c:txPr>
    <a:bodyPr/>
    <a:lstStyle/>
    <a:p>
      <a:pPr>
        <a:defRPr sz="900"/>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Arkusz1!$B$1</c:f>
              <c:strCache>
                <c:ptCount val="1"/>
                <c:pt idx="0">
                  <c:v>koszty znaczących wypadków</c:v>
                </c:pt>
              </c:strCache>
            </c:strRef>
          </c:tx>
          <c:spPr>
            <a:solidFill>
              <a:schemeClr val="tx2"/>
            </a:solidFill>
          </c:spPr>
          <c:invertIfNegative val="0"/>
          <c:dLbls>
            <c:dLbl>
              <c:idx val="0"/>
              <c:layout>
                <c:manualLayout>
                  <c:x val="0"/>
                  <c:y val="-4.9500457393965823E-2"/>
                </c:manualLayout>
              </c:layout>
              <c:tx>
                <c:rich>
                  <a:bodyPr/>
                  <a:lstStyle/>
                  <a:p>
                    <a:r>
                      <a:rPr lang="en-US">
                        <a:solidFill>
                          <a:schemeClr val="tx2"/>
                        </a:solidFill>
                      </a:rPr>
                      <a:t>No</a:t>
                    </a:r>
                    <a:r>
                      <a:rPr lang="en-US" baseline="0">
                        <a:solidFill>
                          <a:schemeClr val="tx2"/>
                        </a:solidFill>
                      </a:rPr>
                      <a:t> data</a:t>
                    </a:r>
                    <a:endParaRPr lang="en-US">
                      <a:solidFill>
                        <a:schemeClr val="tx2"/>
                      </a:solidFill>
                    </a:endParaRPr>
                  </a:p>
                </c:rich>
              </c:tx>
              <c:dLblPos val="ctr"/>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1"/>
                    </a:solidFill>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Arkusz1!$A$2:$A$7</c:f>
              <c:numCache>
                <c:formatCode>General</c:formatCode>
                <c:ptCount val="6"/>
                <c:pt idx="0">
                  <c:v>2009</c:v>
                </c:pt>
                <c:pt idx="1">
                  <c:v>2010</c:v>
                </c:pt>
                <c:pt idx="2">
                  <c:v>2011</c:v>
                </c:pt>
                <c:pt idx="3">
                  <c:v>2012</c:v>
                </c:pt>
                <c:pt idx="4">
                  <c:v>2013</c:v>
                </c:pt>
                <c:pt idx="5">
                  <c:v>2014</c:v>
                </c:pt>
              </c:numCache>
            </c:numRef>
          </c:cat>
          <c:val>
            <c:numRef>
              <c:f>Arkusz1!$B$2:$B$7</c:f>
              <c:numCache>
                <c:formatCode>0.00</c:formatCode>
                <c:ptCount val="6"/>
                <c:pt idx="0" formatCode="0">
                  <c:v>0</c:v>
                </c:pt>
                <c:pt idx="1">
                  <c:v>195.64457899999999</c:v>
                </c:pt>
                <c:pt idx="2">
                  <c:v>236.52367699999999</c:v>
                </c:pt>
                <c:pt idx="3">
                  <c:v>189.81975600000001</c:v>
                </c:pt>
                <c:pt idx="4">
                  <c:v>170.22352000000001</c:v>
                </c:pt>
                <c:pt idx="5">
                  <c:v>160.215147</c:v>
                </c:pt>
              </c:numCache>
            </c:numRef>
          </c:val>
        </c:ser>
        <c:dLbls>
          <c:showLegendKey val="0"/>
          <c:showVal val="0"/>
          <c:showCatName val="0"/>
          <c:showSerName val="0"/>
          <c:showPercent val="0"/>
          <c:showBubbleSize val="0"/>
        </c:dLbls>
        <c:gapWidth val="76"/>
        <c:overlap val="100"/>
        <c:axId val="236089128"/>
        <c:axId val="236089520"/>
      </c:barChart>
      <c:catAx>
        <c:axId val="236089128"/>
        <c:scaling>
          <c:orientation val="minMax"/>
        </c:scaling>
        <c:delete val="0"/>
        <c:axPos val="b"/>
        <c:numFmt formatCode="General" sourceLinked="1"/>
        <c:majorTickMark val="none"/>
        <c:minorTickMark val="none"/>
        <c:tickLblPos val="nextTo"/>
        <c:txPr>
          <a:bodyPr/>
          <a:lstStyle/>
          <a:p>
            <a:pPr>
              <a:defRPr>
                <a:solidFill>
                  <a:schemeClr val="tx2"/>
                </a:solidFill>
              </a:defRPr>
            </a:pPr>
            <a:endParaRPr lang="fr-FR"/>
          </a:p>
        </c:txPr>
        <c:crossAx val="236089520"/>
        <c:crosses val="autoZero"/>
        <c:auto val="1"/>
        <c:lblAlgn val="ctr"/>
        <c:lblOffset val="100"/>
        <c:noMultiLvlLbl val="0"/>
      </c:catAx>
      <c:valAx>
        <c:axId val="236089520"/>
        <c:scaling>
          <c:orientation val="minMax"/>
          <c:min val="0"/>
        </c:scaling>
        <c:delete val="0"/>
        <c:axPos val="l"/>
        <c:majorGridlines/>
        <c:numFmt formatCode="0" sourceLinked="1"/>
        <c:majorTickMark val="out"/>
        <c:minorTickMark val="none"/>
        <c:tickLblPos val="nextTo"/>
        <c:txPr>
          <a:bodyPr/>
          <a:lstStyle/>
          <a:p>
            <a:pPr>
              <a:defRPr>
                <a:solidFill>
                  <a:schemeClr val="tx2"/>
                </a:solidFill>
              </a:defRPr>
            </a:pPr>
            <a:endParaRPr lang="fr-FR"/>
          </a:p>
        </c:txPr>
        <c:crossAx val="236089128"/>
        <c:crosses val="autoZero"/>
        <c:crossBetween val="between"/>
      </c:valAx>
    </c:plotArea>
    <c:legend>
      <c:legendPos val="b"/>
      <c:legendEntry>
        <c:idx val="0"/>
        <c:delete val="1"/>
      </c:legendEntry>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noFill/>
            <a:ln w="28575">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Arkusz14!$D$134:$D$146</c:f>
              <c:strCache>
                <c:ptCount val="13"/>
                <c:pt idx="0">
                  <c:v>relevance of using substitute signals</c:v>
                </c:pt>
                <c:pt idx="1">
                  <c:v>SMS*</c:v>
                </c:pt>
                <c:pt idx="2">
                  <c:v>examination committees</c:v>
                </c:pt>
                <c:pt idx="3">
                  <c:v>supervision of the implementation of the recommendations of post audit statements and administrative decisions</c:v>
                </c:pt>
                <c:pt idx="4">
                  <c:v>control of products – user</c:v>
                </c:pt>
                <c:pt idx="5">
                  <c:v>operation of railway sidings</c:v>
                </c:pt>
                <c:pt idx="6">
                  <c:v>transport of dangerous goods</c:v>
                </c:pt>
                <c:pt idx="7">
                  <c:v>maintenance of track infrastructure and adjacent land</c:v>
                </c:pt>
                <c:pt idx="8">
                  <c:v>new timetables</c:v>
                </c:pt>
                <c:pt idx="9">
                  <c:v>vehicle maintenance</c:v>
                </c:pt>
                <c:pt idx="10">
                  <c:v>ensuring adequate levels of quality and passenger safety</c:v>
                </c:pt>
                <c:pt idx="11">
                  <c:v>inspection runs</c:v>
                </c:pt>
                <c:pt idx="12">
                  <c:v>employee working hours</c:v>
                </c:pt>
              </c:strCache>
            </c:strRef>
          </c:cat>
          <c:val>
            <c:numRef>
              <c:f>Arkusz14!$E$134:$E$146</c:f>
              <c:numCache>
                <c:formatCode>General</c:formatCode>
                <c:ptCount val="13"/>
                <c:pt idx="0">
                  <c:v>65</c:v>
                </c:pt>
                <c:pt idx="1">
                  <c:v>75</c:v>
                </c:pt>
                <c:pt idx="2">
                  <c:v>79</c:v>
                </c:pt>
                <c:pt idx="3">
                  <c:v>84</c:v>
                </c:pt>
                <c:pt idx="4">
                  <c:v>100</c:v>
                </c:pt>
                <c:pt idx="5">
                  <c:v>101</c:v>
                </c:pt>
                <c:pt idx="6">
                  <c:v>112</c:v>
                </c:pt>
                <c:pt idx="7">
                  <c:v>141</c:v>
                </c:pt>
                <c:pt idx="8">
                  <c:v>159</c:v>
                </c:pt>
                <c:pt idx="9">
                  <c:v>168</c:v>
                </c:pt>
                <c:pt idx="10">
                  <c:v>326</c:v>
                </c:pt>
                <c:pt idx="11">
                  <c:v>454</c:v>
                </c:pt>
                <c:pt idx="12">
                  <c:v>501</c:v>
                </c:pt>
              </c:numCache>
            </c:numRef>
          </c:val>
        </c:ser>
        <c:dLbls>
          <c:showLegendKey val="0"/>
          <c:showVal val="0"/>
          <c:showCatName val="0"/>
          <c:showSerName val="0"/>
          <c:showPercent val="0"/>
          <c:showBubbleSize val="0"/>
        </c:dLbls>
        <c:gapWidth val="150"/>
        <c:axId val="235456600"/>
        <c:axId val="235456992"/>
      </c:barChart>
      <c:catAx>
        <c:axId val="235456600"/>
        <c:scaling>
          <c:orientation val="minMax"/>
        </c:scaling>
        <c:delete val="0"/>
        <c:axPos val="l"/>
        <c:numFmt formatCode="General"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fr-FR"/>
          </a:p>
        </c:txPr>
        <c:crossAx val="235456992"/>
        <c:crosses val="autoZero"/>
        <c:auto val="1"/>
        <c:lblAlgn val="ctr"/>
        <c:lblOffset val="100"/>
        <c:noMultiLvlLbl val="0"/>
      </c:catAx>
      <c:valAx>
        <c:axId val="235456992"/>
        <c:scaling>
          <c:orientation val="minMax"/>
        </c:scaling>
        <c:delete val="0"/>
        <c:axPos val="b"/>
        <c:majorGridlines>
          <c:spPr>
            <a:ln>
              <a:noFill/>
            </a:ln>
          </c:spPr>
        </c:majorGridlines>
        <c:numFmt formatCode="General" sourceLinked="1"/>
        <c:majorTickMark val="out"/>
        <c:minorTickMark val="none"/>
        <c:tickLblPos val="nextTo"/>
        <c:crossAx val="235456600"/>
        <c:crosses val="autoZero"/>
        <c:crossBetween val="between"/>
      </c:valAx>
    </c:plotArea>
    <c:plotVisOnly val="1"/>
    <c:dispBlanksAs val="gap"/>
    <c:showDLblsOverMax val="0"/>
  </c:chart>
  <c:spPr>
    <a:ln>
      <a:noFill/>
    </a:ln>
  </c:spPr>
  <c:txPr>
    <a:bodyPr/>
    <a:lstStyle/>
    <a:p>
      <a:pPr>
        <a:defRPr>
          <a:solidFill>
            <a:schemeClr val="tx2"/>
          </a:solidFill>
        </a:defRPr>
      </a:pPr>
      <a:endParaRPr lang="fr-F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9DC4D4-1A55-4C53-8551-6F512AB4F231}" type="doc">
      <dgm:prSet loTypeId="urn:microsoft.com/office/officeart/2008/layout/RadialCluster" loCatId="relationship" qsTypeId="urn:microsoft.com/office/officeart/2005/8/quickstyle/simple2" qsCatId="simple" csTypeId="urn:microsoft.com/office/officeart/2005/8/colors/accent0_2" csCatId="mainScheme" phldr="1"/>
      <dgm:spPr/>
      <dgm:t>
        <a:bodyPr/>
        <a:lstStyle/>
        <a:p>
          <a:endParaRPr lang="pl-PL"/>
        </a:p>
      </dgm:t>
    </dgm:pt>
    <dgm:pt modelId="{BAB92B79-D78F-4F8D-9C54-C931C0B33F60}">
      <dgm:prSet phldrT="[Tekst]" custT="1"/>
      <dgm:spPr>
        <a:xfrm>
          <a:off x="2657951" y="1668254"/>
          <a:ext cx="1351597" cy="1351597"/>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1" dirty="0" smtClean="0">
              <a:solidFill>
                <a:srgbClr val="1F497D">
                  <a:hueOff val="0"/>
                  <a:satOff val="0"/>
                  <a:lumOff val="0"/>
                  <a:alphaOff val="0"/>
                </a:srgbClr>
              </a:solidFill>
              <a:latin typeface="+mn-lt"/>
              <a:ea typeface="Verdana" pitchFamily="34" charset="0"/>
            </a:rPr>
            <a:t>PLAN FOR SUPERVISORY ACTIVITIES OF THE PRESIDENT OF THE UTK</a:t>
          </a:r>
        </a:p>
      </dgm:t>
    </dgm:pt>
    <dgm:pt modelId="{540B004D-FA50-48AC-94C6-1AEBE4F4AF6F}" type="parTrans" cxnId="{FF146824-53E9-4388-B555-820E26699AE2}">
      <dgm:prSet/>
      <dgm:spPr/>
      <dgm:t>
        <a:bodyPr/>
        <a:lstStyle/>
        <a:p>
          <a:pPr algn="ctr"/>
          <a:endParaRPr lang="pl-PL" sz="700" dirty="0">
            <a:latin typeface="+mn-lt"/>
            <a:cs typeface="Times New Roman" panose="02020603050405020304" pitchFamily="18" charset="0"/>
          </a:endParaRPr>
        </a:p>
      </dgm:t>
    </dgm:pt>
    <dgm:pt modelId="{7FB2D896-F0ED-45C6-8854-C1047E15DF85}" type="sibTrans" cxnId="{FF146824-53E9-4388-B555-820E26699AE2}">
      <dgm:prSet/>
      <dgm:spPr/>
      <dgm:t>
        <a:bodyPr/>
        <a:lstStyle/>
        <a:p>
          <a:pPr algn="ctr"/>
          <a:endParaRPr lang="pl-PL" sz="700" dirty="0">
            <a:latin typeface="+mn-lt"/>
            <a:cs typeface="Times New Roman" panose="02020603050405020304" pitchFamily="18" charset="0"/>
          </a:endParaRPr>
        </a:p>
      </dgm:t>
    </dgm:pt>
    <dgm:pt modelId="{91E4B8B2-DB2B-4FAF-92B9-3FAC4F9A4856}">
      <dgm:prSet phldrT="[Tekst]" custT="1"/>
      <dgm:spPr>
        <a:xfrm>
          <a:off x="2880964" y="45580"/>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REGISTER OF RISK PARAMETERS FOR ENTITIES</a:t>
          </a:r>
        </a:p>
      </dgm:t>
    </dgm:pt>
    <dgm:pt modelId="{4F71B3B3-0D8F-4C4D-B7AC-66D9DB23B962}" type="parTrans" cxnId="{C6D05C46-FFF2-497D-9952-2C4DD8E522CE}">
      <dgm:prSet custT="1"/>
      <dgm:spPr>
        <a:xfrm rot="16200000">
          <a:off x="2975198" y="1309702"/>
          <a:ext cx="717103"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5612FAFD-D042-42F8-8C0F-A8967028FB9C}" type="sibTrans" cxnId="{C6D05C46-FFF2-497D-9952-2C4DD8E522CE}">
      <dgm:prSet/>
      <dgm:spPr/>
      <dgm:t>
        <a:bodyPr/>
        <a:lstStyle/>
        <a:p>
          <a:pPr algn="ctr"/>
          <a:endParaRPr lang="pl-PL" sz="700" dirty="0">
            <a:latin typeface="+mn-lt"/>
            <a:cs typeface="Times New Roman" panose="02020603050405020304" pitchFamily="18" charset="0"/>
          </a:endParaRPr>
        </a:p>
      </dgm:t>
    </dgm:pt>
    <dgm:pt modelId="{46E15FD6-9E5E-4C31-A58A-661BFBC151CE}">
      <dgm:prSet phldrT="[Tekst]" custT="1"/>
      <dgm:spPr>
        <a:xfrm>
          <a:off x="4323981" y="740500"/>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ANALYSIS OF RAIL OCCURRENCES</a:t>
          </a:r>
        </a:p>
      </dgm:t>
    </dgm:pt>
    <dgm:pt modelId="{951D208B-E8C1-4E0F-97A7-18E48A05947D}" type="parTrans" cxnId="{10376629-6E2A-4884-8A21-31D3EA517D48}">
      <dgm:prSet custT="1"/>
      <dgm:spPr>
        <a:xfrm rot="19285714">
          <a:off x="3965677" y="1679745"/>
          <a:ext cx="402174"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7A4DBC7C-C78E-4D57-B288-2ECC055AE25D}" type="sibTrans" cxnId="{10376629-6E2A-4884-8A21-31D3EA517D48}">
      <dgm:prSet/>
      <dgm:spPr/>
      <dgm:t>
        <a:bodyPr/>
        <a:lstStyle/>
        <a:p>
          <a:pPr algn="ctr"/>
          <a:endParaRPr lang="pl-PL" sz="700" dirty="0">
            <a:latin typeface="+mn-lt"/>
            <a:cs typeface="Times New Roman" panose="02020603050405020304" pitchFamily="18" charset="0"/>
          </a:endParaRPr>
        </a:p>
      </dgm:t>
    </dgm:pt>
    <dgm:pt modelId="{2ED9E288-5540-436A-AD63-186A76BDB018}">
      <dgm:prSet phldrT="[Tekst]" custT="1"/>
      <dgm:spPr>
        <a:xfrm>
          <a:off x="4680376" y="2301971"/>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REGISTER OF TRAIN DRIVERS – ANALYSIS OF WORKING HOURS AND DECLARATIONS SUBMITTED</a:t>
          </a:r>
          <a:endParaRPr lang="pl-PL" sz="700" b="0" i="0" dirty="0">
            <a:solidFill>
              <a:srgbClr val="1F497D">
                <a:hueOff val="0"/>
                <a:satOff val="0"/>
                <a:lumOff val="0"/>
                <a:alphaOff val="0"/>
              </a:srgbClr>
            </a:solidFill>
            <a:latin typeface="+mn-lt"/>
            <a:ea typeface="Verdana" pitchFamily="34" charset="0"/>
            <a:cs typeface="Times New Roman" panose="02020603050405020304" pitchFamily="18" charset="0"/>
          </a:endParaRPr>
        </a:p>
      </dgm:t>
    </dgm:pt>
    <dgm:pt modelId="{8F15292D-58C1-49A6-91DB-C2EB04D91429}" type="parTrans" cxnId="{41F90FD7-227C-4A1F-ADE8-837EBCB4598B}">
      <dgm:prSet custT="1"/>
      <dgm:spPr>
        <a:xfrm rot="771429">
          <a:off x="4000922" y="2574855"/>
          <a:ext cx="688079"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4AB171EF-59C6-407A-84E5-A6C06EFF6F63}" type="sibTrans" cxnId="{41F90FD7-227C-4A1F-ADE8-837EBCB4598B}">
      <dgm:prSet/>
      <dgm:spPr/>
      <dgm:t>
        <a:bodyPr/>
        <a:lstStyle/>
        <a:p>
          <a:pPr algn="ctr"/>
          <a:endParaRPr lang="pl-PL" sz="700" dirty="0">
            <a:latin typeface="+mn-lt"/>
            <a:cs typeface="Times New Roman" panose="02020603050405020304" pitchFamily="18" charset="0"/>
          </a:endParaRPr>
        </a:p>
      </dgm:t>
    </dgm:pt>
    <dgm:pt modelId="{1CB79A0E-F62E-456F-BF4D-76BBFAA5BC03}">
      <dgm:prSet phldrT="[Tekst]" custT="1"/>
      <dgm:spPr>
        <a:xfrm>
          <a:off x="2080151" y="3554174"/>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SYSTEMATIC QUANTITATIVE PLANNING</a:t>
          </a:r>
          <a:endParaRPr lang="pl-PL" sz="700" b="0" i="0" dirty="0">
            <a:solidFill>
              <a:srgbClr val="1F497D">
                <a:hueOff val="0"/>
                <a:satOff val="0"/>
                <a:lumOff val="0"/>
                <a:alphaOff val="0"/>
              </a:srgbClr>
            </a:solidFill>
            <a:latin typeface="+mn-lt"/>
            <a:ea typeface="Verdana" pitchFamily="34" charset="0"/>
            <a:cs typeface="Times New Roman" panose="02020603050405020304" pitchFamily="18" charset="0"/>
          </a:endParaRPr>
        </a:p>
      </dgm:t>
    </dgm:pt>
    <dgm:pt modelId="{D09A2B57-2AF4-412F-894A-44FE5033F816}" type="parTrans" cxnId="{564823A5-81A7-4CD2-90C7-A47E0D61F0E2}">
      <dgm:prSet custT="1"/>
      <dgm:spPr>
        <a:xfrm rot="6942857">
          <a:off x="2583117" y="3287012"/>
          <a:ext cx="593053"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4226476E-652D-4E8B-B8F9-8DE7192915E8}" type="sibTrans" cxnId="{564823A5-81A7-4CD2-90C7-A47E0D61F0E2}">
      <dgm:prSet/>
      <dgm:spPr/>
      <dgm:t>
        <a:bodyPr/>
        <a:lstStyle/>
        <a:p>
          <a:pPr algn="ctr"/>
          <a:endParaRPr lang="pl-PL" sz="700" dirty="0">
            <a:latin typeface="+mn-lt"/>
            <a:cs typeface="Times New Roman" panose="02020603050405020304" pitchFamily="18" charset="0"/>
          </a:endParaRPr>
        </a:p>
      </dgm:t>
    </dgm:pt>
    <dgm:pt modelId="{59E9A0E1-29BD-4DBB-9A24-BEB60844F2F6}">
      <dgm:prSet phldrT="[Tekst]" custT="1"/>
      <dgm:spPr>
        <a:xfrm>
          <a:off x="3681778" y="3554174"/>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PLANNING BASED ON SKILLS AND EXPERIENCE</a:t>
          </a:r>
          <a:endParaRPr lang="pl-PL" sz="700" b="0" i="0" dirty="0">
            <a:solidFill>
              <a:srgbClr val="1F497D">
                <a:hueOff val="0"/>
                <a:satOff val="0"/>
                <a:lumOff val="0"/>
                <a:alphaOff val="0"/>
              </a:srgbClr>
            </a:solidFill>
            <a:latin typeface="+mn-lt"/>
            <a:ea typeface="Verdana" pitchFamily="34" charset="0"/>
            <a:cs typeface="Times New Roman" panose="02020603050405020304" pitchFamily="18" charset="0"/>
          </a:endParaRPr>
        </a:p>
      </dgm:t>
    </dgm:pt>
    <dgm:pt modelId="{055B2A1C-D1C7-4843-9CBA-054F8AE1EAAC}" type="parTrans" cxnId="{55837DAA-E701-4EBE-958F-1729FFB295ED}">
      <dgm:prSet custT="1"/>
      <dgm:spPr>
        <a:xfrm rot="3857143">
          <a:off x="3491328" y="3287012"/>
          <a:ext cx="593053"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C4F7173F-1908-4F16-85D1-030003BA3A1B}" type="sibTrans" cxnId="{55837DAA-E701-4EBE-958F-1729FFB295ED}">
      <dgm:prSet/>
      <dgm:spPr/>
      <dgm:t>
        <a:bodyPr/>
        <a:lstStyle/>
        <a:p>
          <a:pPr algn="ctr"/>
          <a:endParaRPr lang="pl-PL" sz="700" dirty="0">
            <a:latin typeface="+mn-lt"/>
            <a:cs typeface="Times New Roman" panose="02020603050405020304" pitchFamily="18" charset="0"/>
          </a:endParaRPr>
        </a:p>
      </dgm:t>
    </dgm:pt>
    <dgm:pt modelId="{9DF0C584-695A-4058-8EBC-DF9CB8225B39}">
      <dgm:prSet phldrT="[Tekst]" custT="1"/>
      <dgm:spPr>
        <a:xfrm>
          <a:off x="1081552" y="2301971"/>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RESULTS OF SUPERVISORY ACTIVITIES CONDUCTED</a:t>
          </a:r>
          <a:endParaRPr lang="pl-PL" sz="700" b="0" i="0" dirty="0">
            <a:solidFill>
              <a:srgbClr val="1F497D">
                <a:hueOff val="0"/>
                <a:satOff val="0"/>
                <a:lumOff val="0"/>
                <a:alphaOff val="0"/>
              </a:srgbClr>
            </a:solidFill>
            <a:latin typeface="+mn-lt"/>
            <a:ea typeface="Verdana" pitchFamily="34" charset="0"/>
            <a:cs typeface="Times New Roman" panose="02020603050405020304" pitchFamily="18" charset="0"/>
          </a:endParaRPr>
        </a:p>
      </dgm:t>
    </dgm:pt>
    <dgm:pt modelId="{37CC343F-B45D-4AA7-8AB5-AA05142759DC}" type="parTrans" cxnId="{24D1E518-D3C6-4373-A9D9-7C8FE11872F1}">
      <dgm:prSet custT="1"/>
      <dgm:spPr>
        <a:xfrm rot="10028571">
          <a:off x="1978497" y="2574855"/>
          <a:ext cx="688079"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D1521D33-5CBF-4582-A473-D6D15DB331BC}" type="sibTrans" cxnId="{24D1E518-D3C6-4373-A9D9-7C8FE11872F1}">
      <dgm:prSet/>
      <dgm:spPr/>
      <dgm:t>
        <a:bodyPr/>
        <a:lstStyle/>
        <a:p>
          <a:pPr algn="ctr"/>
          <a:endParaRPr lang="pl-PL" sz="700" dirty="0">
            <a:latin typeface="+mn-lt"/>
            <a:cs typeface="Times New Roman" panose="02020603050405020304" pitchFamily="18" charset="0"/>
          </a:endParaRPr>
        </a:p>
      </dgm:t>
    </dgm:pt>
    <dgm:pt modelId="{2D496F48-DB03-45D1-B91C-8B61415AD20F}">
      <dgm:prSet phldrT="[Tekst]" custT="1"/>
      <dgm:spPr>
        <a:xfrm>
          <a:off x="1437948" y="740500"/>
          <a:ext cx="905570" cy="905570"/>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sz="700" b="0" i="0" dirty="0" smtClean="0">
              <a:solidFill>
                <a:srgbClr val="1F497D">
                  <a:hueOff val="0"/>
                  <a:satOff val="0"/>
                  <a:lumOff val="0"/>
                  <a:alphaOff val="0"/>
                </a:srgbClr>
              </a:solidFill>
              <a:latin typeface="+mn-lt"/>
              <a:ea typeface="Verdana" pitchFamily="34" charset="0"/>
            </a:rPr>
            <a:t>ANALYSIS OF AVAILABILITY OF RESOURCES </a:t>
          </a:r>
          <a:endParaRPr lang="pl-PL" sz="700" b="0" i="0" dirty="0">
            <a:solidFill>
              <a:srgbClr val="1F497D">
                <a:hueOff val="0"/>
                <a:satOff val="0"/>
                <a:lumOff val="0"/>
                <a:alphaOff val="0"/>
              </a:srgbClr>
            </a:solidFill>
            <a:latin typeface="+mn-lt"/>
            <a:ea typeface="Verdana" pitchFamily="34" charset="0"/>
            <a:cs typeface="Times New Roman" panose="02020603050405020304" pitchFamily="18" charset="0"/>
          </a:endParaRPr>
        </a:p>
      </dgm:t>
    </dgm:pt>
    <dgm:pt modelId="{0579C3E8-B52D-4DEB-B9E0-BBDB0751AEF3}" type="parTrans" cxnId="{27BC1540-0A82-4F45-86A0-B6B531F5D118}">
      <dgm:prSet custT="1"/>
      <dgm:spPr>
        <a:xfrm rot="13114286">
          <a:off x="2299647" y="1679745"/>
          <a:ext cx="402174" cy="0"/>
        </a:xfrm>
        <a:noFill/>
        <a:ln w="25400" cap="flat" cmpd="sng" algn="ctr">
          <a:solidFill>
            <a:srgbClr val="1F497D">
              <a:shade val="60000"/>
              <a:hueOff val="0"/>
              <a:satOff val="0"/>
              <a:lumOff val="0"/>
              <a:alphaOff val="0"/>
            </a:srgbClr>
          </a:solidFill>
          <a:prstDash val="solid"/>
        </a:ln>
        <a:effectLst/>
      </dgm:spPr>
      <dgm:t>
        <a:bodyPr/>
        <a:lstStyle/>
        <a:p>
          <a:pPr algn="ctr"/>
          <a:endParaRPr lang="pl-PL" sz="700" dirty="0">
            <a:latin typeface="+mn-lt"/>
            <a:cs typeface="Times New Roman" panose="02020603050405020304" pitchFamily="18" charset="0"/>
          </a:endParaRPr>
        </a:p>
      </dgm:t>
    </dgm:pt>
    <dgm:pt modelId="{3A0A662D-BF44-4596-8C96-2ECE5819AEE6}" type="sibTrans" cxnId="{27BC1540-0A82-4F45-86A0-B6B531F5D118}">
      <dgm:prSet/>
      <dgm:spPr/>
      <dgm:t>
        <a:bodyPr/>
        <a:lstStyle/>
        <a:p>
          <a:pPr algn="ctr"/>
          <a:endParaRPr lang="pl-PL" sz="700" dirty="0">
            <a:latin typeface="+mn-lt"/>
            <a:cs typeface="Times New Roman" panose="02020603050405020304" pitchFamily="18" charset="0"/>
          </a:endParaRPr>
        </a:p>
      </dgm:t>
    </dgm:pt>
    <dgm:pt modelId="{E957DD78-7A94-4E79-8D65-05E391F674AE}">
      <dgm:prSet phldrT="[Tekst]" custT="1"/>
      <dgm:spPr>
        <a:xfrm>
          <a:off x="3082794" y="762500"/>
          <a:ext cx="1248635" cy="998908"/>
        </a:xfrm>
      </dgm:spPr>
      <dgm:t>
        <a:bodyPr/>
        <a:lstStyle/>
        <a:p>
          <a:pPr algn="ctr"/>
          <a:endParaRPr lang="pl-PL" sz="700">
            <a:latin typeface="+mn-lt"/>
          </a:endParaRPr>
        </a:p>
      </dgm:t>
    </dgm:pt>
    <dgm:pt modelId="{35DE038F-CE71-45C9-84B4-01C77F8C6C2A}" type="parTrans" cxnId="{1FF3EC63-0EBF-48F5-A888-D919E00658DC}">
      <dgm:prSet custT="1"/>
      <dgm:spPr/>
      <dgm:t>
        <a:bodyPr/>
        <a:lstStyle/>
        <a:p>
          <a:pPr algn="ctr"/>
          <a:endParaRPr lang="pl-PL" sz="700" dirty="0">
            <a:latin typeface="+mn-lt"/>
            <a:cs typeface="Times New Roman" panose="02020603050405020304" pitchFamily="18" charset="0"/>
          </a:endParaRPr>
        </a:p>
      </dgm:t>
    </dgm:pt>
    <dgm:pt modelId="{04F47399-361F-48DC-BFCF-533BDDD9FCA2}" type="sibTrans" cxnId="{1FF3EC63-0EBF-48F5-A888-D919E00658DC}">
      <dgm:prSet/>
      <dgm:spPr/>
      <dgm:t>
        <a:bodyPr/>
        <a:lstStyle/>
        <a:p>
          <a:pPr algn="ctr"/>
          <a:endParaRPr lang="pl-PL" sz="700" dirty="0">
            <a:latin typeface="+mn-lt"/>
            <a:cs typeface="Times New Roman" panose="02020603050405020304" pitchFamily="18" charset="0"/>
          </a:endParaRPr>
        </a:p>
      </dgm:t>
    </dgm:pt>
    <dgm:pt modelId="{3FCAC6C9-1EA4-4E88-B04D-6AC8D801E566}" type="pres">
      <dgm:prSet presAssocID="{D99DC4D4-1A55-4C53-8551-6F512AB4F231}" presName="Name0" presStyleCnt="0">
        <dgm:presLayoutVars>
          <dgm:chMax val="1"/>
          <dgm:chPref val="1"/>
          <dgm:dir/>
          <dgm:animOne val="branch"/>
          <dgm:animLvl val="lvl"/>
        </dgm:presLayoutVars>
      </dgm:prSet>
      <dgm:spPr/>
      <dgm:t>
        <a:bodyPr/>
        <a:lstStyle/>
        <a:p>
          <a:endParaRPr lang="pl-PL"/>
        </a:p>
      </dgm:t>
    </dgm:pt>
    <dgm:pt modelId="{5BC5120E-D430-4FE5-A649-3FD0282EF2FE}" type="pres">
      <dgm:prSet presAssocID="{BAB92B79-D78F-4F8D-9C54-C931C0B33F60}" presName="singleCycle" presStyleCnt="0"/>
      <dgm:spPr/>
      <dgm:t>
        <a:bodyPr/>
        <a:lstStyle/>
        <a:p>
          <a:endParaRPr lang="pl-PL"/>
        </a:p>
      </dgm:t>
    </dgm:pt>
    <dgm:pt modelId="{7BCF828F-CB6A-4FB8-A11E-BF55079E4A8C}" type="pres">
      <dgm:prSet presAssocID="{BAB92B79-D78F-4F8D-9C54-C931C0B33F60}" presName="singleCenter" presStyleLbl="node1" presStyleIdx="0" presStyleCnt="8">
        <dgm:presLayoutVars>
          <dgm:chMax val="7"/>
          <dgm:chPref val="7"/>
        </dgm:presLayoutVars>
      </dgm:prSet>
      <dgm:spPr>
        <a:prstGeom prst="roundRect">
          <a:avLst/>
        </a:prstGeom>
      </dgm:spPr>
      <dgm:t>
        <a:bodyPr/>
        <a:lstStyle/>
        <a:p>
          <a:endParaRPr lang="pl-PL"/>
        </a:p>
      </dgm:t>
    </dgm:pt>
    <dgm:pt modelId="{0D11D759-4519-49D3-9444-56FA83B1EDC3}" type="pres">
      <dgm:prSet presAssocID="{4F71B3B3-0D8F-4C4D-B7AC-66D9DB23B962}" presName="Name56" presStyleLbl="parChTrans1D2" presStyleIdx="0" presStyleCnt="7"/>
      <dgm:spPr>
        <a:custGeom>
          <a:avLst/>
          <a:gdLst/>
          <a:ahLst/>
          <a:cxnLst/>
          <a:rect l="0" t="0" r="0" b="0"/>
          <a:pathLst>
            <a:path>
              <a:moveTo>
                <a:pt x="0" y="0"/>
              </a:moveTo>
              <a:lnTo>
                <a:pt x="653297" y="0"/>
              </a:lnTo>
            </a:path>
          </a:pathLst>
        </a:custGeom>
      </dgm:spPr>
      <dgm:t>
        <a:bodyPr/>
        <a:lstStyle/>
        <a:p>
          <a:endParaRPr lang="pl-PL"/>
        </a:p>
      </dgm:t>
    </dgm:pt>
    <dgm:pt modelId="{32C4B1EB-D7CF-4657-B16C-5B08A1180E8A}" type="pres">
      <dgm:prSet presAssocID="{91E4B8B2-DB2B-4FAF-92B9-3FAC4F9A4856}" presName="text0" presStyleLbl="node1" presStyleIdx="1" presStyleCnt="8">
        <dgm:presLayoutVars>
          <dgm:bulletEnabled val="1"/>
        </dgm:presLayoutVars>
      </dgm:prSet>
      <dgm:spPr>
        <a:prstGeom prst="roundRect">
          <a:avLst/>
        </a:prstGeom>
      </dgm:spPr>
      <dgm:t>
        <a:bodyPr/>
        <a:lstStyle/>
        <a:p>
          <a:endParaRPr lang="pl-PL"/>
        </a:p>
      </dgm:t>
    </dgm:pt>
    <dgm:pt modelId="{31CD69B9-357A-4E4F-B2F2-9926419774D3}" type="pres">
      <dgm:prSet presAssocID="{951D208B-E8C1-4E0F-97A7-18E48A05947D}" presName="Name56" presStyleLbl="parChTrans1D2" presStyleIdx="1" presStyleCnt="7"/>
      <dgm:spPr>
        <a:custGeom>
          <a:avLst/>
          <a:gdLst/>
          <a:ahLst/>
          <a:cxnLst/>
          <a:rect l="0" t="0" r="0" b="0"/>
          <a:pathLst>
            <a:path>
              <a:moveTo>
                <a:pt x="0" y="0"/>
              </a:moveTo>
              <a:lnTo>
                <a:pt x="366390" y="0"/>
              </a:lnTo>
            </a:path>
          </a:pathLst>
        </a:custGeom>
      </dgm:spPr>
      <dgm:t>
        <a:bodyPr/>
        <a:lstStyle/>
        <a:p>
          <a:endParaRPr lang="pl-PL"/>
        </a:p>
      </dgm:t>
    </dgm:pt>
    <dgm:pt modelId="{A2FA2D6E-BE0C-421F-8AB5-8A80E22A0410}" type="pres">
      <dgm:prSet presAssocID="{46E15FD6-9E5E-4C31-A58A-661BFBC151CE}" presName="text0" presStyleLbl="node1" presStyleIdx="2" presStyleCnt="8">
        <dgm:presLayoutVars>
          <dgm:bulletEnabled val="1"/>
        </dgm:presLayoutVars>
      </dgm:prSet>
      <dgm:spPr>
        <a:prstGeom prst="roundRect">
          <a:avLst/>
        </a:prstGeom>
      </dgm:spPr>
      <dgm:t>
        <a:bodyPr/>
        <a:lstStyle/>
        <a:p>
          <a:endParaRPr lang="pl-PL"/>
        </a:p>
      </dgm:t>
    </dgm:pt>
    <dgm:pt modelId="{AC19D3D4-3575-49C9-B50E-0C6A742550AF}" type="pres">
      <dgm:prSet presAssocID="{8F15292D-58C1-49A6-91DB-C2EB04D91429}" presName="Name56" presStyleLbl="parChTrans1D2" presStyleIdx="2" presStyleCnt="7"/>
      <dgm:spPr>
        <a:custGeom>
          <a:avLst/>
          <a:gdLst/>
          <a:ahLst/>
          <a:cxnLst/>
          <a:rect l="0" t="0" r="0" b="0"/>
          <a:pathLst>
            <a:path>
              <a:moveTo>
                <a:pt x="0" y="0"/>
              </a:moveTo>
              <a:lnTo>
                <a:pt x="626856" y="0"/>
              </a:lnTo>
            </a:path>
          </a:pathLst>
        </a:custGeom>
      </dgm:spPr>
      <dgm:t>
        <a:bodyPr/>
        <a:lstStyle/>
        <a:p>
          <a:endParaRPr lang="pl-PL"/>
        </a:p>
      </dgm:t>
    </dgm:pt>
    <dgm:pt modelId="{6603F08E-FC54-4624-8090-D284CEFFCC8B}" type="pres">
      <dgm:prSet presAssocID="{2ED9E288-5540-436A-AD63-186A76BDB018}" presName="text0" presStyleLbl="node1" presStyleIdx="3" presStyleCnt="8">
        <dgm:presLayoutVars>
          <dgm:bulletEnabled val="1"/>
        </dgm:presLayoutVars>
      </dgm:prSet>
      <dgm:spPr>
        <a:prstGeom prst="roundRect">
          <a:avLst/>
        </a:prstGeom>
      </dgm:spPr>
      <dgm:t>
        <a:bodyPr/>
        <a:lstStyle/>
        <a:p>
          <a:endParaRPr lang="pl-PL"/>
        </a:p>
      </dgm:t>
    </dgm:pt>
    <dgm:pt modelId="{7C82C2B8-E3A9-40AD-A53B-A496F9B94999}" type="pres">
      <dgm:prSet presAssocID="{055B2A1C-D1C7-4843-9CBA-054F8AE1EAAC}" presName="Name56" presStyleLbl="parChTrans1D2" presStyleIdx="3" presStyleCnt="7"/>
      <dgm:spPr>
        <a:custGeom>
          <a:avLst/>
          <a:gdLst/>
          <a:ahLst/>
          <a:cxnLst/>
          <a:rect l="0" t="0" r="0" b="0"/>
          <a:pathLst>
            <a:path>
              <a:moveTo>
                <a:pt x="0" y="0"/>
              </a:moveTo>
              <a:lnTo>
                <a:pt x="540285" y="0"/>
              </a:lnTo>
            </a:path>
          </a:pathLst>
        </a:custGeom>
      </dgm:spPr>
      <dgm:t>
        <a:bodyPr/>
        <a:lstStyle/>
        <a:p>
          <a:endParaRPr lang="pl-PL"/>
        </a:p>
      </dgm:t>
    </dgm:pt>
    <dgm:pt modelId="{1FF9E0F1-216B-4AD3-AD4D-B64D27813C14}" type="pres">
      <dgm:prSet presAssocID="{59E9A0E1-29BD-4DBB-9A24-BEB60844F2F6}" presName="text0" presStyleLbl="node1" presStyleIdx="4" presStyleCnt="8">
        <dgm:presLayoutVars>
          <dgm:bulletEnabled val="1"/>
        </dgm:presLayoutVars>
      </dgm:prSet>
      <dgm:spPr>
        <a:prstGeom prst="roundRect">
          <a:avLst/>
        </a:prstGeom>
      </dgm:spPr>
      <dgm:t>
        <a:bodyPr/>
        <a:lstStyle/>
        <a:p>
          <a:endParaRPr lang="pl-PL"/>
        </a:p>
      </dgm:t>
    </dgm:pt>
    <dgm:pt modelId="{023EB8B6-BBF9-4EAE-8F6C-1C046555C973}" type="pres">
      <dgm:prSet presAssocID="{D09A2B57-2AF4-412F-894A-44FE5033F816}" presName="Name56" presStyleLbl="parChTrans1D2" presStyleIdx="4" presStyleCnt="7"/>
      <dgm:spPr>
        <a:custGeom>
          <a:avLst/>
          <a:gdLst/>
          <a:ahLst/>
          <a:cxnLst/>
          <a:rect l="0" t="0" r="0" b="0"/>
          <a:pathLst>
            <a:path>
              <a:moveTo>
                <a:pt x="0" y="0"/>
              </a:moveTo>
              <a:lnTo>
                <a:pt x="540285" y="0"/>
              </a:lnTo>
            </a:path>
          </a:pathLst>
        </a:custGeom>
      </dgm:spPr>
      <dgm:t>
        <a:bodyPr/>
        <a:lstStyle/>
        <a:p>
          <a:endParaRPr lang="pl-PL"/>
        </a:p>
      </dgm:t>
    </dgm:pt>
    <dgm:pt modelId="{F9E65264-7EE5-4D27-B441-5B9EEEAEE0B4}" type="pres">
      <dgm:prSet presAssocID="{1CB79A0E-F62E-456F-BF4D-76BBFAA5BC03}" presName="text0" presStyleLbl="node1" presStyleIdx="5" presStyleCnt="8" custScaleX="100028" custScaleY="100028">
        <dgm:presLayoutVars>
          <dgm:bulletEnabled val="1"/>
        </dgm:presLayoutVars>
      </dgm:prSet>
      <dgm:spPr>
        <a:prstGeom prst="roundRect">
          <a:avLst/>
        </a:prstGeom>
      </dgm:spPr>
      <dgm:t>
        <a:bodyPr/>
        <a:lstStyle/>
        <a:p>
          <a:endParaRPr lang="pl-PL"/>
        </a:p>
      </dgm:t>
    </dgm:pt>
    <dgm:pt modelId="{4E458053-0A22-4A1A-B3AA-27F2B8E07454}" type="pres">
      <dgm:prSet presAssocID="{37CC343F-B45D-4AA7-8AB5-AA05142759DC}" presName="Name56" presStyleLbl="parChTrans1D2" presStyleIdx="5" presStyleCnt="7"/>
      <dgm:spPr>
        <a:custGeom>
          <a:avLst/>
          <a:gdLst/>
          <a:ahLst/>
          <a:cxnLst/>
          <a:rect l="0" t="0" r="0" b="0"/>
          <a:pathLst>
            <a:path>
              <a:moveTo>
                <a:pt x="0" y="0"/>
              </a:moveTo>
              <a:lnTo>
                <a:pt x="626856" y="0"/>
              </a:lnTo>
            </a:path>
          </a:pathLst>
        </a:custGeom>
      </dgm:spPr>
      <dgm:t>
        <a:bodyPr/>
        <a:lstStyle/>
        <a:p>
          <a:endParaRPr lang="pl-PL"/>
        </a:p>
      </dgm:t>
    </dgm:pt>
    <dgm:pt modelId="{E3369814-1878-4201-A22C-F6F344B8E7A1}" type="pres">
      <dgm:prSet presAssocID="{9DF0C584-695A-4058-8EBC-DF9CB8225B39}" presName="text0" presStyleLbl="node1" presStyleIdx="6" presStyleCnt="8">
        <dgm:presLayoutVars>
          <dgm:bulletEnabled val="1"/>
        </dgm:presLayoutVars>
      </dgm:prSet>
      <dgm:spPr>
        <a:prstGeom prst="roundRect">
          <a:avLst/>
        </a:prstGeom>
      </dgm:spPr>
      <dgm:t>
        <a:bodyPr/>
        <a:lstStyle/>
        <a:p>
          <a:endParaRPr lang="pl-PL"/>
        </a:p>
      </dgm:t>
    </dgm:pt>
    <dgm:pt modelId="{B0302452-4D5C-477D-B487-039AA211C8B9}" type="pres">
      <dgm:prSet presAssocID="{0579C3E8-B52D-4DEB-B9E0-BBDB0751AEF3}" presName="Name56" presStyleLbl="parChTrans1D2" presStyleIdx="6" presStyleCnt="7"/>
      <dgm:spPr>
        <a:custGeom>
          <a:avLst/>
          <a:gdLst/>
          <a:ahLst/>
          <a:cxnLst/>
          <a:rect l="0" t="0" r="0" b="0"/>
          <a:pathLst>
            <a:path>
              <a:moveTo>
                <a:pt x="0" y="0"/>
              </a:moveTo>
              <a:lnTo>
                <a:pt x="366390" y="0"/>
              </a:lnTo>
            </a:path>
          </a:pathLst>
        </a:custGeom>
      </dgm:spPr>
      <dgm:t>
        <a:bodyPr/>
        <a:lstStyle/>
        <a:p>
          <a:endParaRPr lang="pl-PL"/>
        </a:p>
      </dgm:t>
    </dgm:pt>
    <dgm:pt modelId="{C6F0EC2D-EC99-47BC-A2F2-E265EE531C42}" type="pres">
      <dgm:prSet presAssocID="{2D496F48-DB03-45D1-B91C-8B61415AD20F}" presName="text0" presStyleLbl="node1" presStyleIdx="7" presStyleCnt="8">
        <dgm:presLayoutVars>
          <dgm:bulletEnabled val="1"/>
        </dgm:presLayoutVars>
      </dgm:prSet>
      <dgm:spPr>
        <a:prstGeom prst="roundRect">
          <a:avLst/>
        </a:prstGeom>
      </dgm:spPr>
      <dgm:t>
        <a:bodyPr/>
        <a:lstStyle/>
        <a:p>
          <a:endParaRPr lang="pl-PL"/>
        </a:p>
      </dgm:t>
    </dgm:pt>
  </dgm:ptLst>
  <dgm:cxnLst>
    <dgm:cxn modelId="{6DEE6020-8094-4D11-9011-DDAB06A5BEA7}" type="presOf" srcId="{46E15FD6-9E5E-4C31-A58A-661BFBC151CE}" destId="{A2FA2D6E-BE0C-421F-8AB5-8A80E22A0410}" srcOrd="0" destOrd="0" presId="urn:microsoft.com/office/officeart/2008/layout/RadialCluster"/>
    <dgm:cxn modelId="{1FF3EC63-0EBF-48F5-A888-D919E00658DC}" srcId="{BAB92B79-D78F-4F8D-9C54-C931C0B33F60}" destId="{E957DD78-7A94-4E79-8D65-05E391F674AE}" srcOrd="7" destOrd="0" parTransId="{35DE038F-CE71-45C9-84B4-01C77F8C6C2A}" sibTransId="{04F47399-361F-48DC-BFCF-533BDDD9FCA2}"/>
    <dgm:cxn modelId="{57837648-A4E9-4B37-89EA-4829725D7536}" type="presOf" srcId="{D99DC4D4-1A55-4C53-8551-6F512AB4F231}" destId="{3FCAC6C9-1EA4-4E88-B04D-6AC8D801E566}" srcOrd="0" destOrd="0" presId="urn:microsoft.com/office/officeart/2008/layout/RadialCluster"/>
    <dgm:cxn modelId="{B72B31C4-5080-4BAA-AA8B-3266D1007C84}" type="presOf" srcId="{8F15292D-58C1-49A6-91DB-C2EB04D91429}" destId="{AC19D3D4-3575-49C9-B50E-0C6A742550AF}" srcOrd="0" destOrd="0" presId="urn:microsoft.com/office/officeart/2008/layout/RadialCluster"/>
    <dgm:cxn modelId="{FADB0AD1-094D-4BAA-8679-F6FFA70C90F4}" type="presOf" srcId="{D09A2B57-2AF4-412F-894A-44FE5033F816}" destId="{023EB8B6-BBF9-4EAE-8F6C-1C046555C973}" srcOrd="0" destOrd="0" presId="urn:microsoft.com/office/officeart/2008/layout/RadialCluster"/>
    <dgm:cxn modelId="{6D0710C7-D66A-4A32-ABB0-22F9689500B3}" type="presOf" srcId="{37CC343F-B45D-4AA7-8AB5-AA05142759DC}" destId="{4E458053-0A22-4A1A-B3AA-27F2B8E07454}" srcOrd="0" destOrd="0" presId="urn:microsoft.com/office/officeart/2008/layout/RadialCluster"/>
    <dgm:cxn modelId="{1C3F06D4-47EF-4D31-ABF7-DD1CBBB1B65E}" type="presOf" srcId="{9DF0C584-695A-4058-8EBC-DF9CB8225B39}" destId="{E3369814-1878-4201-A22C-F6F344B8E7A1}" srcOrd="0" destOrd="0" presId="urn:microsoft.com/office/officeart/2008/layout/RadialCluster"/>
    <dgm:cxn modelId="{10376629-6E2A-4884-8A21-31D3EA517D48}" srcId="{BAB92B79-D78F-4F8D-9C54-C931C0B33F60}" destId="{46E15FD6-9E5E-4C31-A58A-661BFBC151CE}" srcOrd="1" destOrd="0" parTransId="{951D208B-E8C1-4E0F-97A7-18E48A05947D}" sibTransId="{7A4DBC7C-C78E-4D57-B288-2ECC055AE25D}"/>
    <dgm:cxn modelId="{41F90FD7-227C-4A1F-ADE8-837EBCB4598B}" srcId="{BAB92B79-D78F-4F8D-9C54-C931C0B33F60}" destId="{2ED9E288-5540-436A-AD63-186A76BDB018}" srcOrd="2" destOrd="0" parTransId="{8F15292D-58C1-49A6-91DB-C2EB04D91429}" sibTransId="{4AB171EF-59C6-407A-84E5-A6C06EFF6F63}"/>
    <dgm:cxn modelId="{85E8E07F-6F2B-4696-956F-6C904DEFDBE0}" type="presOf" srcId="{BAB92B79-D78F-4F8D-9C54-C931C0B33F60}" destId="{7BCF828F-CB6A-4FB8-A11E-BF55079E4A8C}" srcOrd="0" destOrd="0" presId="urn:microsoft.com/office/officeart/2008/layout/RadialCluster"/>
    <dgm:cxn modelId="{FF146824-53E9-4388-B555-820E26699AE2}" srcId="{D99DC4D4-1A55-4C53-8551-6F512AB4F231}" destId="{BAB92B79-D78F-4F8D-9C54-C931C0B33F60}" srcOrd="0" destOrd="0" parTransId="{540B004D-FA50-48AC-94C6-1AEBE4F4AF6F}" sibTransId="{7FB2D896-F0ED-45C6-8854-C1047E15DF85}"/>
    <dgm:cxn modelId="{79AE7662-8F04-499D-952F-623295ADD5B9}" type="presOf" srcId="{951D208B-E8C1-4E0F-97A7-18E48A05947D}" destId="{31CD69B9-357A-4E4F-B2F2-9926419774D3}" srcOrd="0" destOrd="0" presId="urn:microsoft.com/office/officeart/2008/layout/RadialCluster"/>
    <dgm:cxn modelId="{55837DAA-E701-4EBE-958F-1729FFB295ED}" srcId="{BAB92B79-D78F-4F8D-9C54-C931C0B33F60}" destId="{59E9A0E1-29BD-4DBB-9A24-BEB60844F2F6}" srcOrd="3" destOrd="0" parTransId="{055B2A1C-D1C7-4843-9CBA-054F8AE1EAAC}" sibTransId="{C4F7173F-1908-4F16-85D1-030003BA3A1B}"/>
    <dgm:cxn modelId="{FF92D48E-DA69-46B2-B216-B766789CD873}" type="presOf" srcId="{4F71B3B3-0D8F-4C4D-B7AC-66D9DB23B962}" destId="{0D11D759-4519-49D3-9444-56FA83B1EDC3}" srcOrd="0" destOrd="0" presId="urn:microsoft.com/office/officeart/2008/layout/RadialCluster"/>
    <dgm:cxn modelId="{30B40683-194F-4F92-8705-245BC1835B46}" type="presOf" srcId="{0579C3E8-B52D-4DEB-B9E0-BBDB0751AEF3}" destId="{B0302452-4D5C-477D-B487-039AA211C8B9}" srcOrd="0" destOrd="0" presId="urn:microsoft.com/office/officeart/2008/layout/RadialCluster"/>
    <dgm:cxn modelId="{24D1E518-D3C6-4373-A9D9-7C8FE11872F1}" srcId="{BAB92B79-D78F-4F8D-9C54-C931C0B33F60}" destId="{9DF0C584-695A-4058-8EBC-DF9CB8225B39}" srcOrd="5" destOrd="0" parTransId="{37CC343F-B45D-4AA7-8AB5-AA05142759DC}" sibTransId="{D1521D33-5CBF-4582-A473-D6D15DB331BC}"/>
    <dgm:cxn modelId="{26B6F12D-B7A7-4A9E-8F3F-5D9904201591}" type="presOf" srcId="{2D496F48-DB03-45D1-B91C-8B61415AD20F}" destId="{C6F0EC2D-EC99-47BC-A2F2-E265EE531C42}" srcOrd="0" destOrd="0" presId="urn:microsoft.com/office/officeart/2008/layout/RadialCluster"/>
    <dgm:cxn modelId="{27BC1540-0A82-4F45-86A0-B6B531F5D118}" srcId="{BAB92B79-D78F-4F8D-9C54-C931C0B33F60}" destId="{2D496F48-DB03-45D1-B91C-8B61415AD20F}" srcOrd="6" destOrd="0" parTransId="{0579C3E8-B52D-4DEB-B9E0-BBDB0751AEF3}" sibTransId="{3A0A662D-BF44-4596-8C96-2ECE5819AEE6}"/>
    <dgm:cxn modelId="{93DFE704-E8B3-468C-A93A-2DCBB6C14E9F}" type="presOf" srcId="{1CB79A0E-F62E-456F-BF4D-76BBFAA5BC03}" destId="{F9E65264-7EE5-4D27-B441-5B9EEEAEE0B4}" srcOrd="0" destOrd="0" presId="urn:microsoft.com/office/officeart/2008/layout/RadialCluster"/>
    <dgm:cxn modelId="{26BAE60B-17AD-4ED6-B780-1C9DBA86BB60}" type="presOf" srcId="{2ED9E288-5540-436A-AD63-186A76BDB018}" destId="{6603F08E-FC54-4624-8090-D284CEFFCC8B}" srcOrd="0" destOrd="0" presId="urn:microsoft.com/office/officeart/2008/layout/RadialCluster"/>
    <dgm:cxn modelId="{14BFCD63-B5D8-47D7-BE7F-9F176551FB84}" type="presOf" srcId="{055B2A1C-D1C7-4843-9CBA-054F8AE1EAAC}" destId="{7C82C2B8-E3A9-40AD-A53B-A496F9B94999}" srcOrd="0" destOrd="0" presId="urn:microsoft.com/office/officeart/2008/layout/RadialCluster"/>
    <dgm:cxn modelId="{2E6BC397-33A9-441A-89BD-F0D470C4E540}" type="presOf" srcId="{59E9A0E1-29BD-4DBB-9A24-BEB60844F2F6}" destId="{1FF9E0F1-216B-4AD3-AD4D-B64D27813C14}" srcOrd="0" destOrd="0" presId="urn:microsoft.com/office/officeart/2008/layout/RadialCluster"/>
    <dgm:cxn modelId="{C6D05C46-FFF2-497D-9952-2C4DD8E522CE}" srcId="{BAB92B79-D78F-4F8D-9C54-C931C0B33F60}" destId="{91E4B8B2-DB2B-4FAF-92B9-3FAC4F9A4856}" srcOrd="0" destOrd="0" parTransId="{4F71B3B3-0D8F-4C4D-B7AC-66D9DB23B962}" sibTransId="{5612FAFD-D042-42F8-8C0F-A8967028FB9C}"/>
    <dgm:cxn modelId="{564823A5-81A7-4CD2-90C7-A47E0D61F0E2}" srcId="{BAB92B79-D78F-4F8D-9C54-C931C0B33F60}" destId="{1CB79A0E-F62E-456F-BF4D-76BBFAA5BC03}" srcOrd="4" destOrd="0" parTransId="{D09A2B57-2AF4-412F-894A-44FE5033F816}" sibTransId="{4226476E-652D-4E8B-B8F9-8DE7192915E8}"/>
    <dgm:cxn modelId="{812969D8-4718-47C8-9EE4-B424A71AC537}" type="presOf" srcId="{91E4B8B2-DB2B-4FAF-92B9-3FAC4F9A4856}" destId="{32C4B1EB-D7CF-4657-B16C-5B08A1180E8A}" srcOrd="0" destOrd="0" presId="urn:microsoft.com/office/officeart/2008/layout/RadialCluster"/>
    <dgm:cxn modelId="{2A85F0AC-8AF1-44AD-B0BC-22821A53CC54}" type="presParOf" srcId="{3FCAC6C9-1EA4-4E88-B04D-6AC8D801E566}" destId="{5BC5120E-D430-4FE5-A649-3FD0282EF2FE}" srcOrd="0" destOrd="0" presId="urn:microsoft.com/office/officeart/2008/layout/RadialCluster"/>
    <dgm:cxn modelId="{F6368FB7-7E6B-46C4-8539-3453BF751560}" type="presParOf" srcId="{5BC5120E-D430-4FE5-A649-3FD0282EF2FE}" destId="{7BCF828F-CB6A-4FB8-A11E-BF55079E4A8C}" srcOrd="0" destOrd="0" presId="urn:microsoft.com/office/officeart/2008/layout/RadialCluster"/>
    <dgm:cxn modelId="{718BFB34-6F27-47F1-B992-5B96F562B8D9}" type="presParOf" srcId="{5BC5120E-D430-4FE5-A649-3FD0282EF2FE}" destId="{0D11D759-4519-49D3-9444-56FA83B1EDC3}" srcOrd="1" destOrd="0" presId="urn:microsoft.com/office/officeart/2008/layout/RadialCluster"/>
    <dgm:cxn modelId="{5E43FFB2-952C-4F9C-8AD5-FE427E3A2744}" type="presParOf" srcId="{5BC5120E-D430-4FE5-A649-3FD0282EF2FE}" destId="{32C4B1EB-D7CF-4657-B16C-5B08A1180E8A}" srcOrd="2" destOrd="0" presId="urn:microsoft.com/office/officeart/2008/layout/RadialCluster"/>
    <dgm:cxn modelId="{5A3137E4-2C13-4D52-8809-4421E4F5C87F}" type="presParOf" srcId="{5BC5120E-D430-4FE5-A649-3FD0282EF2FE}" destId="{31CD69B9-357A-4E4F-B2F2-9926419774D3}" srcOrd="3" destOrd="0" presId="urn:microsoft.com/office/officeart/2008/layout/RadialCluster"/>
    <dgm:cxn modelId="{4EF660D4-B871-40E0-A133-D6E992CC6A50}" type="presParOf" srcId="{5BC5120E-D430-4FE5-A649-3FD0282EF2FE}" destId="{A2FA2D6E-BE0C-421F-8AB5-8A80E22A0410}" srcOrd="4" destOrd="0" presId="urn:microsoft.com/office/officeart/2008/layout/RadialCluster"/>
    <dgm:cxn modelId="{3F2F6976-21A5-4067-BC01-8E5F887770ED}" type="presParOf" srcId="{5BC5120E-D430-4FE5-A649-3FD0282EF2FE}" destId="{AC19D3D4-3575-49C9-B50E-0C6A742550AF}" srcOrd="5" destOrd="0" presId="urn:microsoft.com/office/officeart/2008/layout/RadialCluster"/>
    <dgm:cxn modelId="{120504A7-5F96-42AE-8756-02F4513BC66D}" type="presParOf" srcId="{5BC5120E-D430-4FE5-A649-3FD0282EF2FE}" destId="{6603F08E-FC54-4624-8090-D284CEFFCC8B}" srcOrd="6" destOrd="0" presId="urn:microsoft.com/office/officeart/2008/layout/RadialCluster"/>
    <dgm:cxn modelId="{BDD4AF8A-F11C-4B70-BEFB-DB7A7A18D802}" type="presParOf" srcId="{5BC5120E-D430-4FE5-A649-3FD0282EF2FE}" destId="{7C82C2B8-E3A9-40AD-A53B-A496F9B94999}" srcOrd="7" destOrd="0" presId="urn:microsoft.com/office/officeart/2008/layout/RadialCluster"/>
    <dgm:cxn modelId="{2A302241-291F-4BC9-AD99-D6ED015429BF}" type="presParOf" srcId="{5BC5120E-D430-4FE5-A649-3FD0282EF2FE}" destId="{1FF9E0F1-216B-4AD3-AD4D-B64D27813C14}" srcOrd="8" destOrd="0" presId="urn:microsoft.com/office/officeart/2008/layout/RadialCluster"/>
    <dgm:cxn modelId="{4EDC20D0-8AE5-4F34-B12C-662EDA6FD2C9}" type="presParOf" srcId="{5BC5120E-D430-4FE5-A649-3FD0282EF2FE}" destId="{023EB8B6-BBF9-4EAE-8F6C-1C046555C973}" srcOrd="9" destOrd="0" presId="urn:microsoft.com/office/officeart/2008/layout/RadialCluster"/>
    <dgm:cxn modelId="{545DCC7F-A7FA-4A96-B900-D93BF1303FA8}" type="presParOf" srcId="{5BC5120E-D430-4FE5-A649-3FD0282EF2FE}" destId="{F9E65264-7EE5-4D27-B441-5B9EEEAEE0B4}" srcOrd="10" destOrd="0" presId="urn:microsoft.com/office/officeart/2008/layout/RadialCluster"/>
    <dgm:cxn modelId="{0A183A4F-5D76-46B6-83E5-707926148AFF}" type="presParOf" srcId="{5BC5120E-D430-4FE5-A649-3FD0282EF2FE}" destId="{4E458053-0A22-4A1A-B3AA-27F2B8E07454}" srcOrd="11" destOrd="0" presId="urn:microsoft.com/office/officeart/2008/layout/RadialCluster"/>
    <dgm:cxn modelId="{F8F29C17-DD04-45CC-BCF3-8B7A513EC3F4}" type="presParOf" srcId="{5BC5120E-D430-4FE5-A649-3FD0282EF2FE}" destId="{E3369814-1878-4201-A22C-F6F344B8E7A1}" srcOrd="12" destOrd="0" presId="urn:microsoft.com/office/officeart/2008/layout/RadialCluster"/>
    <dgm:cxn modelId="{DA076D6B-186A-4324-9322-5B0D0809326E}" type="presParOf" srcId="{5BC5120E-D430-4FE5-A649-3FD0282EF2FE}" destId="{B0302452-4D5C-477D-B487-039AA211C8B9}" srcOrd="13" destOrd="0" presId="urn:microsoft.com/office/officeart/2008/layout/RadialCluster"/>
    <dgm:cxn modelId="{A6BA63CD-1A9D-4D32-B493-EB71A52B4A9F}" type="presParOf" srcId="{5BC5120E-D430-4FE5-A649-3FD0282EF2FE}" destId="{C6F0EC2D-EC99-47BC-A2F2-E265EE531C42}" srcOrd="14" destOrd="0" presId="urn:microsoft.com/office/officeart/2008/layout/RadialCluster"/>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CF828F-CB6A-4FB8-A11E-BF55079E4A8C}">
      <dsp:nvSpPr>
        <dsp:cNvPr id="0" name=""/>
        <dsp:cNvSpPr/>
      </dsp:nvSpPr>
      <dsp:spPr>
        <a:xfrm>
          <a:off x="2373119" y="1375630"/>
          <a:ext cx="1114560" cy="1114560"/>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1" kern="1200" dirty="0" smtClean="0">
              <a:solidFill>
                <a:srgbClr val="1F497D">
                  <a:hueOff val="0"/>
                  <a:satOff val="0"/>
                  <a:lumOff val="0"/>
                  <a:alphaOff val="0"/>
                </a:srgbClr>
              </a:solidFill>
              <a:latin typeface="+mn-lt"/>
              <a:ea typeface="Verdana" pitchFamily="34" charset="0"/>
            </a:rPr>
            <a:t>PLAN FOR SUPERVISORY ACTIVITIES OF THE PRESIDENT OF THE UTK</a:t>
          </a:r>
        </a:p>
      </dsp:txBody>
      <dsp:txXfrm>
        <a:off x="2427527" y="1430038"/>
        <a:ext cx="1005744" cy="1005744"/>
      </dsp:txXfrm>
    </dsp:sp>
    <dsp:sp modelId="{0D11D759-4519-49D3-9444-56FA83B1EDC3}">
      <dsp:nvSpPr>
        <dsp:cNvPr id="0" name=""/>
        <dsp:cNvSpPr/>
      </dsp:nvSpPr>
      <dsp:spPr>
        <a:xfrm rot="16200000">
          <a:off x="2634729" y="1079959"/>
          <a:ext cx="591340" cy="0"/>
        </a:xfrm>
        <a:custGeom>
          <a:avLst/>
          <a:gdLst/>
          <a:ahLst/>
          <a:cxnLst/>
          <a:rect l="0" t="0" r="0" b="0"/>
          <a:pathLst>
            <a:path>
              <a:moveTo>
                <a:pt x="0" y="0"/>
              </a:moveTo>
              <a:lnTo>
                <a:pt x="653297"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C4B1EB-D7CF-4657-B16C-5B08A1180E8A}">
      <dsp:nvSpPr>
        <dsp:cNvPr id="0" name=""/>
        <dsp:cNvSpPr/>
      </dsp:nvSpPr>
      <dsp:spPr>
        <a:xfrm>
          <a:off x="2557022" y="37534"/>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REGISTER OF RISK PARAMETERS FOR ENTITIES</a:t>
          </a:r>
        </a:p>
      </dsp:txBody>
      <dsp:txXfrm>
        <a:off x="2593476" y="73988"/>
        <a:ext cx="673847" cy="673847"/>
      </dsp:txXfrm>
    </dsp:sp>
    <dsp:sp modelId="{31CD69B9-357A-4E4F-B2F2-9926419774D3}">
      <dsp:nvSpPr>
        <dsp:cNvPr id="0" name=""/>
        <dsp:cNvSpPr/>
      </dsp:nvSpPr>
      <dsp:spPr>
        <a:xfrm rot="19285714">
          <a:off x="3451503" y="1385106"/>
          <a:ext cx="331642" cy="0"/>
        </a:xfrm>
        <a:custGeom>
          <a:avLst/>
          <a:gdLst/>
          <a:ahLst/>
          <a:cxnLst/>
          <a:rect l="0" t="0" r="0" b="0"/>
          <a:pathLst>
            <a:path>
              <a:moveTo>
                <a:pt x="0" y="0"/>
              </a:moveTo>
              <a:lnTo>
                <a:pt x="366390"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FA2D6E-BE0C-421F-8AB5-8A80E22A0410}">
      <dsp:nvSpPr>
        <dsp:cNvPr id="0" name=""/>
        <dsp:cNvSpPr/>
      </dsp:nvSpPr>
      <dsp:spPr>
        <a:xfrm>
          <a:off x="3746968" y="610582"/>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ANALYSIS OF RAIL OCCURRENCES</a:t>
          </a:r>
        </a:p>
      </dsp:txBody>
      <dsp:txXfrm>
        <a:off x="3783422" y="647036"/>
        <a:ext cx="673847" cy="673847"/>
      </dsp:txXfrm>
    </dsp:sp>
    <dsp:sp modelId="{AC19D3D4-3575-49C9-B50E-0C6A742550AF}">
      <dsp:nvSpPr>
        <dsp:cNvPr id="0" name=""/>
        <dsp:cNvSpPr/>
      </dsp:nvSpPr>
      <dsp:spPr>
        <a:xfrm rot="771429">
          <a:off x="3480566" y="2123235"/>
          <a:ext cx="567407" cy="0"/>
        </a:xfrm>
        <a:custGeom>
          <a:avLst/>
          <a:gdLst/>
          <a:ahLst/>
          <a:cxnLst/>
          <a:rect l="0" t="0" r="0" b="0"/>
          <a:pathLst>
            <a:path>
              <a:moveTo>
                <a:pt x="0" y="0"/>
              </a:moveTo>
              <a:lnTo>
                <a:pt x="626856"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03F08E-FC54-4624-8090-D284CEFFCC8B}">
      <dsp:nvSpPr>
        <dsp:cNvPr id="0" name=""/>
        <dsp:cNvSpPr/>
      </dsp:nvSpPr>
      <dsp:spPr>
        <a:xfrm>
          <a:off x="4040861" y="1898209"/>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REGISTER OF TRAIN DRIVERS – ANALYSIS OF WORKING HOURS AND DECLARATIONS SUBMITTED</a:t>
          </a:r>
          <a:endParaRPr lang="pl-PL" sz="700" b="0" i="0" kern="1200" dirty="0">
            <a:solidFill>
              <a:srgbClr val="1F497D">
                <a:hueOff val="0"/>
                <a:satOff val="0"/>
                <a:lumOff val="0"/>
                <a:alphaOff val="0"/>
              </a:srgbClr>
            </a:solidFill>
            <a:latin typeface="+mn-lt"/>
            <a:ea typeface="Verdana" pitchFamily="34" charset="0"/>
            <a:cs typeface="Times New Roman" panose="02020603050405020304" pitchFamily="18" charset="0"/>
          </a:endParaRPr>
        </a:p>
      </dsp:txBody>
      <dsp:txXfrm>
        <a:off x="4077315" y="1934663"/>
        <a:ext cx="673847" cy="673847"/>
      </dsp:txXfrm>
    </dsp:sp>
    <dsp:sp modelId="{7C82C2B8-E3A9-40AD-A53B-A496F9B94999}">
      <dsp:nvSpPr>
        <dsp:cNvPr id="0" name=""/>
        <dsp:cNvSpPr/>
      </dsp:nvSpPr>
      <dsp:spPr>
        <a:xfrm rot="3857143">
          <a:off x="3060343" y="2710498"/>
          <a:ext cx="489046" cy="0"/>
        </a:xfrm>
        <a:custGeom>
          <a:avLst/>
          <a:gdLst/>
          <a:ahLst/>
          <a:cxnLst/>
          <a:rect l="0" t="0" r="0" b="0"/>
          <a:pathLst>
            <a:path>
              <a:moveTo>
                <a:pt x="0" y="0"/>
              </a:moveTo>
              <a:lnTo>
                <a:pt x="540285"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F9E0F1-216B-4AD3-AD4D-B64D27813C14}">
      <dsp:nvSpPr>
        <dsp:cNvPr id="0" name=""/>
        <dsp:cNvSpPr/>
      </dsp:nvSpPr>
      <dsp:spPr>
        <a:xfrm>
          <a:off x="3217392" y="2930805"/>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PLANNING BASED ON SKILLS AND EXPERIENCE</a:t>
          </a:r>
          <a:endParaRPr lang="pl-PL" sz="700" b="0" i="0" kern="1200" dirty="0">
            <a:solidFill>
              <a:srgbClr val="1F497D">
                <a:hueOff val="0"/>
                <a:satOff val="0"/>
                <a:lumOff val="0"/>
                <a:alphaOff val="0"/>
              </a:srgbClr>
            </a:solidFill>
            <a:latin typeface="+mn-lt"/>
            <a:ea typeface="Verdana" pitchFamily="34" charset="0"/>
            <a:cs typeface="Times New Roman" panose="02020603050405020304" pitchFamily="18" charset="0"/>
          </a:endParaRPr>
        </a:p>
      </dsp:txBody>
      <dsp:txXfrm>
        <a:off x="3253846" y="2967259"/>
        <a:ext cx="673847" cy="673847"/>
      </dsp:txXfrm>
    </dsp:sp>
    <dsp:sp modelId="{023EB8B6-BBF9-4EAE-8F6C-1C046555C973}">
      <dsp:nvSpPr>
        <dsp:cNvPr id="0" name=""/>
        <dsp:cNvSpPr/>
      </dsp:nvSpPr>
      <dsp:spPr>
        <a:xfrm rot="6942857">
          <a:off x="2311493" y="2710445"/>
          <a:ext cx="488930" cy="0"/>
        </a:xfrm>
        <a:custGeom>
          <a:avLst/>
          <a:gdLst/>
          <a:ahLst/>
          <a:cxnLst/>
          <a:rect l="0" t="0" r="0" b="0"/>
          <a:pathLst>
            <a:path>
              <a:moveTo>
                <a:pt x="0" y="0"/>
              </a:moveTo>
              <a:lnTo>
                <a:pt x="540285"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9E65264-7EE5-4D27-B441-5B9EEEAEE0B4}">
      <dsp:nvSpPr>
        <dsp:cNvPr id="0" name=""/>
        <dsp:cNvSpPr/>
      </dsp:nvSpPr>
      <dsp:spPr>
        <a:xfrm>
          <a:off x="1896547" y="2930701"/>
          <a:ext cx="746964" cy="746964"/>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SYSTEMATIC QUANTITATIVE PLANNING</a:t>
          </a:r>
          <a:endParaRPr lang="pl-PL" sz="700" b="0" i="0" kern="1200" dirty="0">
            <a:solidFill>
              <a:srgbClr val="1F497D">
                <a:hueOff val="0"/>
                <a:satOff val="0"/>
                <a:lumOff val="0"/>
                <a:alphaOff val="0"/>
              </a:srgbClr>
            </a:solidFill>
            <a:latin typeface="+mn-lt"/>
            <a:ea typeface="Verdana" pitchFamily="34" charset="0"/>
            <a:cs typeface="Times New Roman" panose="02020603050405020304" pitchFamily="18" charset="0"/>
          </a:endParaRPr>
        </a:p>
      </dsp:txBody>
      <dsp:txXfrm>
        <a:off x="1933011" y="2967165"/>
        <a:ext cx="674036" cy="674036"/>
      </dsp:txXfrm>
    </dsp:sp>
    <dsp:sp modelId="{4E458053-0A22-4A1A-B3AA-27F2B8E07454}">
      <dsp:nvSpPr>
        <dsp:cNvPr id="0" name=""/>
        <dsp:cNvSpPr/>
      </dsp:nvSpPr>
      <dsp:spPr>
        <a:xfrm rot="10028571">
          <a:off x="1812825" y="2123235"/>
          <a:ext cx="567407" cy="0"/>
        </a:xfrm>
        <a:custGeom>
          <a:avLst/>
          <a:gdLst/>
          <a:ahLst/>
          <a:cxnLst/>
          <a:rect l="0" t="0" r="0" b="0"/>
          <a:pathLst>
            <a:path>
              <a:moveTo>
                <a:pt x="0" y="0"/>
              </a:moveTo>
              <a:lnTo>
                <a:pt x="626856"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369814-1878-4201-A22C-F6F344B8E7A1}">
      <dsp:nvSpPr>
        <dsp:cNvPr id="0" name=""/>
        <dsp:cNvSpPr/>
      </dsp:nvSpPr>
      <dsp:spPr>
        <a:xfrm>
          <a:off x="1073183" y="1898209"/>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RESULTS OF SUPERVISORY ACTIVITIES CONDUCTED</a:t>
          </a:r>
          <a:endParaRPr lang="pl-PL" sz="700" b="0" i="0" kern="1200" dirty="0">
            <a:solidFill>
              <a:srgbClr val="1F497D">
                <a:hueOff val="0"/>
                <a:satOff val="0"/>
                <a:lumOff val="0"/>
                <a:alphaOff val="0"/>
              </a:srgbClr>
            </a:solidFill>
            <a:latin typeface="+mn-lt"/>
            <a:ea typeface="Verdana" pitchFamily="34" charset="0"/>
            <a:cs typeface="Times New Roman" panose="02020603050405020304" pitchFamily="18" charset="0"/>
          </a:endParaRPr>
        </a:p>
      </dsp:txBody>
      <dsp:txXfrm>
        <a:off x="1109637" y="1934663"/>
        <a:ext cx="673847" cy="673847"/>
      </dsp:txXfrm>
    </dsp:sp>
    <dsp:sp modelId="{B0302452-4D5C-477D-B487-039AA211C8B9}">
      <dsp:nvSpPr>
        <dsp:cNvPr id="0" name=""/>
        <dsp:cNvSpPr/>
      </dsp:nvSpPr>
      <dsp:spPr>
        <a:xfrm rot="13114286">
          <a:off x="2077654" y="1385106"/>
          <a:ext cx="331642" cy="0"/>
        </a:xfrm>
        <a:custGeom>
          <a:avLst/>
          <a:gdLst/>
          <a:ahLst/>
          <a:cxnLst/>
          <a:rect l="0" t="0" r="0" b="0"/>
          <a:pathLst>
            <a:path>
              <a:moveTo>
                <a:pt x="0" y="0"/>
              </a:moveTo>
              <a:lnTo>
                <a:pt x="366390" y="0"/>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F0EC2D-EC99-47BC-A2F2-E265EE531C42}">
      <dsp:nvSpPr>
        <dsp:cNvPr id="0" name=""/>
        <dsp:cNvSpPr/>
      </dsp:nvSpPr>
      <dsp:spPr>
        <a:xfrm>
          <a:off x="1367076" y="610582"/>
          <a:ext cx="746755" cy="746755"/>
        </a:xfrm>
        <a:prstGeom prst="round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GB" sz="700" b="0" i="0" kern="1200" dirty="0" smtClean="0">
              <a:solidFill>
                <a:srgbClr val="1F497D">
                  <a:hueOff val="0"/>
                  <a:satOff val="0"/>
                  <a:lumOff val="0"/>
                  <a:alphaOff val="0"/>
                </a:srgbClr>
              </a:solidFill>
              <a:latin typeface="+mn-lt"/>
              <a:ea typeface="Verdana" pitchFamily="34" charset="0"/>
            </a:rPr>
            <a:t>ANALYSIS OF AVAILABILITY OF RESOURCES </a:t>
          </a:r>
          <a:endParaRPr lang="pl-PL" sz="700" b="0" i="0" kern="1200" dirty="0">
            <a:solidFill>
              <a:srgbClr val="1F497D">
                <a:hueOff val="0"/>
                <a:satOff val="0"/>
                <a:lumOff val="0"/>
                <a:alphaOff val="0"/>
              </a:srgbClr>
            </a:solidFill>
            <a:latin typeface="+mn-lt"/>
            <a:ea typeface="Verdana" pitchFamily="34" charset="0"/>
            <a:cs typeface="Times New Roman" panose="02020603050405020304" pitchFamily="18" charset="0"/>
          </a:endParaRPr>
        </a:p>
      </dsp:txBody>
      <dsp:txXfrm>
        <a:off x="1403530" y="647036"/>
        <a:ext cx="673847" cy="67384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8D55-5459-4E4F-A89C-C8A1AC3D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19656</Words>
  <Characters>105751</Characters>
  <Application>Microsoft Office Word</Application>
  <DocSecurity>0</DocSecurity>
  <Lines>3021</Lines>
  <Paragraphs>1959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Safety Unit</vt:lpstr>
      <vt:lpstr>Safety Unit</vt:lpstr>
    </vt:vector>
  </TitlesOfParts>
  <Company>Translation Centre</Company>
  <LinksUpToDate>false</LinksUpToDate>
  <CharactersWithSpaces>123448</CharactersWithSpaces>
  <SharedDoc>false</SharedDoc>
  <HLinks>
    <vt:vector size="216" baseType="variant">
      <vt:variant>
        <vt:i4>2687098</vt:i4>
      </vt:variant>
      <vt:variant>
        <vt:i4>212</vt:i4>
      </vt:variant>
      <vt:variant>
        <vt:i4>0</vt:i4>
      </vt:variant>
      <vt:variant>
        <vt:i4>5</vt:i4>
      </vt:variant>
      <vt:variant>
        <vt:lpwstr>RAPORT_20140917.doc</vt:lpwstr>
      </vt:variant>
      <vt:variant>
        <vt:lpwstr>_Toc398721280</vt:lpwstr>
      </vt:variant>
      <vt:variant>
        <vt:i4>2490490</vt:i4>
      </vt:variant>
      <vt:variant>
        <vt:i4>206</vt:i4>
      </vt:variant>
      <vt:variant>
        <vt:i4>0</vt:i4>
      </vt:variant>
      <vt:variant>
        <vt:i4>5</vt:i4>
      </vt:variant>
      <vt:variant>
        <vt:lpwstr>RAPORT_20140917.doc</vt:lpwstr>
      </vt:variant>
      <vt:variant>
        <vt:lpwstr>_Toc398721279</vt:lpwstr>
      </vt:variant>
      <vt:variant>
        <vt:i4>2490490</vt:i4>
      </vt:variant>
      <vt:variant>
        <vt:i4>200</vt:i4>
      </vt:variant>
      <vt:variant>
        <vt:i4>0</vt:i4>
      </vt:variant>
      <vt:variant>
        <vt:i4>5</vt:i4>
      </vt:variant>
      <vt:variant>
        <vt:lpwstr>RAPORT_20140917.doc</vt:lpwstr>
      </vt:variant>
      <vt:variant>
        <vt:lpwstr>_Toc398721278</vt:lpwstr>
      </vt:variant>
      <vt:variant>
        <vt:i4>2490490</vt:i4>
      </vt:variant>
      <vt:variant>
        <vt:i4>194</vt:i4>
      </vt:variant>
      <vt:variant>
        <vt:i4>0</vt:i4>
      </vt:variant>
      <vt:variant>
        <vt:i4>5</vt:i4>
      </vt:variant>
      <vt:variant>
        <vt:lpwstr>RAPORT_20140917.doc</vt:lpwstr>
      </vt:variant>
      <vt:variant>
        <vt:lpwstr>_Toc398721277</vt:lpwstr>
      </vt:variant>
      <vt:variant>
        <vt:i4>2031675</vt:i4>
      </vt:variant>
      <vt:variant>
        <vt:i4>188</vt:i4>
      </vt:variant>
      <vt:variant>
        <vt:i4>0</vt:i4>
      </vt:variant>
      <vt:variant>
        <vt:i4>5</vt:i4>
      </vt:variant>
      <vt:variant>
        <vt:lpwstr/>
      </vt:variant>
      <vt:variant>
        <vt:lpwstr>_Toc398721276</vt:lpwstr>
      </vt:variant>
      <vt:variant>
        <vt:i4>2031675</vt:i4>
      </vt:variant>
      <vt:variant>
        <vt:i4>182</vt:i4>
      </vt:variant>
      <vt:variant>
        <vt:i4>0</vt:i4>
      </vt:variant>
      <vt:variant>
        <vt:i4>5</vt:i4>
      </vt:variant>
      <vt:variant>
        <vt:lpwstr/>
      </vt:variant>
      <vt:variant>
        <vt:lpwstr>_Toc398721275</vt:lpwstr>
      </vt:variant>
      <vt:variant>
        <vt:i4>2031675</vt:i4>
      </vt:variant>
      <vt:variant>
        <vt:i4>176</vt:i4>
      </vt:variant>
      <vt:variant>
        <vt:i4>0</vt:i4>
      </vt:variant>
      <vt:variant>
        <vt:i4>5</vt:i4>
      </vt:variant>
      <vt:variant>
        <vt:lpwstr/>
      </vt:variant>
      <vt:variant>
        <vt:lpwstr>_Toc398721274</vt:lpwstr>
      </vt:variant>
      <vt:variant>
        <vt:i4>2490490</vt:i4>
      </vt:variant>
      <vt:variant>
        <vt:i4>170</vt:i4>
      </vt:variant>
      <vt:variant>
        <vt:i4>0</vt:i4>
      </vt:variant>
      <vt:variant>
        <vt:i4>5</vt:i4>
      </vt:variant>
      <vt:variant>
        <vt:lpwstr>RAPORT_20140917.doc</vt:lpwstr>
      </vt:variant>
      <vt:variant>
        <vt:lpwstr>_Toc398721273</vt:lpwstr>
      </vt:variant>
      <vt:variant>
        <vt:i4>2031675</vt:i4>
      </vt:variant>
      <vt:variant>
        <vt:i4>164</vt:i4>
      </vt:variant>
      <vt:variant>
        <vt:i4>0</vt:i4>
      </vt:variant>
      <vt:variant>
        <vt:i4>5</vt:i4>
      </vt:variant>
      <vt:variant>
        <vt:lpwstr/>
      </vt:variant>
      <vt:variant>
        <vt:lpwstr>_Toc398721272</vt:lpwstr>
      </vt:variant>
      <vt:variant>
        <vt:i4>2031675</vt:i4>
      </vt:variant>
      <vt:variant>
        <vt:i4>158</vt:i4>
      </vt:variant>
      <vt:variant>
        <vt:i4>0</vt:i4>
      </vt:variant>
      <vt:variant>
        <vt:i4>5</vt:i4>
      </vt:variant>
      <vt:variant>
        <vt:lpwstr/>
      </vt:variant>
      <vt:variant>
        <vt:lpwstr>_Toc398721271</vt:lpwstr>
      </vt:variant>
      <vt:variant>
        <vt:i4>2490490</vt:i4>
      </vt:variant>
      <vt:variant>
        <vt:i4>152</vt:i4>
      </vt:variant>
      <vt:variant>
        <vt:i4>0</vt:i4>
      </vt:variant>
      <vt:variant>
        <vt:i4>5</vt:i4>
      </vt:variant>
      <vt:variant>
        <vt:lpwstr>RAPORT_20140917.doc</vt:lpwstr>
      </vt:variant>
      <vt:variant>
        <vt:lpwstr>_Toc398721270</vt:lpwstr>
      </vt:variant>
      <vt:variant>
        <vt:i4>1966139</vt:i4>
      </vt:variant>
      <vt:variant>
        <vt:i4>146</vt:i4>
      </vt:variant>
      <vt:variant>
        <vt:i4>0</vt:i4>
      </vt:variant>
      <vt:variant>
        <vt:i4>5</vt:i4>
      </vt:variant>
      <vt:variant>
        <vt:lpwstr/>
      </vt:variant>
      <vt:variant>
        <vt:lpwstr>_Toc398721269</vt:lpwstr>
      </vt:variant>
      <vt:variant>
        <vt:i4>1966139</vt:i4>
      </vt:variant>
      <vt:variant>
        <vt:i4>140</vt:i4>
      </vt:variant>
      <vt:variant>
        <vt:i4>0</vt:i4>
      </vt:variant>
      <vt:variant>
        <vt:i4>5</vt:i4>
      </vt:variant>
      <vt:variant>
        <vt:lpwstr/>
      </vt:variant>
      <vt:variant>
        <vt:lpwstr>_Toc398721268</vt:lpwstr>
      </vt:variant>
      <vt:variant>
        <vt:i4>1966139</vt:i4>
      </vt:variant>
      <vt:variant>
        <vt:i4>134</vt:i4>
      </vt:variant>
      <vt:variant>
        <vt:i4>0</vt:i4>
      </vt:variant>
      <vt:variant>
        <vt:i4>5</vt:i4>
      </vt:variant>
      <vt:variant>
        <vt:lpwstr/>
      </vt:variant>
      <vt:variant>
        <vt:lpwstr>_Toc398721267</vt:lpwstr>
      </vt:variant>
      <vt:variant>
        <vt:i4>1966139</vt:i4>
      </vt:variant>
      <vt:variant>
        <vt:i4>128</vt:i4>
      </vt:variant>
      <vt:variant>
        <vt:i4>0</vt:i4>
      </vt:variant>
      <vt:variant>
        <vt:i4>5</vt:i4>
      </vt:variant>
      <vt:variant>
        <vt:lpwstr/>
      </vt:variant>
      <vt:variant>
        <vt:lpwstr>_Toc398721266</vt:lpwstr>
      </vt:variant>
      <vt:variant>
        <vt:i4>2556026</vt:i4>
      </vt:variant>
      <vt:variant>
        <vt:i4>122</vt:i4>
      </vt:variant>
      <vt:variant>
        <vt:i4>0</vt:i4>
      </vt:variant>
      <vt:variant>
        <vt:i4>5</vt:i4>
      </vt:variant>
      <vt:variant>
        <vt:lpwstr>RAPORT_20140917.doc</vt:lpwstr>
      </vt:variant>
      <vt:variant>
        <vt:lpwstr>_Toc398721265</vt:lpwstr>
      </vt:variant>
      <vt:variant>
        <vt:i4>1966139</vt:i4>
      </vt:variant>
      <vt:variant>
        <vt:i4>116</vt:i4>
      </vt:variant>
      <vt:variant>
        <vt:i4>0</vt:i4>
      </vt:variant>
      <vt:variant>
        <vt:i4>5</vt:i4>
      </vt:variant>
      <vt:variant>
        <vt:lpwstr/>
      </vt:variant>
      <vt:variant>
        <vt:lpwstr>_Toc398721264</vt:lpwstr>
      </vt:variant>
      <vt:variant>
        <vt:i4>1966139</vt:i4>
      </vt:variant>
      <vt:variant>
        <vt:i4>110</vt:i4>
      </vt:variant>
      <vt:variant>
        <vt:i4>0</vt:i4>
      </vt:variant>
      <vt:variant>
        <vt:i4>5</vt:i4>
      </vt:variant>
      <vt:variant>
        <vt:lpwstr/>
      </vt:variant>
      <vt:variant>
        <vt:lpwstr>_Toc398721263</vt:lpwstr>
      </vt:variant>
      <vt:variant>
        <vt:i4>1966139</vt:i4>
      </vt:variant>
      <vt:variant>
        <vt:i4>104</vt:i4>
      </vt:variant>
      <vt:variant>
        <vt:i4>0</vt:i4>
      </vt:variant>
      <vt:variant>
        <vt:i4>5</vt:i4>
      </vt:variant>
      <vt:variant>
        <vt:lpwstr/>
      </vt:variant>
      <vt:variant>
        <vt:lpwstr>_Toc398721262</vt:lpwstr>
      </vt:variant>
      <vt:variant>
        <vt:i4>1966139</vt:i4>
      </vt:variant>
      <vt:variant>
        <vt:i4>98</vt:i4>
      </vt:variant>
      <vt:variant>
        <vt:i4>0</vt:i4>
      </vt:variant>
      <vt:variant>
        <vt:i4>5</vt:i4>
      </vt:variant>
      <vt:variant>
        <vt:lpwstr/>
      </vt:variant>
      <vt:variant>
        <vt:lpwstr>_Toc398721261</vt:lpwstr>
      </vt:variant>
      <vt:variant>
        <vt:i4>1966139</vt:i4>
      </vt:variant>
      <vt:variant>
        <vt:i4>92</vt:i4>
      </vt:variant>
      <vt:variant>
        <vt:i4>0</vt:i4>
      </vt:variant>
      <vt:variant>
        <vt:i4>5</vt:i4>
      </vt:variant>
      <vt:variant>
        <vt:lpwstr/>
      </vt:variant>
      <vt:variant>
        <vt:lpwstr>_Toc398721260</vt:lpwstr>
      </vt:variant>
      <vt:variant>
        <vt:i4>1900603</vt:i4>
      </vt:variant>
      <vt:variant>
        <vt:i4>86</vt:i4>
      </vt:variant>
      <vt:variant>
        <vt:i4>0</vt:i4>
      </vt:variant>
      <vt:variant>
        <vt:i4>5</vt:i4>
      </vt:variant>
      <vt:variant>
        <vt:lpwstr/>
      </vt:variant>
      <vt:variant>
        <vt:lpwstr>_Toc398721259</vt:lpwstr>
      </vt:variant>
      <vt:variant>
        <vt:i4>2359418</vt:i4>
      </vt:variant>
      <vt:variant>
        <vt:i4>80</vt:i4>
      </vt:variant>
      <vt:variant>
        <vt:i4>0</vt:i4>
      </vt:variant>
      <vt:variant>
        <vt:i4>5</vt:i4>
      </vt:variant>
      <vt:variant>
        <vt:lpwstr>RAPORT_20140917.doc</vt:lpwstr>
      </vt:variant>
      <vt:variant>
        <vt:lpwstr>_Toc398721258</vt:lpwstr>
      </vt:variant>
      <vt:variant>
        <vt:i4>1900603</vt:i4>
      </vt:variant>
      <vt:variant>
        <vt:i4>74</vt:i4>
      </vt:variant>
      <vt:variant>
        <vt:i4>0</vt:i4>
      </vt:variant>
      <vt:variant>
        <vt:i4>5</vt:i4>
      </vt:variant>
      <vt:variant>
        <vt:lpwstr/>
      </vt:variant>
      <vt:variant>
        <vt:lpwstr>_Toc398721257</vt:lpwstr>
      </vt:variant>
      <vt:variant>
        <vt:i4>1900603</vt:i4>
      </vt:variant>
      <vt:variant>
        <vt:i4>68</vt:i4>
      </vt:variant>
      <vt:variant>
        <vt:i4>0</vt:i4>
      </vt:variant>
      <vt:variant>
        <vt:i4>5</vt:i4>
      </vt:variant>
      <vt:variant>
        <vt:lpwstr/>
      </vt:variant>
      <vt:variant>
        <vt:lpwstr>_Toc398721256</vt:lpwstr>
      </vt:variant>
      <vt:variant>
        <vt:i4>1900603</vt:i4>
      </vt:variant>
      <vt:variant>
        <vt:i4>62</vt:i4>
      </vt:variant>
      <vt:variant>
        <vt:i4>0</vt:i4>
      </vt:variant>
      <vt:variant>
        <vt:i4>5</vt:i4>
      </vt:variant>
      <vt:variant>
        <vt:lpwstr/>
      </vt:variant>
      <vt:variant>
        <vt:lpwstr>_Toc398721255</vt:lpwstr>
      </vt:variant>
      <vt:variant>
        <vt:i4>2359418</vt:i4>
      </vt:variant>
      <vt:variant>
        <vt:i4>56</vt:i4>
      </vt:variant>
      <vt:variant>
        <vt:i4>0</vt:i4>
      </vt:variant>
      <vt:variant>
        <vt:i4>5</vt:i4>
      </vt:variant>
      <vt:variant>
        <vt:lpwstr>RAPORT_20140917.doc</vt:lpwstr>
      </vt:variant>
      <vt:variant>
        <vt:lpwstr>_Toc398721254</vt:lpwstr>
      </vt:variant>
      <vt:variant>
        <vt:i4>1900603</vt:i4>
      </vt:variant>
      <vt:variant>
        <vt:i4>50</vt:i4>
      </vt:variant>
      <vt:variant>
        <vt:i4>0</vt:i4>
      </vt:variant>
      <vt:variant>
        <vt:i4>5</vt:i4>
      </vt:variant>
      <vt:variant>
        <vt:lpwstr/>
      </vt:variant>
      <vt:variant>
        <vt:lpwstr>_Toc398721253</vt:lpwstr>
      </vt:variant>
      <vt:variant>
        <vt:i4>1900603</vt:i4>
      </vt:variant>
      <vt:variant>
        <vt:i4>44</vt:i4>
      </vt:variant>
      <vt:variant>
        <vt:i4>0</vt:i4>
      </vt:variant>
      <vt:variant>
        <vt:i4>5</vt:i4>
      </vt:variant>
      <vt:variant>
        <vt:lpwstr/>
      </vt:variant>
      <vt:variant>
        <vt:lpwstr>_Toc398721252</vt:lpwstr>
      </vt:variant>
      <vt:variant>
        <vt:i4>1900603</vt:i4>
      </vt:variant>
      <vt:variant>
        <vt:i4>38</vt:i4>
      </vt:variant>
      <vt:variant>
        <vt:i4>0</vt:i4>
      </vt:variant>
      <vt:variant>
        <vt:i4>5</vt:i4>
      </vt:variant>
      <vt:variant>
        <vt:lpwstr/>
      </vt:variant>
      <vt:variant>
        <vt:lpwstr>_Toc398721251</vt:lpwstr>
      </vt:variant>
      <vt:variant>
        <vt:i4>1900603</vt:i4>
      </vt:variant>
      <vt:variant>
        <vt:i4>32</vt:i4>
      </vt:variant>
      <vt:variant>
        <vt:i4>0</vt:i4>
      </vt:variant>
      <vt:variant>
        <vt:i4>5</vt:i4>
      </vt:variant>
      <vt:variant>
        <vt:lpwstr/>
      </vt:variant>
      <vt:variant>
        <vt:lpwstr>_Toc398721250</vt:lpwstr>
      </vt:variant>
      <vt:variant>
        <vt:i4>2424954</vt:i4>
      </vt:variant>
      <vt:variant>
        <vt:i4>26</vt:i4>
      </vt:variant>
      <vt:variant>
        <vt:i4>0</vt:i4>
      </vt:variant>
      <vt:variant>
        <vt:i4>5</vt:i4>
      </vt:variant>
      <vt:variant>
        <vt:lpwstr>RAPORT_20140917.doc</vt:lpwstr>
      </vt:variant>
      <vt:variant>
        <vt:lpwstr>_Toc398721249</vt:lpwstr>
      </vt:variant>
      <vt:variant>
        <vt:i4>1835067</vt:i4>
      </vt:variant>
      <vt:variant>
        <vt:i4>20</vt:i4>
      </vt:variant>
      <vt:variant>
        <vt:i4>0</vt:i4>
      </vt:variant>
      <vt:variant>
        <vt:i4>5</vt:i4>
      </vt:variant>
      <vt:variant>
        <vt:lpwstr/>
      </vt:variant>
      <vt:variant>
        <vt:lpwstr>_Toc398721248</vt:lpwstr>
      </vt:variant>
      <vt:variant>
        <vt:i4>1835067</vt:i4>
      </vt:variant>
      <vt:variant>
        <vt:i4>14</vt:i4>
      </vt:variant>
      <vt:variant>
        <vt:i4>0</vt:i4>
      </vt:variant>
      <vt:variant>
        <vt:i4>5</vt:i4>
      </vt:variant>
      <vt:variant>
        <vt:lpwstr/>
      </vt:variant>
      <vt:variant>
        <vt:lpwstr>_Toc398721247</vt:lpwstr>
      </vt:variant>
      <vt:variant>
        <vt:i4>2424954</vt:i4>
      </vt:variant>
      <vt:variant>
        <vt:i4>8</vt:i4>
      </vt:variant>
      <vt:variant>
        <vt:i4>0</vt:i4>
      </vt:variant>
      <vt:variant>
        <vt:i4>5</vt:i4>
      </vt:variant>
      <vt:variant>
        <vt:lpwstr>RAPORT_20140917.doc</vt:lpwstr>
      </vt:variant>
      <vt:variant>
        <vt:lpwstr>_Toc398721246</vt:lpwstr>
      </vt:variant>
      <vt:variant>
        <vt:i4>2424954</vt:i4>
      </vt:variant>
      <vt:variant>
        <vt:i4>2</vt:i4>
      </vt:variant>
      <vt:variant>
        <vt:i4>0</vt:i4>
      </vt:variant>
      <vt:variant>
        <vt:i4>5</vt:i4>
      </vt:variant>
      <vt:variant>
        <vt:lpwstr>RAPORT_20140917.doc</vt:lpwstr>
      </vt:variant>
      <vt:variant>
        <vt:lpwstr>_Toc398721244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Unit</dc:title>
  <dc:creator>Translation Centre</dc:creator>
  <cp:lastModifiedBy>Carmen Afrodita PEREZ</cp:lastModifiedBy>
  <cp:revision>49</cp:revision>
  <cp:lastPrinted>2015-09-09T13:26:00Z</cp:lastPrinted>
  <dcterms:created xsi:type="dcterms:W3CDTF">2015-09-09T10:23:00Z</dcterms:created>
  <dcterms:modified xsi:type="dcterms:W3CDTF">2016-01-28T09:41:00Z</dcterms:modified>
</cp:coreProperties>
</file>