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1.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charts/chart1.xml" ContentType="application/vnd.openxmlformats-officedocument.drawingml.chart+xml"/>
  <Override PartName="/word/charts/chart2.xml" ContentType="application/vnd.openxmlformats-officedocument.drawingml.chart+xml"/>
  <Override PartName="/word/header10.xml" ContentType="application/vnd.openxmlformats-officedocument.wordprocessingml.header+xml"/>
  <Override PartName="/word/charts/chart3.xml" ContentType="application/vnd.openxmlformats-officedocument.drawingml.chart+xml"/>
  <Override PartName="/word/charts/chart4.xml" ContentType="application/vnd.openxmlformats-officedocument.drawingml.chart+xml"/>
  <Override PartName="/word/header11.xml" ContentType="application/vnd.openxmlformats-officedocument.wordprocessingml.header+xml"/>
  <Override PartName="/word/header12.xml" ContentType="application/vnd.openxmlformats-officedocument.wordprocessingml.header+xml"/>
  <Override PartName="/word/charts/chart5.xml" ContentType="application/vnd.openxmlformats-officedocument.drawingml.chart+xml"/>
  <Override PartName="/word/charts/chart6.xml" ContentType="application/vnd.openxmlformats-officedocument.drawingml.chart+xml"/>
  <Override PartName="/word/header13.xml" ContentType="application/vnd.openxmlformats-officedocument.wordprocessingml.header+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charts/chart10.xml" ContentType="application/vnd.openxmlformats-officedocument.drawingml.chart+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footer2.xml" ContentType="application/vnd.openxmlformats-officedocument.wordprocessingml.footer+xml"/>
  <Override PartName="/word/header2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C7139" w:rsidRPr="002429C5" w:rsidRDefault="003C7139" w:rsidP="003C7139">
      <w:pPr>
        <w:pStyle w:val="Rapporttitel"/>
        <w:spacing w:line="240" w:lineRule="auto"/>
        <w:ind w:left="-1985" w:right="896"/>
        <w:sectPr w:rsidR="003C7139" w:rsidRPr="002429C5" w:rsidSect="000C2D07">
          <w:headerReference w:type="even" r:id="rId8"/>
          <w:headerReference w:type="first" r:id="rId9"/>
          <w:type w:val="continuous"/>
          <w:pgSz w:w="11906" w:h="16838" w:code="9"/>
          <w:pgMar w:top="5103" w:right="1985" w:bottom="1134" w:left="1985" w:header="709" w:footer="709" w:gutter="0"/>
          <w:pgNumType w:start="1"/>
          <w:cols w:space="709"/>
          <w:docGrid w:linePitch="360"/>
        </w:sectPr>
      </w:pPr>
      <w:r w:rsidRPr="002429C5">
        <w:rPr>
          <w:noProof/>
          <w:sz w:val="20"/>
          <w:lang w:val="fr-LU" w:eastAsia="fr-LU" w:bidi="ar-SA"/>
        </w:rPr>
        <mc:AlternateContent>
          <mc:Choice Requires="wps">
            <w:drawing>
              <wp:inline distT="0" distB="0" distL="0" distR="0">
                <wp:extent cx="7560310" cy="2879725"/>
                <wp:effectExtent l="0" t="0" r="2540" b="0"/>
                <wp:docPr id="16"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60310" cy="2879725"/>
                        </a:xfrm>
                        <a:prstGeom prst="rect">
                          <a:avLst/>
                        </a:prstGeom>
                        <a:solidFill>
                          <a:srgbClr val="8CC63E"/>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429C5" w:rsidRDefault="002429C5" w:rsidP="003C7139"/>
                        </w:txbxContent>
                      </wps:txbx>
                      <wps:bodyPr rot="0" vert="horz" wrap="square" lIns="91440" tIns="45720" rIns="91440" bIns="45720" anchor="t" anchorCtr="0" upright="1">
                        <a:noAutofit/>
                      </wps:bodyPr>
                    </wps:wsp>
                  </a:graphicData>
                </a:graphic>
              </wp:inline>
            </w:drawing>
          </mc:Choice>
          <mc:Fallback>
            <w:pict>
              <v:rect id="Rectangle 4" o:spid="_x0000_s1026" style="width:595.3pt;height:226.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" fillcolor="#8cc63e" stroked="f">
                <v:textbox>
                  <w:txbxContent>
                    <w:p w:rsidR="002429C5" w:rsidRDefault="002429C5" w:rsidP="003C7139"/>
                  </w:txbxContent>
                </v:textbox>
                <w10:anchorlock/>
              </v:rect>
            </w:pict>
          </mc:Fallback>
        </mc:AlternateContent>
      </w:r>
      <w:r w:rsidRPr="002429C5">
        <w:rPr>
          <w:noProof/>
          <w:sz w:val="20"/>
          <w:lang w:val="fr-LU" w:eastAsia="fr-LU" w:bidi="ar-SA"/>
        </w:rPr>
        <w:drawing>
          <wp:anchor distT="0" distB="0" distL="114300" distR="114300" simplePos="0" relativeHeight="251660288" behindDoc="0" locked="0" layoutInCell="1" allowOverlap="1" wp14:anchorId="09A2FA90" wp14:editId="4C731990">
            <wp:simplePos x="0" y="0"/>
            <wp:positionH relativeFrom="column">
              <wp:posOffset>2917825</wp:posOffset>
            </wp:positionH>
            <wp:positionV relativeFrom="paragraph">
              <wp:posOffset>-1810385</wp:posOffset>
            </wp:positionV>
            <wp:extent cx="2785110" cy="824230"/>
            <wp:effectExtent l="0" t="0" r="0" b="0"/>
            <wp:wrapSquare wrapText="bothSides"/>
            <wp:docPr id="14" name="Billed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lede 14" descr="Beskrivelse: 2010_TS_Logo_Grey_RGB"/>
                    <pic:cNvPicPr>
                      <a:picLocks noChangeAspect="1" noChangeArrowheads="1"/>
                    </pic:cNvPicPr>
                  </pic:nvPicPr>
                  <pic:blipFill>
                    <a:blip r:embed="rId10">
                      <a:extLst>
                        <a:ext uri="{28A0092B-C50C-407E-A947-70E740481C1C}">
                          <a14:useLocalDpi xmlns:a14="http://schemas.microsoft.com/office/drawing/2010/main" val="0"/>
                        </a:ext>
                      </a:extLst>
                    </a:blip>
                    <a:stretch>
                      <a:fillRect/>
                    </a:stretch>
                  </pic:blipFill>
                  <pic:spPr bwMode="auto">
                    <a:xfrm>
                      <a:off x="0" y="0"/>
                      <a:ext cx="2785110" cy="824230"/>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W w:w="0" w:type="auto"/>
        <w:tblInd w:w="74" w:type="dxa"/>
        <w:tblLook w:val="01E0" w:firstRow="1" w:lastRow="1" w:firstColumn="1" w:lastColumn="1" w:noHBand="0" w:noVBand="0"/>
      </w:tblPr>
      <w:tblGrid>
        <w:gridCol w:w="5455"/>
      </w:tblGrid>
      <w:tr w:rsidR="001B4B87" w:rsidRPr="002429C5" w:rsidTr="000C2D07">
        <w:trPr>
          <w:cantSplit/>
        </w:trPr>
        <w:tc>
          <w:tcPr>
            <w:tcW w:w="5455" w:type="dxa"/>
            <w:tcMar>
              <w:left w:w="0" w:type="dxa"/>
              <w:right w:w="0" w:type="dxa"/>
            </w:tcMar>
          </w:tcPr>
          <w:p w:rsidR="000C2D07" w:rsidRPr="002429C5" w:rsidRDefault="000C2D07" w:rsidP="006014EA">
            <w:pPr>
              <w:pStyle w:val="Rapporttitel"/>
            </w:pPr>
          </w:p>
          <w:p w:rsidR="001B4B87" w:rsidRPr="002429C5" w:rsidRDefault="003E0041" w:rsidP="006014EA">
            <w:pPr>
              <w:pStyle w:val="Rapporttitel"/>
            </w:pPr>
            <w:r w:rsidRPr="002429C5">
              <w:t>Safety report for the railways 2014</w:t>
            </w:r>
          </w:p>
        </w:tc>
      </w:tr>
    </w:tbl>
    <w:p w:rsidR="003219C3" w:rsidRPr="002429C5" w:rsidRDefault="003219C3">
      <w:pPr>
        <w:pStyle w:val="Rapportundertitel"/>
        <w:rPr>
          <w:b/>
        </w:rPr>
        <w:sectPr w:rsidR="003219C3" w:rsidRPr="002429C5" w:rsidSect="000C2D07">
          <w:type w:val="continuous"/>
          <w:pgSz w:w="11906" w:h="16838" w:code="9"/>
          <w:pgMar w:top="5103" w:right="1985" w:bottom="1134" w:left="1985" w:header="709" w:footer="709" w:gutter="0"/>
          <w:pgNumType w:start="1"/>
          <w:cols w:space="709"/>
          <w:docGrid w:linePitch="360"/>
        </w:sectPr>
      </w:pPr>
    </w:p>
    <w:tbl>
      <w:tblPr>
        <w:tblW w:w="0" w:type="auto"/>
        <w:tblInd w:w="74" w:type="dxa"/>
        <w:tblLook w:val="01E0" w:firstRow="1" w:lastRow="1" w:firstColumn="1" w:lastColumn="1" w:noHBand="0" w:noVBand="0"/>
      </w:tblPr>
      <w:tblGrid>
        <w:gridCol w:w="3539"/>
      </w:tblGrid>
      <w:tr w:rsidR="001B4B87" w:rsidRPr="002429C5" w:rsidTr="003219C3">
        <w:trPr>
          <w:cantSplit/>
          <w:trHeight w:hRule="exact" w:val="2835"/>
        </w:trPr>
        <w:tc>
          <w:tcPr>
            <w:tcW w:w="3539" w:type="dxa"/>
            <w:tcMar>
              <w:left w:w="0" w:type="dxa"/>
              <w:right w:w="0" w:type="dxa"/>
            </w:tcMar>
          </w:tcPr>
          <w:p w:rsidR="001B4B87" w:rsidRPr="002429C5" w:rsidRDefault="001B4B87">
            <w:pPr>
              <w:pStyle w:val="Rapportundertitel"/>
              <w:rPr>
                <w:b/>
              </w:rPr>
            </w:pPr>
          </w:p>
        </w:tc>
      </w:tr>
    </w:tbl>
    <w:p w:rsidR="001B4B87" w:rsidRPr="002429C5" w:rsidRDefault="00051425">
      <w:r w:rsidRPr="002429C5">
        <w:rPr>
          <w:noProof/>
          <w:lang w:val="fr-LU" w:eastAsia="fr-LU" w:bidi="ar-SA"/>
        </w:rPr>
        <mc:AlternateContent>
          <mc:Choice Requires="wps">
            <w:drawing>
              <wp:anchor distT="0" distB="0" distL="114300" distR="114300" simplePos="0" relativeHeight="251655168" behindDoc="0" locked="0" layoutInCell="1" allowOverlap="1" wp14:anchorId="2B066A60" wp14:editId="302BA3AB">
                <wp:simplePos x="0" y="0"/>
                <wp:positionH relativeFrom="margin">
                  <wp:posOffset>85725</wp:posOffset>
                </wp:positionH>
                <wp:positionV relativeFrom="page">
                  <wp:posOffset>9721215</wp:posOffset>
                </wp:positionV>
                <wp:extent cx="1800225" cy="144145"/>
                <wp:effectExtent l="0" t="0" r="9525" b="8255"/>
                <wp:wrapNone/>
                <wp:docPr id="10"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0225" cy="1441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429C5" w:rsidRPr="009D62BE" w:rsidRDefault="002429C5">
                            <w:r>
                              <w:t>September 2015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B066A60" id="_x0000_t202" coordsize="21600,21600" o:spt="202" path="m,l,21600r21600,l21600,xe">
                <v:stroke joinstyle="miter"/>
                <v:path gradientshapeok="t" o:connecttype="rect"/>
              </v:shapetype>
              <v:shape id="Text Box 8" o:spid="_x0000_s1027" type="#_x0000_t202" style="position:absolute;margin-left:6.75pt;margin-top:765.45pt;width:141.75pt;height:11.35pt;z-index:251655168;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" filled="f" stroked="f">
                <v:textbox inset="0,0,0,0">
                  <w:txbxContent>
                    <w:p w:rsidR="002429C5" w:rsidRPr="009D62BE" w:rsidRDefault="002429C5">
                      <w:r>
                        <w:t>September 2015</w:t>
                      </w:r>
                    </w:p>
                  </w:txbxContent>
                </v:textbox>
                <w10:wrap anchorx="margin" anchory="page"/>
              </v:shape>
            </w:pict>
          </mc:Fallback>
        </mc:AlternateContent>
      </w:r>
    </w:p>
    <w:p w:rsidR="001B4B87" w:rsidRPr="002429C5" w:rsidRDefault="001B4B87">
      <w:pPr>
        <w:sectPr w:rsidR="001B4B87" w:rsidRPr="002429C5" w:rsidSect="000C2D07">
          <w:type w:val="continuous"/>
          <w:pgSz w:w="11906" w:h="16838" w:code="9"/>
          <w:pgMar w:top="5103" w:right="1985" w:bottom="1134" w:left="1985" w:header="709" w:footer="709" w:gutter="0"/>
          <w:pgNumType w:start="1"/>
          <w:cols w:num="2" w:space="709"/>
          <w:docGrid w:linePitch="360"/>
        </w:sectPr>
      </w:pPr>
    </w:p>
    <w:p w:rsidR="001B4B87" w:rsidRPr="002429C5" w:rsidRDefault="001B4B87">
      <w:pPr>
        <w:spacing w:after="480"/>
        <w:rPr>
          <w:color w:val="808080"/>
          <w:sz w:val="36"/>
          <w:szCs w:val="36"/>
        </w:rPr>
      </w:pPr>
      <w:r w:rsidRPr="002429C5">
        <w:rPr>
          <w:color w:val="808080"/>
          <w:sz w:val="36"/>
        </w:rPr>
        <w:lastRenderedPageBreak/>
        <w:t>Foreword</w:t>
      </w:r>
    </w:p>
    <w:p w:rsidR="004E061D" w:rsidRPr="002429C5" w:rsidRDefault="004E061D" w:rsidP="003C5FF2">
      <w:pPr>
        <w:sectPr w:rsidR="004E061D" w:rsidRPr="002429C5" w:rsidSect="00356DD7">
          <w:headerReference w:type="even" r:id="rId11"/>
          <w:headerReference w:type="default" r:id="rId12"/>
          <w:type w:val="oddPage"/>
          <w:pgSz w:w="11906" w:h="16838" w:code="9"/>
          <w:pgMar w:top="1985" w:right="1985" w:bottom="1418" w:left="1985" w:header="709" w:footer="709" w:gutter="0"/>
          <w:cols w:space="709"/>
          <w:docGrid w:linePitch="360"/>
        </w:sectPr>
      </w:pPr>
    </w:p>
    <w:p w:rsidR="003C5FF2" w:rsidRPr="002429C5" w:rsidRDefault="003C5FF2" w:rsidP="003C5FF2">
      <w:r w:rsidRPr="002429C5">
        <w:lastRenderedPageBreak/>
        <w:t>Each year, the safety report for the railways provides a comprehensive analysis of developments in the number of accidents and incidents and a review of the Danish Transport Authority’s – now the Danish Transport and Construction Agency's – activities in relation to railway safety. The report thus provides a status report on railway safety in Denmark.</w:t>
      </w:r>
    </w:p>
    <w:p w:rsidR="00863651" w:rsidRPr="002429C5" w:rsidRDefault="003C5FF2" w:rsidP="003C5FF2">
      <w:r w:rsidRPr="002429C5">
        <w:t>Again in 2014 railway safety was very high, and the Danish safety target was met.</w:t>
      </w:r>
    </w:p>
    <w:p w:rsidR="003C5FF2" w:rsidRPr="002429C5" w:rsidRDefault="003C5FF2" w:rsidP="003C5FF2">
      <w:r w:rsidRPr="002429C5">
        <w:t>Despite this, in 2014 there was an increase in significant accidents due to a higher number of collisions involving persons. Denmark is nonetheless still low, both when we compare ourselves with the rest of Europe and when we look at the development of railway safety in Denmark over time.</w:t>
      </w:r>
    </w:p>
    <w:p w:rsidR="00863651" w:rsidRPr="002429C5" w:rsidRDefault="003C5FF2" w:rsidP="003C5FF2">
      <w:r w:rsidRPr="002429C5">
        <w:t>If the high Danish safety level is to be maintained in the longer term, it is essential that undertakings have effective safety management systems that ensure that the undertakings are in control of their own risks at all times.</w:t>
      </w:r>
    </w:p>
    <w:p w:rsidR="00B824CC" w:rsidRPr="002429C5" w:rsidRDefault="006028AD" w:rsidP="003C5FF2">
      <w:r w:rsidRPr="002429C5">
        <w:t>Due to the considerable challenges facing both railway undertakings and infrastructure managers to get safety management systems to work, the Agency launched a major guidance effort in 2012 and 2013.</w:t>
      </w:r>
    </w:p>
    <w:p w:rsidR="003C5FF2" w:rsidRPr="002429C5" w:rsidRDefault="003A0D99" w:rsidP="003C5FF2">
      <w:r w:rsidRPr="002429C5">
        <w:t>There are still challenges in some areas, and the level is still not entirely satisfactory. However, several undertakings moved forward during 2014. In particular, the managements of the various undertakings have increased their commitment to implementing fully developed safety management systems.</w:t>
      </w:r>
    </w:p>
    <w:p w:rsidR="003C5FF2" w:rsidRPr="002429C5" w:rsidRDefault="000C2D07" w:rsidP="003C5FF2">
      <w:r w:rsidRPr="002429C5">
        <w:br w:type="column"/>
      </w:r>
      <w:r w:rsidRPr="002429C5">
        <w:lastRenderedPageBreak/>
        <w:t>The Agency hopes that the report can help in the exchange of experiences and provide inspiration in the Danish railway sector.</w:t>
      </w:r>
    </w:p>
    <w:p w:rsidR="003C5FF2" w:rsidRPr="002429C5" w:rsidRDefault="003C5FF2" w:rsidP="003C5FF2">
      <w:r w:rsidRPr="002429C5">
        <w:t>The report will also be used to exchange experience among the EU Member States and will be submitted to the European Railway Agency (ERA).</w:t>
      </w:r>
    </w:p>
    <w:p w:rsidR="003C5FF2" w:rsidRPr="002429C5" w:rsidRDefault="003C5FF2" w:rsidP="003C5FF2">
      <w:r w:rsidRPr="002429C5">
        <w:t>Happy reading!</w:t>
      </w:r>
    </w:p>
    <w:p w:rsidR="006014EA" w:rsidRPr="002429C5" w:rsidRDefault="003C5FF2" w:rsidP="006014EA">
      <w:pPr>
        <w:spacing w:after="0"/>
      </w:pPr>
      <w:proofErr w:type="spellStart"/>
      <w:r w:rsidRPr="002429C5">
        <w:t>Jesper</w:t>
      </w:r>
      <w:proofErr w:type="spellEnd"/>
      <w:r w:rsidRPr="002429C5">
        <w:t xml:space="preserve"> Rasmussen</w:t>
      </w:r>
    </w:p>
    <w:p w:rsidR="003C5FF2" w:rsidRPr="002429C5" w:rsidRDefault="003C5FF2" w:rsidP="003C5FF2">
      <w:r w:rsidRPr="002429C5">
        <w:t>Deputy Director</w:t>
      </w:r>
    </w:p>
    <w:p w:rsidR="000A2B3D" w:rsidRPr="002429C5" w:rsidRDefault="000A2B3D">
      <w:pPr>
        <w:spacing w:after="0"/>
        <w:rPr>
          <w:b/>
        </w:rPr>
      </w:pPr>
    </w:p>
    <w:p w:rsidR="004E061D" w:rsidRPr="002429C5" w:rsidRDefault="004E061D">
      <w:pPr>
        <w:spacing w:after="0"/>
        <w:rPr>
          <w:b/>
        </w:rPr>
      </w:pPr>
    </w:p>
    <w:p w:rsidR="001B4B87" w:rsidRPr="002429C5" w:rsidRDefault="001B4B87">
      <w:pPr>
        <w:sectPr w:rsidR="001B4B87" w:rsidRPr="002429C5" w:rsidSect="00356DD7">
          <w:type w:val="continuous"/>
          <w:pgSz w:w="11906" w:h="16838" w:code="9"/>
          <w:pgMar w:top="1985" w:right="1985" w:bottom="1418" w:left="1985" w:header="709" w:footer="709" w:gutter="0"/>
          <w:cols w:num="2" w:space="709"/>
          <w:docGrid w:linePitch="360"/>
        </w:sectPr>
      </w:pPr>
    </w:p>
    <w:p w:rsidR="00580620" w:rsidRPr="002429C5" w:rsidRDefault="001B4B87" w:rsidP="005C443D">
      <w:pPr>
        <w:spacing w:after="120"/>
        <w:ind w:left="856" w:hanging="856"/>
        <w:rPr>
          <w:color w:val="808080"/>
          <w:sz w:val="36"/>
          <w:szCs w:val="36"/>
        </w:rPr>
      </w:pPr>
      <w:r w:rsidRPr="002429C5">
        <w:rPr>
          <w:color w:val="808080"/>
          <w:sz w:val="36"/>
        </w:rPr>
        <w:lastRenderedPageBreak/>
        <w:t>Contents</w:t>
      </w:r>
    </w:p>
    <w:p w:rsidR="004E061D" w:rsidRPr="002429C5" w:rsidRDefault="004E061D" w:rsidP="005C443D">
      <w:pPr>
        <w:spacing w:after="120"/>
        <w:ind w:left="856" w:hanging="856"/>
        <w:rPr>
          <w:color w:val="808080"/>
          <w:sz w:val="36"/>
          <w:szCs w:val="36"/>
        </w:rPr>
        <w:sectPr w:rsidR="004E061D" w:rsidRPr="002429C5" w:rsidSect="00356DD7">
          <w:headerReference w:type="default" r:id="rId13"/>
          <w:type w:val="oddPage"/>
          <w:pgSz w:w="11906" w:h="16838" w:code="9"/>
          <w:pgMar w:top="1985" w:right="1985" w:bottom="1418" w:left="1985" w:header="709" w:footer="709" w:gutter="0"/>
          <w:cols w:num="2" w:space="709"/>
          <w:docGrid w:linePitch="360"/>
        </w:sectPr>
      </w:pPr>
    </w:p>
    <w:sdt>
      <w:sdtPr>
        <w:rPr>
          <w:b/>
          <w:sz w:val="14"/>
        </w:rPr>
        <w:id w:val="74717266"/>
        <w:docPartObj>
          <w:docPartGallery w:val="Table of Contents"/>
          <w:docPartUnique/>
        </w:docPartObj>
      </w:sdtPr>
      <w:sdtEndPr>
        <w:rPr>
          <w:sz w:val="17"/>
          <w:szCs w:val="17"/>
        </w:rPr>
      </w:sdtEndPr>
      <w:sdtContent>
        <w:p w:rsidR="00684769" w:rsidRPr="002429C5" w:rsidRDefault="00684769" w:rsidP="006014EA"/>
        <w:p w:rsidR="002429C5" w:rsidRDefault="00684769">
          <w:pPr>
            <w:pStyle w:val="TOC1"/>
            <w:rPr>
              <w:rFonts w:asciiTheme="minorHAnsi" w:eastAsiaTheme="minorEastAsia" w:hAnsiTheme="minorHAnsi" w:cstheme="minorBidi"/>
              <w:b w:val="0"/>
              <w:noProof/>
              <w:color w:val="auto"/>
              <w:sz w:val="22"/>
              <w:szCs w:val="22"/>
              <w:lang w:val="fr-LU" w:eastAsia="fr-LU" w:bidi="ar-SA"/>
            </w:rPr>
          </w:pPr>
          <w:r w:rsidRPr="002429C5">
            <w:rPr>
              <w:sz w:val="17"/>
              <w:szCs w:val="17"/>
            </w:rPr>
            <w:fldChar w:fldCharType="begin"/>
          </w:r>
          <w:r w:rsidRPr="002429C5">
            <w:rPr>
              <w:sz w:val="17"/>
              <w:szCs w:val="17"/>
            </w:rPr>
            <w:instrText xml:space="preserve"> TOC \o "1-3" \h \z \u </w:instrText>
          </w:r>
          <w:r w:rsidRPr="002429C5">
            <w:rPr>
              <w:sz w:val="17"/>
              <w:szCs w:val="17"/>
            </w:rPr>
            <w:fldChar w:fldCharType="separate"/>
          </w:r>
          <w:hyperlink w:anchor="_Toc441733508" w:history="1">
            <w:r w:rsidR="002429C5" w:rsidRPr="00F430C5">
              <w:rPr>
                <w:rStyle w:val="Hyperlink"/>
                <w:noProof/>
              </w:rPr>
              <w:t>Resumé</w:t>
            </w:r>
            <w:r w:rsidR="002429C5">
              <w:rPr>
                <w:noProof/>
                <w:webHidden/>
              </w:rPr>
              <w:tab/>
            </w:r>
            <w:r w:rsidR="002429C5">
              <w:rPr>
                <w:noProof/>
                <w:webHidden/>
              </w:rPr>
              <w:fldChar w:fldCharType="begin"/>
            </w:r>
            <w:r w:rsidR="002429C5">
              <w:rPr>
                <w:noProof/>
                <w:webHidden/>
              </w:rPr>
              <w:instrText xml:space="preserve"> PAGEREF _Toc441733508 \h </w:instrText>
            </w:r>
            <w:r w:rsidR="002429C5">
              <w:rPr>
                <w:noProof/>
                <w:webHidden/>
              </w:rPr>
            </w:r>
            <w:r w:rsidR="002429C5">
              <w:rPr>
                <w:noProof/>
                <w:webHidden/>
              </w:rPr>
              <w:fldChar w:fldCharType="separate"/>
            </w:r>
            <w:r w:rsidR="002429C5">
              <w:rPr>
                <w:noProof/>
                <w:webHidden/>
              </w:rPr>
              <w:t>6</w:t>
            </w:r>
            <w:r w:rsidR="002429C5">
              <w:rPr>
                <w:noProof/>
                <w:webHidden/>
              </w:rPr>
              <w:fldChar w:fldCharType="end"/>
            </w:r>
          </w:hyperlink>
        </w:p>
        <w:p w:rsidR="002429C5" w:rsidRDefault="002429C5">
          <w:pPr>
            <w:pStyle w:val="TOC1"/>
            <w:rPr>
              <w:rFonts w:asciiTheme="minorHAnsi" w:eastAsiaTheme="minorEastAsia" w:hAnsiTheme="minorHAnsi" w:cstheme="minorBidi"/>
              <w:b w:val="0"/>
              <w:noProof/>
              <w:color w:val="auto"/>
              <w:sz w:val="22"/>
              <w:szCs w:val="22"/>
              <w:lang w:val="fr-LU" w:eastAsia="fr-LU" w:bidi="ar-SA"/>
            </w:rPr>
          </w:pPr>
          <w:hyperlink w:anchor="_Toc441733509" w:history="1">
            <w:r w:rsidRPr="00F430C5">
              <w:rPr>
                <w:rStyle w:val="Hyperlink"/>
                <w:noProof/>
              </w:rPr>
              <w:t>Summary</w:t>
            </w:r>
            <w:r>
              <w:rPr>
                <w:noProof/>
                <w:webHidden/>
              </w:rPr>
              <w:tab/>
            </w:r>
            <w:r>
              <w:rPr>
                <w:noProof/>
                <w:webHidden/>
              </w:rPr>
              <w:fldChar w:fldCharType="begin"/>
            </w:r>
            <w:r>
              <w:rPr>
                <w:noProof/>
                <w:webHidden/>
              </w:rPr>
              <w:instrText xml:space="preserve"> PAGEREF _Toc441733509 \h </w:instrText>
            </w:r>
            <w:r>
              <w:rPr>
                <w:noProof/>
                <w:webHidden/>
              </w:rPr>
            </w:r>
            <w:r>
              <w:rPr>
                <w:noProof/>
                <w:webHidden/>
              </w:rPr>
              <w:fldChar w:fldCharType="separate"/>
            </w:r>
            <w:r>
              <w:rPr>
                <w:noProof/>
                <w:webHidden/>
              </w:rPr>
              <w:t>7</w:t>
            </w:r>
            <w:r>
              <w:rPr>
                <w:noProof/>
                <w:webHidden/>
              </w:rPr>
              <w:fldChar w:fldCharType="end"/>
            </w:r>
          </w:hyperlink>
        </w:p>
        <w:p w:rsidR="002429C5" w:rsidRDefault="002429C5">
          <w:pPr>
            <w:pStyle w:val="TOC1"/>
            <w:rPr>
              <w:rFonts w:asciiTheme="minorHAnsi" w:eastAsiaTheme="minorEastAsia" w:hAnsiTheme="minorHAnsi" w:cstheme="minorBidi"/>
              <w:b w:val="0"/>
              <w:noProof/>
              <w:color w:val="auto"/>
              <w:sz w:val="22"/>
              <w:szCs w:val="22"/>
              <w:lang w:val="fr-LU" w:eastAsia="fr-LU" w:bidi="ar-SA"/>
            </w:rPr>
          </w:pPr>
          <w:hyperlink w:anchor="_Toc441733510" w:history="1">
            <w:r w:rsidRPr="00F430C5">
              <w:rPr>
                <w:rStyle w:val="Hyperlink"/>
                <w:noProof/>
              </w:rPr>
              <w:t>Chapter 1. Developments in railway safety</w:t>
            </w:r>
            <w:r>
              <w:rPr>
                <w:noProof/>
                <w:webHidden/>
              </w:rPr>
              <w:tab/>
            </w:r>
            <w:r>
              <w:rPr>
                <w:noProof/>
                <w:webHidden/>
              </w:rPr>
              <w:fldChar w:fldCharType="begin"/>
            </w:r>
            <w:r>
              <w:rPr>
                <w:noProof/>
                <w:webHidden/>
              </w:rPr>
              <w:instrText xml:space="preserve"> PAGEREF _Toc441733510 \h </w:instrText>
            </w:r>
            <w:r>
              <w:rPr>
                <w:noProof/>
                <w:webHidden/>
              </w:rPr>
            </w:r>
            <w:r>
              <w:rPr>
                <w:noProof/>
                <w:webHidden/>
              </w:rPr>
              <w:fldChar w:fldCharType="separate"/>
            </w:r>
            <w:r>
              <w:rPr>
                <w:noProof/>
                <w:webHidden/>
              </w:rPr>
              <w:t>9</w:t>
            </w:r>
            <w:r>
              <w:rPr>
                <w:noProof/>
                <w:webHidden/>
              </w:rPr>
              <w:fldChar w:fldCharType="end"/>
            </w:r>
          </w:hyperlink>
        </w:p>
        <w:p w:rsidR="002429C5" w:rsidRDefault="002429C5">
          <w:pPr>
            <w:pStyle w:val="TOC2"/>
            <w:rPr>
              <w:rFonts w:asciiTheme="minorHAnsi" w:eastAsiaTheme="minorEastAsia" w:hAnsiTheme="minorHAnsi" w:cstheme="minorBidi"/>
              <w:noProof/>
              <w:color w:val="auto"/>
              <w:sz w:val="22"/>
              <w:szCs w:val="22"/>
              <w:lang w:val="fr-LU" w:eastAsia="fr-LU" w:bidi="ar-SA"/>
            </w:rPr>
          </w:pPr>
          <w:hyperlink w:anchor="_Toc441733511" w:history="1">
            <w:r w:rsidRPr="00F430C5">
              <w:rPr>
                <w:rStyle w:val="Hyperlink"/>
                <w:noProof/>
              </w:rPr>
              <w:t>Incidents on the railway</w:t>
            </w:r>
            <w:r>
              <w:rPr>
                <w:noProof/>
                <w:webHidden/>
              </w:rPr>
              <w:tab/>
            </w:r>
            <w:r>
              <w:rPr>
                <w:noProof/>
                <w:webHidden/>
              </w:rPr>
              <w:fldChar w:fldCharType="begin"/>
            </w:r>
            <w:r>
              <w:rPr>
                <w:noProof/>
                <w:webHidden/>
              </w:rPr>
              <w:instrText xml:space="preserve"> PAGEREF _Toc441733511 \h </w:instrText>
            </w:r>
            <w:r>
              <w:rPr>
                <w:noProof/>
                <w:webHidden/>
              </w:rPr>
            </w:r>
            <w:r>
              <w:rPr>
                <w:noProof/>
                <w:webHidden/>
              </w:rPr>
              <w:fldChar w:fldCharType="separate"/>
            </w:r>
            <w:r>
              <w:rPr>
                <w:noProof/>
                <w:webHidden/>
              </w:rPr>
              <w:t>9</w:t>
            </w:r>
            <w:r>
              <w:rPr>
                <w:noProof/>
                <w:webHidden/>
              </w:rPr>
              <w:fldChar w:fldCharType="end"/>
            </w:r>
          </w:hyperlink>
        </w:p>
        <w:p w:rsidR="002429C5" w:rsidRDefault="002429C5">
          <w:pPr>
            <w:pStyle w:val="TOC2"/>
            <w:rPr>
              <w:rFonts w:asciiTheme="minorHAnsi" w:eastAsiaTheme="minorEastAsia" w:hAnsiTheme="minorHAnsi" w:cstheme="minorBidi"/>
              <w:noProof/>
              <w:color w:val="auto"/>
              <w:sz w:val="22"/>
              <w:szCs w:val="22"/>
              <w:lang w:val="fr-LU" w:eastAsia="fr-LU" w:bidi="ar-SA"/>
            </w:rPr>
          </w:pPr>
          <w:hyperlink w:anchor="_Toc441733512" w:history="1">
            <w:r w:rsidRPr="00F430C5">
              <w:rPr>
                <w:rStyle w:val="Hyperlink"/>
                <w:noProof/>
              </w:rPr>
              <w:t>Significant accidents</w:t>
            </w:r>
            <w:r>
              <w:rPr>
                <w:noProof/>
                <w:webHidden/>
              </w:rPr>
              <w:tab/>
            </w:r>
            <w:r>
              <w:rPr>
                <w:noProof/>
                <w:webHidden/>
              </w:rPr>
              <w:fldChar w:fldCharType="begin"/>
            </w:r>
            <w:r>
              <w:rPr>
                <w:noProof/>
                <w:webHidden/>
              </w:rPr>
              <w:instrText xml:space="preserve"> PAGEREF _Toc441733512 \h </w:instrText>
            </w:r>
            <w:r>
              <w:rPr>
                <w:noProof/>
                <w:webHidden/>
              </w:rPr>
            </w:r>
            <w:r>
              <w:rPr>
                <w:noProof/>
                <w:webHidden/>
              </w:rPr>
              <w:fldChar w:fldCharType="separate"/>
            </w:r>
            <w:r>
              <w:rPr>
                <w:noProof/>
                <w:webHidden/>
              </w:rPr>
              <w:t>10</w:t>
            </w:r>
            <w:r>
              <w:rPr>
                <w:noProof/>
                <w:webHidden/>
              </w:rPr>
              <w:fldChar w:fldCharType="end"/>
            </w:r>
          </w:hyperlink>
        </w:p>
        <w:p w:rsidR="002429C5" w:rsidRDefault="002429C5">
          <w:pPr>
            <w:pStyle w:val="TOC2"/>
            <w:rPr>
              <w:rFonts w:asciiTheme="minorHAnsi" w:eastAsiaTheme="minorEastAsia" w:hAnsiTheme="minorHAnsi" w:cstheme="minorBidi"/>
              <w:noProof/>
              <w:color w:val="auto"/>
              <w:sz w:val="22"/>
              <w:szCs w:val="22"/>
              <w:lang w:val="fr-LU" w:eastAsia="fr-LU" w:bidi="ar-SA"/>
            </w:rPr>
          </w:pPr>
          <w:hyperlink w:anchor="_Toc441733513" w:history="1">
            <w:r w:rsidRPr="00F430C5">
              <w:rPr>
                <w:rStyle w:val="Hyperlink"/>
                <w:noProof/>
              </w:rPr>
              <w:t>Safety target for the railways – met for 2014</w:t>
            </w:r>
            <w:r>
              <w:rPr>
                <w:noProof/>
                <w:webHidden/>
              </w:rPr>
              <w:tab/>
            </w:r>
            <w:r>
              <w:rPr>
                <w:noProof/>
                <w:webHidden/>
              </w:rPr>
              <w:fldChar w:fldCharType="begin"/>
            </w:r>
            <w:r>
              <w:rPr>
                <w:noProof/>
                <w:webHidden/>
              </w:rPr>
              <w:instrText xml:space="preserve"> PAGEREF _Toc441733513 \h </w:instrText>
            </w:r>
            <w:r>
              <w:rPr>
                <w:noProof/>
                <w:webHidden/>
              </w:rPr>
            </w:r>
            <w:r>
              <w:rPr>
                <w:noProof/>
                <w:webHidden/>
              </w:rPr>
              <w:fldChar w:fldCharType="separate"/>
            </w:r>
            <w:r>
              <w:rPr>
                <w:noProof/>
                <w:webHidden/>
              </w:rPr>
              <w:t>12</w:t>
            </w:r>
            <w:r>
              <w:rPr>
                <w:noProof/>
                <w:webHidden/>
              </w:rPr>
              <w:fldChar w:fldCharType="end"/>
            </w:r>
          </w:hyperlink>
        </w:p>
        <w:p w:rsidR="002429C5" w:rsidRDefault="002429C5">
          <w:pPr>
            <w:pStyle w:val="TOC3"/>
            <w:rPr>
              <w:rFonts w:asciiTheme="minorHAnsi" w:eastAsiaTheme="minorEastAsia" w:hAnsiTheme="minorHAnsi" w:cstheme="minorBidi"/>
              <w:b w:val="0"/>
              <w:noProof/>
              <w:color w:val="auto"/>
              <w:sz w:val="22"/>
              <w:szCs w:val="22"/>
              <w:lang w:val="fr-LU" w:eastAsia="fr-LU" w:bidi="ar-SA"/>
            </w:rPr>
          </w:pPr>
          <w:hyperlink w:anchor="_Toc441733514" w:history="1">
            <w:r w:rsidRPr="00F430C5">
              <w:rPr>
                <w:rStyle w:val="Hyperlink"/>
                <w:noProof/>
              </w:rPr>
              <w:t>Deaths and injuries broken down by groups of persons</w:t>
            </w:r>
            <w:r>
              <w:rPr>
                <w:noProof/>
                <w:webHidden/>
              </w:rPr>
              <w:tab/>
            </w:r>
            <w:r>
              <w:rPr>
                <w:noProof/>
                <w:webHidden/>
              </w:rPr>
              <w:fldChar w:fldCharType="begin"/>
            </w:r>
            <w:r>
              <w:rPr>
                <w:noProof/>
                <w:webHidden/>
              </w:rPr>
              <w:instrText xml:space="preserve"> PAGEREF _Toc441733514 \h </w:instrText>
            </w:r>
            <w:r>
              <w:rPr>
                <w:noProof/>
                <w:webHidden/>
              </w:rPr>
            </w:r>
            <w:r>
              <w:rPr>
                <w:noProof/>
                <w:webHidden/>
              </w:rPr>
              <w:fldChar w:fldCharType="separate"/>
            </w:r>
            <w:r>
              <w:rPr>
                <w:noProof/>
                <w:webHidden/>
              </w:rPr>
              <w:t>14</w:t>
            </w:r>
            <w:r>
              <w:rPr>
                <w:noProof/>
                <w:webHidden/>
              </w:rPr>
              <w:fldChar w:fldCharType="end"/>
            </w:r>
          </w:hyperlink>
        </w:p>
        <w:p w:rsidR="002429C5" w:rsidRDefault="002429C5">
          <w:pPr>
            <w:pStyle w:val="TOC2"/>
            <w:rPr>
              <w:rFonts w:asciiTheme="minorHAnsi" w:eastAsiaTheme="minorEastAsia" w:hAnsiTheme="minorHAnsi" w:cstheme="minorBidi"/>
              <w:noProof/>
              <w:color w:val="auto"/>
              <w:sz w:val="22"/>
              <w:szCs w:val="22"/>
              <w:lang w:val="fr-LU" w:eastAsia="fr-LU" w:bidi="ar-SA"/>
            </w:rPr>
          </w:pPr>
          <w:hyperlink w:anchor="_Toc441733515" w:history="1">
            <w:r w:rsidRPr="00F430C5">
              <w:rPr>
                <w:rStyle w:val="Hyperlink"/>
                <w:noProof/>
              </w:rPr>
              <w:t>Suicides on the railway</w:t>
            </w:r>
            <w:r>
              <w:rPr>
                <w:noProof/>
                <w:webHidden/>
              </w:rPr>
              <w:tab/>
            </w:r>
            <w:r>
              <w:rPr>
                <w:noProof/>
                <w:webHidden/>
              </w:rPr>
              <w:fldChar w:fldCharType="begin"/>
            </w:r>
            <w:r>
              <w:rPr>
                <w:noProof/>
                <w:webHidden/>
              </w:rPr>
              <w:instrText xml:space="preserve"> PAGEREF _Toc441733515 \h </w:instrText>
            </w:r>
            <w:r>
              <w:rPr>
                <w:noProof/>
                <w:webHidden/>
              </w:rPr>
            </w:r>
            <w:r>
              <w:rPr>
                <w:noProof/>
                <w:webHidden/>
              </w:rPr>
              <w:fldChar w:fldCharType="separate"/>
            </w:r>
            <w:r>
              <w:rPr>
                <w:noProof/>
                <w:webHidden/>
              </w:rPr>
              <w:t>16</w:t>
            </w:r>
            <w:r>
              <w:rPr>
                <w:noProof/>
                <w:webHidden/>
              </w:rPr>
              <w:fldChar w:fldCharType="end"/>
            </w:r>
          </w:hyperlink>
        </w:p>
        <w:p w:rsidR="002429C5" w:rsidRDefault="002429C5">
          <w:pPr>
            <w:pStyle w:val="TOC2"/>
            <w:rPr>
              <w:rFonts w:asciiTheme="minorHAnsi" w:eastAsiaTheme="minorEastAsia" w:hAnsiTheme="minorHAnsi" w:cstheme="minorBidi"/>
              <w:noProof/>
              <w:color w:val="auto"/>
              <w:sz w:val="22"/>
              <w:szCs w:val="22"/>
              <w:lang w:val="fr-LU" w:eastAsia="fr-LU" w:bidi="ar-SA"/>
            </w:rPr>
          </w:pPr>
          <w:hyperlink w:anchor="_Toc441733516" w:history="1">
            <w:r w:rsidRPr="00F430C5">
              <w:rPr>
                <w:rStyle w:val="Hyperlink"/>
                <w:noProof/>
              </w:rPr>
              <w:t>Minor accidents – most collisions</w:t>
            </w:r>
            <w:r>
              <w:rPr>
                <w:noProof/>
                <w:webHidden/>
              </w:rPr>
              <w:tab/>
            </w:r>
            <w:r>
              <w:rPr>
                <w:noProof/>
                <w:webHidden/>
              </w:rPr>
              <w:fldChar w:fldCharType="begin"/>
            </w:r>
            <w:r>
              <w:rPr>
                <w:noProof/>
                <w:webHidden/>
              </w:rPr>
              <w:instrText xml:space="preserve"> PAGEREF _Toc441733516 \h </w:instrText>
            </w:r>
            <w:r>
              <w:rPr>
                <w:noProof/>
                <w:webHidden/>
              </w:rPr>
            </w:r>
            <w:r>
              <w:rPr>
                <w:noProof/>
                <w:webHidden/>
              </w:rPr>
              <w:fldChar w:fldCharType="separate"/>
            </w:r>
            <w:r>
              <w:rPr>
                <w:noProof/>
                <w:webHidden/>
              </w:rPr>
              <w:t>17</w:t>
            </w:r>
            <w:r>
              <w:rPr>
                <w:noProof/>
                <w:webHidden/>
              </w:rPr>
              <w:fldChar w:fldCharType="end"/>
            </w:r>
          </w:hyperlink>
        </w:p>
        <w:p w:rsidR="002429C5" w:rsidRDefault="002429C5">
          <w:pPr>
            <w:pStyle w:val="TOC2"/>
            <w:rPr>
              <w:rFonts w:asciiTheme="minorHAnsi" w:eastAsiaTheme="minorEastAsia" w:hAnsiTheme="minorHAnsi" w:cstheme="minorBidi"/>
              <w:noProof/>
              <w:color w:val="auto"/>
              <w:sz w:val="22"/>
              <w:szCs w:val="22"/>
              <w:lang w:val="fr-LU" w:eastAsia="fr-LU" w:bidi="ar-SA"/>
            </w:rPr>
          </w:pPr>
          <w:hyperlink w:anchor="_Toc441733517" w:history="1">
            <w:r w:rsidRPr="00F430C5">
              <w:rPr>
                <w:rStyle w:val="Hyperlink"/>
                <w:noProof/>
              </w:rPr>
              <w:t>Other safety-related incidents</w:t>
            </w:r>
            <w:r>
              <w:rPr>
                <w:noProof/>
                <w:webHidden/>
              </w:rPr>
              <w:tab/>
            </w:r>
            <w:r>
              <w:rPr>
                <w:noProof/>
                <w:webHidden/>
              </w:rPr>
              <w:fldChar w:fldCharType="begin"/>
            </w:r>
            <w:r>
              <w:rPr>
                <w:noProof/>
                <w:webHidden/>
              </w:rPr>
              <w:instrText xml:space="preserve"> PAGEREF _Toc441733517 \h </w:instrText>
            </w:r>
            <w:r>
              <w:rPr>
                <w:noProof/>
                <w:webHidden/>
              </w:rPr>
            </w:r>
            <w:r>
              <w:rPr>
                <w:noProof/>
                <w:webHidden/>
              </w:rPr>
              <w:fldChar w:fldCharType="separate"/>
            </w:r>
            <w:r>
              <w:rPr>
                <w:noProof/>
                <w:webHidden/>
              </w:rPr>
              <w:t>19</w:t>
            </w:r>
            <w:r>
              <w:rPr>
                <w:noProof/>
                <w:webHidden/>
              </w:rPr>
              <w:fldChar w:fldCharType="end"/>
            </w:r>
          </w:hyperlink>
        </w:p>
        <w:p w:rsidR="002429C5" w:rsidRDefault="002429C5">
          <w:pPr>
            <w:pStyle w:val="TOC2"/>
            <w:rPr>
              <w:rFonts w:asciiTheme="minorHAnsi" w:eastAsiaTheme="minorEastAsia" w:hAnsiTheme="minorHAnsi" w:cstheme="minorBidi"/>
              <w:noProof/>
              <w:color w:val="auto"/>
              <w:sz w:val="22"/>
              <w:szCs w:val="22"/>
              <w:lang w:val="fr-LU" w:eastAsia="fr-LU" w:bidi="ar-SA"/>
            </w:rPr>
          </w:pPr>
          <w:hyperlink w:anchor="_Toc441733518" w:history="1">
            <w:r w:rsidRPr="00F430C5">
              <w:rPr>
                <w:rStyle w:val="Hyperlink"/>
                <w:noProof/>
              </w:rPr>
              <w:t>Railway safety in other countries – Denmark fares well</w:t>
            </w:r>
            <w:r>
              <w:rPr>
                <w:noProof/>
                <w:webHidden/>
              </w:rPr>
              <w:tab/>
            </w:r>
            <w:r>
              <w:rPr>
                <w:noProof/>
                <w:webHidden/>
              </w:rPr>
              <w:fldChar w:fldCharType="begin"/>
            </w:r>
            <w:r>
              <w:rPr>
                <w:noProof/>
                <w:webHidden/>
              </w:rPr>
              <w:instrText xml:space="preserve"> PAGEREF _Toc441733518 \h </w:instrText>
            </w:r>
            <w:r>
              <w:rPr>
                <w:noProof/>
                <w:webHidden/>
              </w:rPr>
            </w:r>
            <w:r>
              <w:rPr>
                <w:noProof/>
                <w:webHidden/>
              </w:rPr>
              <w:fldChar w:fldCharType="separate"/>
            </w:r>
            <w:r>
              <w:rPr>
                <w:noProof/>
                <w:webHidden/>
              </w:rPr>
              <w:t>20</w:t>
            </w:r>
            <w:r>
              <w:rPr>
                <w:noProof/>
                <w:webHidden/>
              </w:rPr>
              <w:fldChar w:fldCharType="end"/>
            </w:r>
          </w:hyperlink>
        </w:p>
        <w:p w:rsidR="002429C5" w:rsidRDefault="002429C5">
          <w:pPr>
            <w:pStyle w:val="TOC1"/>
            <w:rPr>
              <w:rFonts w:asciiTheme="minorHAnsi" w:eastAsiaTheme="minorEastAsia" w:hAnsiTheme="minorHAnsi" w:cstheme="minorBidi"/>
              <w:b w:val="0"/>
              <w:noProof/>
              <w:color w:val="auto"/>
              <w:sz w:val="22"/>
              <w:szCs w:val="22"/>
              <w:lang w:val="fr-LU" w:eastAsia="fr-LU" w:bidi="ar-SA"/>
            </w:rPr>
          </w:pPr>
          <w:hyperlink w:anchor="_Toc441733519" w:history="1">
            <w:r w:rsidRPr="00F430C5">
              <w:rPr>
                <w:rStyle w:val="Hyperlink"/>
                <w:noProof/>
              </w:rPr>
              <w:t>Chapter 2. Follow-up of recommendations from the Accident Investigation Board and other incidents</w:t>
            </w:r>
            <w:r>
              <w:rPr>
                <w:noProof/>
                <w:webHidden/>
              </w:rPr>
              <w:tab/>
            </w:r>
            <w:r>
              <w:rPr>
                <w:noProof/>
                <w:webHidden/>
              </w:rPr>
              <w:fldChar w:fldCharType="begin"/>
            </w:r>
            <w:r>
              <w:rPr>
                <w:noProof/>
                <w:webHidden/>
              </w:rPr>
              <w:instrText xml:space="preserve"> PAGEREF _Toc441733519 \h </w:instrText>
            </w:r>
            <w:r>
              <w:rPr>
                <w:noProof/>
                <w:webHidden/>
              </w:rPr>
            </w:r>
            <w:r>
              <w:rPr>
                <w:noProof/>
                <w:webHidden/>
              </w:rPr>
              <w:fldChar w:fldCharType="separate"/>
            </w:r>
            <w:r>
              <w:rPr>
                <w:noProof/>
                <w:webHidden/>
              </w:rPr>
              <w:t>24</w:t>
            </w:r>
            <w:r>
              <w:rPr>
                <w:noProof/>
                <w:webHidden/>
              </w:rPr>
              <w:fldChar w:fldCharType="end"/>
            </w:r>
          </w:hyperlink>
        </w:p>
        <w:p w:rsidR="002429C5" w:rsidRDefault="002429C5">
          <w:pPr>
            <w:pStyle w:val="TOC2"/>
            <w:rPr>
              <w:rFonts w:asciiTheme="minorHAnsi" w:eastAsiaTheme="minorEastAsia" w:hAnsiTheme="minorHAnsi" w:cstheme="minorBidi"/>
              <w:noProof/>
              <w:color w:val="auto"/>
              <w:sz w:val="22"/>
              <w:szCs w:val="22"/>
              <w:lang w:val="fr-LU" w:eastAsia="fr-LU" w:bidi="ar-SA"/>
            </w:rPr>
          </w:pPr>
          <w:hyperlink w:anchor="_Toc441733520" w:history="1">
            <w:r w:rsidRPr="00F430C5">
              <w:rPr>
                <w:rStyle w:val="Hyperlink"/>
                <w:noProof/>
              </w:rPr>
              <w:t>Recommendations from the Accident Investigation Board</w:t>
            </w:r>
            <w:r>
              <w:rPr>
                <w:noProof/>
                <w:webHidden/>
              </w:rPr>
              <w:tab/>
            </w:r>
            <w:r>
              <w:rPr>
                <w:noProof/>
                <w:webHidden/>
              </w:rPr>
              <w:fldChar w:fldCharType="begin"/>
            </w:r>
            <w:r>
              <w:rPr>
                <w:noProof/>
                <w:webHidden/>
              </w:rPr>
              <w:instrText xml:space="preserve"> PAGEREF _Toc441733520 \h </w:instrText>
            </w:r>
            <w:r>
              <w:rPr>
                <w:noProof/>
                <w:webHidden/>
              </w:rPr>
            </w:r>
            <w:r>
              <w:rPr>
                <w:noProof/>
                <w:webHidden/>
              </w:rPr>
              <w:fldChar w:fldCharType="separate"/>
            </w:r>
            <w:r>
              <w:rPr>
                <w:noProof/>
                <w:webHidden/>
              </w:rPr>
              <w:t>24</w:t>
            </w:r>
            <w:r>
              <w:rPr>
                <w:noProof/>
                <w:webHidden/>
              </w:rPr>
              <w:fldChar w:fldCharType="end"/>
            </w:r>
          </w:hyperlink>
        </w:p>
        <w:p w:rsidR="002429C5" w:rsidRDefault="002429C5">
          <w:pPr>
            <w:pStyle w:val="TOC2"/>
            <w:rPr>
              <w:rFonts w:asciiTheme="minorHAnsi" w:eastAsiaTheme="minorEastAsia" w:hAnsiTheme="minorHAnsi" w:cstheme="minorBidi"/>
              <w:noProof/>
              <w:color w:val="auto"/>
              <w:sz w:val="22"/>
              <w:szCs w:val="22"/>
              <w:lang w:val="fr-LU" w:eastAsia="fr-LU" w:bidi="ar-SA"/>
            </w:rPr>
          </w:pPr>
          <w:hyperlink w:anchor="_Toc441733521" w:history="1">
            <w:r w:rsidRPr="00F430C5">
              <w:rPr>
                <w:rStyle w:val="Hyperlink"/>
                <w:noProof/>
              </w:rPr>
              <w:t>Collision between two IC4 units at Esbjerg station</w:t>
            </w:r>
            <w:r>
              <w:rPr>
                <w:noProof/>
                <w:webHidden/>
              </w:rPr>
              <w:tab/>
            </w:r>
            <w:r>
              <w:rPr>
                <w:noProof/>
                <w:webHidden/>
              </w:rPr>
              <w:fldChar w:fldCharType="begin"/>
            </w:r>
            <w:r>
              <w:rPr>
                <w:noProof/>
                <w:webHidden/>
              </w:rPr>
              <w:instrText xml:space="preserve"> PAGEREF _Toc441733521 \h </w:instrText>
            </w:r>
            <w:r>
              <w:rPr>
                <w:noProof/>
                <w:webHidden/>
              </w:rPr>
            </w:r>
            <w:r>
              <w:rPr>
                <w:noProof/>
                <w:webHidden/>
              </w:rPr>
              <w:fldChar w:fldCharType="separate"/>
            </w:r>
            <w:r>
              <w:rPr>
                <w:noProof/>
                <w:webHidden/>
              </w:rPr>
              <w:t>25</w:t>
            </w:r>
            <w:r>
              <w:rPr>
                <w:noProof/>
                <w:webHidden/>
              </w:rPr>
              <w:fldChar w:fldCharType="end"/>
            </w:r>
          </w:hyperlink>
        </w:p>
        <w:p w:rsidR="002429C5" w:rsidRDefault="002429C5">
          <w:pPr>
            <w:pStyle w:val="TOC2"/>
            <w:rPr>
              <w:rFonts w:asciiTheme="minorHAnsi" w:eastAsiaTheme="minorEastAsia" w:hAnsiTheme="minorHAnsi" w:cstheme="minorBidi"/>
              <w:noProof/>
              <w:color w:val="auto"/>
              <w:sz w:val="22"/>
              <w:szCs w:val="22"/>
              <w:lang w:val="fr-LU" w:eastAsia="fr-LU" w:bidi="ar-SA"/>
            </w:rPr>
          </w:pPr>
          <w:hyperlink w:anchor="_Toc441733522" w:history="1">
            <w:r w:rsidRPr="00F430C5">
              <w:rPr>
                <w:rStyle w:val="Hyperlink"/>
                <w:noProof/>
              </w:rPr>
              <w:t>Car hit by train at level crossing 115 – Stokholmvej in Vinderup</w:t>
            </w:r>
            <w:r>
              <w:rPr>
                <w:noProof/>
                <w:webHidden/>
              </w:rPr>
              <w:tab/>
            </w:r>
            <w:r>
              <w:rPr>
                <w:noProof/>
                <w:webHidden/>
              </w:rPr>
              <w:fldChar w:fldCharType="begin"/>
            </w:r>
            <w:r>
              <w:rPr>
                <w:noProof/>
                <w:webHidden/>
              </w:rPr>
              <w:instrText xml:space="preserve"> PAGEREF _Toc441733522 \h </w:instrText>
            </w:r>
            <w:r>
              <w:rPr>
                <w:noProof/>
                <w:webHidden/>
              </w:rPr>
            </w:r>
            <w:r>
              <w:rPr>
                <w:noProof/>
                <w:webHidden/>
              </w:rPr>
              <w:fldChar w:fldCharType="separate"/>
            </w:r>
            <w:r>
              <w:rPr>
                <w:noProof/>
                <w:webHidden/>
              </w:rPr>
              <w:t>26</w:t>
            </w:r>
            <w:r>
              <w:rPr>
                <w:noProof/>
                <w:webHidden/>
              </w:rPr>
              <w:fldChar w:fldCharType="end"/>
            </w:r>
          </w:hyperlink>
        </w:p>
        <w:p w:rsidR="002429C5" w:rsidRDefault="002429C5">
          <w:pPr>
            <w:pStyle w:val="TOC2"/>
            <w:rPr>
              <w:rFonts w:asciiTheme="minorHAnsi" w:eastAsiaTheme="minorEastAsia" w:hAnsiTheme="minorHAnsi" w:cstheme="minorBidi"/>
              <w:noProof/>
              <w:color w:val="auto"/>
              <w:sz w:val="22"/>
              <w:szCs w:val="22"/>
              <w:lang w:val="fr-LU" w:eastAsia="fr-LU" w:bidi="ar-SA"/>
            </w:rPr>
          </w:pPr>
          <w:hyperlink w:anchor="_Toc441733523" w:history="1">
            <w:r w:rsidRPr="00F430C5">
              <w:rPr>
                <w:rStyle w:val="Hyperlink"/>
                <w:noProof/>
              </w:rPr>
              <w:t>Development of fire/smoke in IC3 units</w:t>
            </w:r>
            <w:r>
              <w:rPr>
                <w:noProof/>
                <w:webHidden/>
              </w:rPr>
              <w:tab/>
            </w:r>
            <w:r>
              <w:rPr>
                <w:noProof/>
                <w:webHidden/>
              </w:rPr>
              <w:fldChar w:fldCharType="begin"/>
            </w:r>
            <w:r>
              <w:rPr>
                <w:noProof/>
                <w:webHidden/>
              </w:rPr>
              <w:instrText xml:space="preserve"> PAGEREF _Toc441733523 \h </w:instrText>
            </w:r>
            <w:r>
              <w:rPr>
                <w:noProof/>
                <w:webHidden/>
              </w:rPr>
            </w:r>
            <w:r>
              <w:rPr>
                <w:noProof/>
                <w:webHidden/>
              </w:rPr>
              <w:fldChar w:fldCharType="separate"/>
            </w:r>
            <w:r>
              <w:rPr>
                <w:noProof/>
                <w:webHidden/>
              </w:rPr>
              <w:t>27</w:t>
            </w:r>
            <w:r>
              <w:rPr>
                <w:noProof/>
                <w:webHidden/>
              </w:rPr>
              <w:fldChar w:fldCharType="end"/>
            </w:r>
          </w:hyperlink>
        </w:p>
        <w:p w:rsidR="002429C5" w:rsidRDefault="002429C5">
          <w:pPr>
            <w:pStyle w:val="TOC2"/>
            <w:rPr>
              <w:rFonts w:asciiTheme="minorHAnsi" w:eastAsiaTheme="minorEastAsia" w:hAnsiTheme="minorHAnsi" w:cstheme="minorBidi"/>
              <w:noProof/>
              <w:color w:val="auto"/>
              <w:sz w:val="22"/>
              <w:szCs w:val="22"/>
              <w:lang w:val="fr-LU" w:eastAsia="fr-LU" w:bidi="ar-SA"/>
            </w:rPr>
          </w:pPr>
          <w:hyperlink w:anchor="_Toc441733524" w:history="1">
            <w:r w:rsidRPr="00F430C5">
              <w:rPr>
                <w:rStyle w:val="Hyperlink"/>
                <w:noProof/>
              </w:rPr>
              <w:t>Goods trains collided at Padborg station</w:t>
            </w:r>
            <w:r>
              <w:rPr>
                <w:noProof/>
                <w:webHidden/>
              </w:rPr>
              <w:tab/>
            </w:r>
            <w:r>
              <w:rPr>
                <w:noProof/>
                <w:webHidden/>
              </w:rPr>
              <w:fldChar w:fldCharType="begin"/>
            </w:r>
            <w:r>
              <w:rPr>
                <w:noProof/>
                <w:webHidden/>
              </w:rPr>
              <w:instrText xml:space="preserve"> PAGEREF _Toc441733524 \h </w:instrText>
            </w:r>
            <w:r>
              <w:rPr>
                <w:noProof/>
                <w:webHidden/>
              </w:rPr>
            </w:r>
            <w:r>
              <w:rPr>
                <w:noProof/>
                <w:webHidden/>
              </w:rPr>
              <w:fldChar w:fldCharType="separate"/>
            </w:r>
            <w:r>
              <w:rPr>
                <w:noProof/>
                <w:webHidden/>
              </w:rPr>
              <w:t>28</w:t>
            </w:r>
            <w:r>
              <w:rPr>
                <w:noProof/>
                <w:webHidden/>
              </w:rPr>
              <w:fldChar w:fldCharType="end"/>
            </w:r>
          </w:hyperlink>
        </w:p>
        <w:p w:rsidR="002429C5" w:rsidRDefault="002429C5">
          <w:pPr>
            <w:pStyle w:val="TOC2"/>
            <w:rPr>
              <w:rFonts w:asciiTheme="minorHAnsi" w:eastAsiaTheme="minorEastAsia" w:hAnsiTheme="minorHAnsi" w:cstheme="minorBidi"/>
              <w:noProof/>
              <w:color w:val="auto"/>
              <w:sz w:val="22"/>
              <w:szCs w:val="22"/>
              <w:lang w:val="fr-LU" w:eastAsia="fr-LU" w:bidi="ar-SA"/>
            </w:rPr>
          </w:pPr>
          <w:hyperlink w:anchor="_Toc441733525" w:history="1">
            <w:r w:rsidRPr="00F430C5">
              <w:rPr>
                <w:rStyle w:val="Hyperlink"/>
                <w:noProof/>
              </w:rPr>
              <w:t>Other incidents: Breakage of IC4 train axle bearing boxes</w:t>
            </w:r>
            <w:r>
              <w:rPr>
                <w:noProof/>
                <w:webHidden/>
              </w:rPr>
              <w:tab/>
            </w:r>
            <w:r>
              <w:rPr>
                <w:noProof/>
                <w:webHidden/>
              </w:rPr>
              <w:fldChar w:fldCharType="begin"/>
            </w:r>
            <w:r>
              <w:rPr>
                <w:noProof/>
                <w:webHidden/>
              </w:rPr>
              <w:instrText xml:space="preserve"> PAGEREF _Toc441733525 \h </w:instrText>
            </w:r>
            <w:r>
              <w:rPr>
                <w:noProof/>
                <w:webHidden/>
              </w:rPr>
            </w:r>
            <w:r>
              <w:rPr>
                <w:noProof/>
                <w:webHidden/>
              </w:rPr>
              <w:fldChar w:fldCharType="separate"/>
            </w:r>
            <w:r>
              <w:rPr>
                <w:noProof/>
                <w:webHidden/>
              </w:rPr>
              <w:t>29</w:t>
            </w:r>
            <w:r>
              <w:rPr>
                <w:noProof/>
                <w:webHidden/>
              </w:rPr>
              <w:fldChar w:fldCharType="end"/>
            </w:r>
          </w:hyperlink>
        </w:p>
        <w:p w:rsidR="002429C5" w:rsidRDefault="002429C5">
          <w:pPr>
            <w:pStyle w:val="TOC1"/>
            <w:rPr>
              <w:rFonts w:asciiTheme="minorHAnsi" w:eastAsiaTheme="minorEastAsia" w:hAnsiTheme="minorHAnsi" w:cstheme="minorBidi"/>
              <w:b w:val="0"/>
              <w:noProof/>
              <w:color w:val="auto"/>
              <w:sz w:val="22"/>
              <w:szCs w:val="22"/>
              <w:lang w:val="fr-LU" w:eastAsia="fr-LU" w:bidi="ar-SA"/>
            </w:rPr>
          </w:pPr>
          <w:hyperlink w:anchor="_Toc441733526" w:history="1">
            <w:r w:rsidRPr="00F430C5">
              <w:rPr>
                <w:rStyle w:val="Hyperlink"/>
                <w:noProof/>
              </w:rPr>
              <w:t>Chapter 3. Supervision of railway safety in 2014</w:t>
            </w:r>
            <w:r>
              <w:rPr>
                <w:noProof/>
                <w:webHidden/>
              </w:rPr>
              <w:tab/>
            </w:r>
            <w:r>
              <w:rPr>
                <w:noProof/>
                <w:webHidden/>
              </w:rPr>
              <w:fldChar w:fldCharType="begin"/>
            </w:r>
            <w:r>
              <w:rPr>
                <w:noProof/>
                <w:webHidden/>
              </w:rPr>
              <w:instrText xml:space="preserve"> PAGEREF _Toc441733526 \h </w:instrText>
            </w:r>
            <w:r>
              <w:rPr>
                <w:noProof/>
                <w:webHidden/>
              </w:rPr>
            </w:r>
            <w:r>
              <w:rPr>
                <w:noProof/>
                <w:webHidden/>
              </w:rPr>
              <w:fldChar w:fldCharType="separate"/>
            </w:r>
            <w:r>
              <w:rPr>
                <w:noProof/>
                <w:webHidden/>
              </w:rPr>
              <w:t>30</w:t>
            </w:r>
            <w:r>
              <w:rPr>
                <w:noProof/>
                <w:webHidden/>
              </w:rPr>
              <w:fldChar w:fldCharType="end"/>
            </w:r>
          </w:hyperlink>
        </w:p>
        <w:p w:rsidR="002429C5" w:rsidRDefault="002429C5">
          <w:pPr>
            <w:pStyle w:val="TOC2"/>
            <w:rPr>
              <w:rFonts w:asciiTheme="minorHAnsi" w:eastAsiaTheme="minorEastAsia" w:hAnsiTheme="minorHAnsi" w:cstheme="minorBidi"/>
              <w:noProof/>
              <w:color w:val="auto"/>
              <w:sz w:val="22"/>
              <w:szCs w:val="22"/>
              <w:lang w:val="fr-LU" w:eastAsia="fr-LU" w:bidi="ar-SA"/>
            </w:rPr>
          </w:pPr>
          <w:hyperlink w:anchor="_Toc441733527" w:history="1">
            <w:r w:rsidRPr="00F430C5">
              <w:rPr>
                <w:rStyle w:val="Hyperlink"/>
                <w:noProof/>
              </w:rPr>
              <w:t>The Agency as supervisory authority</w:t>
            </w:r>
            <w:r>
              <w:rPr>
                <w:noProof/>
                <w:webHidden/>
              </w:rPr>
              <w:tab/>
            </w:r>
            <w:r>
              <w:rPr>
                <w:noProof/>
                <w:webHidden/>
              </w:rPr>
              <w:fldChar w:fldCharType="begin"/>
            </w:r>
            <w:r>
              <w:rPr>
                <w:noProof/>
                <w:webHidden/>
              </w:rPr>
              <w:instrText xml:space="preserve"> PAGEREF _Toc441733527 \h </w:instrText>
            </w:r>
            <w:r>
              <w:rPr>
                <w:noProof/>
                <w:webHidden/>
              </w:rPr>
            </w:r>
            <w:r>
              <w:rPr>
                <w:noProof/>
                <w:webHidden/>
              </w:rPr>
              <w:fldChar w:fldCharType="separate"/>
            </w:r>
            <w:r>
              <w:rPr>
                <w:noProof/>
                <w:webHidden/>
              </w:rPr>
              <w:t>30</w:t>
            </w:r>
            <w:r>
              <w:rPr>
                <w:noProof/>
                <w:webHidden/>
              </w:rPr>
              <w:fldChar w:fldCharType="end"/>
            </w:r>
          </w:hyperlink>
        </w:p>
        <w:p w:rsidR="002429C5" w:rsidRDefault="002429C5">
          <w:pPr>
            <w:pStyle w:val="TOC2"/>
            <w:rPr>
              <w:rFonts w:asciiTheme="minorHAnsi" w:eastAsiaTheme="minorEastAsia" w:hAnsiTheme="minorHAnsi" w:cstheme="minorBidi"/>
              <w:noProof/>
              <w:color w:val="auto"/>
              <w:sz w:val="22"/>
              <w:szCs w:val="22"/>
              <w:lang w:val="fr-LU" w:eastAsia="fr-LU" w:bidi="ar-SA"/>
            </w:rPr>
          </w:pPr>
          <w:hyperlink w:anchor="_Toc441733528" w:history="1">
            <w:r w:rsidRPr="00F430C5">
              <w:rPr>
                <w:rStyle w:val="Hyperlink"/>
                <w:noProof/>
              </w:rPr>
              <w:t>The effect of supervision and maturity assessment</w:t>
            </w:r>
            <w:r>
              <w:rPr>
                <w:noProof/>
                <w:webHidden/>
              </w:rPr>
              <w:tab/>
            </w:r>
            <w:r>
              <w:rPr>
                <w:noProof/>
                <w:webHidden/>
              </w:rPr>
              <w:fldChar w:fldCharType="begin"/>
            </w:r>
            <w:r>
              <w:rPr>
                <w:noProof/>
                <w:webHidden/>
              </w:rPr>
              <w:instrText xml:space="preserve"> PAGEREF _Toc441733528 \h </w:instrText>
            </w:r>
            <w:r>
              <w:rPr>
                <w:noProof/>
                <w:webHidden/>
              </w:rPr>
            </w:r>
            <w:r>
              <w:rPr>
                <w:noProof/>
                <w:webHidden/>
              </w:rPr>
              <w:fldChar w:fldCharType="separate"/>
            </w:r>
            <w:r>
              <w:rPr>
                <w:noProof/>
                <w:webHidden/>
              </w:rPr>
              <w:t>30</w:t>
            </w:r>
            <w:r>
              <w:rPr>
                <w:noProof/>
                <w:webHidden/>
              </w:rPr>
              <w:fldChar w:fldCharType="end"/>
            </w:r>
          </w:hyperlink>
        </w:p>
        <w:p w:rsidR="002429C5" w:rsidRDefault="002429C5">
          <w:pPr>
            <w:pStyle w:val="TOC2"/>
            <w:rPr>
              <w:rFonts w:asciiTheme="minorHAnsi" w:eastAsiaTheme="minorEastAsia" w:hAnsiTheme="minorHAnsi" w:cstheme="minorBidi"/>
              <w:noProof/>
              <w:color w:val="auto"/>
              <w:sz w:val="22"/>
              <w:szCs w:val="22"/>
              <w:lang w:val="fr-LU" w:eastAsia="fr-LU" w:bidi="ar-SA"/>
            </w:rPr>
          </w:pPr>
          <w:hyperlink w:anchor="_Toc441733529" w:history="1">
            <w:r w:rsidRPr="00F430C5">
              <w:rPr>
                <w:rStyle w:val="Hyperlink"/>
                <w:noProof/>
              </w:rPr>
              <w:t>Supervision planning and prioritisation</w:t>
            </w:r>
            <w:r>
              <w:rPr>
                <w:noProof/>
                <w:webHidden/>
              </w:rPr>
              <w:tab/>
            </w:r>
            <w:r>
              <w:rPr>
                <w:noProof/>
                <w:webHidden/>
              </w:rPr>
              <w:fldChar w:fldCharType="begin"/>
            </w:r>
            <w:r>
              <w:rPr>
                <w:noProof/>
                <w:webHidden/>
              </w:rPr>
              <w:instrText xml:space="preserve"> PAGEREF _Toc441733529 \h </w:instrText>
            </w:r>
            <w:r>
              <w:rPr>
                <w:noProof/>
                <w:webHidden/>
              </w:rPr>
            </w:r>
            <w:r>
              <w:rPr>
                <w:noProof/>
                <w:webHidden/>
              </w:rPr>
              <w:fldChar w:fldCharType="separate"/>
            </w:r>
            <w:r>
              <w:rPr>
                <w:noProof/>
                <w:webHidden/>
              </w:rPr>
              <w:t>32</w:t>
            </w:r>
            <w:r>
              <w:rPr>
                <w:noProof/>
                <w:webHidden/>
              </w:rPr>
              <w:fldChar w:fldCharType="end"/>
            </w:r>
          </w:hyperlink>
        </w:p>
        <w:p w:rsidR="002429C5" w:rsidRDefault="002429C5">
          <w:pPr>
            <w:pStyle w:val="TOC2"/>
            <w:rPr>
              <w:rFonts w:asciiTheme="minorHAnsi" w:eastAsiaTheme="minorEastAsia" w:hAnsiTheme="minorHAnsi" w:cstheme="minorBidi"/>
              <w:noProof/>
              <w:color w:val="auto"/>
              <w:sz w:val="22"/>
              <w:szCs w:val="22"/>
              <w:lang w:val="fr-LU" w:eastAsia="fr-LU" w:bidi="ar-SA"/>
            </w:rPr>
          </w:pPr>
          <w:hyperlink w:anchor="_Toc441733530" w:history="1">
            <w:r w:rsidRPr="00F430C5">
              <w:rPr>
                <w:rStyle w:val="Hyperlink"/>
                <w:noProof/>
              </w:rPr>
              <w:t>Use of resources</w:t>
            </w:r>
            <w:r>
              <w:rPr>
                <w:noProof/>
                <w:webHidden/>
              </w:rPr>
              <w:tab/>
            </w:r>
            <w:r>
              <w:rPr>
                <w:noProof/>
                <w:webHidden/>
              </w:rPr>
              <w:fldChar w:fldCharType="begin"/>
            </w:r>
            <w:r>
              <w:rPr>
                <w:noProof/>
                <w:webHidden/>
              </w:rPr>
              <w:instrText xml:space="preserve"> PAGEREF _Toc441733530 \h </w:instrText>
            </w:r>
            <w:r>
              <w:rPr>
                <w:noProof/>
                <w:webHidden/>
              </w:rPr>
            </w:r>
            <w:r>
              <w:rPr>
                <w:noProof/>
                <w:webHidden/>
              </w:rPr>
              <w:fldChar w:fldCharType="separate"/>
            </w:r>
            <w:r>
              <w:rPr>
                <w:noProof/>
                <w:webHidden/>
              </w:rPr>
              <w:t>33</w:t>
            </w:r>
            <w:r>
              <w:rPr>
                <w:noProof/>
                <w:webHidden/>
              </w:rPr>
              <w:fldChar w:fldCharType="end"/>
            </w:r>
          </w:hyperlink>
        </w:p>
        <w:p w:rsidR="002429C5" w:rsidRDefault="002429C5">
          <w:pPr>
            <w:pStyle w:val="TOC2"/>
            <w:rPr>
              <w:rFonts w:asciiTheme="minorHAnsi" w:eastAsiaTheme="minorEastAsia" w:hAnsiTheme="minorHAnsi" w:cstheme="minorBidi"/>
              <w:noProof/>
              <w:color w:val="auto"/>
              <w:sz w:val="22"/>
              <w:szCs w:val="22"/>
              <w:lang w:val="fr-LU" w:eastAsia="fr-LU" w:bidi="ar-SA"/>
            </w:rPr>
          </w:pPr>
          <w:hyperlink w:anchor="_Toc441733531" w:history="1">
            <w:r w:rsidRPr="00F430C5">
              <w:rPr>
                <w:rStyle w:val="Hyperlink"/>
                <w:noProof/>
              </w:rPr>
              <w:t>Competence management</w:t>
            </w:r>
            <w:r>
              <w:rPr>
                <w:noProof/>
                <w:webHidden/>
              </w:rPr>
              <w:tab/>
            </w:r>
            <w:r>
              <w:rPr>
                <w:noProof/>
                <w:webHidden/>
              </w:rPr>
              <w:fldChar w:fldCharType="begin"/>
            </w:r>
            <w:r>
              <w:rPr>
                <w:noProof/>
                <w:webHidden/>
              </w:rPr>
              <w:instrText xml:space="preserve"> PAGEREF _Toc441733531 \h </w:instrText>
            </w:r>
            <w:r>
              <w:rPr>
                <w:noProof/>
                <w:webHidden/>
              </w:rPr>
            </w:r>
            <w:r>
              <w:rPr>
                <w:noProof/>
                <w:webHidden/>
              </w:rPr>
              <w:fldChar w:fldCharType="separate"/>
            </w:r>
            <w:r>
              <w:rPr>
                <w:noProof/>
                <w:webHidden/>
              </w:rPr>
              <w:t>34</w:t>
            </w:r>
            <w:r>
              <w:rPr>
                <w:noProof/>
                <w:webHidden/>
              </w:rPr>
              <w:fldChar w:fldCharType="end"/>
            </w:r>
          </w:hyperlink>
        </w:p>
        <w:p w:rsidR="002429C5" w:rsidRDefault="002429C5">
          <w:pPr>
            <w:pStyle w:val="TOC2"/>
            <w:rPr>
              <w:rFonts w:asciiTheme="minorHAnsi" w:eastAsiaTheme="minorEastAsia" w:hAnsiTheme="minorHAnsi" w:cstheme="minorBidi"/>
              <w:noProof/>
              <w:color w:val="auto"/>
              <w:sz w:val="22"/>
              <w:szCs w:val="22"/>
              <w:lang w:val="fr-LU" w:eastAsia="fr-LU" w:bidi="ar-SA"/>
            </w:rPr>
          </w:pPr>
          <w:hyperlink w:anchor="_Toc441733532" w:history="1">
            <w:r w:rsidRPr="00F430C5">
              <w:rPr>
                <w:rStyle w:val="Hyperlink"/>
                <w:noProof/>
              </w:rPr>
              <w:t>Cooperation with other countries' authorities in relation to supervisory activities</w:t>
            </w:r>
            <w:r>
              <w:rPr>
                <w:noProof/>
                <w:webHidden/>
              </w:rPr>
              <w:tab/>
            </w:r>
            <w:r>
              <w:rPr>
                <w:noProof/>
                <w:webHidden/>
              </w:rPr>
              <w:fldChar w:fldCharType="begin"/>
            </w:r>
            <w:r>
              <w:rPr>
                <w:noProof/>
                <w:webHidden/>
              </w:rPr>
              <w:instrText xml:space="preserve"> PAGEREF _Toc441733532 \h </w:instrText>
            </w:r>
            <w:r>
              <w:rPr>
                <w:noProof/>
                <w:webHidden/>
              </w:rPr>
            </w:r>
            <w:r>
              <w:rPr>
                <w:noProof/>
                <w:webHidden/>
              </w:rPr>
              <w:fldChar w:fldCharType="separate"/>
            </w:r>
            <w:r>
              <w:rPr>
                <w:noProof/>
                <w:webHidden/>
              </w:rPr>
              <w:t>35</w:t>
            </w:r>
            <w:r>
              <w:rPr>
                <w:noProof/>
                <w:webHidden/>
              </w:rPr>
              <w:fldChar w:fldCharType="end"/>
            </w:r>
          </w:hyperlink>
        </w:p>
        <w:p w:rsidR="002429C5" w:rsidRDefault="002429C5">
          <w:pPr>
            <w:pStyle w:val="TOC2"/>
            <w:rPr>
              <w:rFonts w:asciiTheme="minorHAnsi" w:eastAsiaTheme="minorEastAsia" w:hAnsiTheme="minorHAnsi" w:cstheme="minorBidi"/>
              <w:noProof/>
              <w:color w:val="auto"/>
              <w:sz w:val="22"/>
              <w:szCs w:val="22"/>
              <w:lang w:val="fr-LU" w:eastAsia="fr-LU" w:bidi="ar-SA"/>
            </w:rPr>
          </w:pPr>
          <w:hyperlink w:anchor="_Toc441733533" w:history="1">
            <w:r w:rsidRPr="00F430C5">
              <w:rPr>
                <w:rStyle w:val="Hyperlink"/>
                <w:noProof/>
              </w:rPr>
              <w:t>Other results from the supervision</w:t>
            </w:r>
            <w:r>
              <w:rPr>
                <w:noProof/>
                <w:webHidden/>
              </w:rPr>
              <w:tab/>
            </w:r>
            <w:r>
              <w:rPr>
                <w:noProof/>
                <w:webHidden/>
              </w:rPr>
              <w:fldChar w:fldCharType="begin"/>
            </w:r>
            <w:r>
              <w:rPr>
                <w:noProof/>
                <w:webHidden/>
              </w:rPr>
              <w:instrText xml:space="preserve"> PAGEREF _Toc441733533 \h </w:instrText>
            </w:r>
            <w:r>
              <w:rPr>
                <w:noProof/>
                <w:webHidden/>
              </w:rPr>
            </w:r>
            <w:r>
              <w:rPr>
                <w:noProof/>
                <w:webHidden/>
              </w:rPr>
              <w:fldChar w:fldCharType="separate"/>
            </w:r>
            <w:r>
              <w:rPr>
                <w:noProof/>
                <w:webHidden/>
              </w:rPr>
              <w:t>35</w:t>
            </w:r>
            <w:r>
              <w:rPr>
                <w:noProof/>
                <w:webHidden/>
              </w:rPr>
              <w:fldChar w:fldCharType="end"/>
            </w:r>
          </w:hyperlink>
        </w:p>
        <w:p w:rsidR="002429C5" w:rsidRDefault="002429C5">
          <w:pPr>
            <w:pStyle w:val="TOC2"/>
            <w:rPr>
              <w:rFonts w:asciiTheme="minorHAnsi" w:eastAsiaTheme="minorEastAsia" w:hAnsiTheme="minorHAnsi" w:cstheme="minorBidi"/>
              <w:noProof/>
              <w:color w:val="auto"/>
              <w:sz w:val="22"/>
              <w:szCs w:val="22"/>
              <w:lang w:val="fr-LU" w:eastAsia="fr-LU" w:bidi="ar-SA"/>
            </w:rPr>
          </w:pPr>
          <w:hyperlink w:anchor="_Toc441733534" w:history="1">
            <w:r w:rsidRPr="00F430C5">
              <w:rPr>
                <w:rStyle w:val="Hyperlink"/>
                <w:noProof/>
              </w:rPr>
              <w:t>Corrective actions implemented by the undertakings</w:t>
            </w:r>
            <w:r>
              <w:rPr>
                <w:noProof/>
                <w:webHidden/>
              </w:rPr>
              <w:tab/>
            </w:r>
            <w:r>
              <w:rPr>
                <w:noProof/>
                <w:webHidden/>
              </w:rPr>
              <w:fldChar w:fldCharType="begin"/>
            </w:r>
            <w:r>
              <w:rPr>
                <w:noProof/>
                <w:webHidden/>
              </w:rPr>
              <w:instrText xml:space="preserve"> PAGEREF _Toc441733534 \h </w:instrText>
            </w:r>
            <w:r>
              <w:rPr>
                <w:noProof/>
                <w:webHidden/>
              </w:rPr>
            </w:r>
            <w:r>
              <w:rPr>
                <w:noProof/>
                <w:webHidden/>
              </w:rPr>
              <w:fldChar w:fldCharType="separate"/>
            </w:r>
            <w:r>
              <w:rPr>
                <w:noProof/>
                <w:webHidden/>
              </w:rPr>
              <w:t>36</w:t>
            </w:r>
            <w:r>
              <w:rPr>
                <w:noProof/>
                <w:webHidden/>
              </w:rPr>
              <w:fldChar w:fldCharType="end"/>
            </w:r>
          </w:hyperlink>
        </w:p>
        <w:p w:rsidR="002429C5" w:rsidRDefault="002429C5">
          <w:pPr>
            <w:pStyle w:val="TOC1"/>
            <w:rPr>
              <w:rFonts w:asciiTheme="minorHAnsi" w:eastAsiaTheme="minorEastAsia" w:hAnsiTheme="minorHAnsi" w:cstheme="minorBidi"/>
              <w:b w:val="0"/>
              <w:noProof/>
              <w:color w:val="auto"/>
              <w:sz w:val="22"/>
              <w:szCs w:val="22"/>
              <w:lang w:val="fr-LU" w:eastAsia="fr-LU" w:bidi="ar-SA"/>
            </w:rPr>
          </w:pPr>
          <w:hyperlink w:anchor="_Toc441733535" w:history="1">
            <w:r w:rsidRPr="00F430C5">
              <w:rPr>
                <w:rStyle w:val="Hyperlink"/>
                <w:noProof/>
              </w:rPr>
              <w:t>Chapter 4. Theme: Supervision of special areas</w:t>
            </w:r>
            <w:r>
              <w:rPr>
                <w:noProof/>
                <w:webHidden/>
              </w:rPr>
              <w:tab/>
            </w:r>
            <w:r>
              <w:rPr>
                <w:noProof/>
                <w:webHidden/>
              </w:rPr>
              <w:fldChar w:fldCharType="begin"/>
            </w:r>
            <w:r>
              <w:rPr>
                <w:noProof/>
                <w:webHidden/>
              </w:rPr>
              <w:instrText xml:space="preserve"> PAGEREF _Toc441733535 \h </w:instrText>
            </w:r>
            <w:r>
              <w:rPr>
                <w:noProof/>
                <w:webHidden/>
              </w:rPr>
            </w:r>
            <w:r>
              <w:rPr>
                <w:noProof/>
                <w:webHidden/>
              </w:rPr>
              <w:fldChar w:fldCharType="separate"/>
            </w:r>
            <w:r>
              <w:rPr>
                <w:noProof/>
                <w:webHidden/>
              </w:rPr>
              <w:t>37</w:t>
            </w:r>
            <w:r>
              <w:rPr>
                <w:noProof/>
                <w:webHidden/>
              </w:rPr>
              <w:fldChar w:fldCharType="end"/>
            </w:r>
          </w:hyperlink>
        </w:p>
        <w:p w:rsidR="002429C5" w:rsidRDefault="002429C5">
          <w:pPr>
            <w:pStyle w:val="TOC2"/>
            <w:rPr>
              <w:rFonts w:asciiTheme="minorHAnsi" w:eastAsiaTheme="minorEastAsia" w:hAnsiTheme="minorHAnsi" w:cstheme="minorBidi"/>
              <w:noProof/>
              <w:color w:val="auto"/>
              <w:sz w:val="22"/>
              <w:szCs w:val="22"/>
              <w:lang w:val="fr-LU" w:eastAsia="fr-LU" w:bidi="ar-SA"/>
            </w:rPr>
          </w:pPr>
          <w:hyperlink w:anchor="_Toc441733536" w:history="1">
            <w:r w:rsidRPr="00F430C5">
              <w:rPr>
                <w:rStyle w:val="Hyperlink"/>
                <w:noProof/>
              </w:rPr>
              <w:t>Competence management</w:t>
            </w:r>
            <w:r>
              <w:rPr>
                <w:noProof/>
                <w:webHidden/>
              </w:rPr>
              <w:tab/>
            </w:r>
            <w:r>
              <w:rPr>
                <w:noProof/>
                <w:webHidden/>
              </w:rPr>
              <w:fldChar w:fldCharType="begin"/>
            </w:r>
            <w:r>
              <w:rPr>
                <w:noProof/>
                <w:webHidden/>
              </w:rPr>
              <w:instrText xml:space="preserve"> PAGEREF _Toc441733536 \h </w:instrText>
            </w:r>
            <w:r>
              <w:rPr>
                <w:noProof/>
                <w:webHidden/>
              </w:rPr>
            </w:r>
            <w:r>
              <w:rPr>
                <w:noProof/>
                <w:webHidden/>
              </w:rPr>
              <w:fldChar w:fldCharType="separate"/>
            </w:r>
            <w:r>
              <w:rPr>
                <w:noProof/>
                <w:webHidden/>
              </w:rPr>
              <w:t>37</w:t>
            </w:r>
            <w:r>
              <w:rPr>
                <w:noProof/>
                <w:webHidden/>
              </w:rPr>
              <w:fldChar w:fldCharType="end"/>
            </w:r>
          </w:hyperlink>
        </w:p>
        <w:p w:rsidR="002429C5" w:rsidRDefault="002429C5">
          <w:pPr>
            <w:pStyle w:val="TOC2"/>
            <w:rPr>
              <w:rFonts w:asciiTheme="minorHAnsi" w:eastAsiaTheme="minorEastAsia" w:hAnsiTheme="minorHAnsi" w:cstheme="minorBidi"/>
              <w:noProof/>
              <w:color w:val="auto"/>
              <w:sz w:val="22"/>
              <w:szCs w:val="22"/>
              <w:lang w:val="fr-LU" w:eastAsia="fr-LU" w:bidi="ar-SA"/>
            </w:rPr>
          </w:pPr>
          <w:hyperlink w:anchor="_Toc441733537" w:history="1">
            <w:r w:rsidRPr="00F430C5">
              <w:rPr>
                <w:rStyle w:val="Hyperlink"/>
                <w:noProof/>
              </w:rPr>
              <w:t>Contract management</w:t>
            </w:r>
            <w:r>
              <w:rPr>
                <w:noProof/>
                <w:webHidden/>
              </w:rPr>
              <w:tab/>
            </w:r>
            <w:r>
              <w:rPr>
                <w:noProof/>
                <w:webHidden/>
              </w:rPr>
              <w:fldChar w:fldCharType="begin"/>
            </w:r>
            <w:r>
              <w:rPr>
                <w:noProof/>
                <w:webHidden/>
              </w:rPr>
              <w:instrText xml:space="preserve"> PAGEREF _Toc441733537 \h </w:instrText>
            </w:r>
            <w:r>
              <w:rPr>
                <w:noProof/>
                <w:webHidden/>
              </w:rPr>
            </w:r>
            <w:r>
              <w:rPr>
                <w:noProof/>
                <w:webHidden/>
              </w:rPr>
              <w:fldChar w:fldCharType="separate"/>
            </w:r>
            <w:r>
              <w:rPr>
                <w:noProof/>
                <w:webHidden/>
              </w:rPr>
              <w:t>38</w:t>
            </w:r>
            <w:r>
              <w:rPr>
                <w:noProof/>
                <w:webHidden/>
              </w:rPr>
              <w:fldChar w:fldCharType="end"/>
            </w:r>
          </w:hyperlink>
        </w:p>
        <w:p w:rsidR="002429C5" w:rsidRDefault="002429C5">
          <w:pPr>
            <w:pStyle w:val="TOC2"/>
            <w:rPr>
              <w:rFonts w:asciiTheme="minorHAnsi" w:eastAsiaTheme="minorEastAsia" w:hAnsiTheme="minorHAnsi" w:cstheme="minorBidi"/>
              <w:noProof/>
              <w:color w:val="auto"/>
              <w:sz w:val="22"/>
              <w:szCs w:val="22"/>
              <w:lang w:val="fr-LU" w:eastAsia="fr-LU" w:bidi="ar-SA"/>
            </w:rPr>
          </w:pPr>
          <w:hyperlink w:anchor="_Toc441733538" w:history="1">
            <w:r w:rsidRPr="00F430C5">
              <w:rPr>
                <w:rStyle w:val="Hyperlink"/>
                <w:noProof/>
              </w:rPr>
              <w:t>Presence in drivers' cabs</w:t>
            </w:r>
            <w:r>
              <w:rPr>
                <w:noProof/>
                <w:webHidden/>
              </w:rPr>
              <w:tab/>
            </w:r>
            <w:r>
              <w:rPr>
                <w:noProof/>
                <w:webHidden/>
              </w:rPr>
              <w:fldChar w:fldCharType="begin"/>
            </w:r>
            <w:r>
              <w:rPr>
                <w:noProof/>
                <w:webHidden/>
              </w:rPr>
              <w:instrText xml:space="preserve"> PAGEREF _Toc441733538 \h </w:instrText>
            </w:r>
            <w:r>
              <w:rPr>
                <w:noProof/>
                <w:webHidden/>
              </w:rPr>
            </w:r>
            <w:r>
              <w:rPr>
                <w:noProof/>
                <w:webHidden/>
              </w:rPr>
              <w:fldChar w:fldCharType="separate"/>
            </w:r>
            <w:r>
              <w:rPr>
                <w:noProof/>
                <w:webHidden/>
              </w:rPr>
              <w:t>39</w:t>
            </w:r>
            <w:r>
              <w:rPr>
                <w:noProof/>
                <w:webHidden/>
              </w:rPr>
              <w:fldChar w:fldCharType="end"/>
            </w:r>
          </w:hyperlink>
        </w:p>
        <w:p w:rsidR="002429C5" w:rsidRDefault="002429C5">
          <w:pPr>
            <w:pStyle w:val="TOC2"/>
            <w:rPr>
              <w:rFonts w:asciiTheme="minorHAnsi" w:eastAsiaTheme="minorEastAsia" w:hAnsiTheme="minorHAnsi" w:cstheme="minorBidi"/>
              <w:noProof/>
              <w:color w:val="auto"/>
              <w:sz w:val="22"/>
              <w:szCs w:val="22"/>
              <w:lang w:val="fr-LU" w:eastAsia="fr-LU" w:bidi="ar-SA"/>
            </w:rPr>
          </w:pPr>
          <w:hyperlink w:anchor="_Toc441733539" w:history="1">
            <w:r w:rsidRPr="00F430C5">
              <w:rPr>
                <w:rStyle w:val="Hyperlink"/>
                <w:noProof/>
              </w:rPr>
              <w:t>Handling of changes in infrastructure</w:t>
            </w:r>
            <w:r>
              <w:rPr>
                <w:noProof/>
                <w:webHidden/>
              </w:rPr>
              <w:tab/>
            </w:r>
            <w:r>
              <w:rPr>
                <w:noProof/>
                <w:webHidden/>
              </w:rPr>
              <w:fldChar w:fldCharType="begin"/>
            </w:r>
            <w:r>
              <w:rPr>
                <w:noProof/>
                <w:webHidden/>
              </w:rPr>
              <w:instrText xml:space="preserve"> PAGEREF _Toc441733539 \h </w:instrText>
            </w:r>
            <w:r>
              <w:rPr>
                <w:noProof/>
                <w:webHidden/>
              </w:rPr>
            </w:r>
            <w:r>
              <w:rPr>
                <w:noProof/>
                <w:webHidden/>
              </w:rPr>
              <w:fldChar w:fldCharType="separate"/>
            </w:r>
            <w:r>
              <w:rPr>
                <w:noProof/>
                <w:webHidden/>
              </w:rPr>
              <w:t>40</w:t>
            </w:r>
            <w:r>
              <w:rPr>
                <w:noProof/>
                <w:webHidden/>
              </w:rPr>
              <w:fldChar w:fldCharType="end"/>
            </w:r>
          </w:hyperlink>
        </w:p>
        <w:p w:rsidR="002429C5" w:rsidRDefault="002429C5">
          <w:pPr>
            <w:pStyle w:val="TOC2"/>
            <w:rPr>
              <w:rFonts w:asciiTheme="minorHAnsi" w:eastAsiaTheme="minorEastAsia" w:hAnsiTheme="minorHAnsi" w:cstheme="minorBidi"/>
              <w:noProof/>
              <w:color w:val="auto"/>
              <w:sz w:val="22"/>
              <w:szCs w:val="22"/>
              <w:lang w:val="fr-LU" w:eastAsia="fr-LU" w:bidi="ar-SA"/>
            </w:rPr>
          </w:pPr>
          <w:hyperlink w:anchor="_Toc441733540" w:history="1">
            <w:r w:rsidRPr="00F430C5">
              <w:rPr>
                <w:rStyle w:val="Hyperlink"/>
                <w:noProof/>
              </w:rPr>
              <w:t>Focus areas for supervision in 2015</w:t>
            </w:r>
            <w:r>
              <w:rPr>
                <w:noProof/>
                <w:webHidden/>
              </w:rPr>
              <w:tab/>
            </w:r>
            <w:r>
              <w:rPr>
                <w:noProof/>
                <w:webHidden/>
              </w:rPr>
              <w:fldChar w:fldCharType="begin"/>
            </w:r>
            <w:r>
              <w:rPr>
                <w:noProof/>
                <w:webHidden/>
              </w:rPr>
              <w:instrText xml:space="preserve"> PAGEREF _Toc441733540 \h </w:instrText>
            </w:r>
            <w:r>
              <w:rPr>
                <w:noProof/>
                <w:webHidden/>
              </w:rPr>
            </w:r>
            <w:r>
              <w:rPr>
                <w:noProof/>
                <w:webHidden/>
              </w:rPr>
              <w:fldChar w:fldCharType="separate"/>
            </w:r>
            <w:r>
              <w:rPr>
                <w:noProof/>
                <w:webHidden/>
              </w:rPr>
              <w:t>40</w:t>
            </w:r>
            <w:r>
              <w:rPr>
                <w:noProof/>
                <w:webHidden/>
              </w:rPr>
              <w:fldChar w:fldCharType="end"/>
            </w:r>
          </w:hyperlink>
        </w:p>
        <w:p w:rsidR="002429C5" w:rsidRDefault="002429C5">
          <w:pPr>
            <w:pStyle w:val="TOC1"/>
            <w:rPr>
              <w:rFonts w:asciiTheme="minorHAnsi" w:eastAsiaTheme="minorEastAsia" w:hAnsiTheme="minorHAnsi" w:cstheme="minorBidi"/>
              <w:b w:val="0"/>
              <w:noProof/>
              <w:color w:val="auto"/>
              <w:sz w:val="22"/>
              <w:szCs w:val="22"/>
              <w:lang w:val="fr-LU" w:eastAsia="fr-LU" w:bidi="ar-SA"/>
            </w:rPr>
          </w:pPr>
          <w:hyperlink w:anchor="_Toc441733541" w:history="1">
            <w:r w:rsidRPr="00F430C5">
              <w:rPr>
                <w:rStyle w:val="Hyperlink"/>
                <w:noProof/>
              </w:rPr>
              <w:t>Chapter 5. Safety certificates and safety approvals</w:t>
            </w:r>
            <w:r>
              <w:rPr>
                <w:noProof/>
                <w:webHidden/>
              </w:rPr>
              <w:tab/>
            </w:r>
            <w:r>
              <w:rPr>
                <w:noProof/>
                <w:webHidden/>
              </w:rPr>
              <w:fldChar w:fldCharType="begin"/>
            </w:r>
            <w:r>
              <w:rPr>
                <w:noProof/>
                <w:webHidden/>
              </w:rPr>
              <w:instrText xml:space="preserve"> PAGEREF _Toc441733541 \h </w:instrText>
            </w:r>
            <w:r>
              <w:rPr>
                <w:noProof/>
                <w:webHidden/>
              </w:rPr>
            </w:r>
            <w:r>
              <w:rPr>
                <w:noProof/>
                <w:webHidden/>
              </w:rPr>
              <w:fldChar w:fldCharType="separate"/>
            </w:r>
            <w:r>
              <w:rPr>
                <w:noProof/>
                <w:webHidden/>
              </w:rPr>
              <w:t>41</w:t>
            </w:r>
            <w:r>
              <w:rPr>
                <w:noProof/>
                <w:webHidden/>
              </w:rPr>
              <w:fldChar w:fldCharType="end"/>
            </w:r>
          </w:hyperlink>
        </w:p>
        <w:p w:rsidR="002429C5" w:rsidRDefault="002429C5">
          <w:pPr>
            <w:pStyle w:val="TOC2"/>
            <w:rPr>
              <w:rFonts w:asciiTheme="minorHAnsi" w:eastAsiaTheme="minorEastAsia" w:hAnsiTheme="minorHAnsi" w:cstheme="minorBidi"/>
              <w:noProof/>
              <w:color w:val="auto"/>
              <w:sz w:val="22"/>
              <w:szCs w:val="22"/>
              <w:lang w:val="fr-LU" w:eastAsia="fr-LU" w:bidi="ar-SA"/>
            </w:rPr>
          </w:pPr>
          <w:hyperlink w:anchor="_Toc441733542" w:history="1">
            <w:r w:rsidRPr="00F430C5">
              <w:rPr>
                <w:rStyle w:val="Hyperlink"/>
                <w:noProof/>
              </w:rPr>
              <w:t>The Agency's guidance of undertakings</w:t>
            </w:r>
            <w:r>
              <w:rPr>
                <w:noProof/>
                <w:webHidden/>
              </w:rPr>
              <w:tab/>
            </w:r>
            <w:r>
              <w:rPr>
                <w:noProof/>
                <w:webHidden/>
              </w:rPr>
              <w:fldChar w:fldCharType="begin"/>
            </w:r>
            <w:r>
              <w:rPr>
                <w:noProof/>
                <w:webHidden/>
              </w:rPr>
              <w:instrText xml:space="preserve"> PAGEREF _Toc441733542 \h </w:instrText>
            </w:r>
            <w:r>
              <w:rPr>
                <w:noProof/>
                <w:webHidden/>
              </w:rPr>
            </w:r>
            <w:r>
              <w:rPr>
                <w:noProof/>
                <w:webHidden/>
              </w:rPr>
              <w:fldChar w:fldCharType="separate"/>
            </w:r>
            <w:r>
              <w:rPr>
                <w:noProof/>
                <w:webHidden/>
              </w:rPr>
              <w:t>41</w:t>
            </w:r>
            <w:r>
              <w:rPr>
                <w:noProof/>
                <w:webHidden/>
              </w:rPr>
              <w:fldChar w:fldCharType="end"/>
            </w:r>
          </w:hyperlink>
        </w:p>
        <w:p w:rsidR="002429C5" w:rsidRDefault="002429C5">
          <w:pPr>
            <w:pStyle w:val="TOC2"/>
            <w:rPr>
              <w:rFonts w:asciiTheme="minorHAnsi" w:eastAsiaTheme="minorEastAsia" w:hAnsiTheme="minorHAnsi" w:cstheme="minorBidi"/>
              <w:noProof/>
              <w:color w:val="auto"/>
              <w:sz w:val="22"/>
              <w:szCs w:val="22"/>
              <w:lang w:val="fr-LU" w:eastAsia="fr-LU" w:bidi="ar-SA"/>
            </w:rPr>
          </w:pPr>
          <w:hyperlink w:anchor="_Toc441733543" w:history="1">
            <w:r w:rsidRPr="00F430C5">
              <w:rPr>
                <w:rStyle w:val="Hyperlink"/>
                <w:noProof/>
              </w:rPr>
              <w:t>Complaints</w:t>
            </w:r>
            <w:r>
              <w:rPr>
                <w:noProof/>
                <w:webHidden/>
              </w:rPr>
              <w:tab/>
            </w:r>
            <w:r>
              <w:rPr>
                <w:noProof/>
                <w:webHidden/>
              </w:rPr>
              <w:fldChar w:fldCharType="begin"/>
            </w:r>
            <w:r>
              <w:rPr>
                <w:noProof/>
                <w:webHidden/>
              </w:rPr>
              <w:instrText xml:space="preserve"> PAGEREF _Toc441733543 \h </w:instrText>
            </w:r>
            <w:r>
              <w:rPr>
                <w:noProof/>
                <w:webHidden/>
              </w:rPr>
            </w:r>
            <w:r>
              <w:rPr>
                <w:noProof/>
                <w:webHidden/>
              </w:rPr>
              <w:fldChar w:fldCharType="separate"/>
            </w:r>
            <w:r>
              <w:rPr>
                <w:noProof/>
                <w:webHidden/>
              </w:rPr>
              <w:t>42</w:t>
            </w:r>
            <w:r>
              <w:rPr>
                <w:noProof/>
                <w:webHidden/>
              </w:rPr>
              <w:fldChar w:fldCharType="end"/>
            </w:r>
          </w:hyperlink>
        </w:p>
        <w:p w:rsidR="002429C5" w:rsidRDefault="002429C5">
          <w:pPr>
            <w:pStyle w:val="TOC2"/>
            <w:rPr>
              <w:rFonts w:asciiTheme="minorHAnsi" w:eastAsiaTheme="minorEastAsia" w:hAnsiTheme="minorHAnsi" w:cstheme="minorBidi"/>
              <w:noProof/>
              <w:color w:val="auto"/>
              <w:sz w:val="22"/>
              <w:szCs w:val="22"/>
              <w:lang w:val="fr-LU" w:eastAsia="fr-LU" w:bidi="ar-SA"/>
            </w:rPr>
          </w:pPr>
          <w:hyperlink w:anchor="_Toc441733544" w:history="1">
            <w:r w:rsidRPr="00F430C5">
              <w:rPr>
                <w:rStyle w:val="Hyperlink"/>
                <w:noProof/>
              </w:rPr>
              <w:t>Significant safety measures</w:t>
            </w:r>
            <w:r>
              <w:rPr>
                <w:noProof/>
                <w:webHidden/>
              </w:rPr>
              <w:tab/>
            </w:r>
            <w:r>
              <w:rPr>
                <w:noProof/>
                <w:webHidden/>
              </w:rPr>
              <w:fldChar w:fldCharType="begin"/>
            </w:r>
            <w:r>
              <w:rPr>
                <w:noProof/>
                <w:webHidden/>
              </w:rPr>
              <w:instrText xml:space="preserve"> PAGEREF _Toc441733544 \h </w:instrText>
            </w:r>
            <w:r>
              <w:rPr>
                <w:noProof/>
                <w:webHidden/>
              </w:rPr>
            </w:r>
            <w:r>
              <w:rPr>
                <w:noProof/>
                <w:webHidden/>
              </w:rPr>
              <w:fldChar w:fldCharType="separate"/>
            </w:r>
            <w:r>
              <w:rPr>
                <w:noProof/>
                <w:webHidden/>
              </w:rPr>
              <w:t>43</w:t>
            </w:r>
            <w:r>
              <w:rPr>
                <w:noProof/>
                <w:webHidden/>
              </w:rPr>
              <w:fldChar w:fldCharType="end"/>
            </w:r>
          </w:hyperlink>
        </w:p>
        <w:p w:rsidR="002429C5" w:rsidRDefault="002429C5">
          <w:pPr>
            <w:pStyle w:val="TOC1"/>
            <w:rPr>
              <w:rFonts w:asciiTheme="minorHAnsi" w:eastAsiaTheme="minorEastAsia" w:hAnsiTheme="minorHAnsi" w:cstheme="minorBidi"/>
              <w:b w:val="0"/>
              <w:noProof/>
              <w:color w:val="auto"/>
              <w:sz w:val="22"/>
              <w:szCs w:val="22"/>
              <w:lang w:val="fr-LU" w:eastAsia="fr-LU" w:bidi="ar-SA"/>
            </w:rPr>
          </w:pPr>
          <w:hyperlink w:anchor="_Toc441733545" w:history="1">
            <w:r w:rsidRPr="00F430C5">
              <w:rPr>
                <w:rStyle w:val="Hyperlink"/>
                <w:noProof/>
              </w:rPr>
              <w:t>Chapter 6. Implementation of the Railway Safety Directive and amendments to national laws and regulations on railway safety</w:t>
            </w:r>
            <w:r>
              <w:rPr>
                <w:noProof/>
                <w:webHidden/>
              </w:rPr>
              <w:tab/>
            </w:r>
            <w:r>
              <w:rPr>
                <w:noProof/>
                <w:webHidden/>
              </w:rPr>
              <w:fldChar w:fldCharType="begin"/>
            </w:r>
            <w:r>
              <w:rPr>
                <w:noProof/>
                <w:webHidden/>
              </w:rPr>
              <w:instrText xml:space="preserve"> PAGEREF _Toc441733545 \h </w:instrText>
            </w:r>
            <w:r>
              <w:rPr>
                <w:noProof/>
                <w:webHidden/>
              </w:rPr>
            </w:r>
            <w:r>
              <w:rPr>
                <w:noProof/>
                <w:webHidden/>
              </w:rPr>
              <w:fldChar w:fldCharType="separate"/>
            </w:r>
            <w:r>
              <w:rPr>
                <w:noProof/>
                <w:webHidden/>
              </w:rPr>
              <w:t>44</w:t>
            </w:r>
            <w:r>
              <w:rPr>
                <w:noProof/>
                <w:webHidden/>
              </w:rPr>
              <w:fldChar w:fldCharType="end"/>
            </w:r>
          </w:hyperlink>
        </w:p>
        <w:p w:rsidR="002429C5" w:rsidRDefault="002429C5">
          <w:pPr>
            <w:pStyle w:val="TOC2"/>
            <w:rPr>
              <w:rFonts w:asciiTheme="minorHAnsi" w:eastAsiaTheme="minorEastAsia" w:hAnsiTheme="minorHAnsi" w:cstheme="minorBidi"/>
              <w:noProof/>
              <w:color w:val="auto"/>
              <w:sz w:val="22"/>
              <w:szCs w:val="22"/>
              <w:lang w:val="fr-LU" w:eastAsia="fr-LU" w:bidi="ar-SA"/>
            </w:rPr>
          </w:pPr>
          <w:hyperlink w:anchor="_Toc441733546" w:history="1">
            <w:r w:rsidRPr="00F430C5">
              <w:rPr>
                <w:rStyle w:val="Hyperlink"/>
                <w:noProof/>
              </w:rPr>
              <w:t>Harmonisation of regulations</w:t>
            </w:r>
            <w:r>
              <w:rPr>
                <w:noProof/>
                <w:webHidden/>
              </w:rPr>
              <w:tab/>
            </w:r>
            <w:r>
              <w:rPr>
                <w:noProof/>
                <w:webHidden/>
              </w:rPr>
              <w:fldChar w:fldCharType="begin"/>
            </w:r>
            <w:r>
              <w:rPr>
                <w:noProof/>
                <w:webHidden/>
              </w:rPr>
              <w:instrText xml:space="preserve"> PAGEREF _Toc441733546 \h </w:instrText>
            </w:r>
            <w:r>
              <w:rPr>
                <w:noProof/>
                <w:webHidden/>
              </w:rPr>
            </w:r>
            <w:r>
              <w:rPr>
                <w:noProof/>
                <w:webHidden/>
              </w:rPr>
              <w:fldChar w:fldCharType="separate"/>
            </w:r>
            <w:r>
              <w:rPr>
                <w:noProof/>
                <w:webHidden/>
              </w:rPr>
              <w:t>44</w:t>
            </w:r>
            <w:r>
              <w:rPr>
                <w:noProof/>
                <w:webHidden/>
              </w:rPr>
              <w:fldChar w:fldCharType="end"/>
            </w:r>
          </w:hyperlink>
        </w:p>
        <w:p w:rsidR="002429C5" w:rsidRDefault="002429C5">
          <w:pPr>
            <w:pStyle w:val="TOC2"/>
            <w:rPr>
              <w:rFonts w:asciiTheme="minorHAnsi" w:eastAsiaTheme="minorEastAsia" w:hAnsiTheme="minorHAnsi" w:cstheme="minorBidi"/>
              <w:noProof/>
              <w:color w:val="auto"/>
              <w:sz w:val="22"/>
              <w:szCs w:val="22"/>
              <w:lang w:val="fr-LU" w:eastAsia="fr-LU" w:bidi="ar-SA"/>
            </w:rPr>
          </w:pPr>
          <w:hyperlink w:anchor="_Toc441733547" w:history="1">
            <w:r w:rsidRPr="00F430C5">
              <w:rPr>
                <w:rStyle w:val="Hyperlink"/>
                <w:noProof/>
              </w:rPr>
              <w:t>Executive Order on the safety certification of undertakings in the rail sector that perform tasks for railway undertakings</w:t>
            </w:r>
            <w:r>
              <w:rPr>
                <w:noProof/>
                <w:webHidden/>
              </w:rPr>
              <w:tab/>
            </w:r>
            <w:r>
              <w:rPr>
                <w:noProof/>
                <w:webHidden/>
              </w:rPr>
              <w:fldChar w:fldCharType="begin"/>
            </w:r>
            <w:r>
              <w:rPr>
                <w:noProof/>
                <w:webHidden/>
              </w:rPr>
              <w:instrText xml:space="preserve"> PAGEREF _Toc441733547 \h </w:instrText>
            </w:r>
            <w:r>
              <w:rPr>
                <w:noProof/>
                <w:webHidden/>
              </w:rPr>
            </w:r>
            <w:r>
              <w:rPr>
                <w:noProof/>
                <w:webHidden/>
              </w:rPr>
              <w:fldChar w:fldCharType="separate"/>
            </w:r>
            <w:r>
              <w:rPr>
                <w:noProof/>
                <w:webHidden/>
              </w:rPr>
              <w:t>44</w:t>
            </w:r>
            <w:r>
              <w:rPr>
                <w:noProof/>
                <w:webHidden/>
              </w:rPr>
              <w:fldChar w:fldCharType="end"/>
            </w:r>
          </w:hyperlink>
        </w:p>
        <w:p w:rsidR="002429C5" w:rsidRDefault="002429C5">
          <w:pPr>
            <w:pStyle w:val="TOC2"/>
            <w:rPr>
              <w:rFonts w:asciiTheme="minorHAnsi" w:eastAsiaTheme="minorEastAsia" w:hAnsiTheme="minorHAnsi" w:cstheme="minorBidi"/>
              <w:noProof/>
              <w:color w:val="auto"/>
              <w:sz w:val="22"/>
              <w:szCs w:val="22"/>
              <w:lang w:val="fr-LU" w:eastAsia="fr-LU" w:bidi="ar-SA"/>
            </w:rPr>
          </w:pPr>
          <w:hyperlink w:anchor="_Toc441733548" w:history="1">
            <w:r w:rsidRPr="00F430C5">
              <w:rPr>
                <w:rStyle w:val="Hyperlink"/>
                <w:noProof/>
              </w:rPr>
              <w:t>Executive Order on requirements for the accreditation of assessors in the rail sector</w:t>
            </w:r>
            <w:r>
              <w:rPr>
                <w:noProof/>
                <w:webHidden/>
              </w:rPr>
              <w:tab/>
            </w:r>
            <w:r>
              <w:rPr>
                <w:noProof/>
                <w:webHidden/>
              </w:rPr>
              <w:fldChar w:fldCharType="begin"/>
            </w:r>
            <w:r>
              <w:rPr>
                <w:noProof/>
                <w:webHidden/>
              </w:rPr>
              <w:instrText xml:space="preserve"> PAGEREF _Toc441733548 \h </w:instrText>
            </w:r>
            <w:r>
              <w:rPr>
                <w:noProof/>
                <w:webHidden/>
              </w:rPr>
            </w:r>
            <w:r>
              <w:rPr>
                <w:noProof/>
                <w:webHidden/>
              </w:rPr>
              <w:fldChar w:fldCharType="separate"/>
            </w:r>
            <w:r>
              <w:rPr>
                <w:noProof/>
                <w:webHidden/>
              </w:rPr>
              <w:t>45</w:t>
            </w:r>
            <w:r>
              <w:rPr>
                <w:noProof/>
                <w:webHidden/>
              </w:rPr>
              <w:fldChar w:fldCharType="end"/>
            </w:r>
          </w:hyperlink>
        </w:p>
        <w:p w:rsidR="002429C5" w:rsidRDefault="002429C5">
          <w:pPr>
            <w:pStyle w:val="TOC1"/>
            <w:rPr>
              <w:rFonts w:asciiTheme="minorHAnsi" w:eastAsiaTheme="minorEastAsia" w:hAnsiTheme="minorHAnsi" w:cstheme="minorBidi"/>
              <w:b w:val="0"/>
              <w:noProof/>
              <w:color w:val="auto"/>
              <w:sz w:val="22"/>
              <w:szCs w:val="22"/>
              <w:lang w:val="fr-LU" w:eastAsia="fr-LU" w:bidi="ar-SA"/>
            </w:rPr>
          </w:pPr>
          <w:hyperlink w:anchor="_Toc441733549" w:history="1">
            <w:r w:rsidRPr="00F430C5">
              <w:rPr>
                <w:rStyle w:val="Hyperlink"/>
                <w:noProof/>
              </w:rPr>
              <w:t>Chapter 7. Experiences with the Risk Assessment Regulation (CSM-RA)</w:t>
            </w:r>
            <w:r>
              <w:rPr>
                <w:noProof/>
                <w:webHidden/>
              </w:rPr>
              <w:tab/>
            </w:r>
            <w:r>
              <w:rPr>
                <w:noProof/>
                <w:webHidden/>
              </w:rPr>
              <w:fldChar w:fldCharType="begin"/>
            </w:r>
            <w:r>
              <w:rPr>
                <w:noProof/>
                <w:webHidden/>
              </w:rPr>
              <w:instrText xml:space="preserve"> PAGEREF _Toc441733549 \h </w:instrText>
            </w:r>
            <w:r>
              <w:rPr>
                <w:noProof/>
                <w:webHidden/>
              </w:rPr>
            </w:r>
            <w:r>
              <w:rPr>
                <w:noProof/>
                <w:webHidden/>
              </w:rPr>
              <w:fldChar w:fldCharType="separate"/>
            </w:r>
            <w:r>
              <w:rPr>
                <w:noProof/>
                <w:webHidden/>
              </w:rPr>
              <w:t>46</w:t>
            </w:r>
            <w:r>
              <w:rPr>
                <w:noProof/>
                <w:webHidden/>
              </w:rPr>
              <w:fldChar w:fldCharType="end"/>
            </w:r>
          </w:hyperlink>
        </w:p>
        <w:p w:rsidR="002429C5" w:rsidRDefault="002429C5">
          <w:pPr>
            <w:pStyle w:val="TOC2"/>
            <w:rPr>
              <w:rFonts w:asciiTheme="minorHAnsi" w:eastAsiaTheme="minorEastAsia" w:hAnsiTheme="minorHAnsi" w:cstheme="minorBidi"/>
              <w:noProof/>
              <w:color w:val="auto"/>
              <w:sz w:val="22"/>
              <w:szCs w:val="22"/>
              <w:lang w:val="fr-LU" w:eastAsia="fr-LU" w:bidi="ar-SA"/>
            </w:rPr>
          </w:pPr>
          <w:hyperlink w:anchor="_Toc441733550" w:history="1">
            <w:r w:rsidRPr="00F430C5">
              <w:rPr>
                <w:rStyle w:val="Hyperlink"/>
                <w:noProof/>
              </w:rPr>
              <w:t>Experiences in the area of infrastructure</w:t>
            </w:r>
            <w:r>
              <w:rPr>
                <w:noProof/>
                <w:webHidden/>
              </w:rPr>
              <w:tab/>
            </w:r>
            <w:r>
              <w:rPr>
                <w:noProof/>
                <w:webHidden/>
              </w:rPr>
              <w:fldChar w:fldCharType="begin"/>
            </w:r>
            <w:r>
              <w:rPr>
                <w:noProof/>
                <w:webHidden/>
              </w:rPr>
              <w:instrText xml:space="preserve"> PAGEREF _Toc441733550 \h </w:instrText>
            </w:r>
            <w:r>
              <w:rPr>
                <w:noProof/>
                <w:webHidden/>
              </w:rPr>
            </w:r>
            <w:r>
              <w:rPr>
                <w:noProof/>
                <w:webHidden/>
              </w:rPr>
              <w:fldChar w:fldCharType="separate"/>
            </w:r>
            <w:r>
              <w:rPr>
                <w:noProof/>
                <w:webHidden/>
              </w:rPr>
              <w:t>46</w:t>
            </w:r>
            <w:r>
              <w:rPr>
                <w:noProof/>
                <w:webHidden/>
              </w:rPr>
              <w:fldChar w:fldCharType="end"/>
            </w:r>
          </w:hyperlink>
        </w:p>
        <w:p w:rsidR="002429C5" w:rsidRDefault="002429C5">
          <w:pPr>
            <w:pStyle w:val="TOC2"/>
            <w:rPr>
              <w:rFonts w:asciiTheme="minorHAnsi" w:eastAsiaTheme="minorEastAsia" w:hAnsiTheme="minorHAnsi" w:cstheme="minorBidi"/>
              <w:noProof/>
              <w:color w:val="auto"/>
              <w:sz w:val="22"/>
              <w:szCs w:val="22"/>
              <w:lang w:val="fr-LU" w:eastAsia="fr-LU" w:bidi="ar-SA"/>
            </w:rPr>
          </w:pPr>
          <w:hyperlink w:anchor="_Toc441733551" w:history="1">
            <w:r w:rsidRPr="00F430C5">
              <w:rPr>
                <w:rStyle w:val="Hyperlink"/>
                <w:noProof/>
              </w:rPr>
              <w:t>Experiences in the area of vehicles</w:t>
            </w:r>
            <w:r>
              <w:rPr>
                <w:noProof/>
                <w:webHidden/>
              </w:rPr>
              <w:tab/>
            </w:r>
            <w:r>
              <w:rPr>
                <w:noProof/>
                <w:webHidden/>
              </w:rPr>
              <w:fldChar w:fldCharType="begin"/>
            </w:r>
            <w:r>
              <w:rPr>
                <w:noProof/>
                <w:webHidden/>
              </w:rPr>
              <w:instrText xml:space="preserve"> PAGEREF _Toc441733551 \h </w:instrText>
            </w:r>
            <w:r>
              <w:rPr>
                <w:noProof/>
                <w:webHidden/>
              </w:rPr>
            </w:r>
            <w:r>
              <w:rPr>
                <w:noProof/>
                <w:webHidden/>
              </w:rPr>
              <w:fldChar w:fldCharType="separate"/>
            </w:r>
            <w:r>
              <w:rPr>
                <w:noProof/>
                <w:webHidden/>
              </w:rPr>
              <w:t>47</w:t>
            </w:r>
            <w:r>
              <w:rPr>
                <w:noProof/>
                <w:webHidden/>
              </w:rPr>
              <w:fldChar w:fldCharType="end"/>
            </w:r>
          </w:hyperlink>
        </w:p>
        <w:p w:rsidR="002429C5" w:rsidRDefault="002429C5">
          <w:pPr>
            <w:pStyle w:val="TOC2"/>
            <w:rPr>
              <w:rFonts w:asciiTheme="minorHAnsi" w:eastAsiaTheme="minorEastAsia" w:hAnsiTheme="minorHAnsi" w:cstheme="minorBidi"/>
              <w:noProof/>
              <w:color w:val="auto"/>
              <w:sz w:val="22"/>
              <w:szCs w:val="22"/>
              <w:lang w:val="fr-LU" w:eastAsia="fr-LU" w:bidi="ar-SA"/>
            </w:rPr>
          </w:pPr>
          <w:hyperlink w:anchor="_Toc441733552" w:history="1">
            <w:r w:rsidRPr="00F430C5">
              <w:rPr>
                <w:rStyle w:val="Hyperlink"/>
                <w:noProof/>
              </w:rPr>
              <w:t>Experiences from the undertakings</w:t>
            </w:r>
            <w:r>
              <w:rPr>
                <w:noProof/>
                <w:webHidden/>
              </w:rPr>
              <w:tab/>
            </w:r>
            <w:r>
              <w:rPr>
                <w:noProof/>
                <w:webHidden/>
              </w:rPr>
              <w:fldChar w:fldCharType="begin"/>
            </w:r>
            <w:r>
              <w:rPr>
                <w:noProof/>
                <w:webHidden/>
              </w:rPr>
              <w:instrText xml:space="preserve"> PAGEREF _Toc441733552 \h </w:instrText>
            </w:r>
            <w:r>
              <w:rPr>
                <w:noProof/>
                <w:webHidden/>
              </w:rPr>
            </w:r>
            <w:r>
              <w:rPr>
                <w:noProof/>
                <w:webHidden/>
              </w:rPr>
              <w:fldChar w:fldCharType="separate"/>
            </w:r>
            <w:r>
              <w:rPr>
                <w:noProof/>
                <w:webHidden/>
              </w:rPr>
              <w:t>48</w:t>
            </w:r>
            <w:r>
              <w:rPr>
                <w:noProof/>
                <w:webHidden/>
              </w:rPr>
              <w:fldChar w:fldCharType="end"/>
            </w:r>
          </w:hyperlink>
        </w:p>
        <w:p w:rsidR="002429C5" w:rsidRDefault="002429C5">
          <w:pPr>
            <w:pStyle w:val="TOC1"/>
            <w:rPr>
              <w:rFonts w:asciiTheme="minorHAnsi" w:eastAsiaTheme="minorEastAsia" w:hAnsiTheme="minorHAnsi" w:cstheme="minorBidi"/>
              <w:b w:val="0"/>
              <w:noProof/>
              <w:color w:val="auto"/>
              <w:sz w:val="22"/>
              <w:szCs w:val="22"/>
              <w:lang w:val="fr-LU" w:eastAsia="fr-LU" w:bidi="ar-SA"/>
            </w:rPr>
          </w:pPr>
          <w:hyperlink w:anchor="_Toc441733553" w:history="1">
            <w:r w:rsidRPr="00F430C5">
              <w:rPr>
                <w:rStyle w:val="Hyperlink"/>
                <w:noProof/>
              </w:rPr>
              <w:t>Annex A: The railways in figures</w:t>
            </w:r>
            <w:r>
              <w:rPr>
                <w:noProof/>
                <w:webHidden/>
              </w:rPr>
              <w:tab/>
            </w:r>
            <w:r>
              <w:rPr>
                <w:noProof/>
                <w:webHidden/>
              </w:rPr>
              <w:fldChar w:fldCharType="begin"/>
            </w:r>
            <w:r>
              <w:rPr>
                <w:noProof/>
                <w:webHidden/>
              </w:rPr>
              <w:instrText xml:space="preserve"> PAGEREF _Toc441733553 \h </w:instrText>
            </w:r>
            <w:r>
              <w:rPr>
                <w:noProof/>
                <w:webHidden/>
              </w:rPr>
            </w:r>
            <w:r>
              <w:rPr>
                <w:noProof/>
                <w:webHidden/>
              </w:rPr>
              <w:fldChar w:fldCharType="separate"/>
            </w:r>
            <w:r>
              <w:rPr>
                <w:noProof/>
                <w:webHidden/>
              </w:rPr>
              <w:t>50</w:t>
            </w:r>
            <w:r>
              <w:rPr>
                <w:noProof/>
                <w:webHidden/>
              </w:rPr>
              <w:fldChar w:fldCharType="end"/>
            </w:r>
          </w:hyperlink>
        </w:p>
        <w:p w:rsidR="002429C5" w:rsidRDefault="002429C5">
          <w:pPr>
            <w:pStyle w:val="TOC1"/>
            <w:rPr>
              <w:rFonts w:asciiTheme="minorHAnsi" w:eastAsiaTheme="minorEastAsia" w:hAnsiTheme="minorHAnsi" w:cstheme="minorBidi"/>
              <w:b w:val="0"/>
              <w:noProof/>
              <w:color w:val="auto"/>
              <w:sz w:val="22"/>
              <w:szCs w:val="22"/>
              <w:lang w:val="fr-LU" w:eastAsia="fr-LU" w:bidi="ar-SA"/>
            </w:rPr>
          </w:pPr>
          <w:hyperlink w:anchor="_Toc441733554" w:history="1">
            <w:r w:rsidRPr="00F430C5">
              <w:rPr>
                <w:rStyle w:val="Hyperlink"/>
                <w:noProof/>
              </w:rPr>
              <w:t>Annex B: Safety indicators for 2014</w:t>
            </w:r>
            <w:r>
              <w:rPr>
                <w:noProof/>
                <w:webHidden/>
              </w:rPr>
              <w:tab/>
            </w:r>
            <w:r>
              <w:rPr>
                <w:noProof/>
                <w:webHidden/>
              </w:rPr>
              <w:fldChar w:fldCharType="begin"/>
            </w:r>
            <w:r>
              <w:rPr>
                <w:noProof/>
                <w:webHidden/>
              </w:rPr>
              <w:instrText xml:space="preserve"> PAGEREF _Toc441733554 \h </w:instrText>
            </w:r>
            <w:r>
              <w:rPr>
                <w:noProof/>
                <w:webHidden/>
              </w:rPr>
            </w:r>
            <w:r>
              <w:rPr>
                <w:noProof/>
                <w:webHidden/>
              </w:rPr>
              <w:fldChar w:fldCharType="separate"/>
            </w:r>
            <w:r>
              <w:rPr>
                <w:noProof/>
                <w:webHidden/>
              </w:rPr>
              <w:t>51</w:t>
            </w:r>
            <w:r>
              <w:rPr>
                <w:noProof/>
                <w:webHidden/>
              </w:rPr>
              <w:fldChar w:fldCharType="end"/>
            </w:r>
          </w:hyperlink>
        </w:p>
        <w:p w:rsidR="002429C5" w:rsidRDefault="002429C5">
          <w:pPr>
            <w:pStyle w:val="TOC1"/>
            <w:rPr>
              <w:rFonts w:asciiTheme="minorHAnsi" w:eastAsiaTheme="minorEastAsia" w:hAnsiTheme="minorHAnsi" w:cstheme="minorBidi"/>
              <w:b w:val="0"/>
              <w:noProof/>
              <w:color w:val="auto"/>
              <w:sz w:val="22"/>
              <w:szCs w:val="22"/>
              <w:lang w:val="fr-LU" w:eastAsia="fr-LU" w:bidi="ar-SA"/>
            </w:rPr>
          </w:pPr>
          <w:hyperlink w:anchor="_Toc441733555" w:history="1">
            <w:r w:rsidRPr="00F430C5">
              <w:rPr>
                <w:rStyle w:val="Hyperlink"/>
                <w:noProof/>
              </w:rPr>
              <w:t>Annex C: Definitions used</w:t>
            </w:r>
            <w:r>
              <w:rPr>
                <w:noProof/>
                <w:webHidden/>
              </w:rPr>
              <w:tab/>
            </w:r>
            <w:r>
              <w:rPr>
                <w:noProof/>
                <w:webHidden/>
              </w:rPr>
              <w:fldChar w:fldCharType="begin"/>
            </w:r>
            <w:r>
              <w:rPr>
                <w:noProof/>
                <w:webHidden/>
              </w:rPr>
              <w:instrText xml:space="preserve"> PAGEREF _Toc441733555 \h </w:instrText>
            </w:r>
            <w:r>
              <w:rPr>
                <w:noProof/>
                <w:webHidden/>
              </w:rPr>
            </w:r>
            <w:r>
              <w:rPr>
                <w:noProof/>
                <w:webHidden/>
              </w:rPr>
              <w:fldChar w:fldCharType="separate"/>
            </w:r>
            <w:r>
              <w:rPr>
                <w:noProof/>
                <w:webHidden/>
              </w:rPr>
              <w:t>56</w:t>
            </w:r>
            <w:r>
              <w:rPr>
                <w:noProof/>
                <w:webHidden/>
              </w:rPr>
              <w:fldChar w:fldCharType="end"/>
            </w:r>
          </w:hyperlink>
        </w:p>
        <w:p w:rsidR="00D43322" w:rsidRPr="002429C5" w:rsidRDefault="00684769">
          <w:pPr>
            <w:pStyle w:val="TOC1"/>
            <w:rPr>
              <w:rFonts w:asciiTheme="minorHAnsi" w:eastAsiaTheme="minorEastAsia" w:hAnsiTheme="minorHAnsi" w:cstheme="minorBidi"/>
              <w:b w:val="0"/>
              <w:noProof/>
              <w:color w:val="auto"/>
              <w:sz w:val="22"/>
              <w:szCs w:val="22"/>
            </w:rPr>
          </w:pPr>
          <w:r w:rsidRPr="002429C5">
            <w:rPr>
              <w:bCs/>
              <w:sz w:val="17"/>
              <w:szCs w:val="17"/>
            </w:rPr>
            <w:fldChar w:fldCharType="end"/>
          </w:r>
        </w:p>
      </w:sdtContent>
    </w:sdt>
    <w:p w:rsidR="003A6AE4" w:rsidRPr="002429C5" w:rsidRDefault="003A6AE4">
      <w:pPr>
        <w:spacing w:after="0"/>
        <w:rPr>
          <w:color w:val="808080"/>
          <w:sz w:val="16"/>
          <w:szCs w:val="16"/>
        </w:rPr>
      </w:pPr>
    </w:p>
    <w:p w:rsidR="00AB384B" w:rsidRPr="002429C5" w:rsidRDefault="00AB384B" w:rsidP="00AB384B">
      <w:pPr>
        <w:rPr>
          <w:b/>
          <w:sz w:val="16"/>
          <w:szCs w:val="16"/>
        </w:rPr>
        <w:sectPr w:rsidR="00AB384B" w:rsidRPr="002429C5" w:rsidSect="00356DD7">
          <w:headerReference w:type="even" r:id="rId14"/>
          <w:headerReference w:type="default" r:id="rId15"/>
          <w:type w:val="continuous"/>
          <w:pgSz w:w="11906" w:h="16838" w:code="9"/>
          <w:pgMar w:top="1985" w:right="1985" w:bottom="1418" w:left="1985" w:header="709" w:footer="709" w:gutter="0"/>
          <w:cols w:space="709"/>
          <w:titlePg/>
          <w:docGrid w:linePitch="360"/>
        </w:sectPr>
      </w:pPr>
    </w:p>
    <w:p w:rsidR="004F065E" w:rsidRPr="002429C5" w:rsidRDefault="004F065E" w:rsidP="00E5588D">
      <w:pPr>
        <w:pStyle w:val="Heading1"/>
        <w:spacing w:after="240"/>
      </w:pPr>
      <w:bookmarkStart w:id="0" w:name="_Toc441733508"/>
      <w:proofErr w:type="spellStart"/>
      <w:r w:rsidRPr="002429C5">
        <w:lastRenderedPageBreak/>
        <w:t>Resumé</w:t>
      </w:r>
      <w:bookmarkEnd w:id="0"/>
      <w:proofErr w:type="spellEnd"/>
    </w:p>
    <w:p w:rsidR="005C443D" w:rsidRPr="002429C5" w:rsidRDefault="005C443D" w:rsidP="00E5588D">
      <w:pPr>
        <w:spacing w:after="240"/>
        <w:rPr>
          <w:b/>
        </w:rPr>
        <w:sectPr w:rsidR="005C443D" w:rsidRPr="002429C5" w:rsidSect="00356DD7">
          <w:footerReference w:type="first" r:id="rId16"/>
          <w:type w:val="continuous"/>
          <w:pgSz w:w="11906" w:h="16838" w:code="9"/>
          <w:pgMar w:top="1985" w:right="1985" w:bottom="1418" w:left="1985" w:header="709" w:footer="709" w:gutter="0"/>
          <w:cols w:space="709"/>
          <w:titlePg/>
          <w:docGrid w:linePitch="360"/>
        </w:sectPr>
      </w:pPr>
    </w:p>
    <w:p w:rsidR="005C443D" w:rsidRPr="002429C5" w:rsidRDefault="00875926" w:rsidP="005C443D">
      <w:pPr>
        <w:spacing w:after="0"/>
        <w:rPr>
          <w:b/>
        </w:rPr>
      </w:pPr>
      <w:proofErr w:type="spellStart"/>
      <w:r w:rsidRPr="002429C5">
        <w:rPr>
          <w:b/>
        </w:rPr>
        <w:lastRenderedPageBreak/>
        <w:t>Danmark</w:t>
      </w:r>
      <w:proofErr w:type="spellEnd"/>
      <w:r w:rsidRPr="002429C5">
        <w:rPr>
          <w:b/>
        </w:rPr>
        <w:t xml:space="preserve"> </w:t>
      </w:r>
      <w:proofErr w:type="spellStart"/>
      <w:r w:rsidRPr="002429C5">
        <w:rPr>
          <w:b/>
        </w:rPr>
        <w:t>har</w:t>
      </w:r>
      <w:proofErr w:type="spellEnd"/>
      <w:r w:rsidRPr="002429C5">
        <w:rPr>
          <w:b/>
        </w:rPr>
        <w:t xml:space="preserve"> </w:t>
      </w:r>
      <w:proofErr w:type="gramStart"/>
      <w:r w:rsidRPr="002429C5">
        <w:rPr>
          <w:b/>
        </w:rPr>
        <w:t>et</w:t>
      </w:r>
      <w:proofErr w:type="gramEnd"/>
      <w:r w:rsidRPr="002429C5">
        <w:rPr>
          <w:b/>
        </w:rPr>
        <w:t xml:space="preserve"> </w:t>
      </w:r>
      <w:proofErr w:type="spellStart"/>
      <w:r w:rsidRPr="002429C5">
        <w:rPr>
          <w:b/>
        </w:rPr>
        <w:t>højt</w:t>
      </w:r>
      <w:proofErr w:type="spellEnd"/>
      <w:r w:rsidRPr="002429C5">
        <w:rPr>
          <w:b/>
        </w:rPr>
        <w:t xml:space="preserve"> </w:t>
      </w:r>
      <w:proofErr w:type="spellStart"/>
      <w:r w:rsidRPr="002429C5">
        <w:rPr>
          <w:b/>
        </w:rPr>
        <w:t>jernbanesikkerhedsniveau</w:t>
      </w:r>
      <w:proofErr w:type="spellEnd"/>
      <w:r w:rsidRPr="002429C5">
        <w:rPr>
          <w:b/>
        </w:rPr>
        <w:t>…</w:t>
      </w:r>
    </w:p>
    <w:p w:rsidR="00156598" w:rsidRPr="002429C5" w:rsidRDefault="00875926" w:rsidP="00E5588D">
      <w:pPr>
        <w:spacing w:after="120"/>
      </w:pPr>
      <w:proofErr w:type="spellStart"/>
      <w:r w:rsidRPr="002429C5">
        <w:t>Danmark</w:t>
      </w:r>
      <w:proofErr w:type="spellEnd"/>
      <w:r w:rsidRPr="002429C5">
        <w:t xml:space="preserve"> </w:t>
      </w:r>
      <w:proofErr w:type="spellStart"/>
      <w:r w:rsidRPr="002429C5">
        <w:t>har</w:t>
      </w:r>
      <w:proofErr w:type="spellEnd"/>
      <w:r w:rsidRPr="002429C5">
        <w:t xml:space="preserve"> </w:t>
      </w:r>
      <w:proofErr w:type="spellStart"/>
      <w:r w:rsidRPr="002429C5">
        <w:t>som</w:t>
      </w:r>
      <w:proofErr w:type="spellEnd"/>
      <w:r w:rsidRPr="002429C5">
        <w:t xml:space="preserve"> </w:t>
      </w:r>
      <w:proofErr w:type="spellStart"/>
      <w:r w:rsidRPr="002429C5">
        <w:t>mål</w:t>
      </w:r>
      <w:proofErr w:type="spellEnd"/>
      <w:r w:rsidRPr="002429C5">
        <w:t xml:space="preserve">, at </w:t>
      </w:r>
      <w:proofErr w:type="spellStart"/>
      <w:r w:rsidRPr="002429C5">
        <w:t>det</w:t>
      </w:r>
      <w:proofErr w:type="spellEnd"/>
      <w:r w:rsidRPr="002429C5">
        <w:t xml:space="preserve"> </w:t>
      </w:r>
      <w:proofErr w:type="spellStart"/>
      <w:r w:rsidRPr="002429C5">
        <w:t>høje</w:t>
      </w:r>
      <w:proofErr w:type="spellEnd"/>
      <w:r w:rsidRPr="002429C5">
        <w:t xml:space="preserve"> </w:t>
      </w:r>
      <w:proofErr w:type="spellStart"/>
      <w:r w:rsidRPr="002429C5">
        <w:t>sikkerhedsniveau</w:t>
      </w:r>
      <w:proofErr w:type="spellEnd"/>
      <w:r w:rsidRPr="002429C5">
        <w:t xml:space="preserve"> (</w:t>
      </w:r>
      <w:proofErr w:type="spellStart"/>
      <w:r w:rsidRPr="002429C5">
        <w:t>målt</w:t>
      </w:r>
      <w:proofErr w:type="spellEnd"/>
      <w:r w:rsidRPr="002429C5">
        <w:t xml:space="preserve"> med </w:t>
      </w:r>
      <w:proofErr w:type="spellStart"/>
      <w:r w:rsidRPr="002429C5">
        <w:t>udgangspunkt</w:t>
      </w:r>
      <w:proofErr w:type="spellEnd"/>
      <w:r w:rsidRPr="002429C5">
        <w:t xml:space="preserve"> </w:t>
      </w:r>
      <w:proofErr w:type="spellStart"/>
      <w:r w:rsidRPr="002429C5">
        <w:t>i</w:t>
      </w:r>
      <w:proofErr w:type="spellEnd"/>
      <w:r w:rsidRPr="002429C5">
        <w:t xml:space="preserve"> 2004) </w:t>
      </w:r>
      <w:proofErr w:type="spellStart"/>
      <w:r w:rsidRPr="002429C5">
        <w:t>skal</w:t>
      </w:r>
      <w:proofErr w:type="spellEnd"/>
      <w:r w:rsidRPr="002429C5">
        <w:t xml:space="preserve"> </w:t>
      </w:r>
      <w:proofErr w:type="spellStart"/>
      <w:r w:rsidRPr="002429C5">
        <w:t>opretholdes</w:t>
      </w:r>
      <w:proofErr w:type="spellEnd"/>
      <w:r w:rsidRPr="002429C5">
        <w:t xml:space="preserve">. Der </w:t>
      </w:r>
      <w:proofErr w:type="spellStart"/>
      <w:r w:rsidRPr="002429C5">
        <w:t>må</w:t>
      </w:r>
      <w:proofErr w:type="spellEnd"/>
      <w:r w:rsidRPr="002429C5">
        <w:t xml:space="preserve"> </w:t>
      </w:r>
      <w:proofErr w:type="spellStart"/>
      <w:r w:rsidRPr="002429C5">
        <w:t>maksimalt</w:t>
      </w:r>
      <w:proofErr w:type="spellEnd"/>
      <w:r w:rsidRPr="002429C5">
        <w:t xml:space="preserve"> </w:t>
      </w:r>
      <w:proofErr w:type="spellStart"/>
      <w:r w:rsidRPr="002429C5">
        <w:t>være</w:t>
      </w:r>
      <w:proofErr w:type="spellEnd"/>
      <w:r w:rsidRPr="002429C5">
        <w:t xml:space="preserve"> 0</w:t>
      </w:r>
      <w:proofErr w:type="gramStart"/>
      <w:r w:rsidRPr="002429C5">
        <w:t>,3</w:t>
      </w:r>
      <w:proofErr w:type="gramEnd"/>
      <w:r w:rsidRPr="002429C5">
        <w:t xml:space="preserve"> </w:t>
      </w:r>
      <w:proofErr w:type="spellStart"/>
      <w:r w:rsidRPr="002429C5">
        <w:t>dræbte</w:t>
      </w:r>
      <w:proofErr w:type="spellEnd"/>
      <w:r w:rsidRPr="002429C5">
        <w:t xml:space="preserve"> </w:t>
      </w:r>
      <w:proofErr w:type="spellStart"/>
      <w:r w:rsidRPr="002429C5">
        <w:t>eller</w:t>
      </w:r>
      <w:proofErr w:type="spellEnd"/>
      <w:r w:rsidRPr="002429C5">
        <w:t xml:space="preserve"> </w:t>
      </w:r>
      <w:proofErr w:type="spellStart"/>
      <w:r w:rsidRPr="002429C5">
        <w:t>alvorligt</w:t>
      </w:r>
      <w:proofErr w:type="spellEnd"/>
      <w:r w:rsidRPr="002429C5">
        <w:t xml:space="preserve"> </w:t>
      </w:r>
      <w:proofErr w:type="spellStart"/>
      <w:r w:rsidRPr="002429C5">
        <w:t>tilskadekomne</w:t>
      </w:r>
      <w:proofErr w:type="spellEnd"/>
      <w:r w:rsidRPr="002429C5">
        <w:t xml:space="preserve"> </w:t>
      </w:r>
      <w:proofErr w:type="spellStart"/>
      <w:r w:rsidRPr="002429C5">
        <w:t>personer</w:t>
      </w:r>
      <w:proofErr w:type="spellEnd"/>
      <w:r w:rsidRPr="002429C5">
        <w:t xml:space="preserve"> pr. </w:t>
      </w:r>
      <w:proofErr w:type="spellStart"/>
      <w:r w:rsidRPr="002429C5">
        <w:t>mio</w:t>
      </w:r>
      <w:proofErr w:type="spellEnd"/>
      <w:r w:rsidRPr="002429C5">
        <w:t xml:space="preserve">. </w:t>
      </w:r>
      <w:proofErr w:type="gramStart"/>
      <w:r w:rsidRPr="002429C5">
        <w:t>tog-km</w:t>
      </w:r>
      <w:proofErr w:type="gramEnd"/>
      <w:r w:rsidRPr="002429C5">
        <w:t xml:space="preserve"> (FWSI). </w:t>
      </w:r>
      <w:proofErr w:type="spellStart"/>
      <w:r w:rsidRPr="002429C5">
        <w:t>Målsætningen</w:t>
      </w:r>
      <w:proofErr w:type="spellEnd"/>
      <w:r w:rsidRPr="002429C5">
        <w:t xml:space="preserve"> </w:t>
      </w:r>
      <w:proofErr w:type="spellStart"/>
      <w:r w:rsidRPr="002429C5">
        <w:t>har</w:t>
      </w:r>
      <w:proofErr w:type="spellEnd"/>
      <w:r w:rsidRPr="002429C5">
        <w:t xml:space="preserve"> </w:t>
      </w:r>
      <w:proofErr w:type="spellStart"/>
      <w:r w:rsidRPr="002429C5">
        <w:t>karakter</w:t>
      </w:r>
      <w:proofErr w:type="spellEnd"/>
      <w:r w:rsidRPr="002429C5">
        <w:t xml:space="preserve"> </w:t>
      </w:r>
      <w:proofErr w:type="spellStart"/>
      <w:proofErr w:type="gramStart"/>
      <w:r w:rsidRPr="002429C5">
        <w:t>af</w:t>
      </w:r>
      <w:proofErr w:type="spellEnd"/>
      <w:proofErr w:type="gramEnd"/>
      <w:r w:rsidRPr="002429C5">
        <w:t xml:space="preserve"> et loft over </w:t>
      </w:r>
      <w:proofErr w:type="spellStart"/>
      <w:r w:rsidRPr="002429C5">
        <w:t>det</w:t>
      </w:r>
      <w:proofErr w:type="spellEnd"/>
      <w:r w:rsidRPr="002429C5">
        <w:t xml:space="preserve"> </w:t>
      </w:r>
      <w:proofErr w:type="spellStart"/>
      <w:r w:rsidRPr="002429C5">
        <w:t>antal</w:t>
      </w:r>
      <w:proofErr w:type="spellEnd"/>
      <w:r w:rsidRPr="002429C5">
        <w:t xml:space="preserve"> </w:t>
      </w:r>
      <w:proofErr w:type="spellStart"/>
      <w:r w:rsidRPr="002429C5">
        <w:t>af</w:t>
      </w:r>
      <w:proofErr w:type="spellEnd"/>
      <w:r w:rsidRPr="002429C5">
        <w:t xml:space="preserve"> </w:t>
      </w:r>
      <w:proofErr w:type="spellStart"/>
      <w:r w:rsidRPr="002429C5">
        <w:t>personskader</w:t>
      </w:r>
      <w:proofErr w:type="spellEnd"/>
      <w:r w:rsidRPr="002429C5">
        <w:t xml:space="preserve"> </w:t>
      </w:r>
      <w:proofErr w:type="spellStart"/>
      <w:r w:rsidRPr="002429C5">
        <w:t>på</w:t>
      </w:r>
      <w:proofErr w:type="spellEnd"/>
      <w:r w:rsidRPr="002429C5">
        <w:t xml:space="preserve"> </w:t>
      </w:r>
      <w:proofErr w:type="spellStart"/>
      <w:r w:rsidRPr="002429C5">
        <w:t>jernbanen</w:t>
      </w:r>
      <w:proofErr w:type="spellEnd"/>
      <w:r w:rsidRPr="002429C5">
        <w:t xml:space="preserve">, der </w:t>
      </w:r>
      <w:proofErr w:type="spellStart"/>
      <w:r w:rsidRPr="002429C5">
        <w:t>er</w:t>
      </w:r>
      <w:proofErr w:type="spellEnd"/>
      <w:r w:rsidRPr="002429C5">
        <w:t xml:space="preserve"> </w:t>
      </w:r>
      <w:proofErr w:type="spellStart"/>
      <w:r w:rsidRPr="002429C5">
        <w:t>acceptabelt</w:t>
      </w:r>
      <w:proofErr w:type="spellEnd"/>
      <w:r w:rsidRPr="002429C5">
        <w:t>.</w:t>
      </w:r>
    </w:p>
    <w:p w:rsidR="00875926" w:rsidRPr="002429C5" w:rsidRDefault="00875926" w:rsidP="00E5588D">
      <w:pPr>
        <w:spacing w:after="120"/>
      </w:pPr>
      <w:proofErr w:type="spellStart"/>
      <w:r w:rsidRPr="002429C5">
        <w:t>Danmark</w:t>
      </w:r>
      <w:proofErr w:type="spellEnd"/>
      <w:r w:rsidRPr="002429C5">
        <w:t xml:space="preserve"> </w:t>
      </w:r>
      <w:proofErr w:type="spellStart"/>
      <w:r w:rsidRPr="002429C5">
        <w:t>har</w:t>
      </w:r>
      <w:proofErr w:type="spellEnd"/>
      <w:r w:rsidRPr="002429C5">
        <w:t xml:space="preserve"> </w:t>
      </w:r>
      <w:proofErr w:type="spellStart"/>
      <w:r w:rsidRPr="002429C5">
        <w:t>i</w:t>
      </w:r>
      <w:proofErr w:type="spellEnd"/>
      <w:r w:rsidRPr="002429C5">
        <w:t xml:space="preserve"> </w:t>
      </w:r>
      <w:proofErr w:type="spellStart"/>
      <w:r w:rsidRPr="002429C5">
        <w:t>alle</w:t>
      </w:r>
      <w:proofErr w:type="spellEnd"/>
      <w:r w:rsidRPr="002429C5">
        <w:t xml:space="preserve"> </w:t>
      </w:r>
      <w:proofErr w:type="spellStart"/>
      <w:r w:rsidRPr="002429C5">
        <w:t>årene</w:t>
      </w:r>
      <w:proofErr w:type="spellEnd"/>
      <w:r w:rsidRPr="002429C5">
        <w:t xml:space="preserve"> </w:t>
      </w:r>
      <w:proofErr w:type="spellStart"/>
      <w:r w:rsidRPr="002429C5">
        <w:t>siden</w:t>
      </w:r>
      <w:proofErr w:type="spellEnd"/>
      <w:r w:rsidRPr="002429C5">
        <w:t xml:space="preserve"> 2004 </w:t>
      </w:r>
      <w:proofErr w:type="spellStart"/>
      <w:r w:rsidRPr="002429C5">
        <w:t>opfyldt</w:t>
      </w:r>
      <w:proofErr w:type="spellEnd"/>
      <w:r w:rsidRPr="002429C5">
        <w:t xml:space="preserve"> </w:t>
      </w:r>
      <w:proofErr w:type="spellStart"/>
      <w:r w:rsidRPr="002429C5">
        <w:t>målsætningen</w:t>
      </w:r>
      <w:proofErr w:type="spellEnd"/>
      <w:r w:rsidRPr="002429C5">
        <w:t xml:space="preserve"> </w:t>
      </w:r>
      <w:proofErr w:type="spellStart"/>
      <w:r w:rsidRPr="002429C5">
        <w:t>og</w:t>
      </w:r>
      <w:proofErr w:type="spellEnd"/>
      <w:r w:rsidRPr="002429C5">
        <w:t xml:space="preserve"> </w:t>
      </w:r>
      <w:proofErr w:type="spellStart"/>
      <w:r w:rsidRPr="002429C5">
        <w:t>også</w:t>
      </w:r>
      <w:proofErr w:type="spellEnd"/>
      <w:r w:rsidRPr="002429C5">
        <w:t xml:space="preserve"> </w:t>
      </w:r>
      <w:proofErr w:type="spellStart"/>
      <w:r w:rsidRPr="002429C5">
        <w:t>i</w:t>
      </w:r>
      <w:proofErr w:type="spellEnd"/>
      <w:r w:rsidRPr="002429C5">
        <w:t xml:space="preserve"> 2014 ligger </w:t>
      </w:r>
      <w:proofErr w:type="spellStart"/>
      <w:r w:rsidRPr="002429C5">
        <w:t>sikkerhedsniveauet</w:t>
      </w:r>
      <w:proofErr w:type="spellEnd"/>
      <w:r w:rsidRPr="002429C5">
        <w:t xml:space="preserve"> </w:t>
      </w:r>
      <w:proofErr w:type="spellStart"/>
      <w:r w:rsidRPr="002429C5">
        <w:t>væsentligt</w:t>
      </w:r>
      <w:proofErr w:type="spellEnd"/>
      <w:r w:rsidRPr="002429C5">
        <w:t xml:space="preserve"> under de 0</w:t>
      </w:r>
      <w:proofErr w:type="gramStart"/>
      <w:r w:rsidRPr="002429C5">
        <w:t>,3</w:t>
      </w:r>
      <w:proofErr w:type="gramEnd"/>
      <w:r w:rsidRPr="002429C5">
        <w:t xml:space="preserve"> pr. </w:t>
      </w:r>
      <w:proofErr w:type="spellStart"/>
      <w:r w:rsidRPr="002429C5">
        <w:t>mio</w:t>
      </w:r>
      <w:proofErr w:type="spellEnd"/>
      <w:r w:rsidRPr="002429C5">
        <w:t xml:space="preserve">. </w:t>
      </w:r>
      <w:proofErr w:type="gramStart"/>
      <w:r w:rsidRPr="002429C5">
        <w:t>tog-km</w:t>
      </w:r>
      <w:proofErr w:type="gramEnd"/>
      <w:r w:rsidRPr="002429C5">
        <w:t xml:space="preserve">. I </w:t>
      </w:r>
      <w:proofErr w:type="spellStart"/>
      <w:r w:rsidRPr="002429C5">
        <w:t>perioden</w:t>
      </w:r>
      <w:proofErr w:type="spellEnd"/>
      <w:r w:rsidRPr="002429C5">
        <w:t xml:space="preserve"> 2010-2014 </w:t>
      </w:r>
      <w:proofErr w:type="spellStart"/>
      <w:r w:rsidRPr="002429C5">
        <w:t>har</w:t>
      </w:r>
      <w:proofErr w:type="spellEnd"/>
      <w:r w:rsidRPr="002429C5">
        <w:t xml:space="preserve"> </w:t>
      </w:r>
      <w:proofErr w:type="spellStart"/>
      <w:r w:rsidRPr="002429C5">
        <w:t>antallet</w:t>
      </w:r>
      <w:proofErr w:type="spellEnd"/>
      <w:r w:rsidRPr="002429C5">
        <w:t xml:space="preserve"> </w:t>
      </w:r>
      <w:proofErr w:type="spellStart"/>
      <w:r w:rsidRPr="002429C5">
        <w:t>af</w:t>
      </w:r>
      <w:proofErr w:type="spellEnd"/>
      <w:r w:rsidRPr="002429C5">
        <w:t xml:space="preserve"> </w:t>
      </w:r>
      <w:proofErr w:type="spellStart"/>
      <w:r w:rsidRPr="002429C5">
        <w:t>væsentlige</w:t>
      </w:r>
      <w:proofErr w:type="spellEnd"/>
      <w:r w:rsidRPr="002429C5">
        <w:t xml:space="preserve"> </w:t>
      </w:r>
      <w:proofErr w:type="spellStart"/>
      <w:r w:rsidRPr="002429C5">
        <w:t>personulykker</w:t>
      </w:r>
      <w:proofErr w:type="spellEnd"/>
      <w:r w:rsidRPr="002429C5">
        <w:t xml:space="preserve"> </w:t>
      </w:r>
      <w:proofErr w:type="spellStart"/>
      <w:r w:rsidRPr="002429C5">
        <w:t>ligget</w:t>
      </w:r>
      <w:proofErr w:type="spellEnd"/>
      <w:r w:rsidRPr="002429C5">
        <w:t xml:space="preserve"> </w:t>
      </w:r>
      <w:proofErr w:type="spellStart"/>
      <w:r w:rsidRPr="002429C5">
        <w:t>på</w:t>
      </w:r>
      <w:proofErr w:type="spellEnd"/>
      <w:r w:rsidRPr="002429C5">
        <w:t xml:space="preserve"> 0</w:t>
      </w:r>
      <w:proofErr w:type="gramStart"/>
      <w:r w:rsidRPr="002429C5">
        <w:t>,13</w:t>
      </w:r>
      <w:proofErr w:type="gramEnd"/>
      <w:r w:rsidRPr="002429C5">
        <w:t xml:space="preserve"> pr. </w:t>
      </w:r>
      <w:proofErr w:type="spellStart"/>
      <w:r w:rsidRPr="002429C5">
        <w:t>mio</w:t>
      </w:r>
      <w:proofErr w:type="spellEnd"/>
      <w:r w:rsidRPr="002429C5">
        <w:t xml:space="preserve">. </w:t>
      </w:r>
      <w:proofErr w:type="gramStart"/>
      <w:r w:rsidRPr="002429C5">
        <w:t>tog-km</w:t>
      </w:r>
      <w:proofErr w:type="gramEnd"/>
      <w:r w:rsidRPr="002429C5">
        <w:t xml:space="preserve">. </w:t>
      </w:r>
      <w:proofErr w:type="spellStart"/>
      <w:r w:rsidRPr="002429C5">
        <w:t>Dette</w:t>
      </w:r>
      <w:proofErr w:type="spellEnd"/>
      <w:r w:rsidRPr="002429C5">
        <w:t xml:space="preserve"> </w:t>
      </w:r>
      <w:proofErr w:type="spellStart"/>
      <w:r w:rsidRPr="002429C5">
        <w:t>placerer</w:t>
      </w:r>
      <w:proofErr w:type="spellEnd"/>
      <w:r w:rsidRPr="002429C5">
        <w:t xml:space="preserve"> </w:t>
      </w:r>
      <w:proofErr w:type="spellStart"/>
      <w:r w:rsidRPr="002429C5">
        <w:t>Danmark</w:t>
      </w:r>
      <w:proofErr w:type="spellEnd"/>
      <w:r w:rsidRPr="002429C5">
        <w:t xml:space="preserve"> </w:t>
      </w:r>
      <w:proofErr w:type="spellStart"/>
      <w:r w:rsidRPr="002429C5">
        <w:t>blandt</w:t>
      </w:r>
      <w:proofErr w:type="spellEnd"/>
      <w:r w:rsidRPr="002429C5">
        <w:t xml:space="preserve"> de </w:t>
      </w:r>
      <w:proofErr w:type="spellStart"/>
      <w:r w:rsidRPr="002429C5">
        <w:t>bedste</w:t>
      </w:r>
      <w:proofErr w:type="spellEnd"/>
      <w:r w:rsidRPr="002429C5">
        <w:t xml:space="preserve"> </w:t>
      </w:r>
      <w:proofErr w:type="spellStart"/>
      <w:r w:rsidRPr="002429C5">
        <w:t>lande</w:t>
      </w:r>
      <w:proofErr w:type="spellEnd"/>
      <w:r w:rsidRPr="002429C5">
        <w:t xml:space="preserve"> </w:t>
      </w:r>
      <w:proofErr w:type="spellStart"/>
      <w:r w:rsidRPr="002429C5">
        <w:t>i</w:t>
      </w:r>
      <w:proofErr w:type="spellEnd"/>
      <w:r w:rsidRPr="002429C5">
        <w:t xml:space="preserve"> Europa.</w:t>
      </w:r>
    </w:p>
    <w:p w:rsidR="00B824CC" w:rsidRPr="002429C5" w:rsidRDefault="0064516C" w:rsidP="00875926">
      <w:pPr>
        <w:pStyle w:val="Default"/>
        <w:rPr>
          <w:b/>
          <w:bCs/>
          <w:sz w:val="18"/>
          <w:szCs w:val="18"/>
        </w:rPr>
      </w:pPr>
      <w:r w:rsidRPr="002429C5">
        <w:rPr>
          <w:b/>
          <w:sz w:val="18"/>
        </w:rPr>
        <w:t xml:space="preserve">… </w:t>
      </w:r>
      <w:proofErr w:type="gramStart"/>
      <w:r w:rsidRPr="002429C5">
        <w:rPr>
          <w:b/>
          <w:sz w:val="18"/>
        </w:rPr>
        <w:t>dog</w:t>
      </w:r>
      <w:proofErr w:type="gramEnd"/>
      <w:r w:rsidRPr="002429C5">
        <w:rPr>
          <w:b/>
          <w:sz w:val="18"/>
        </w:rPr>
        <w:t xml:space="preserve"> </w:t>
      </w:r>
      <w:proofErr w:type="spellStart"/>
      <w:r w:rsidRPr="002429C5">
        <w:rPr>
          <w:b/>
          <w:sz w:val="18"/>
        </w:rPr>
        <w:t>er</w:t>
      </w:r>
      <w:proofErr w:type="spellEnd"/>
      <w:r w:rsidRPr="002429C5">
        <w:rPr>
          <w:b/>
          <w:sz w:val="18"/>
        </w:rPr>
        <w:t xml:space="preserve"> der </w:t>
      </w:r>
      <w:proofErr w:type="spellStart"/>
      <w:r w:rsidRPr="002429C5">
        <w:rPr>
          <w:b/>
          <w:sz w:val="18"/>
        </w:rPr>
        <w:t>sket</w:t>
      </w:r>
      <w:proofErr w:type="spellEnd"/>
      <w:r w:rsidRPr="002429C5">
        <w:rPr>
          <w:b/>
          <w:sz w:val="18"/>
        </w:rPr>
        <w:t xml:space="preserve"> </w:t>
      </w:r>
      <w:proofErr w:type="spellStart"/>
      <w:r w:rsidRPr="002429C5">
        <w:rPr>
          <w:b/>
          <w:sz w:val="18"/>
        </w:rPr>
        <w:t>en</w:t>
      </w:r>
      <w:proofErr w:type="spellEnd"/>
      <w:r w:rsidRPr="002429C5">
        <w:rPr>
          <w:b/>
          <w:sz w:val="18"/>
        </w:rPr>
        <w:t xml:space="preserve"> </w:t>
      </w:r>
      <w:proofErr w:type="spellStart"/>
      <w:r w:rsidRPr="002429C5">
        <w:rPr>
          <w:b/>
          <w:sz w:val="18"/>
        </w:rPr>
        <w:t>lille</w:t>
      </w:r>
      <w:proofErr w:type="spellEnd"/>
      <w:r w:rsidRPr="002429C5">
        <w:rPr>
          <w:b/>
          <w:sz w:val="18"/>
        </w:rPr>
        <w:t xml:space="preserve"> </w:t>
      </w:r>
      <w:proofErr w:type="spellStart"/>
      <w:r w:rsidRPr="002429C5">
        <w:rPr>
          <w:b/>
          <w:sz w:val="18"/>
        </w:rPr>
        <w:t>stigning</w:t>
      </w:r>
      <w:proofErr w:type="spellEnd"/>
      <w:r w:rsidRPr="002429C5">
        <w:rPr>
          <w:b/>
          <w:sz w:val="18"/>
        </w:rPr>
        <w:t xml:space="preserve"> </w:t>
      </w:r>
      <w:proofErr w:type="spellStart"/>
      <w:r w:rsidRPr="002429C5">
        <w:rPr>
          <w:b/>
          <w:sz w:val="18"/>
        </w:rPr>
        <w:t>i</w:t>
      </w:r>
      <w:proofErr w:type="spellEnd"/>
      <w:r w:rsidRPr="002429C5">
        <w:rPr>
          <w:b/>
          <w:sz w:val="18"/>
        </w:rPr>
        <w:t xml:space="preserve"> </w:t>
      </w:r>
      <w:proofErr w:type="spellStart"/>
      <w:r w:rsidRPr="002429C5">
        <w:rPr>
          <w:b/>
          <w:sz w:val="18"/>
        </w:rPr>
        <w:t>antallet</w:t>
      </w:r>
      <w:proofErr w:type="spellEnd"/>
      <w:r w:rsidRPr="002429C5">
        <w:rPr>
          <w:b/>
          <w:sz w:val="18"/>
        </w:rPr>
        <w:t xml:space="preserve"> </w:t>
      </w:r>
      <w:proofErr w:type="spellStart"/>
      <w:r w:rsidRPr="002429C5">
        <w:rPr>
          <w:b/>
          <w:sz w:val="18"/>
        </w:rPr>
        <w:t>af</w:t>
      </w:r>
      <w:proofErr w:type="spellEnd"/>
      <w:r w:rsidRPr="002429C5">
        <w:rPr>
          <w:b/>
          <w:sz w:val="18"/>
        </w:rPr>
        <w:t xml:space="preserve"> </w:t>
      </w:r>
      <w:proofErr w:type="spellStart"/>
      <w:r w:rsidRPr="002429C5">
        <w:rPr>
          <w:b/>
          <w:sz w:val="18"/>
        </w:rPr>
        <w:t>personpåkørsler</w:t>
      </w:r>
      <w:proofErr w:type="spellEnd"/>
      <w:r w:rsidRPr="002429C5">
        <w:rPr>
          <w:b/>
          <w:sz w:val="18"/>
        </w:rPr>
        <w:t>…</w:t>
      </w:r>
    </w:p>
    <w:p w:rsidR="00156598" w:rsidRPr="002429C5" w:rsidRDefault="00875926" w:rsidP="00E5588D">
      <w:pPr>
        <w:spacing w:after="120"/>
      </w:pPr>
      <w:proofErr w:type="spellStart"/>
      <w:r w:rsidRPr="002429C5">
        <w:t>Antallet</w:t>
      </w:r>
      <w:proofErr w:type="spellEnd"/>
      <w:r w:rsidRPr="002429C5">
        <w:t xml:space="preserve"> </w:t>
      </w:r>
      <w:proofErr w:type="spellStart"/>
      <w:proofErr w:type="gramStart"/>
      <w:r w:rsidRPr="002429C5">
        <w:t>af</w:t>
      </w:r>
      <w:proofErr w:type="spellEnd"/>
      <w:proofErr w:type="gramEnd"/>
      <w:r w:rsidRPr="002429C5">
        <w:t xml:space="preserve"> </w:t>
      </w:r>
      <w:proofErr w:type="spellStart"/>
      <w:r w:rsidRPr="002429C5">
        <w:t>væsentlige</w:t>
      </w:r>
      <w:proofErr w:type="spellEnd"/>
      <w:r w:rsidRPr="002429C5">
        <w:t xml:space="preserve"> </w:t>
      </w:r>
      <w:proofErr w:type="spellStart"/>
      <w:r w:rsidRPr="002429C5">
        <w:t>ulykker</w:t>
      </w:r>
      <w:proofErr w:type="spellEnd"/>
      <w:r w:rsidRPr="002429C5">
        <w:t xml:space="preserve"> </w:t>
      </w:r>
      <w:proofErr w:type="spellStart"/>
      <w:r w:rsidRPr="002429C5">
        <w:t>er</w:t>
      </w:r>
      <w:proofErr w:type="spellEnd"/>
      <w:r w:rsidRPr="002429C5">
        <w:t xml:space="preserve"> dog </w:t>
      </w:r>
      <w:proofErr w:type="spellStart"/>
      <w:r w:rsidRPr="002429C5">
        <w:t>steget</w:t>
      </w:r>
      <w:proofErr w:type="spellEnd"/>
      <w:r w:rsidRPr="002429C5">
        <w:t xml:space="preserve"> </w:t>
      </w:r>
      <w:proofErr w:type="spellStart"/>
      <w:r w:rsidRPr="002429C5">
        <w:t>fra</w:t>
      </w:r>
      <w:proofErr w:type="spellEnd"/>
      <w:r w:rsidRPr="002429C5">
        <w:t xml:space="preserve"> 2013 </w:t>
      </w:r>
      <w:proofErr w:type="spellStart"/>
      <w:r w:rsidRPr="002429C5">
        <w:t>til</w:t>
      </w:r>
      <w:proofErr w:type="spellEnd"/>
      <w:r w:rsidRPr="002429C5">
        <w:t xml:space="preserve"> 2014, men </w:t>
      </w:r>
      <w:proofErr w:type="spellStart"/>
      <w:r w:rsidRPr="002429C5">
        <w:t>ser</w:t>
      </w:r>
      <w:proofErr w:type="spellEnd"/>
      <w:r w:rsidRPr="002429C5">
        <w:t xml:space="preserve"> man </w:t>
      </w:r>
      <w:proofErr w:type="spellStart"/>
      <w:r w:rsidRPr="002429C5">
        <w:t>på</w:t>
      </w:r>
      <w:proofErr w:type="spellEnd"/>
      <w:r w:rsidRPr="002429C5">
        <w:t xml:space="preserve"> </w:t>
      </w:r>
      <w:proofErr w:type="spellStart"/>
      <w:r w:rsidRPr="002429C5">
        <w:t>det</w:t>
      </w:r>
      <w:proofErr w:type="spellEnd"/>
      <w:r w:rsidRPr="002429C5">
        <w:t xml:space="preserve"> 5-årige </w:t>
      </w:r>
      <w:proofErr w:type="spellStart"/>
      <w:r w:rsidRPr="002429C5">
        <w:t>gennemsnit</w:t>
      </w:r>
      <w:proofErr w:type="spellEnd"/>
      <w:r w:rsidRPr="002429C5">
        <w:t xml:space="preserve"> </w:t>
      </w:r>
      <w:proofErr w:type="spellStart"/>
      <w:r w:rsidRPr="002429C5">
        <w:t>er</w:t>
      </w:r>
      <w:proofErr w:type="spellEnd"/>
      <w:r w:rsidRPr="002429C5">
        <w:t xml:space="preserve"> </w:t>
      </w:r>
      <w:proofErr w:type="spellStart"/>
      <w:r w:rsidRPr="002429C5">
        <w:t>det</w:t>
      </w:r>
      <w:proofErr w:type="spellEnd"/>
      <w:r w:rsidRPr="002429C5">
        <w:t xml:space="preserve"> dog </w:t>
      </w:r>
      <w:proofErr w:type="spellStart"/>
      <w:r w:rsidRPr="002429C5">
        <w:t>alligevel</w:t>
      </w:r>
      <w:proofErr w:type="spellEnd"/>
      <w:r w:rsidRPr="002429C5">
        <w:t xml:space="preserve"> et </w:t>
      </w:r>
      <w:proofErr w:type="spellStart"/>
      <w:r w:rsidRPr="002429C5">
        <w:t>relativt</w:t>
      </w:r>
      <w:proofErr w:type="spellEnd"/>
      <w:r w:rsidRPr="002429C5">
        <w:t xml:space="preserve"> </w:t>
      </w:r>
      <w:proofErr w:type="spellStart"/>
      <w:r w:rsidRPr="002429C5">
        <w:t>stabilt</w:t>
      </w:r>
      <w:proofErr w:type="spellEnd"/>
      <w:r w:rsidRPr="002429C5">
        <w:t xml:space="preserve"> </w:t>
      </w:r>
      <w:proofErr w:type="spellStart"/>
      <w:r w:rsidRPr="002429C5">
        <w:t>antal</w:t>
      </w:r>
      <w:proofErr w:type="spellEnd"/>
      <w:r w:rsidRPr="002429C5">
        <w:t xml:space="preserve">. </w:t>
      </w:r>
      <w:proofErr w:type="spellStart"/>
      <w:r w:rsidRPr="002429C5">
        <w:t>Stigningen</w:t>
      </w:r>
      <w:proofErr w:type="spellEnd"/>
      <w:r w:rsidRPr="002429C5">
        <w:t xml:space="preserve"> </w:t>
      </w:r>
      <w:proofErr w:type="spellStart"/>
      <w:r w:rsidRPr="002429C5">
        <w:t>skyldes</w:t>
      </w:r>
      <w:proofErr w:type="spellEnd"/>
      <w:r w:rsidRPr="002429C5">
        <w:t xml:space="preserve"> </w:t>
      </w:r>
      <w:proofErr w:type="gramStart"/>
      <w:r w:rsidRPr="002429C5">
        <w:t>et</w:t>
      </w:r>
      <w:proofErr w:type="gramEnd"/>
      <w:r w:rsidRPr="002429C5">
        <w:t xml:space="preserve"> </w:t>
      </w:r>
      <w:proofErr w:type="spellStart"/>
      <w:r w:rsidRPr="002429C5">
        <w:t>større</w:t>
      </w:r>
      <w:proofErr w:type="spellEnd"/>
      <w:r w:rsidRPr="002429C5">
        <w:t xml:space="preserve"> </w:t>
      </w:r>
      <w:proofErr w:type="spellStart"/>
      <w:r w:rsidRPr="002429C5">
        <w:t>antal</w:t>
      </w:r>
      <w:proofErr w:type="spellEnd"/>
      <w:r w:rsidRPr="002429C5">
        <w:t xml:space="preserve"> </w:t>
      </w:r>
      <w:proofErr w:type="spellStart"/>
      <w:r w:rsidRPr="002429C5">
        <w:t>personpåkørsler</w:t>
      </w:r>
      <w:proofErr w:type="spellEnd"/>
      <w:r w:rsidRPr="002429C5">
        <w:t xml:space="preserve"> (</w:t>
      </w:r>
      <w:proofErr w:type="spellStart"/>
      <w:r w:rsidRPr="002429C5">
        <w:t>en</w:t>
      </w:r>
      <w:proofErr w:type="spellEnd"/>
      <w:r w:rsidRPr="002429C5">
        <w:t xml:space="preserve"> </w:t>
      </w:r>
      <w:proofErr w:type="spellStart"/>
      <w:r w:rsidRPr="002429C5">
        <w:t>øgning</w:t>
      </w:r>
      <w:proofErr w:type="spellEnd"/>
      <w:r w:rsidRPr="002429C5">
        <w:t xml:space="preserve"> </w:t>
      </w:r>
      <w:proofErr w:type="spellStart"/>
      <w:r w:rsidRPr="002429C5">
        <w:t>fra</w:t>
      </w:r>
      <w:proofErr w:type="spellEnd"/>
      <w:r w:rsidRPr="002429C5">
        <w:t xml:space="preserve"> </w:t>
      </w:r>
      <w:proofErr w:type="spellStart"/>
      <w:r w:rsidRPr="002429C5">
        <w:t>seks</w:t>
      </w:r>
      <w:proofErr w:type="spellEnd"/>
      <w:r w:rsidRPr="002429C5">
        <w:t xml:space="preserve"> </w:t>
      </w:r>
      <w:proofErr w:type="spellStart"/>
      <w:r w:rsidRPr="002429C5">
        <w:t>i</w:t>
      </w:r>
      <w:proofErr w:type="spellEnd"/>
      <w:r w:rsidRPr="002429C5">
        <w:t xml:space="preserve"> 2013 </w:t>
      </w:r>
      <w:proofErr w:type="spellStart"/>
      <w:r w:rsidRPr="002429C5">
        <w:t>til</w:t>
      </w:r>
      <w:proofErr w:type="spellEnd"/>
      <w:r w:rsidRPr="002429C5">
        <w:t xml:space="preserve"> 13 </w:t>
      </w:r>
      <w:proofErr w:type="spellStart"/>
      <w:r w:rsidRPr="002429C5">
        <w:t>i</w:t>
      </w:r>
      <w:proofErr w:type="spellEnd"/>
      <w:r w:rsidRPr="002429C5">
        <w:t xml:space="preserve"> 2014).</w:t>
      </w:r>
    </w:p>
    <w:p w:rsidR="00875926" w:rsidRPr="002429C5" w:rsidRDefault="003B21A7" w:rsidP="00E5588D">
      <w:pPr>
        <w:spacing w:after="120"/>
      </w:pPr>
      <w:proofErr w:type="spellStart"/>
      <w:r w:rsidRPr="002429C5">
        <w:t>Disse</w:t>
      </w:r>
      <w:proofErr w:type="spellEnd"/>
      <w:r w:rsidRPr="002429C5">
        <w:t xml:space="preserve"> </w:t>
      </w:r>
      <w:proofErr w:type="spellStart"/>
      <w:r w:rsidRPr="002429C5">
        <w:t>væsentlige</w:t>
      </w:r>
      <w:proofErr w:type="spellEnd"/>
      <w:r w:rsidRPr="002429C5">
        <w:t xml:space="preserve"> </w:t>
      </w:r>
      <w:proofErr w:type="spellStart"/>
      <w:r w:rsidRPr="002429C5">
        <w:t>ulykker</w:t>
      </w:r>
      <w:proofErr w:type="spellEnd"/>
      <w:r w:rsidRPr="002429C5">
        <w:t xml:space="preserve"> </w:t>
      </w:r>
      <w:proofErr w:type="spellStart"/>
      <w:r w:rsidRPr="002429C5">
        <w:t>udgøres</w:t>
      </w:r>
      <w:proofErr w:type="spellEnd"/>
      <w:r w:rsidRPr="002429C5">
        <w:t xml:space="preserve"> </w:t>
      </w:r>
      <w:proofErr w:type="spellStart"/>
      <w:r w:rsidRPr="002429C5">
        <w:t>også</w:t>
      </w:r>
      <w:proofErr w:type="spellEnd"/>
      <w:r w:rsidRPr="002429C5">
        <w:t xml:space="preserve"> </w:t>
      </w:r>
      <w:proofErr w:type="spellStart"/>
      <w:r w:rsidRPr="002429C5">
        <w:t>i</w:t>
      </w:r>
      <w:proofErr w:type="spellEnd"/>
      <w:r w:rsidRPr="002429C5">
        <w:t xml:space="preserve"> 2014 </w:t>
      </w:r>
      <w:proofErr w:type="spellStart"/>
      <w:r w:rsidRPr="002429C5">
        <w:t>primært</w:t>
      </w:r>
      <w:proofErr w:type="spellEnd"/>
      <w:r w:rsidRPr="002429C5">
        <w:t xml:space="preserve"> </w:t>
      </w:r>
      <w:proofErr w:type="spellStart"/>
      <w:proofErr w:type="gramStart"/>
      <w:r w:rsidRPr="002429C5">
        <w:t>af</w:t>
      </w:r>
      <w:proofErr w:type="spellEnd"/>
      <w:proofErr w:type="gramEnd"/>
      <w:r w:rsidRPr="002429C5">
        <w:t xml:space="preserve"> </w:t>
      </w:r>
      <w:proofErr w:type="spellStart"/>
      <w:r w:rsidRPr="002429C5">
        <w:t>personpåkørsler</w:t>
      </w:r>
      <w:proofErr w:type="spellEnd"/>
      <w:r w:rsidRPr="002429C5">
        <w:t xml:space="preserve"> </w:t>
      </w:r>
      <w:proofErr w:type="spellStart"/>
      <w:r w:rsidRPr="002429C5">
        <w:t>sammen</w:t>
      </w:r>
      <w:proofErr w:type="spellEnd"/>
      <w:r w:rsidRPr="002429C5">
        <w:t xml:space="preserve"> med </w:t>
      </w:r>
      <w:proofErr w:type="spellStart"/>
      <w:r w:rsidRPr="002429C5">
        <w:t>overkørselsulykker</w:t>
      </w:r>
      <w:proofErr w:type="spellEnd"/>
      <w:r w:rsidRPr="002429C5">
        <w:t xml:space="preserve">. </w:t>
      </w:r>
      <w:proofErr w:type="spellStart"/>
      <w:r w:rsidRPr="002429C5">
        <w:t>Antallet</w:t>
      </w:r>
      <w:proofErr w:type="spellEnd"/>
      <w:r w:rsidRPr="002429C5">
        <w:t xml:space="preserve"> </w:t>
      </w:r>
      <w:proofErr w:type="spellStart"/>
      <w:proofErr w:type="gramStart"/>
      <w:r w:rsidRPr="002429C5">
        <w:t>af</w:t>
      </w:r>
      <w:proofErr w:type="spellEnd"/>
      <w:proofErr w:type="gramEnd"/>
      <w:r w:rsidRPr="002429C5">
        <w:t xml:space="preserve"> </w:t>
      </w:r>
      <w:proofErr w:type="spellStart"/>
      <w:r w:rsidRPr="002429C5">
        <w:t>overkørselsulykker</w:t>
      </w:r>
      <w:proofErr w:type="spellEnd"/>
      <w:r w:rsidRPr="002429C5">
        <w:t xml:space="preserve"> </w:t>
      </w:r>
      <w:proofErr w:type="spellStart"/>
      <w:r w:rsidRPr="002429C5">
        <w:t>er</w:t>
      </w:r>
      <w:proofErr w:type="spellEnd"/>
      <w:r w:rsidRPr="002429C5">
        <w:t xml:space="preserve"> dog </w:t>
      </w:r>
      <w:proofErr w:type="spellStart"/>
      <w:r w:rsidRPr="002429C5">
        <w:t>på</w:t>
      </w:r>
      <w:proofErr w:type="spellEnd"/>
      <w:r w:rsidRPr="002429C5">
        <w:t xml:space="preserve"> </w:t>
      </w:r>
      <w:proofErr w:type="spellStart"/>
      <w:r w:rsidRPr="002429C5">
        <w:t>samme</w:t>
      </w:r>
      <w:proofErr w:type="spellEnd"/>
      <w:r w:rsidRPr="002429C5">
        <w:t xml:space="preserve"> </w:t>
      </w:r>
      <w:proofErr w:type="spellStart"/>
      <w:r w:rsidRPr="002429C5">
        <w:t>niveau</w:t>
      </w:r>
      <w:proofErr w:type="spellEnd"/>
      <w:r w:rsidRPr="002429C5">
        <w:t xml:space="preserve"> </w:t>
      </w:r>
      <w:proofErr w:type="spellStart"/>
      <w:r w:rsidRPr="002429C5">
        <w:t>som</w:t>
      </w:r>
      <w:proofErr w:type="spellEnd"/>
      <w:r w:rsidRPr="002429C5">
        <w:t xml:space="preserve"> </w:t>
      </w:r>
      <w:proofErr w:type="spellStart"/>
      <w:r w:rsidRPr="002429C5">
        <w:t>i</w:t>
      </w:r>
      <w:proofErr w:type="spellEnd"/>
      <w:r w:rsidRPr="002429C5">
        <w:t xml:space="preserve"> 2013. De </w:t>
      </w:r>
      <w:proofErr w:type="spellStart"/>
      <w:r w:rsidRPr="002429C5">
        <w:t>fleste</w:t>
      </w:r>
      <w:proofErr w:type="spellEnd"/>
      <w:r w:rsidRPr="002429C5">
        <w:t xml:space="preserve"> </w:t>
      </w:r>
      <w:proofErr w:type="spellStart"/>
      <w:r w:rsidRPr="002429C5">
        <w:t>ulykker</w:t>
      </w:r>
      <w:proofErr w:type="spellEnd"/>
      <w:r w:rsidRPr="002429C5">
        <w:t xml:space="preserve">, </w:t>
      </w:r>
      <w:proofErr w:type="spellStart"/>
      <w:r w:rsidRPr="002429C5">
        <w:t>hvor</w:t>
      </w:r>
      <w:proofErr w:type="spellEnd"/>
      <w:r w:rsidRPr="002429C5">
        <w:t xml:space="preserve"> </w:t>
      </w:r>
      <w:proofErr w:type="spellStart"/>
      <w:r w:rsidRPr="002429C5">
        <w:t>nogen</w:t>
      </w:r>
      <w:proofErr w:type="spellEnd"/>
      <w:r w:rsidRPr="002429C5">
        <w:t xml:space="preserve"> </w:t>
      </w:r>
      <w:proofErr w:type="spellStart"/>
      <w:r w:rsidRPr="002429C5">
        <w:t>kommer</w:t>
      </w:r>
      <w:proofErr w:type="spellEnd"/>
      <w:r w:rsidRPr="002429C5">
        <w:t xml:space="preserve"> </w:t>
      </w:r>
      <w:proofErr w:type="spellStart"/>
      <w:r w:rsidRPr="002429C5">
        <w:t>til</w:t>
      </w:r>
      <w:proofErr w:type="spellEnd"/>
      <w:r w:rsidRPr="002429C5">
        <w:t xml:space="preserve"> </w:t>
      </w:r>
      <w:proofErr w:type="spellStart"/>
      <w:r w:rsidRPr="002429C5">
        <w:t>skade</w:t>
      </w:r>
      <w:proofErr w:type="spellEnd"/>
      <w:r w:rsidRPr="002429C5">
        <w:t xml:space="preserve">, </w:t>
      </w:r>
      <w:proofErr w:type="spellStart"/>
      <w:r w:rsidRPr="002429C5">
        <w:t>sker</w:t>
      </w:r>
      <w:proofErr w:type="spellEnd"/>
      <w:r w:rsidRPr="002429C5">
        <w:t xml:space="preserve"> </w:t>
      </w:r>
      <w:proofErr w:type="spellStart"/>
      <w:r w:rsidRPr="002429C5">
        <w:t>i</w:t>
      </w:r>
      <w:proofErr w:type="spellEnd"/>
      <w:r w:rsidRPr="002429C5">
        <w:t xml:space="preserve"> </w:t>
      </w:r>
      <w:proofErr w:type="spellStart"/>
      <w:r w:rsidRPr="002429C5">
        <w:t>situationer</w:t>
      </w:r>
      <w:proofErr w:type="spellEnd"/>
      <w:r w:rsidRPr="002429C5">
        <w:t xml:space="preserve">, </w:t>
      </w:r>
      <w:proofErr w:type="spellStart"/>
      <w:r w:rsidRPr="002429C5">
        <w:t>hvor</w:t>
      </w:r>
      <w:proofErr w:type="spellEnd"/>
      <w:r w:rsidRPr="002429C5">
        <w:t xml:space="preserve"> </w:t>
      </w:r>
      <w:proofErr w:type="spellStart"/>
      <w:r w:rsidRPr="002429C5">
        <w:t>personer</w:t>
      </w:r>
      <w:proofErr w:type="spellEnd"/>
      <w:r w:rsidRPr="002429C5">
        <w:t xml:space="preserve"> </w:t>
      </w:r>
      <w:proofErr w:type="spellStart"/>
      <w:r w:rsidRPr="002429C5">
        <w:t>krydser</w:t>
      </w:r>
      <w:proofErr w:type="spellEnd"/>
      <w:r w:rsidRPr="002429C5">
        <w:t xml:space="preserve"> </w:t>
      </w:r>
      <w:proofErr w:type="spellStart"/>
      <w:r w:rsidRPr="002429C5">
        <w:t>sporene</w:t>
      </w:r>
      <w:proofErr w:type="spellEnd"/>
      <w:r w:rsidRPr="002429C5">
        <w:t xml:space="preserve">. </w:t>
      </w:r>
      <w:proofErr w:type="spellStart"/>
      <w:r w:rsidRPr="002429C5">
        <w:t>Det</w:t>
      </w:r>
      <w:proofErr w:type="spellEnd"/>
      <w:r w:rsidRPr="002429C5">
        <w:t xml:space="preserve"> </w:t>
      </w:r>
      <w:proofErr w:type="spellStart"/>
      <w:r w:rsidRPr="002429C5">
        <w:t>er</w:t>
      </w:r>
      <w:proofErr w:type="spellEnd"/>
      <w:r w:rsidRPr="002429C5">
        <w:t xml:space="preserve"> da </w:t>
      </w:r>
      <w:proofErr w:type="spellStart"/>
      <w:r w:rsidRPr="002429C5">
        <w:t>også</w:t>
      </w:r>
      <w:proofErr w:type="spellEnd"/>
      <w:r w:rsidRPr="002429C5">
        <w:t xml:space="preserve"> </w:t>
      </w:r>
      <w:proofErr w:type="spellStart"/>
      <w:r w:rsidRPr="002429C5">
        <w:t>oftest</w:t>
      </w:r>
      <w:proofErr w:type="spellEnd"/>
      <w:r w:rsidRPr="002429C5">
        <w:t xml:space="preserve"> </w:t>
      </w:r>
      <w:proofErr w:type="spellStart"/>
      <w:r w:rsidRPr="002429C5">
        <w:t>personer</w:t>
      </w:r>
      <w:proofErr w:type="spellEnd"/>
      <w:r w:rsidRPr="002429C5">
        <w:t xml:space="preserve"> </w:t>
      </w:r>
      <w:proofErr w:type="spellStart"/>
      <w:r w:rsidRPr="002429C5">
        <w:t>uden</w:t>
      </w:r>
      <w:proofErr w:type="spellEnd"/>
      <w:r w:rsidRPr="002429C5">
        <w:t xml:space="preserve"> for </w:t>
      </w:r>
      <w:proofErr w:type="spellStart"/>
      <w:r w:rsidRPr="002429C5">
        <w:t>toget</w:t>
      </w:r>
      <w:proofErr w:type="spellEnd"/>
      <w:r w:rsidRPr="002429C5">
        <w:t xml:space="preserve">, </w:t>
      </w:r>
      <w:proofErr w:type="spellStart"/>
      <w:r w:rsidRPr="002429C5">
        <w:t>som</w:t>
      </w:r>
      <w:proofErr w:type="spellEnd"/>
      <w:r w:rsidRPr="002429C5">
        <w:t xml:space="preserve"> </w:t>
      </w:r>
      <w:proofErr w:type="spellStart"/>
      <w:r w:rsidRPr="002429C5">
        <w:t>kommer</w:t>
      </w:r>
      <w:proofErr w:type="spellEnd"/>
      <w:r w:rsidRPr="002429C5">
        <w:t xml:space="preserve"> </w:t>
      </w:r>
      <w:proofErr w:type="spellStart"/>
      <w:r w:rsidRPr="002429C5">
        <w:t>til</w:t>
      </w:r>
      <w:proofErr w:type="spellEnd"/>
      <w:r w:rsidRPr="002429C5">
        <w:t xml:space="preserve"> </w:t>
      </w:r>
      <w:proofErr w:type="spellStart"/>
      <w:r w:rsidRPr="002429C5">
        <w:t>skade</w:t>
      </w:r>
      <w:proofErr w:type="spellEnd"/>
      <w:r w:rsidRPr="002429C5">
        <w:t xml:space="preserve"> </w:t>
      </w:r>
      <w:proofErr w:type="spellStart"/>
      <w:r w:rsidRPr="002429C5">
        <w:t>i</w:t>
      </w:r>
      <w:proofErr w:type="spellEnd"/>
      <w:r w:rsidRPr="002429C5">
        <w:t xml:space="preserve"> </w:t>
      </w:r>
      <w:proofErr w:type="spellStart"/>
      <w:r w:rsidRPr="002429C5">
        <w:t>jernbaneulykker</w:t>
      </w:r>
      <w:proofErr w:type="spellEnd"/>
      <w:r w:rsidRPr="002429C5">
        <w:t xml:space="preserve">. </w:t>
      </w:r>
      <w:proofErr w:type="spellStart"/>
      <w:r w:rsidRPr="002429C5">
        <w:t>Passagerer</w:t>
      </w:r>
      <w:proofErr w:type="spellEnd"/>
      <w:r w:rsidRPr="002429C5">
        <w:t xml:space="preserve"> </w:t>
      </w:r>
      <w:proofErr w:type="spellStart"/>
      <w:proofErr w:type="gramStart"/>
      <w:r w:rsidRPr="002429C5">
        <w:t>og</w:t>
      </w:r>
      <w:proofErr w:type="spellEnd"/>
      <w:proofErr w:type="gramEnd"/>
      <w:r w:rsidRPr="002429C5">
        <w:t xml:space="preserve"> </w:t>
      </w:r>
      <w:proofErr w:type="spellStart"/>
      <w:r w:rsidRPr="002429C5">
        <w:t>ansatte</w:t>
      </w:r>
      <w:proofErr w:type="spellEnd"/>
      <w:r w:rsidRPr="002429C5">
        <w:t xml:space="preserve"> </w:t>
      </w:r>
      <w:proofErr w:type="spellStart"/>
      <w:r w:rsidRPr="002429C5">
        <w:t>kommer</w:t>
      </w:r>
      <w:proofErr w:type="spellEnd"/>
      <w:r w:rsidRPr="002429C5">
        <w:t xml:space="preserve"> </w:t>
      </w:r>
      <w:proofErr w:type="spellStart"/>
      <w:r w:rsidRPr="002429C5">
        <w:t>meget</w:t>
      </w:r>
      <w:proofErr w:type="spellEnd"/>
      <w:r w:rsidRPr="002429C5">
        <w:t xml:space="preserve"> </w:t>
      </w:r>
      <w:proofErr w:type="spellStart"/>
      <w:r w:rsidRPr="002429C5">
        <w:t>sjældent</w:t>
      </w:r>
      <w:proofErr w:type="spellEnd"/>
      <w:r w:rsidRPr="002429C5">
        <w:t xml:space="preserve"> </w:t>
      </w:r>
      <w:proofErr w:type="spellStart"/>
      <w:r w:rsidRPr="002429C5">
        <w:t>til</w:t>
      </w:r>
      <w:proofErr w:type="spellEnd"/>
      <w:r w:rsidRPr="002429C5">
        <w:t xml:space="preserve"> </w:t>
      </w:r>
      <w:proofErr w:type="spellStart"/>
      <w:r w:rsidRPr="002429C5">
        <w:t>skade</w:t>
      </w:r>
      <w:proofErr w:type="spellEnd"/>
      <w:r w:rsidRPr="002429C5">
        <w:t>.</w:t>
      </w:r>
    </w:p>
    <w:p w:rsidR="005C443D" w:rsidRPr="002429C5" w:rsidRDefault="0064516C" w:rsidP="005C443D">
      <w:pPr>
        <w:spacing w:after="0"/>
        <w:rPr>
          <w:b/>
        </w:rPr>
      </w:pPr>
      <w:r w:rsidRPr="002429C5">
        <w:rPr>
          <w:b/>
        </w:rPr>
        <w:t xml:space="preserve">… </w:t>
      </w:r>
      <w:proofErr w:type="gramStart"/>
      <w:r w:rsidRPr="002429C5">
        <w:rPr>
          <w:b/>
        </w:rPr>
        <w:t>men</w:t>
      </w:r>
      <w:proofErr w:type="gramEnd"/>
      <w:r w:rsidRPr="002429C5">
        <w:rPr>
          <w:b/>
        </w:rPr>
        <w:t xml:space="preserve"> </w:t>
      </w:r>
      <w:proofErr w:type="spellStart"/>
      <w:r w:rsidRPr="002429C5">
        <w:rPr>
          <w:b/>
        </w:rPr>
        <w:t>udviklingen</w:t>
      </w:r>
      <w:proofErr w:type="spellEnd"/>
      <w:r w:rsidRPr="002429C5">
        <w:rPr>
          <w:b/>
        </w:rPr>
        <w:t xml:space="preserve"> </w:t>
      </w:r>
      <w:proofErr w:type="spellStart"/>
      <w:r w:rsidRPr="002429C5">
        <w:rPr>
          <w:b/>
        </w:rPr>
        <w:t>i</w:t>
      </w:r>
      <w:proofErr w:type="spellEnd"/>
      <w:r w:rsidRPr="002429C5">
        <w:rPr>
          <w:b/>
        </w:rPr>
        <w:t xml:space="preserve"> </w:t>
      </w:r>
      <w:proofErr w:type="spellStart"/>
      <w:r w:rsidRPr="002429C5">
        <w:rPr>
          <w:b/>
        </w:rPr>
        <w:t>selvmord</w:t>
      </w:r>
      <w:proofErr w:type="spellEnd"/>
      <w:r w:rsidRPr="002429C5">
        <w:rPr>
          <w:b/>
        </w:rPr>
        <w:t xml:space="preserve"> </w:t>
      </w:r>
      <w:proofErr w:type="spellStart"/>
      <w:r w:rsidRPr="002429C5">
        <w:rPr>
          <w:b/>
        </w:rPr>
        <w:t>på</w:t>
      </w:r>
      <w:proofErr w:type="spellEnd"/>
      <w:r w:rsidRPr="002429C5">
        <w:rPr>
          <w:b/>
        </w:rPr>
        <w:t xml:space="preserve"> </w:t>
      </w:r>
      <w:proofErr w:type="spellStart"/>
      <w:r w:rsidRPr="002429C5">
        <w:rPr>
          <w:b/>
        </w:rPr>
        <w:t>jernbanen</w:t>
      </w:r>
      <w:proofErr w:type="spellEnd"/>
      <w:r w:rsidRPr="002429C5">
        <w:rPr>
          <w:b/>
        </w:rPr>
        <w:t xml:space="preserve"> </w:t>
      </w:r>
      <w:proofErr w:type="spellStart"/>
      <w:r w:rsidRPr="002429C5">
        <w:rPr>
          <w:b/>
        </w:rPr>
        <w:t>er</w:t>
      </w:r>
      <w:proofErr w:type="spellEnd"/>
      <w:r w:rsidRPr="002429C5">
        <w:rPr>
          <w:b/>
        </w:rPr>
        <w:t xml:space="preserve"> </w:t>
      </w:r>
      <w:proofErr w:type="spellStart"/>
      <w:r w:rsidRPr="002429C5">
        <w:rPr>
          <w:b/>
        </w:rPr>
        <w:t>tilbage</w:t>
      </w:r>
      <w:proofErr w:type="spellEnd"/>
      <w:r w:rsidRPr="002429C5">
        <w:rPr>
          <w:b/>
        </w:rPr>
        <w:t xml:space="preserve"> </w:t>
      </w:r>
      <w:proofErr w:type="spellStart"/>
      <w:r w:rsidRPr="002429C5">
        <w:rPr>
          <w:b/>
        </w:rPr>
        <w:t>på</w:t>
      </w:r>
      <w:proofErr w:type="spellEnd"/>
      <w:r w:rsidRPr="002429C5">
        <w:rPr>
          <w:b/>
        </w:rPr>
        <w:t xml:space="preserve"> et </w:t>
      </w:r>
      <w:proofErr w:type="spellStart"/>
      <w:r w:rsidRPr="002429C5">
        <w:rPr>
          <w:b/>
        </w:rPr>
        <w:t>stabilt</w:t>
      </w:r>
      <w:proofErr w:type="spellEnd"/>
      <w:r w:rsidRPr="002429C5">
        <w:rPr>
          <w:b/>
        </w:rPr>
        <w:t xml:space="preserve"> </w:t>
      </w:r>
      <w:proofErr w:type="spellStart"/>
      <w:r w:rsidRPr="002429C5">
        <w:rPr>
          <w:b/>
        </w:rPr>
        <w:t>niveau</w:t>
      </w:r>
      <w:proofErr w:type="spellEnd"/>
    </w:p>
    <w:p w:rsidR="00875926" w:rsidRPr="002429C5" w:rsidRDefault="00875926" w:rsidP="00E5588D">
      <w:pPr>
        <w:spacing w:after="120"/>
        <w:rPr>
          <w:b/>
        </w:rPr>
      </w:pPr>
      <w:proofErr w:type="spellStart"/>
      <w:r w:rsidRPr="002429C5">
        <w:t>Antallet</w:t>
      </w:r>
      <w:proofErr w:type="spellEnd"/>
      <w:r w:rsidRPr="002429C5">
        <w:t xml:space="preserve"> </w:t>
      </w:r>
      <w:proofErr w:type="spellStart"/>
      <w:r w:rsidRPr="002429C5">
        <w:t>af</w:t>
      </w:r>
      <w:proofErr w:type="spellEnd"/>
      <w:r w:rsidRPr="002429C5">
        <w:t xml:space="preserve"> </w:t>
      </w:r>
      <w:proofErr w:type="spellStart"/>
      <w:r w:rsidRPr="002429C5">
        <w:t>selvmord</w:t>
      </w:r>
      <w:proofErr w:type="spellEnd"/>
      <w:r w:rsidRPr="002429C5">
        <w:t xml:space="preserve"> </w:t>
      </w:r>
      <w:proofErr w:type="spellStart"/>
      <w:r w:rsidRPr="002429C5">
        <w:t>forbliver</w:t>
      </w:r>
      <w:proofErr w:type="spellEnd"/>
      <w:r w:rsidRPr="002429C5">
        <w:t xml:space="preserve"> </w:t>
      </w:r>
      <w:proofErr w:type="spellStart"/>
      <w:proofErr w:type="gramStart"/>
      <w:r w:rsidRPr="002429C5">
        <w:t>på</w:t>
      </w:r>
      <w:proofErr w:type="spellEnd"/>
      <w:r w:rsidRPr="002429C5">
        <w:t xml:space="preserve"> ”</w:t>
      </w:r>
      <w:proofErr w:type="spellStart"/>
      <w:proofErr w:type="gramEnd"/>
      <w:r w:rsidRPr="002429C5">
        <w:t>normaltallet</w:t>
      </w:r>
      <w:proofErr w:type="spellEnd"/>
      <w:r w:rsidRPr="002429C5">
        <w:t xml:space="preserve">” </w:t>
      </w:r>
      <w:proofErr w:type="spellStart"/>
      <w:r w:rsidRPr="002429C5">
        <w:t>i</w:t>
      </w:r>
      <w:proofErr w:type="spellEnd"/>
      <w:r w:rsidRPr="002429C5">
        <w:t xml:space="preserve"> 2014, </w:t>
      </w:r>
      <w:proofErr w:type="spellStart"/>
      <w:r w:rsidRPr="002429C5">
        <w:t>som</w:t>
      </w:r>
      <w:proofErr w:type="spellEnd"/>
      <w:r w:rsidRPr="002429C5">
        <w:t xml:space="preserve"> </w:t>
      </w:r>
      <w:proofErr w:type="spellStart"/>
      <w:r w:rsidRPr="002429C5">
        <w:t>det</w:t>
      </w:r>
      <w:proofErr w:type="spellEnd"/>
      <w:r w:rsidRPr="002429C5">
        <w:t xml:space="preserve"> </w:t>
      </w:r>
      <w:proofErr w:type="spellStart"/>
      <w:r w:rsidRPr="002429C5">
        <w:t>også</w:t>
      </w:r>
      <w:proofErr w:type="spellEnd"/>
      <w:r w:rsidRPr="002429C5">
        <w:t xml:space="preserve"> </w:t>
      </w:r>
      <w:proofErr w:type="spellStart"/>
      <w:r w:rsidRPr="002429C5">
        <w:t>blev</w:t>
      </w:r>
      <w:proofErr w:type="spellEnd"/>
      <w:r w:rsidRPr="002429C5">
        <w:t xml:space="preserve"> </w:t>
      </w:r>
      <w:proofErr w:type="spellStart"/>
      <w:r w:rsidRPr="002429C5">
        <w:t>observeret</w:t>
      </w:r>
      <w:proofErr w:type="spellEnd"/>
      <w:r w:rsidRPr="002429C5">
        <w:t xml:space="preserve"> </w:t>
      </w:r>
      <w:proofErr w:type="spellStart"/>
      <w:r w:rsidRPr="002429C5">
        <w:t>i</w:t>
      </w:r>
      <w:proofErr w:type="spellEnd"/>
      <w:r w:rsidRPr="002429C5">
        <w:t xml:space="preserve"> 2013. </w:t>
      </w:r>
      <w:proofErr w:type="spellStart"/>
      <w:r w:rsidRPr="002429C5">
        <w:t>Det</w:t>
      </w:r>
      <w:proofErr w:type="spellEnd"/>
      <w:r w:rsidRPr="002429C5">
        <w:t xml:space="preserve"> </w:t>
      </w:r>
      <w:proofErr w:type="spellStart"/>
      <w:r w:rsidRPr="002429C5">
        <w:t>høje</w:t>
      </w:r>
      <w:proofErr w:type="spellEnd"/>
      <w:r w:rsidRPr="002429C5">
        <w:t xml:space="preserve"> </w:t>
      </w:r>
      <w:proofErr w:type="spellStart"/>
      <w:r w:rsidRPr="002429C5">
        <w:t>antal</w:t>
      </w:r>
      <w:proofErr w:type="spellEnd"/>
      <w:r w:rsidRPr="002429C5">
        <w:t xml:space="preserve"> </w:t>
      </w:r>
      <w:proofErr w:type="spellStart"/>
      <w:r w:rsidRPr="002429C5">
        <w:t>i</w:t>
      </w:r>
      <w:proofErr w:type="spellEnd"/>
      <w:r w:rsidRPr="002429C5">
        <w:t xml:space="preserve"> 2012 </w:t>
      </w:r>
      <w:proofErr w:type="spellStart"/>
      <w:proofErr w:type="gramStart"/>
      <w:r w:rsidRPr="002429C5">
        <w:t>kan</w:t>
      </w:r>
      <w:proofErr w:type="spellEnd"/>
      <w:proofErr w:type="gramEnd"/>
      <w:r w:rsidRPr="002429C5">
        <w:t xml:space="preserve"> </w:t>
      </w:r>
      <w:proofErr w:type="spellStart"/>
      <w:r w:rsidRPr="002429C5">
        <w:t>dermed</w:t>
      </w:r>
      <w:proofErr w:type="spellEnd"/>
      <w:r w:rsidRPr="002429C5">
        <w:t xml:space="preserve"> </w:t>
      </w:r>
      <w:proofErr w:type="spellStart"/>
      <w:r w:rsidRPr="002429C5">
        <w:t>forhåbentlig</w:t>
      </w:r>
      <w:proofErr w:type="spellEnd"/>
      <w:r w:rsidRPr="002429C5">
        <w:t xml:space="preserve"> </w:t>
      </w:r>
      <w:proofErr w:type="spellStart"/>
      <w:r w:rsidRPr="002429C5">
        <w:t>vurderes</w:t>
      </w:r>
      <w:proofErr w:type="spellEnd"/>
      <w:r w:rsidRPr="002429C5">
        <w:t xml:space="preserve"> </w:t>
      </w:r>
      <w:proofErr w:type="spellStart"/>
      <w:r w:rsidRPr="002429C5">
        <w:t>til</w:t>
      </w:r>
      <w:proofErr w:type="spellEnd"/>
      <w:r w:rsidRPr="002429C5">
        <w:t xml:space="preserve"> blot at have </w:t>
      </w:r>
      <w:proofErr w:type="spellStart"/>
      <w:r w:rsidRPr="002429C5">
        <w:t>været</w:t>
      </w:r>
      <w:proofErr w:type="spellEnd"/>
      <w:r w:rsidRPr="002429C5">
        <w:t xml:space="preserve"> for et </w:t>
      </w:r>
      <w:proofErr w:type="spellStart"/>
      <w:r w:rsidRPr="002429C5">
        <w:t>enkeltstående</w:t>
      </w:r>
      <w:proofErr w:type="spellEnd"/>
      <w:r w:rsidRPr="002429C5">
        <w:t xml:space="preserve"> </w:t>
      </w:r>
      <w:proofErr w:type="spellStart"/>
      <w:r w:rsidRPr="002429C5">
        <w:t>år</w:t>
      </w:r>
      <w:proofErr w:type="spellEnd"/>
      <w:r w:rsidRPr="002429C5">
        <w:t>.</w:t>
      </w:r>
    </w:p>
    <w:p w:rsidR="005C443D" w:rsidRPr="002429C5" w:rsidRDefault="00875926" w:rsidP="00E5588D">
      <w:pPr>
        <w:keepNext/>
        <w:spacing w:after="0"/>
        <w:rPr>
          <w:b/>
        </w:rPr>
      </w:pPr>
      <w:proofErr w:type="spellStart"/>
      <w:r w:rsidRPr="002429C5">
        <w:rPr>
          <w:b/>
        </w:rPr>
        <w:t>Styrelsen</w:t>
      </w:r>
      <w:proofErr w:type="spellEnd"/>
      <w:r w:rsidRPr="002429C5">
        <w:rPr>
          <w:b/>
        </w:rPr>
        <w:t xml:space="preserve"> </w:t>
      </w:r>
      <w:proofErr w:type="spellStart"/>
      <w:r w:rsidRPr="002429C5">
        <w:rPr>
          <w:b/>
        </w:rPr>
        <w:t>har</w:t>
      </w:r>
      <w:proofErr w:type="spellEnd"/>
      <w:r w:rsidRPr="002429C5">
        <w:rPr>
          <w:b/>
        </w:rPr>
        <w:t xml:space="preserve"> </w:t>
      </w:r>
      <w:proofErr w:type="spellStart"/>
      <w:r w:rsidRPr="002429C5">
        <w:rPr>
          <w:b/>
        </w:rPr>
        <w:t>efterlevet</w:t>
      </w:r>
      <w:proofErr w:type="spellEnd"/>
      <w:r w:rsidRPr="002429C5">
        <w:rPr>
          <w:b/>
        </w:rPr>
        <w:t xml:space="preserve"> </w:t>
      </w:r>
      <w:proofErr w:type="spellStart"/>
      <w:r w:rsidRPr="002429C5">
        <w:rPr>
          <w:b/>
        </w:rPr>
        <w:t>Havarikommissionens</w:t>
      </w:r>
      <w:proofErr w:type="spellEnd"/>
      <w:r w:rsidRPr="002429C5">
        <w:rPr>
          <w:b/>
        </w:rPr>
        <w:t xml:space="preserve"> </w:t>
      </w:r>
      <w:proofErr w:type="spellStart"/>
      <w:r w:rsidRPr="002429C5">
        <w:rPr>
          <w:b/>
        </w:rPr>
        <w:t>rekommandationer</w:t>
      </w:r>
      <w:proofErr w:type="spellEnd"/>
    </w:p>
    <w:p w:rsidR="00875926" w:rsidRPr="002429C5" w:rsidRDefault="00875926" w:rsidP="00E5588D">
      <w:pPr>
        <w:spacing w:after="120"/>
        <w:rPr>
          <w:b/>
        </w:rPr>
      </w:pPr>
      <w:r w:rsidRPr="002429C5">
        <w:t xml:space="preserve">I 2014 </w:t>
      </w:r>
      <w:proofErr w:type="spellStart"/>
      <w:r w:rsidRPr="002429C5">
        <w:t>har</w:t>
      </w:r>
      <w:proofErr w:type="spellEnd"/>
      <w:r w:rsidRPr="002429C5">
        <w:t xml:space="preserve"> </w:t>
      </w:r>
      <w:proofErr w:type="spellStart"/>
      <w:r w:rsidRPr="002429C5">
        <w:t>Styrelsen</w:t>
      </w:r>
      <w:proofErr w:type="spellEnd"/>
      <w:r w:rsidRPr="002429C5">
        <w:t xml:space="preserve"> </w:t>
      </w:r>
      <w:proofErr w:type="spellStart"/>
      <w:r w:rsidRPr="002429C5">
        <w:t>modtaget</w:t>
      </w:r>
      <w:proofErr w:type="spellEnd"/>
      <w:r w:rsidRPr="002429C5">
        <w:t xml:space="preserve"> fire </w:t>
      </w:r>
      <w:proofErr w:type="spellStart"/>
      <w:r w:rsidRPr="002429C5">
        <w:t>redegørelser</w:t>
      </w:r>
      <w:proofErr w:type="spellEnd"/>
      <w:r w:rsidRPr="002429C5">
        <w:t xml:space="preserve"> </w:t>
      </w:r>
      <w:proofErr w:type="spellStart"/>
      <w:proofErr w:type="gramStart"/>
      <w:r w:rsidRPr="002429C5">
        <w:t>fra</w:t>
      </w:r>
      <w:proofErr w:type="spellEnd"/>
      <w:proofErr w:type="gramEnd"/>
      <w:r w:rsidRPr="002429C5">
        <w:t xml:space="preserve"> </w:t>
      </w:r>
      <w:proofErr w:type="spellStart"/>
      <w:r w:rsidRPr="002429C5">
        <w:t>Havarikommissionen</w:t>
      </w:r>
      <w:proofErr w:type="spellEnd"/>
      <w:r w:rsidRPr="002429C5">
        <w:t xml:space="preserve"> </w:t>
      </w:r>
      <w:proofErr w:type="spellStart"/>
      <w:r w:rsidRPr="002429C5">
        <w:lastRenderedPageBreak/>
        <w:t>til</w:t>
      </w:r>
      <w:proofErr w:type="spellEnd"/>
      <w:r w:rsidRPr="002429C5">
        <w:t xml:space="preserve"> </w:t>
      </w:r>
      <w:proofErr w:type="spellStart"/>
      <w:r w:rsidRPr="002429C5">
        <w:t>opfølgning</w:t>
      </w:r>
      <w:proofErr w:type="spellEnd"/>
      <w:r w:rsidRPr="002429C5">
        <w:t xml:space="preserve">. </w:t>
      </w:r>
      <w:proofErr w:type="spellStart"/>
      <w:r w:rsidRPr="002429C5">
        <w:t>Styrelsen</w:t>
      </w:r>
      <w:proofErr w:type="spellEnd"/>
      <w:r w:rsidRPr="002429C5">
        <w:t xml:space="preserve"> </w:t>
      </w:r>
      <w:proofErr w:type="spellStart"/>
      <w:r w:rsidRPr="002429C5">
        <w:t>har</w:t>
      </w:r>
      <w:proofErr w:type="spellEnd"/>
      <w:r w:rsidRPr="002429C5">
        <w:t xml:space="preserve"> </w:t>
      </w:r>
      <w:proofErr w:type="spellStart"/>
      <w:r w:rsidRPr="002429C5">
        <w:t>ført</w:t>
      </w:r>
      <w:proofErr w:type="spellEnd"/>
      <w:r w:rsidRPr="002429C5">
        <w:t xml:space="preserve"> </w:t>
      </w:r>
      <w:proofErr w:type="spellStart"/>
      <w:r w:rsidRPr="002429C5">
        <w:t>tilsyn</w:t>
      </w:r>
      <w:proofErr w:type="spellEnd"/>
      <w:r w:rsidRPr="002429C5">
        <w:t xml:space="preserve"> med </w:t>
      </w:r>
      <w:proofErr w:type="spellStart"/>
      <w:r w:rsidRPr="002429C5">
        <w:t>disse</w:t>
      </w:r>
      <w:proofErr w:type="spellEnd"/>
      <w:r w:rsidRPr="002429C5">
        <w:t xml:space="preserve"> </w:t>
      </w:r>
      <w:proofErr w:type="spellStart"/>
      <w:r w:rsidRPr="002429C5">
        <w:t>hændelser</w:t>
      </w:r>
      <w:proofErr w:type="spellEnd"/>
      <w:r w:rsidRPr="002429C5">
        <w:t xml:space="preserve"> </w:t>
      </w:r>
      <w:proofErr w:type="spellStart"/>
      <w:r w:rsidRPr="002429C5">
        <w:t>samt</w:t>
      </w:r>
      <w:proofErr w:type="spellEnd"/>
      <w:r w:rsidRPr="002429C5">
        <w:t xml:space="preserve"> </w:t>
      </w:r>
      <w:proofErr w:type="spellStart"/>
      <w:r w:rsidRPr="002429C5">
        <w:t>implementeret</w:t>
      </w:r>
      <w:proofErr w:type="spellEnd"/>
      <w:r w:rsidRPr="002429C5">
        <w:t xml:space="preserve"> </w:t>
      </w:r>
      <w:proofErr w:type="spellStart"/>
      <w:r w:rsidRPr="002429C5">
        <w:t>flere</w:t>
      </w:r>
      <w:proofErr w:type="spellEnd"/>
      <w:r w:rsidRPr="002429C5">
        <w:t xml:space="preserve"> </w:t>
      </w:r>
      <w:proofErr w:type="spellStart"/>
      <w:r w:rsidRPr="002429C5">
        <w:t>tiltag</w:t>
      </w:r>
      <w:proofErr w:type="spellEnd"/>
      <w:r w:rsidRPr="002429C5">
        <w:t xml:space="preserve"> </w:t>
      </w:r>
      <w:proofErr w:type="spellStart"/>
      <w:r w:rsidRPr="002429C5">
        <w:t>i</w:t>
      </w:r>
      <w:proofErr w:type="spellEnd"/>
      <w:r w:rsidRPr="002429C5">
        <w:t xml:space="preserve"> </w:t>
      </w:r>
      <w:proofErr w:type="spellStart"/>
      <w:r w:rsidRPr="002429C5">
        <w:t>henhold</w:t>
      </w:r>
      <w:proofErr w:type="spellEnd"/>
      <w:r w:rsidRPr="002429C5">
        <w:t xml:space="preserve"> </w:t>
      </w:r>
      <w:proofErr w:type="spellStart"/>
      <w:r w:rsidRPr="002429C5">
        <w:t>til</w:t>
      </w:r>
      <w:proofErr w:type="spellEnd"/>
      <w:r w:rsidRPr="002429C5">
        <w:t xml:space="preserve"> </w:t>
      </w:r>
      <w:proofErr w:type="spellStart"/>
      <w:r w:rsidRPr="002429C5">
        <w:t>rekommandationerne</w:t>
      </w:r>
      <w:proofErr w:type="spellEnd"/>
      <w:r w:rsidRPr="002429C5">
        <w:t xml:space="preserve">, </w:t>
      </w:r>
      <w:proofErr w:type="spellStart"/>
      <w:r w:rsidRPr="002429C5">
        <w:t>hvormed</w:t>
      </w:r>
      <w:proofErr w:type="spellEnd"/>
      <w:r w:rsidRPr="002429C5">
        <w:t xml:space="preserve"> </w:t>
      </w:r>
      <w:proofErr w:type="spellStart"/>
      <w:r w:rsidRPr="002429C5">
        <w:t>alle</w:t>
      </w:r>
      <w:proofErr w:type="spellEnd"/>
      <w:r w:rsidRPr="002429C5">
        <w:t xml:space="preserve"> </w:t>
      </w:r>
      <w:proofErr w:type="spellStart"/>
      <w:r w:rsidRPr="002429C5">
        <w:t>rekommandationer</w:t>
      </w:r>
      <w:proofErr w:type="spellEnd"/>
      <w:r w:rsidRPr="002429C5">
        <w:t xml:space="preserve"> </w:t>
      </w:r>
      <w:proofErr w:type="spellStart"/>
      <w:r w:rsidRPr="002429C5">
        <w:t>er</w:t>
      </w:r>
      <w:proofErr w:type="spellEnd"/>
      <w:r w:rsidRPr="002429C5">
        <w:t xml:space="preserve"> </w:t>
      </w:r>
      <w:proofErr w:type="spellStart"/>
      <w:r w:rsidRPr="002429C5">
        <w:t>efterlevet</w:t>
      </w:r>
      <w:proofErr w:type="spellEnd"/>
      <w:r w:rsidRPr="002429C5">
        <w:t>.</w:t>
      </w:r>
    </w:p>
    <w:p w:rsidR="005C443D" w:rsidRPr="002429C5" w:rsidRDefault="00875926" w:rsidP="005C443D">
      <w:pPr>
        <w:spacing w:after="0"/>
      </w:pPr>
      <w:proofErr w:type="spellStart"/>
      <w:r w:rsidRPr="002429C5">
        <w:rPr>
          <w:b/>
        </w:rPr>
        <w:t>Modenhedsmodellen</w:t>
      </w:r>
      <w:proofErr w:type="spellEnd"/>
      <w:r w:rsidRPr="002429C5">
        <w:rPr>
          <w:b/>
        </w:rPr>
        <w:t xml:space="preserve">, der </w:t>
      </w:r>
      <w:proofErr w:type="spellStart"/>
      <w:r w:rsidRPr="002429C5">
        <w:rPr>
          <w:b/>
        </w:rPr>
        <w:t>blev</w:t>
      </w:r>
      <w:proofErr w:type="spellEnd"/>
      <w:r w:rsidRPr="002429C5">
        <w:rPr>
          <w:b/>
        </w:rPr>
        <w:t xml:space="preserve"> </w:t>
      </w:r>
      <w:proofErr w:type="spellStart"/>
      <w:r w:rsidRPr="002429C5">
        <w:rPr>
          <w:b/>
        </w:rPr>
        <w:t>indført</w:t>
      </w:r>
      <w:proofErr w:type="spellEnd"/>
      <w:r w:rsidRPr="002429C5">
        <w:rPr>
          <w:b/>
        </w:rPr>
        <w:t xml:space="preserve"> </w:t>
      </w:r>
      <w:proofErr w:type="spellStart"/>
      <w:r w:rsidRPr="002429C5">
        <w:rPr>
          <w:b/>
        </w:rPr>
        <w:t>i</w:t>
      </w:r>
      <w:proofErr w:type="spellEnd"/>
      <w:r w:rsidRPr="002429C5">
        <w:rPr>
          <w:b/>
        </w:rPr>
        <w:t xml:space="preserve"> 2013, </w:t>
      </w:r>
      <w:proofErr w:type="spellStart"/>
      <w:r w:rsidRPr="002429C5">
        <w:rPr>
          <w:b/>
        </w:rPr>
        <w:t>ser</w:t>
      </w:r>
      <w:proofErr w:type="spellEnd"/>
      <w:r w:rsidRPr="002429C5">
        <w:rPr>
          <w:b/>
        </w:rPr>
        <w:t xml:space="preserve"> </w:t>
      </w:r>
      <w:proofErr w:type="spellStart"/>
      <w:r w:rsidRPr="002429C5">
        <w:rPr>
          <w:b/>
        </w:rPr>
        <w:t>ud</w:t>
      </w:r>
      <w:proofErr w:type="spellEnd"/>
      <w:r w:rsidRPr="002429C5">
        <w:rPr>
          <w:b/>
        </w:rPr>
        <w:t xml:space="preserve"> </w:t>
      </w:r>
      <w:proofErr w:type="spellStart"/>
      <w:r w:rsidRPr="002429C5">
        <w:rPr>
          <w:b/>
        </w:rPr>
        <w:t>til</w:t>
      </w:r>
      <w:proofErr w:type="spellEnd"/>
      <w:r w:rsidRPr="002429C5">
        <w:rPr>
          <w:b/>
        </w:rPr>
        <w:t xml:space="preserve"> at </w:t>
      </w:r>
      <w:proofErr w:type="spellStart"/>
      <w:r w:rsidRPr="002429C5">
        <w:rPr>
          <w:b/>
        </w:rPr>
        <w:t>virke</w:t>
      </w:r>
      <w:proofErr w:type="spellEnd"/>
    </w:p>
    <w:p w:rsidR="00B824CC" w:rsidRPr="002429C5" w:rsidRDefault="002E241F" w:rsidP="00E5588D">
      <w:pPr>
        <w:spacing w:after="120"/>
      </w:pPr>
      <w:proofErr w:type="spellStart"/>
      <w:r w:rsidRPr="002429C5">
        <w:t>Styrelsen</w:t>
      </w:r>
      <w:proofErr w:type="spellEnd"/>
      <w:r w:rsidRPr="002429C5">
        <w:t xml:space="preserve"> </w:t>
      </w:r>
      <w:proofErr w:type="spellStart"/>
      <w:r w:rsidRPr="002429C5">
        <w:t>har</w:t>
      </w:r>
      <w:proofErr w:type="spellEnd"/>
      <w:r w:rsidRPr="002429C5">
        <w:t xml:space="preserve"> </w:t>
      </w:r>
      <w:proofErr w:type="spellStart"/>
      <w:r w:rsidRPr="002429C5">
        <w:t>udviklet</w:t>
      </w:r>
      <w:proofErr w:type="spellEnd"/>
      <w:r w:rsidRPr="002429C5">
        <w:t xml:space="preserve"> </w:t>
      </w:r>
      <w:proofErr w:type="spellStart"/>
      <w:r w:rsidRPr="002429C5">
        <w:t>en</w:t>
      </w:r>
      <w:proofErr w:type="spellEnd"/>
      <w:r w:rsidRPr="002429C5">
        <w:t xml:space="preserve"> model </w:t>
      </w:r>
      <w:proofErr w:type="spellStart"/>
      <w:r w:rsidRPr="002429C5">
        <w:t>til</w:t>
      </w:r>
      <w:proofErr w:type="spellEnd"/>
      <w:r w:rsidRPr="002429C5">
        <w:t xml:space="preserve"> at </w:t>
      </w:r>
      <w:proofErr w:type="spellStart"/>
      <w:r w:rsidRPr="002429C5">
        <w:t>måle</w:t>
      </w:r>
      <w:proofErr w:type="spellEnd"/>
      <w:r w:rsidRPr="002429C5">
        <w:t xml:space="preserve"> </w:t>
      </w:r>
      <w:proofErr w:type="spellStart"/>
      <w:r w:rsidRPr="002429C5">
        <w:t>virksomhedernes</w:t>
      </w:r>
      <w:proofErr w:type="spellEnd"/>
      <w:r w:rsidRPr="002429C5">
        <w:t xml:space="preserve"> </w:t>
      </w:r>
      <w:proofErr w:type="spellStart"/>
      <w:r w:rsidRPr="002429C5">
        <w:t>modenhedsniveau</w:t>
      </w:r>
      <w:proofErr w:type="spellEnd"/>
      <w:r w:rsidRPr="002429C5">
        <w:t xml:space="preserve">, </w:t>
      </w:r>
      <w:proofErr w:type="spellStart"/>
      <w:r w:rsidRPr="002429C5">
        <w:t>hvad</w:t>
      </w:r>
      <w:proofErr w:type="spellEnd"/>
      <w:r w:rsidRPr="002429C5">
        <w:t xml:space="preserve"> </w:t>
      </w:r>
      <w:proofErr w:type="spellStart"/>
      <w:r w:rsidRPr="002429C5">
        <w:t>angår</w:t>
      </w:r>
      <w:proofErr w:type="spellEnd"/>
      <w:r w:rsidRPr="002429C5">
        <w:t xml:space="preserve"> </w:t>
      </w:r>
      <w:proofErr w:type="spellStart"/>
      <w:r w:rsidRPr="002429C5">
        <w:t>sikkerhedsledelse</w:t>
      </w:r>
      <w:proofErr w:type="spellEnd"/>
      <w:r w:rsidRPr="002429C5">
        <w:t xml:space="preserve">. </w:t>
      </w:r>
      <w:proofErr w:type="spellStart"/>
      <w:r w:rsidRPr="002429C5">
        <w:t>Niveauet</w:t>
      </w:r>
      <w:proofErr w:type="spellEnd"/>
      <w:r w:rsidRPr="002429C5">
        <w:t xml:space="preserve"> </w:t>
      </w:r>
      <w:proofErr w:type="spellStart"/>
      <w:r w:rsidRPr="002429C5">
        <w:t>er</w:t>
      </w:r>
      <w:proofErr w:type="spellEnd"/>
      <w:r w:rsidRPr="002429C5">
        <w:t xml:space="preserve"> </w:t>
      </w:r>
      <w:proofErr w:type="spellStart"/>
      <w:r w:rsidRPr="002429C5">
        <w:t>i</w:t>
      </w:r>
      <w:proofErr w:type="spellEnd"/>
      <w:r w:rsidRPr="002429C5">
        <w:t xml:space="preserve"> 2014 </w:t>
      </w:r>
      <w:proofErr w:type="spellStart"/>
      <w:r w:rsidRPr="002429C5">
        <w:t>samlet</w:t>
      </w:r>
      <w:proofErr w:type="spellEnd"/>
      <w:r w:rsidRPr="002429C5">
        <w:t xml:space="preserve"> set </w:t>
      </w:r>
      <w:proofErr w:type="spellStart"/>
      <w:r w:rsidRPr="002429C5">
        <w:t>nogenlunde</w:t>
      </w:r>
      <w:proofErr w:type="spellEnd"/>
      <w:r w:rsidRPr="002429C5">
        <w:t xml:space="preserve"> </w:t>
      </w:r>
      <w:proofErr w:type="spellStart"/>
      <w:r w:rsidRPr="002429C5">
        <w:t>stabilt</w:t>
      </w:r>
      <w:proofErr w:type="spellEnd"/>
      <w:r w:rsidRPr="002429C5">
        <w:t xml:space="preserve"> </w:t>
      </w:r>
      <w:proofErr w:type="spellStart"/>
      <w:r w:rsidRPr="002429C5">
        <w:t>i</w:t>
      </w:r>
      <w:proofErr w:type="spellEnd"/>
      <w:r w:rsidRPr="002429C5">
        <w:t xml:space="preserve"> </w:t>
      </w:r>
      <w:proofErr w:type="spellStart"/>
      <w:r w:rsidRPr="002429C5">
        <w:t>forhold</w:t>
      </w:r>
      <w:proofErr w:type="spellEnd"/>
      <w:r w:rsidRPr="002429C5">
        <w:t xml:space="preserve"> </w:t>
      </w:r>
      <w:proofErr w:type="spellStart"/>
      <w:r w:rsidRPr="002429C5">
        <w:t>til</w:t>
      </w:r>
      <w:proofErr w:type="spellEnd"/>
      <w:r w:rsidRPr="002429C5">
        <w:t xml:space="preserve"> 2013. </w:t>
      </w:r>
      <w:proofErr w:type="spellStart"/>
      <w:r w:rsidRPr="002429C5">
        <w:t>Det</w:t>
      </w:r>
      <w:proofErr w:type="spellEnd"/>
      <w:r w:rsidRPr="002429C5">
        <w:t xml:space="preserve"> </w:t>
      </w:r>
      <w:proofErr w:type="spellStart"/>
      <w:r w:rsidRPr="002429C5">
        <w:t>er</w:t>
      </w:r>
      <w:proofErr w:type="spellEnd"/>
      <w:r w:rsidRPr="002429C5">
        <w:t xml:space="preserve"> </w:t>
      </w:r>
      <w:proofErr w:type="spellStart"/>
      <w:r w:rsidRPr="002429C5">
        <w:t>håbet</w:t>
      </w:r>
      <w:proofErr w:type="spellEnd"/>
      <w:r w:rsidRPr="002429C5">
        <w:t xml:space="preserve">, at de </w:t>
      </w:r>
      <w:proofErr w:type="spellStart"/>
      <w:r w:rsidRPr="002429C5">
        <w:t>seneste</w:t>
      </w:r>
      <w:proofErr w:type="spellEnd"/>
      <w:r w:rsidRPr="002429C5">
        <w:t xml:space="preserve"> </w:t>
      </w:r>
      <w:proofErr w:type="spellStart"/>
      <w:r w:rsidRPr="002429C5">
        <w:t>års</w:t>
      </w:r>
      <w:proofErr w:type="spellEnd"/>
      <w:r w:rsidRPr="002429C5">
        <w:t xml:space="preserve"> intense </w:t>
      </w:r>
      <w:proofErr w:type="spellStart"/>
      <w:r w:rsidRPr="002429C5">
        <w:t>vejledningsindsats</w:t>
      </w:r>
      <w:proofErr w:type="spellEnd"/>
      <w:r w:rsidRPr="002429C5">
        <w:t xml:space="preserve"> </w:t>
      </w:r>
      <w:proofErr w:type="spellStart"/>
      <w:r w:rsidRPr="002429C5">
        <w:t>vil</w:t>
      </w:r>
      <w:proofErr w:type="spellEnd"/>
      <w:r w:rsidRPr="002429C5">
        <w:t xml:space="preserve"> </w:t>
      </w:r>
      <w:proofErr w:type="spellStart"/>
      <w:r w:rsidRPr="002429C5">
        <w:t>slå</w:t>
      </w:r>
      <w:proofErr w:type="spellEnd"/>
      <w:r w:rsidRPr="002429C5">
        <w:t xml:space="preserve"> </w:t>
      </w:r>
      <w:proofErr w:type="spellStart"/>
      <w:r w:rsidRPr="002429C5">
        <w:t>positivt</w:t>
      </w:r>
      <w:proofErr w:type="spellEnd"/>
      <w:r w:rsidRPr="002429C5">
        <w:t xml:space="preserve"> </w:t>
      </w:r>
      <w:proofErr w:type="spellStart"/>
      <w:r w:rsidRPr="002429C5">
        <w:t>igennem</w:t>
      </w:r>
      <w:proofErr w:type="spellEnd"/>
      <w:r w:rsidRPr="002429C5">
        <w:t xml:space="preserve"> </w:t>
      </w:r>
      <w:proofErr w:type="spellStart"/>
      <w:r w:rsidRPr="002429C5">
        <w:t>i</w:t>
      </w:r>
      <w:proofErr w:type="spellEnd"/>
      <w:r w:rsidRPr="002429C5">
        <w:t xml:space="preserve"> </w:t>
      </w:r>
      <w:proofErr w:type="spellStart"/>
      <w:r w:rsidRPr="002429C5">
        <w:t>målingerne</w:t>
      </w:r>
      <w:proofErr w:type="spellEnd"/>
      <w:r w:rsidRPr="002429C5">
        <w:t xml:space="preserve"> </w:t>
      </w:r>
      <w:proofErr w:type="spellStart"/>
      <w:r w:rsidRPr="002429C5">
        <w:t>i</w:t>
      </w:r>
      <w:proofErr w:type="spellEnd"/>
      <w:r w:rsidRPr="002429C5">
        <w:t xml:space="preserve"> de </w:t>
      </w:r>
      <w:proofErr w:type="spellStart"/>
      <w:r w:rsidRPr="002429C5">
        <w:t>kommende</w:t>
      </w:r>
      <w:proofErr w:type="spellEnd"/>
      <w:r w:rsidRPr="002429C5">
        <w:t xml:space="preserve"> </w:t>
      </w:r>
      <w:proofErr w:type="spellStart"/>
      <w:r w:rsidRPr="002429C5">
        <w:t>år</w:t>
      </w:r>
      <w:proofErr w:type="spellEnd"/>
      <w:r w:rsidRPr="002429C5">
        <w:t>.</w:t>
      </w:r>
    </w:p>
    <w:p w:rsidR="005C443D" w:rsidRPr="002429C5" w:rsidRDefault="00875926" w:rsidP="005C443D">
      <w:pPr>
        <w:spacing w:after="0"/>
        <w:rPr>
          <w:b/>
        </w:rPr>
      </w:pPr>
      <w:proofErr w:type="spellStart"/>
      <w:r w:rsidRPr="002429C5">
        <w:rPr>
          <w:b/>
        </w:rPr>
        <w:t>Dette</w:t>
      </w:r>
      <w:proofErr w:type="spellEnd"/>
      <w:r w:rsidRPr="002429C5">
        <w:rPr>
          <w:b/>
        </w:rPr>
        <w:t xml:space="preserve"> </w:t>
      </w:r>
      <w:proofErr w:type="spellStart"/>
      <w:r w:rsidRPr="002429C5">
        <w:rPr>
          <w:b/>
        </w:rPr>
        <w:t>års</w:t>
      </w:r>
      <w:proofErr w:type="spellEnd"/>
      <w:r w:rsidRPr="002429C5">
        <w:rPr>
          <w:b/>
        </w:rPr>
        <w:t xml:space="preserve"> </w:t>
      </w:r>
      <w:proofErr w:type="spellStart"/>
      <w:r w:rsidRPr="002429C5">
        <w:rPr>
          <w:b/>
        </w:rPr>
        <w:t>Sikkerhedsrapport</w:t>
      </w:r>
      <w:proofErr w:type="spellEnd"/>
      <w:r w:rsidRPr="002429C5">
        <w:rPr>
          <w:b/>
        </w:rPr>
        <w:t xml:space="preserve"> </w:t>
      </w:r>
      <w:proofErr w:type="spellStart"/>
      <w:proofErr w:type="gramStart"/>
      <w:r w:rsidRPr="002429C5">
        <w:rPr>
          <w:b/>
        </w:rPr>
        <w:t>har</w:t>
      </w:r>
      <w:proofErr w:type="spellEnd"/>
      <w:r w:rsidRPr="002429C5">
        <w:rPr>
          <w:b/>
        </w:rPr>
        <w:t xml:space="preserve"> ”</w:t>
      </w:r>
      <w:proofErr w:type="spellStart"/>
      <w:proofErr w:type="gramEnd"/>
      <w:r w:rsidRPr="002429C5">
        <w:rPr>
          <w:b/>
        </w:rPr>
        <w:t>særlige</w:t>
      </w:r>
      <w:proofErr w:type="spellEnd"/>
      <w:r w:rsidRPr="002429C5">
        <w:rPr>
          <w:b/>
        </w:rPr>
        <w:t xml:space="preserve"> </w:t>
      </w:r>
      <w:proofErr w:type="spellStart"/>
      <w:r w:rsidRPr="002429C5">
        <w:rPr>
          <w:b/>
        </w:rPr>
        <w:t>fokusområder</w:t>
      </w:r>
      <w:proofErr w:type="spellEnd"/>
      <w:r w:rsidRPr="002429C5">
        <w:rPr>
          <w:b/>
        </w:rPr>
        <w:t xml:space="preserve">” </w:t>
      </w:r>
      <w:proofErr w:type="spellStart"/>
      <w:r w:rsidRPr="002429C5">
        <w:rPr>
          <w:b/>
        </w:rPr>
        <w:t>som</w:t>
      </w:r>
      <w:proofErr w:type="spellEnd"/>
      <w:r w:rsidRPr="002429C5">
        <w:rPr>
          <w:b/>
        </w:rPr>
        <w:t xml:space="preserve"> </w:t>
      </w:r>
      <w:proofErr w:type="spellStart"/>
      <w:r w:rsidRPr="002429C5">
        <w:rPr>
          <w:b/>
        </w:rPr>
        <w:t>tema</w:t>
      </w:r>
      <w:proofErr w:type="spellEnd"/>
    </w:p>
    <w:p w:rsidR="00B12335" w:rsidRPr="002429C5" w:rsidRDefault="00FE1BB5" w:rsidP="00E5588D">
      <w:pPr>
        <w:spacing w:after="120"/>
      </w:pPr>
      <w:proofErr w:type="spellStart"/>
      <w:r w:rsidRPr="002429C5">
        <w:t>Hvert</w:t>
      </w:r>
      <w:proofErr w:type="spellEnd"/>
      <w:r w:rsidRPr="002429C5">
        <w:t xml:space="preserve"> </w:t>
      </w:r>
      <w:proofErr w:type="spellStart"/>
      <w:r w:rsidRPr="002429C5">
        <w:t>år</w:t>
      </w:r>
      <w:proofErr w:type="spellEnd"/>
      <w:r w:rsidRPr="002429C5">
        <w:t xml:space="preserve"> </w:t>
      </w:r>
      <w:proofErr w:type="spellStart"/>
      <w:r w:rsidRPr="002429C5">
        <w:t>udvælger</w:t>
      </w:r>
      <w:proofErr w:type="spellEnd"/>
      <w:r w:rsidRPr="002429C5">
        <w:t xml:space="preserve"> </w:t>
      </w:r>
      <w:proofErr w:type="spellStart"/>
      <w:r w:rsidRPr="002429C5">
        <w:t>Styrelsen</w:t>
      </w:r>
      <w:proofErr w:type="spellEnd"/>
      <w:r w:rsidRPr="002429C5">
        <w:t xml:space="preserve"> </w:t>
      </w:r>
      <w:proofErr w:type="spellStart"/>
      <w:r w:rsidRPr="002429C5">
        <w:t>fokusområder</w:t>
      </w:r>
      <w:proofErr w:type="spellEnd"/>
      <w:r w:rsidRPr="002429C5">
        <w:t xml:space="preserve"> for </w:t>
      </w:r>
      <w:proofErr w:type="spellStart"/>
      <w:r w:rsidRPr="002429C5">
        <w:t>tilsynet</w:t>
      </w:r>
      <w:proofErr w:type="spellEnd"/>
      <w:r w:rsidRPr="002429C5">
        <w:t xml:space="preserve">. I 2014 </w:t>
      </w:r>
      <w:proofErr w:type="spellStart"/>
      <w:r w:rsidRPr="002429C5">
        <w:t>er</w:t>
      </w:r>
      <w:proofErr w:type="spellEnd"/>
      <w:r w:rsidRPr="002429C5">
        <w:t xml:space="preserve"> </w:t>
      </w:r>
      <w:proofErr w:type="spellStart"/>
      <w:r w:rsidRPr="002429C5">
        <w:t>disse</w:t>
      </w:r>
      <w:proofErr w:type="spellEnd"/>
      <w:r w:rsidRPr="002429C5">
        <w:t xml:space="preserve">: </w:t>
      </w:r>
      <w:proofErr w:type="spellStart"/>
      <w:r w:rsidRPr="002429C5">
        <w:rPr>
          <w:i/>
        </w:rPr>
        <w:t>kompetencestyring</w:t>
      </w:r>
      <w:proofErr w:type="spellEnd"/>
      <w:r w:rsidRPr="002429C5">
        <w:rPr>
          <w:i/>
        </w:rPr>
        <w:t xml:space="preserve">, </w:t>
      </w:r>
      <w:proofErr w:type="spellStart"/>
      <w:r w:rsidRPr="002429C5">
        <w:rPr>
          <w:i/>
        </w:rPr>
        <w:t>kontrakthåndtering</w:t>
      </w:r>
      <w:proofErr w:type="spellEnd"/>
      <w:r w:rsidRPr="002429C5">
        <w:rPr>
          <w:i/>
        </w:rPr>
        <w:t xml:space="preserve">, </w:t>
      </w:r>
      <w:proofErr w:type="spellStart"/>
      <w:r w:rsidRPr="002429C5">
        <w:rPr>
          <w:i/>
        </w:rPr>
        <w:t>ophold</w:t>
      </w:r>
      <w:proofErr w:type="spellEnd"/>
      <w:r w:rsidRPr="002429C5">
        <w:rPr>
          <w:i/>
        </w:rPr>
        <w:t xml:space="preserve"> </w:t>
      </w:r>
      <w:proofErr w:type="spellStart"/>
      <w:r w:rsidRPr="002429C5">
        <w:rPr>
          <w:i/>
        </w:rPr>
        <w:t>i</w:t>
      </w:r>
      <w:proofErr w:type="spellEnd"/>
      <w:r w:rsidRPr="002429C5">
        <w:rPr>
          <w:i/>
        </w:rPr>
        <w:t xml:space="preserve"> </w:t>
      </w:r>
      <w:proofErr w:type="spellStart"/>
      <w:r w:rsidRPr="002429C5">
        <w:rPr>
          <w:i/>
        </w:rPr>
        <w:t>førerrum</w:t>
      </w:r>
      <w:proofErr w:type="spellEnd"/>
      <w:r w:rsidRPr="002429C5">
        <w:rPr>
          <w:i/>
        </w:rPr>
        <w:t xml:space="preserve"> </w:t>
      </w:r>
      <w:proofErr w:type="spellStart"/>
      <w:proofErr w:type="gramStart"/>
      <w:r w:rsidRPr="002429C5">
        <w:t>og</w:t>
      </w:r>
      <w:proofErr w:type="spellEnd"/>
      <w:proofErr w:type="gramEnd"/>
      <w:r w:rsidRPr="002429C5">
        <w:rPr>
          <w:i/>
        </w:rPr>
        <w:t xml:space="preserve"> </w:t>
      </w:r>
      <w:proofErr w:type="spellStart"/>
      <w:r w:rsidRPr="002429C5">
        <w:rPr>
          <w:i/>
        </w:rPr>
        <w:t>håndtering</w:t>
      </w:r>
      <w:proofErr w:type="spellEnd"/>
      <w:r w:rsidRPr="002429C5">
        <w:rPr>
          <w:i/>
        </w:rPr>
        <w:t xml:space="preserve"> </w:t>
      </w:r>
      <w:proofErr w:type="spellStart"/>
      <w:r w:rsidRPr="002429C5">
        <w:rPr>
          <w:i/>
        </w:rPr>
        <w:t>af</w:t>
      </w:r>
      <w:proofErr w:type="spellEnd"/>
      <w:r w:rsidRPr="002429C5">
        <w:rPr>
          <w:i/>
        </w:rPr>
        <w:t xml:space="preserve"> </w:t>
      </w:r>
      <w:proofErr w:type="spellStart"/>
      <w:r w:rsidRPr="002429C5">
        <w:rPr>
          <w:i/>
        </w:rPr>
        <w:t>ændringer</w:t>
      </w:r>
      <w:proofErr w:type="spellEnd"/>
      <w:r w:rsidRPr="002429C5">
        <w:rPr>
          <w:i/>
        </w:rPr>
        <w:t xml:space="preserve"> </w:t>
      </w:r>
      <w:proofErr w:type="spellStart"/>
      <w:r w:rsidRPr="002429C5">
        <w:rPr>
          <w:i/>
        </w:rPr>
        <w:t>i</w:t>
      </w:r>
      <w:proofErr w:type="spellEnd"/>
      <w:r w:rsidRPr="002429C5">
        <w:rPr>
          <w:i/>
        </w:rPr>
        <w:t xml:space="preserve"> </w:t>
      </w:r>
      <w:proofErr w:type="spellStart"/>
      <w:r w:rsidRPr="002429C5">
        <w:rPr>
          <w:i/>
        </w:rPr>
        <w:t>infrastrukturen</w:t>
      </w:r>
      <w:proofErr w:type="spellEnd"/>
      <w:r w:rsidRPr="002429C5">
        <w:t xml:space="preserve">. </w:t>
      </w:r>
      <w:proofErr w:type="spellStart"/>
      <w:r w:rsidRPr="002429C5">
        <w:t>Fælles</w:t>
      </w:r>
      <w:proofErr w:type="spellEnd"/>
      <w:r w:rsidRPr="002429C5">
        <w:t xml:space="preserve"> for </w:t>
      </w:r>
      <w:proofErr w:type="spellStart"/>
      <w:r w:rsidRPr="002429C5">
        <w:t>alle</w:t>
      </w:r>
      <w:proofErr w:type="spellEnd"/>
      <w:r w:rsidRPr="002429C5">
        <w:t xml:space="preserve"> fire </w:t>
      </w:r>
      <w:proofErr w:type="spellStart"/>
      <w:r w:rsidRPr="002429C5">
        <w:t>områder</w:t>
      </w:r>
      <w:proofErr w:type="spellEnd"/>
      <w:r w:rsidRPr="002429C5">
        <w:t xml:space="preserve"> </w:t>
      </w:r>
      <w:proofErr w:type="spellStart"/>
      <w:r w:rsidRPr="002429C5">
        <w:t>er</w:t>
      </w:r>
      <w:proofErr w:type="spellEnd"/>
      <w:r w:rsidRPr="002429C5">
        <w:t xml:space="preserve">, at </w:t>
      </w:r>
      <w:proofErr w:type="spellStart"/>
      <w:r w:rsidRPr="002429C5">
        <w:t>tilsynet</w:t>
      </w:r>
      <w:proofErr w:type="spellEnd"/>
      <w:r w:rsidRPr="002429C5">
        <w:t xml:space="preserve"> </w:t>
      </w:r>
      <w:proofErr w:type="spellStart"/>
      <w:r w:rsidRPr="002429C5">
        <w:t>har</w:t>
      </w:r>
      <w:proofErr w:type="spellEnd"/>
      <w:r w:rsidRPr="002429C5">
        <w:t xml:space="preserve"> </w:t>
      </w:r>
      <w:proofErr w:type="spellStart"/>
      <w:r w:rsidRPr="002429C5">
        <w:t>vist</w:t>
      </w:r>
      <w:proofErr w:type="spellEnd"/>
      <w:r w:rsidRPr="002429C5">
        <w:t xml:space="preserve">, at </w:t>
      </w:r>
      <w:proofErr w:type="spellStart"/>
      <w:r w:rsidRPr="002429C5">
        <w:t>virksomhederne</w:t>
      </w:r>
      <w:proofErr w:type="spellEnd"/>
      <w:r w:rsidRPr="002429C5">
        <w:t xml:space="preserve"> </w:t>
      </w:r>
      <w:proofErr w:type="spellStart"/>
      <w:r w:rsidRPr="002429C5">
        <w:t>fortsat</w:t>
      </w:r>
      <w:proofErr w:type="spellEnd"/>
      <w:r w:rsidRPr="002429C5">
        <w:t xml:space="preserve"> </w:t>
      </w:r>
      <w:proofErr w:type="spellStart"/>
      <w:r w:rsidRPr="002429C5">
        <w:t>oplever</w:t>
      </w:r>
      <w:proofErr w:type="spellEnd"/>
      <w:r w:rsidRPr="002429C5">
        <w:t xml:space="preserve"> </w:t>
      </w:r>
      <w:proofErr w:type="spellStart"/>
      <w:r w:rsidRPr="002429C5">
        <w:t>problemer</w:t>
      </w:r>
      <w:proofErr w:type="spellEnd"/>
      <w:r w:rsidRPr="002429C5">
        <w:t xml:space="preserve"> </w:t>
      </w:r>
      <w:proofErr w:type="spellStart"/>
      <w:proofErr w:type="gramStart"/>
      <w:r w:rsidRPr="002429C5">
        <w:t>og</w:t>
      </w:r>
      <w:proofErr w:type="spellEnd"/>
      <w:proofErr w:type="gramEnd"/>
      <w:r w:rsidRPr="002429C5">
        <w:t xml:space="preserve"> </w:t>
      </w:r>
      <w:proofErr w:type="spellStart"/>
      <w:r w:rsidRPr="002429C5">
        <w:t>udfordringer</w:t>
      </w:r>
      <w:proofErr w:type="spellEnd"/>
      <w:r w:rsidRPr="002429C5">
        <w:t xml:space="preserve"> med </w:t>
      </w:r>
      <w:proofErr w:type="spellStart"/>
      <w:r w:rsidRPr="002429C5">
        <w:t>disse</w:t>
      </w:r>
      <w:proofErr w:type="spellEnd"/>
      <w:r w:rsidRPr="002429C5">
        <w:t xml:space="preserve"> </w:t>
      </w:r>
      <w:proofErr w:type="spellStart"/>
      <w:r w:rsidRPr="002429C5">
        <w:t>områder</w:t>
      </w:r>
      <w:proofErr w:type="spellEnd"/>
      <w:r w:rsidRPr="002429C5">
        <w:t>.</w:t>
      </w:r>
    </w:p>
    <w:p w:rsidR="00875926" w:rsidRPr="002429C5" w:rsidRDefault="009D2BA7" w:rsidP="00E5588D">
      <w:pPr>
        <w:spacing w:after="120"/>
      </w:pPr>
      <w:proofErr w:type="spellStart"/>
      <w:r w:rsidRPr="002429C5">
        <w:t>Bl.a</w:t>
      </w:r>
      <w:proofErr w:type="spellEnd"/>
      <w:r w:rsidRPr="002429C5">
        <w:t xml:space="preserve">. </w:t>
      </w:r>
      <w:proofErr w:type="spellStart"/>
      <w:r w:rsidRPr="002429C5">
        <w:t>viste</w:t>
      </w:r>
      <w:proofErr w:type="spellEnd"/>
      <w:r w:rsidRPr="002429C5">
        <w:t xml:space="preserve"> </w:t>
      </w:r>
      <w:proofErr w:type="spellStart"/>
      <w:r w:rsidRPr="002429C5">
        <w:t>tilsynet</w:t>
      </w:r>
      <w:proofErr w:type="spellEnd"/>
      <w:r w:rsidRPr="002429C5">
        <w:t xml:space="preserve"> med ’</w:t>
      </w:r>
      <w:proofErr w:type="spellStart"/>
      <w:r w:rsidRPr="002429C5">
        <w:t>kompetencestyring</w:t>
      </w:r>
      <w:proofErr w:type="spellEnd"/>
      <w:r w:rsidRPr="002429C5">
        <w:t xml:space="preserve">’, at mange </w:t>
      </w:r>
      <w:proofErr w:type="spellStart"/>
      <w:r w:rsidRPr="002429C5">
        <w:t>virksomheder</w:t>
      </w:r>
      <w:proofErr w:type="spellEnd"/>
      <w:r w:rsidRPr="002429C5">
        <w:t xml:space="preserve"> </w:t>
      </w:r>
      <w:proofErr w:type="spellStart"/>
      <w:r w:rsidRPr="002429C5">
        <w:t>ikke</w:t>
      </w:r>
      <w:proofErr w:type="spellEnd"/>
      <w:r w:rsidRPr="002429C5">
        <w:t xml:space="preserve"> </w:t>
      </w:r>
      <w:proofErr w:type="spellStart"/>
      <w:r w:rsidRPr="002429C5">
        <w:t>har</w:t>
      </w:r>
      <w:proofErr w:type="spellEnd"/>
      <w:r w:rsidRPr="002429C5">
        <w:t xml:space="preserve"> </w:t>
      </w:r>
      <w:proofErr w:type="spellStart"/>
      <w:r w:rsidRPr="002429C5">
        <w:t>tydeliggjort</w:t>
      </w:r>
      <w:proofErr w:type="spellEnd"/>
      <w:r w:rsidRPr="002429C5">
        <w:t xml:space="preserve"> de </w:t>
      </w:r>
      <w:proofErr w:type="spellStart"/>
      <w:r w:rsidRPr="002429C5">
        <w:t>krævede</w:t>
      </w:r>
      <w:proofErr w:type="spellEnd"/>
      <w:r w:rsidRPr="002429C5">
        <w:t xml:space="preserve"> </w:t>
      </w:r>
      <w:proofErr w:type="spellStart"/>
      <w:r w:rsidRPr="002429C5">
        <w:t>sikkerhedsmæssige</w:t>
      </w:r>
      <w:proofErr w:type="spellEnd"/>
      <w:r w:rsidRPr="002429C5">
        <w:t xml:space="preserve"> </w:t>
      </w:r>
      <w:proofErr w:type="spellStart"/>
      <w:r w:rsidRPr="002429C5">
        <w:t>kompetencer</w:t>
      </w:r>
      <w:proofErr w:type="spellEnd"/>
      <w:r w:rsidRPr="002429C5">
        <w:t xml:space="preserve"> </w:t>
      </w:r>
      <w:proofErr w:type="spellStart"/>
      <w:r w:rsidRPr="002429C5">
        <w:t>ordentligt</w:t>
      </w:r>
      <w:proofErr w:type="spellEnd"/>
      <w:r w:rsidRPr="002429C5">
        <w:t>. For ’</w:t>
      </w:r>
      <w:proofErr w:type="spellStart"/>
      <w:r w:rsidRPr="002429C5">
        <w:t>kontrakthåndtering</w:t>
      </w:r>
      <w:proofErr w:type="spellEnd"/>
      <w:r w:rsidRPr="002429C5">
        <w:t xml:space="preserve">’ </w:t>
      </w:r>
      <w:proofErr w:type="spellStart"/>
      <w:r w:rsidRPr="002429C5">
        <w:t>viste</w:t>
      </w:r>
      <w:proofErr w:type="spellEnd"/>
      <w:r w:rsidRPr="002429C5">
        <w:t xml:space="preserve"> </w:t>
      </w:r>
      <w:proofErr w:type="spellStart"/>
      <w:r w:rsidRPr="002429C5">
        <w:t>tilsynet</w:t>
      </w:r>
      <w:proofErr w:type="spellEnd"/>
      <w:r w:rsidRPr="002429C5">
        <w:t xml:space="preserve">, at </w:t>
      </w:r>
      <w:proofErr w:type="spellStart"/>
      <w:r w:rsidRPr="002429C5">
        <w:t>virksomhederne</w:t>
      </w:r>
      <w:proofErr w:type="spellEnd"/>
      <w:r w:rsidRPr="002429C5">
        <w:t xml:space="preserve"> </w:t>
      </w:r>
      <w:proofErr w:type="spellStart"/>
      <w:r w:rsidRPr="002429C5">
        <w:t>har</w:t>
      </w:r>
      <w:proofErr w:type="spellEnd"/>
      <w:r w:rsidRPr="002429C5">
        <w:t xml:space="preserve"> </w:t>
      </w:r>
      <w:proofErr w:type="spellStart"/>
      <w:r w:rsidRPr="002429C5">
        <w:t>udfordringer</w:t>
      </w:r>
      <w:proofErr w:type="spellEnd"/>
      <w:r w:rsidRPr="002429C5">
        <w:t xml:space="preserve"> med at </w:t>
      </w:r>
      <w:proofErr w:type="spellStart"/>
      <w:r w:rsidRPr="002429C5">
        <w:t>udarbejde</w:t>
      </w:r>
      <w:proofErr w:type="spellEnd"/>
      <w:r w:rsidRPr="002429C5">
        <w:t xml:space="preserve"> </w:t>
      </w:r>
      <w:proofErr w:type="spellStart"/>
      <w:r w:rsidRPr="002429C5">
        <w:t>korrekt</w:t>
      </w:r>
      <w:proofErr w:type="spellEnd"/>
      <w:r w:rsidRPr="002429C5">
        <w:t xml:space="preserve"> </w:t>
      </w:r>
      <w:proofErr w:type="spellStart"/>
      <w:r w:rsidRPr="002429C5">
        <w:t>kontraktindhold</w:t>
      </w:r>
      <w:proofErr w:type="spellEnd"/>
      <w:r w:rsidRPr="002429C5">
        <w:t xml:space="preserve">, lave </w:t>
      </w:r>
      <w:proofErr w:type="spellStart"/>
      <w:r w:rsidRPr="002429C5">
        <w:t>opfølgning</w:t>
      </w:r>
      <w:proofErr w:type="spellEnd"/>
      <w:r w:rsidRPr="002429C5">
        <w:t xml:space="preserve"> </w:t>
      </w:r>
      <w:proofErr w:type="spellStart"/>
      <w:r w:rsidRPr="002429C5">
        <w:t>på</w:t>
      </w:r>
      <w:proofErr w:type="spellEnd"/>
      <w:r w:rsidRPr="002429C5">
        <w:t xml:space="preserve"> </w:t>
      </w:r>
      <w:proofErr w:type="spellStart"/>
      <w:r w:rsidRPr="002429C5">
        <w:t>kontrakterne</w:t>
      </w:r>
      <w:proofErr w:type="spellEnd"/>
      <w:r w:rsidRPr="002429C5">
        <w:t xml:space="preserve">, </w:t>
      </w:r>
      <w:proofErr w:type="spellStart"/>
      <w:r w:rsidRPr="002429C5">
        <w:t>samt</w:t>
      </w:r>
      <w:proofErr w:type="spellEnd"/>
      <w:r w:rsidRPr="002429C5">
        <w:t xml:space="preserve"> </w:t>
      </w:r>
      <w:proofErr w:type="spellStart"/>
      <w:r w:rsidRPr="002429C5">
        <w:t>få</w:t>
      </w:r>
      <w:proofErr w:type="spellEnd"/>
      <w:r w:rsidRPr="002429C5">
        <w:t xml:space="preserve"> </w:t>
      </w:r>
      <w:proofErr w:type="spellStart"/>
      <w:r w:rsidRPr="002429C5">
        <w:t>overblik</w:t>
      </w:r>
      <w:proofErr w:type="spellEnd"/>
      <w:r w:rsidRPr="002429C5">
        <w:t xml:space="preserve"> over </w:t>
      </w:r>
      <w:proofErr w:type="spellStart"/>
      <w:r w:rsidRPr="002429C5">
        <w:t>kontrakterne</w:t>
      </w:r>
      <w:proofErr w:type="spellEnd"/>
      <w:r w:rsidRPr="002429C5">
        <w:t xml:space="preserve"> </w:t>
      </w:r>
      <w:proofErr w:type="spellStart"/>
      <w:proofErr w:type="gramStart"/>
      <w:r w:rsidRPr="002429C5">
        <w:t>og</w:t>
      </w:r>
      <w:proofErr w:type="spellEnd"/>
      <w:proofErr w:type="gramEnd"/>
      <w:r w:rsidRPr="002429C5">
        <w:t xml:space="preserve"> </w:t>
      </w:r>
      <w:proofErr w:type="spellStart"/>
      <w:r w:rsidRPr="002429C5">
        <w:t>sikre</w:t>
      </w:r>
      <w:proofErr w:type="spellEnd"/>
      <w:r w:rsidRPr="002429C5">
        <w:t xml:space="preserve">, at de </w:t>
      </w:r>
      <w:proofErr w:type="spellStart"/>
      <w:r w:rsidRPr="002429C5">
        <w:t>er</w:t>
      </w:r>
      <w:proofErr w:type="spellEnd"/>
      <w:r w:rsidRPr="002429C5">
        <w:t xml:space="preserve"> </w:t>
      </w:r>
      <w:proofErr w:type="spellStart"/>
      <w:r w:rsidRPr="002429C5">
        <w:t>opdaterede</w:t>
      </w:r>
      <w:proofErr w:type="spellEnd"/>
      <w:r w:rsidRPr="002429C5">
        <w:t xml:space="preserve">. </w:t>
      </w:r>
      <w:proofErr w:type="spellStart"/>
      <w:r w:rsidRPr="002429C5">
        <w:t>Styrelsen</w:t>
      </w:r>
      <w:proofErr w:type="spellEnd"/>
      <w:r w:rsidRPr="002429C5">
        <w:t xml:space="preserve"> </w:t>
      </w:r>
      <w:proofErr w:type="spellStart"/>
      <w:r w:rsidRPr="002429C5">
        <w:t>vurderer</w:t>
      </w:r>
      <w:proofErr w:type="spellEnd"/>
      <w:r w:rsidRPr="002429C5">
        <w:t xml:space="preserve"> </w:t>
      </w:r>
      <w:proofErr w:type="spellStart"/>
      <w:r w:rsidRPr="002429C5">
        <w:t>på</w:t>
      </w:r>
      <w:proofErr w:type="spellEnd"/>
      <w:r w:rsidRPr="002429C5">
        <w:t xml:space="preserve"> den </w:t>
      </w:r>
      <w:proofErr w:type="spellStart"/>
      <w:r w:rsidRPr="002429C5">
        <w:t>baggrund</w:t>
      </w:r>
      <w:proofErr w:type="spellEnd"/>
      <w:r w:rsidRPr="002429C5">
        <w:t xml:space="preserve">, at </w:t>
      </w:r>
      <w:proofErr w:type="spellStart"/>
      <w:r w:rsidRPr="002429C5">
        <w:t>dette</w:t>
      </w:r>
      <w:proofErr w:type="spellEnd"/>
      <w:r w:rsidRPr="002429C5">
        <w:t xml:space="preserve"> </w:t>
      </w:r>
      <w:proofErr w:type="spellStart"/>
      <w:r w:rsidRPr="002429C5">
        <w:t>emne</w:t>
      </w:r>
      <w:proofErr w:type="spellEnd"/>
      <w:r w:rsidRPr="002429C5">
        <w:t xml:space="preserve"> </w:t>
      </w:r>
      <w:proofErr w:type="spellStart"/>
      <w:r w:rsidRPr="002429C5">
        <w:t>også</w:t>
      </w:r>
      <w:proofErr w:type="spellEnd"/>
      <w:r w:rsidRPr="002429C5">
        <w:t xml:space="preserve"> </w:t>
      </w:r>
      <w:proofErr w:type="spellStart"/>
      <w:r w:rsidRPr="002429C5">
        <w:t>bør</w:t>
      </w:r>
      <w:proofErr w:type="spellEnd"/>
      <w:r w:rsidRPr="002429C5">
        <w:t xml:space="preserve"> </w:t>
      </w:r>
      <w:proofErr w:type="spellStart"/>
      <w:r w:rsidRPr="002429C5">
        <w:t>være</w:t>
      </w:r>
      <w:proofErr w:type="spellEnd"/>
      <w:r w:rsidRPr="002429C5">
        <w:t xml:space="preserve"> </w:t>
      </w:r>
      <w:proofErr w:type="gramStart"/>
      <w:r w:rsidRPr="002429C5">
        <w:t>et</w:t>
      </w:r>
      <w:proofErr w:type="gramEnd"/>
      <w:r w:rsidRPr="002429C5">
        <w:t xml:space="preserve"> </w:t>
      </w:r>
      <w:proofErr w:type="spellStart"/>
      <w:r w:rsidRPr="002429C5">
        <w:t>fokusområde</w:t>
      </w:r>
      <w:proofErr w:type="spellEnd"/>
      <w:r w:rsidRPr="002429C5">
        <w:t xml:space="preserve"> </w:t>
      </w:r>
      <w:proofErr w:type="spellStart"/>
      <w:r w:rsidRPr="002429C5">
        <w:t>i</w:t>
      </w:r>
      <w:proofErr w:type="spellEnd"/>
      <w:r w:rsidRPr="002429C5">
        <w:t xml:space="preserve"> 2015.</w:t>
      </w:r>
    </w:p>
    <w:p w:rsidR="00875926" w:rsidRPr="002429C5" w:rsidRDefault="00875926" w:rsidP="00875926">
      <w:pPr>
        <w:pStyle w:val="Default"/>
        <w:rPr>
          <w:color w:val="auto"/>
          <w:sz w:val="18"/>
          <w:szCs w:val="18"/>
        </w:rPr>
      </w:pPr>
      <w:proofErr w:type="spellStart"/>
      <w:r w:rsidRPr="002429C5">
        <w:rPr>
          <w:b/>
          <w:color w:val="auto"/>
          <w:sz w:val="18"/>
        </w:rPr>
        <w:t>Anvendelsen</w:t>
      </w:r>
      <w:proofErr w:type="spellEnd"/>
      <w:r w:rsidRPr="002429C5">
        <w:rPr>
          <w:b/>
          <w:color w:val="auto"/>
          <w:sz w:val="18"/>
        </w:rPr>
        <w:t xml:space="preserve"> </w:t>
      </w:r>
      <w:proofErr w:type="spellStart"/>
      <w:proofErr w:type="gramStart"/>
      <w:r w:rsidRPr="002429C5">
        <w:rPr>
          <w:b/>
          <w:color w:val="auto"/>
          <w:sz w:val="18"/>
        </w:rPr>
        <w:t>af</w:t>
      </w:r>
      <w:proofErr w:type="spellEnd"/>
      <w:proofErr w:type="gramEnd"/>
      <w:r w:rsidRPr="002429C5">
        <w:rPr>
          <w:b/>
          <w:color w:val="auto"/>
          <w:sz w:val="18"/>
        </w:rPr>
        <w:t xml:space="preserve"> </w:t>
      </w:r>
      <w:proofErr w:type="spellStart"/>
      <w:r w:rsidRPr="002429C5">
        <w:rPr>
          <w:b/>
          <w:color w:val="auto"/>
          <w:sz w:val="18"/>
        </w:rPr>
        <w:t>risikovurderingsforordningen</w:t>
      </w:r>
      <w:proofErr w:type="spellEnd"/>
      <w:r w:rsidRPr="002429C5">
        <w:rPr>
          <w:b/>
          <w:color w:val="auto"/>
          <w:sz w:val="18"/>
        </w:rPr>
        <w:t xml:space="preserve"> </w:t>
      </w:r>
      <w:proofErr w:type="spellStart"/>
      <w:r w:rsidRPr="002429C5">
        <w:rPr>
          <w:b/>
          <w:color w:val="auto"/>
          <w:sz w:val="18"/>
        </w:rPr>
        <w:t>er</w:t>
      </w:r>
      <w:proofErr w:type="spellEnd"/>
      <w:r w:rsidRPr="002429C5">
        <w:rPr>
          <w:b/>
          <w:color w:val="auto"/>
          <w:sz w:val="18"/>
        </w:rPr>
        <w:t xml:space="preserve"> </w:t>
      </w:r>
      <w:proofErr w:type="spellStart"/>
      <w:r w:rsidRPr="002429C5">
        <w:rPr>
          <w:b/>
          <w:color w:val="auto"/>
          <w:sz w:val="18"/>
        </w:rPr>
        <w:t>blevet</w:t>
      </w:r>
      <w:proofErr w:type="spellEnd"/>
      <w:r w:rsidRPr="002429C5">
        <w:rPr>
          <w:b/>
          <w:color w:val="auto"/>
          <w:sz w:val="18"/>
        </w:rPr>
        <w:t xml:space="preserve"> </w:t>
      </w:r>
      <w:proofErr w:type="spellStart"/>
      <w:r w:rsidRPr="002429C5">
        <w:rPr>
          <w:b/>
          <w:color w:val="auto"/>
          <w:sz w:val="18"/>
        </w:rPr>
        <w:t>bedre</w:t>
      </w:r>
      <w:proofErr w:type="spellEnd"/>
    </w:p>
    <w:p w:rsidR="00B824CC" w:rsidRPr="002429C5" w:rsidRDefault="00875926" w:rsidP="00E5588D">
      <w:pPr>
        <w:spacing w:after="0"/>
      </w:pPr>
      <w:proofErr w:type="spellStart"/>
      <w:r w:rsidRPr="002429C5">
        <w:t>Styrelsen</w:t>
      </w:r>
      <w:proofErr w:type="spellEnd"/>
      <w:r w:rsidRPr="002429C5">
        <w:t xml:space="preserve"> </w:t>
      </w:r>
      <w:proofErr w:type="spellStart"/>
      <w:r w:rsidRPr="002429C5">
        <w:t>har</w:t>
      </w:r>
      <w:proofErr w:type="spellEnd"/>
      <w:r w:rsidRPr="002429C5">
        <w:t xml:space="preserve"> </w:t>
      </w:r>
      <w:proofErr w:type="spellStart"/>
      <w:r w:rsidRPr="002429C5">
        <w:t>i</w:t>
      </w:r>
      <w:proofErr w:type="spellEnd"/>
      <w:r w:rsidRPr="002429C5">
        <w:t xml:space="preserve"> 2014 </w:t>
      </w:r>
      <w:proofErr w:type="spellStart"/>
      <w:r w:rsidRPr="002429C5">
        <w:t>fortsat</w:t>
      </w:r>
      <w:proofErr w:type="spellEnd"/>
      <w:r w:rsidRPr="002429C5">
        <w:t xml:space="preserve"> </w:t>
      </w:r>
      <w:proofErr w:type="spellStart"/>
      <w:r w:rsidRPr="002429C5">
        <w:t>arbejdet</w:t>
      </w:r>
      <w:proofErr w:type="spellEnd"/>
      <w:r w:rsidRPr="002429C5">
        <w:t xml:space="preserve"> med at </w:t>
      </w:r>
      <w:proofErr w:type="spellStart"/>
      <w:r w:rsidRPr="002429C5">
        <w:t>sikre</w:t>
      </w:r>
      <w:proofErr w:type="spellEnd"/>
      <w:r w:rsidRPr="002429C5">
        <w:t xml:space="preserve"> </w:t>
      </w:r>
      <w:proofErr w:type="spellStart"/>
      <w:r w:rsidRPr="002429C5">
        <w:t>korrekt</w:t>
      </w:r>
      <w:proofErr w:type="spellEnd"/>
      <w:r w:rsidRPr="002429C5">
        <w:t xml:space="preserve"> </w:t>
      </w:r>
      <w:proofErr w:type="spellStart"/>
      <w:r w:rsidRPr="002429C5">
        <w:t>anvendelse</w:t>
      </w:r>
      <w:proofErr w:type="spellEnd"/>
      <w:r w:rsidRPr="002429C5">
        <w:t xml:space="preserve"> </w:t>
      </w:r>
      <w:proofErr w:type="spellStart"/>
      <w:proofErr w:type="gramStart"/>
      <w:r w:rsidRPr="002429C5">
        <w:t>af</w:t>
      </w:r>
      <w:proofErr w:type="spellEnd"/>
      <w:proofErr w:type="gramEnd"/>
      <w:r w:rsidRPr="002429C5">
        <w:t xml:space="preserve"> de </w:t>
      </w:r>
      <w:proofErr w:type="spellStart"/>
      <w:r w:rsidRPr="002429C5">
        <w:t>nye</w:t>
      </w:r>
      <w:proofErr w:type="spellEnd"/>
      <w:r w:rsidRPr="002429C5">
        <w:t xml:space="preserve"> </w:t>
      </w:r>
      <w:proofErr w:type="spellStart"/>
      <w:r w:rsidRPr="002429C5">
        <w:t>krav</w:t>
      </w:r>
      <w:proofErr w:type="spellEnd"/>
      <w:r w:rsidRPr="002429C5">
        <w:t xml:space="preserve"> </w:t>
      </w:r>
      <w:proofErr w:type="spellStart"/>
      <w:r w:rsidRPr="002429C5">
        <w:t>i</w:t>
      </w:r>
      <w:proofErr w:type="spellEnd"/>
      <w:r w:rsidRPr="002429C5">
        <w:t xml:space="preserve"> den </w:t>
      </w:r>
      <w:proofErr w:type="spellStart"/>
      <w:r w:rsidRPr="002429C5">
        <w:t>nye</w:t>
      </w:r>
      <w:proofErr w:type="spellEnd"/>
      <w:r w:rsidRPr="002429C5">
        <w:t xml:space="preserve"> </w:t>
      </w:r>
      <w:proofErr w:type="spellStart"/>
      <w:r w:rsidRPr="002429C5">
        <w:t>risikovurderings-forordning</w:t>
      </w:r>
      <w:proofErr w:type="spellEnd"/>
      <w:r w:rsidRPr="002429C5">
        <w:t xml:space="preserve"> (CSM-RA), der </w:t>
      </w:r>
      <w:proofErr w:type="spellStart"/>
      <w:r w:rsidRPr="002429C5">
        <w:t>trådte</w:t>
      </w:r>
      <w:proofErr w:type="spellEnd"/>
      <w:r w:rsidRPr="002429C5">
        <w:t xml:space="preserve"> </w:t>
      </w:r>
      <w:proofErr w:type="spellStart"/>
      <w:r w:rsidRPr="002429C5">
        <w:t>i</w:t>
      </w:r>
      <w:proofErr w:type="spellEnd"/>
      <w:r w:rsidRPr="002429C5">
        <w:t xml:space="preserve"> </w:t>
      </w:r>
      <w:proofErr w:type="spellStart"/>
      <w:r w:rsidRPr="002429C5">
        <w:t>kraft</w:t>
      </w:r>
      <w:proofErr w:type="spellEnd"/>
      <w:r w:rsidRPr="002429C5">
        <w:t xml:space="preserve"> </w:t>
      </w:r>
      <w:proofErr w:type="spellStart"/>
      <w:r w:rsidRPr="002429C5">
        <w:t>i</w:t>
      </w:r>
      <w:proofErr w:type="spellEnd"/>
      <w:r w:rsidRPr="002429C5">
        <w:t xml:space="preserve"> 2013. </w:t>
      </w:r>
      <w:proofErr w:type="spellStart"/>
      <w:r w:rsidRPr="002429C5">
        <w:t>Både</w:t>
      </w:r>
      <w:proofErr w:type="spellEnd"/>
      <w:r w:rsidRPr="002429C5">
        <w:t xml:space="preserve"> </w:t>
      </w:r>
      <w:proofErr w:type="spellStart"/>
      <w:r w:rsidRPr="002429C5">
        <w:t>jernbanevirksomheder</w:t>
      </w:r>
      <w:proofErr w:type="spellEnd"/>
      <w:r w:rsidRPr="002429C5">
        <w:t xml:space="preserve"> </w:t>
      </w:r>
      <w:proofErr w:type="spellStart"/>
      <w:proofErr w:type="gramStart"/>
      <w:r w:rsidRPr="002429C5">
        <w:t>og</w:t>
      </w:r>
      <w:proofErr w:type="spellEnd"/>
      <w:proofErr w:type="gramEnd"/>
      <w:r w:rsidRPr="002429C5">
        <w:t xml:space="preserve"> </w:t>
      </w:r>
      <w:proofErr w:type="spellStart"/>
      <w:r w:rsidRPr="002429C5">
        <w:t>infrastrukturforvaltere</w:t>
      </w:r>
      <w:proofErr w:type="spellEnd"/>
      <w:r w:rsidRPr="002429C5">
        <w:t xml:space="preserve"> </w:t>
      </w:r>
      <w:proofErr w:type="spellStart"/>
      <w:r w:rsidRPr="002429C5">
        <w:t>er</w:t>
      </w:r>
      <w:proofErr w:type="spellEnd"/>
      <w:r w:rsidRPr="002429C5">
        <w:t xml:space="preserve"> </w:t>
      </w:r>
      <w:proofErr w:type="spellStart"/>
      <w:r w:rsidRPr="002429C5">
        <w:t>generelt</w:t>
      </w:r>
      <w:proofErr w:type="spellEnd"/>
      <w:r w:rsidRPr="002429C5">
        <w:t xml:space="preserve"> </w:t>
      </w:r>
      <w:proofErr w:type="spellStart"/>
      <w:r w:rsidRPr="002429C5">
        <w:t>blevet</w:t>
      </w:r>
      <w:proofErr w:type="spellEnd"/>
      <w:r w:rsidRPr="002429C5">
        <w:t xml:space="preserve"> </w:t>
      </w:r>
      <w:proofErr w:type="spellStart"/>
      <w:r w:rsidRPr="002429C5">
        <w:t>bedre</w:t>
      </w:r>
      <w:proofErr w:type="spellEnd"/>
      <w:r w:rsidRPr="002429C5">
        <w:t xml:space="preserve"> </w:t>
      </w:r>
      <w:proofErr w:type="spellStart"/>
      <w:r w:rsidRPr="002429C5">
        <w:t>til</w:t>
      </w:r>
      <w:proofErr w:type="spellEnd"/>
      <w:r w:rsidRPr="002429C5">
        <w:t xml:space="preserve"> at </w:t>
      </w:r>
      <w:proofErr w:type="spellStart"/>
      <w:r w:rsidRPr="002429C5">
        <w:t>anvende</w:t>
      </w:r>
      <w:proofErr w:type="spellEnd"/>
      <w:r w:rsidRPr="002429C5">
        <w:t xml:space="preserve"> </w:t>
      </w:r>
      <w:proofErr w:type="spellStart"/>
      <w:r w:rsidRPr="002429C5">
        <w:t>metoderne</w:t>
      </w:r>
      <w:proofErr w:type="spellEnd"/>
      <w:r w:rsidRPr="002429C5">
        <w:t xml:space="preserve"> </w:t>
      </w:r>
      <w:proofErr w:type="spellStart"/>
      <w:r w:rsidRPr="002429C5">
        <w:t>i</w:t>
      </w:r>
      <w:proofErr w:type="spellEnd"/>
      <w:r w:rsidRPr="002429C5">
        <w:t xml:space="preserve"> CSM-RA-</w:t>
      </w:r>
      <w:proofErr w:type="spellStart"/>
      <w:r w:rsidRPr="002429C5">
        <w:t>forordningen</w:t>
      </w:r>
      <w:proofErr w:type="spellEnd"/>
      <w:r w:rsidRPr="002429C5">
        <w:t>.</w:t>
      </w:r>
    </w:p>
    <w:p w:rsidR="005C443D" w:rsidRPr="002429C5" w:rsidRDefault="008514D3" w:rsidP="004F065E">
      <w:pPr>
        <w:pStyle w:val="Heading1"/>
        <w:sectPr w:rsidR="005C443D" w:rsidRPr="002429C5" w:rsidSect="00E5588D">
          <w:type w:val="continuous"/>
          <w:pgSz w:w="11906" w:h="16838" w:code="9"/>
          <w:pgMar w:top="1985" w:right="1985" w:bottom="936" w:left="1985" w:header="709" w:footer="709" w:gutter="0"/>
          <w:cols w:num="2" w:space="709"/>
          <w:titlePg/>
          <w:docGrid w:linePitch="360"/>
        </w:sectPr>
      </w:pPr>
      <w:r w:rsidRPr="002429C5">
        <w:br w:type="page"/>
      </w:r>
    </w:p>
    <w:p w:rsidR="004F065E" w:rsidRPr="002429C5" w:rsidRDefault="00DC0FF6" w:rsidP="004F065E">
      <w:pPr>
        <w:pStyle w:val="Heading1"/>
      </w:pPr>
      <w:bookmarkStart w:id="1" w:name="_Toc441733509"/>
      <w:r w:rsidRPr="002429C5">
        <w:lastRenderedPageBreak/>
        <w:t>Summary</w:t>
      </w:r>
      <w:bookmarkEnd w:id="1"/>
    </w:p>
    <w:p w:rsidR="005C443D" w:rsidRPr="002429C5" w:rsidRDefault="005C443D" w:rsidP="00703412">
      <w:pPr>
        <w:rPr>
          <w:rFonts w:cs="Arial"/>
          <w:b/>
        </w:rPr>
        <w:sectPr w:rsidR="005C443D" w:rsidRPr="002429C5" w:rsidSect="00356DD7">
          <w:type w:val="continuous"/>
          <w:pgSz w:w="11906" w:h="16838" w:code="9"/>
          <w:pgMar w:top="1985" w:right="1985" w:bottom="1418" w:left="1985" w:header="709" w:footer="709" w:gutter="0"/>
          <w:cols w:space="709"/>
          <w:titlePg/>
          <w:docGrid w:linePitch="360"/>
        </w:sectPr>
      </w:pPr>
    </w:p>
    <w:p w:rsidR="005C443D" w:rsidRPr="002429C5" w:rsidRDefault="00703412" w:rsidP="005C443D">
      <w:pPr>
        <w:spacing w:after="0"/>
        <w:rPr>
          <w:rFonts w:cs="Arial"/>
          <w:b/>
        </w:rPr>
      </w:pPr>
      <w:r w:rsidRPr="002429C5">
        <w:rPr>
          <w:b/>
        </w:rPr>
        <w:lastRenderedPageBreak/>
        <w:t>Denmark has a high level of railway safety …</w:t>
      </w:r>
    </w:p>
    <w:p w:rsidR="00B824CC" w:rsidRPr="002429C5" w:rsidRDefault="00703412" w:rsidP="00703412">
      <w:pPr>
        <w:rPr>
          <w:rFonts w:cs="Arial"/>
        </w:rPr>
      </w:pPr>
      <w:r w:rsidRPr="002429C5">
        <w:t>Denmark’s safety target is to maintain the high level of safety (based on the safety performance of 2004). In order to do so, the total number of fatalities or severely injured people per million train-km (FWSI) should not rise above 0.3. This target functions as a cap on the acceptable number of injuries and fatalities on the Danish railway.</w:t>
      </w:r>
    </w:p>
    <w:p w:rsidR="00675CB1" w:rsidRPr="002429C5" w:rsidRDefault="00703412" w:rsidP="00703412">
      <w:pPr>
        <w:rPr>
          <w:rFonts w:cs="Arial"/>
        </w:rPr>
      </w:pPr>
      <w:r w:rsidRPr="002429C5">
        <w:t>Since 2004, Denmark has complied with the cap and in 2014 the safety level is once again considerably below the target of 0.3 per million train-km.</w:t>
      </w:r>
    </w:p>
    <w:p w:rsidR="00703412" w:rsidRPr="002429C5" w:rsidRDefault="00703412" w:rsidP="00703412">
      <w:pPr>
        <w:rPr>
          <w:rFonts w:cs="Arial"/>
        </w:rPr>
      </w:pPr>
      <w:r w:rsidRPr="002429C5">
        <w:t>In the period 2010-2014, the number of fatalities and severely injured people has been 0.13 per million train-km. This places Denmark among the best performing countries in Europe.</w:t>
      </w:r>
    </w:p>
    <w:p w:rsidR="00B824CC" w:rsidRPr="002429C5" w:rsidRDefault="00703412" w:rsidP="00703412">
      <w:pPr>
        <w:pStyle w:val="Default"/>
        <w:rPr>
          <w:rFonts w:cs="Arial"/>
          <w:b/>
          <w:bCs/>
          <w:color w:val="auto"/>
          <w:sz w:val="18"/>
          <w:szCs w:val="18"/>
        </w:rPr>
      </w:pPr>
      <w:r w:rsidRPr="002429C5">
        <w:rPr>
          <w:b/>
          <w:color w:val="auto"/>
          <w:sz w:val="18"/>
        </w:rPr>
        <w:t>…however, there has been a small increase in the number of accidents to persons involving rolling stock in motion…</w:t>
      </w:r>
    </w:p>
    <w:p w:rsidR="00675CB1" w:rsidRPr="002429C5" w:rsidRDefault="00703412" w:rsidP="00703412">
      <w:pPr>
        <w:rPr>
          <w:rFonts w:cs="Arial"/>
        </w:rPr>
      </w:pPr>
      <w:r w:rsidRPr="002429C5">
        <w:t>The number of significant accidents has increased from 2013 to 2014, but when looking at the 5-year average the number is still relatively stable. The increase is caused by a higher number of accidents to persons involving rolling stock in motion (an increase from six in 2013 to 13 in 2014).</w:t>
      </w:r>
    </w:p>
    <w:p w:rsidR="00703412" w:rsidRPr="002429C5" w:rsidRDefault="00675CB1" w:rsidP="00703412">
      <w:pPr>
        <w:rPr>
          <w:rFonts w:cs="Arial"/>
        </w:rPr>
      </w:pPr>
      <w:r w:rsidRPr="002429C5">
        <w:t>Again in 2014, significant accidents are primarily accidents to persons involving rolling stock in motion along with accidents in level crossings. The number of accidents in level crossings, however, is at the same level as in 2013. M</w:t>
      </w:r>
      <w:r w:rsidRPr="002429C5">
        <w:rPr>
          <w:rFonts w:eastAsiaTheme="minorHAnsi"/>
        </w:rPr>
        <w:t>ost accidents with people involved regards people crossing the rails and, therefore, it is mainly people outside the train that are injured in railway accidents. Passengers and staff are very rarely injured.</w:t>
      </w:r>
    </w:p>
    <w:p w:rsidR="005C443D" w:rsidRPr="002429C5" w:rsidRDefault="00703412" w:rsidP="005C443D">
      <w:pPr>
        <w:spacing w:after="0"/>
        <w:rPr>
          <w:rFonts w:cs="Arial"/>
          <w:b/>
        </w:rPr>
      </w:pPr>
      <w:r w:rsidRPr="002429C5">
        <w:rPr>
          <w:b/>
        </w:rPr>
        <w:t>…the number of suicides on the railway is stable once again</w:t>
      </w:r>
    </w:p>
    <w:p w:rsidR="00B824CC" w:rsidRPr="002429C5" w:rsidRDefault="00703412" w:rsidP="00703412">
      <w:pPr>
        <w:rPr>
          <w:rFonts w:cs="Arial"/>
        </w:rPr>
      </w:pPr>
      <w:r w:rsidRPr="002429C5">
        <w:t xml:space="preserve">The number of suicides remains at </w:t>
      </w:r>
      <w:proofErr w:type="gramStart"/>
      <w:r w:rsidRPr="002429C5">
        <w:t>a ”</w:t>
      </w:r>
      <w:proofErr w:type="gramEnd"/>
      <w:r w:rsidRPr="002429C5">
        <w:t>normal level” in 2014 just as it was observed in 2013. The high level in 2012 can therefore, hopefully, be seen as an isolated occurrence.</w:t>
      </w:r>
    </w:p>
    <w:p w:rsidR="005C443D" w:rsidRPr="002429C5" w:rsidRDefault="00703412" w:rsidP="005C443D">
      <w:pPr>
        <w:spacing w:after="0"/>
        <w:rPr>
          <w:rFonts w:cs="Arial"/>
          <w:b/>
        </w:rPr>
      </w:pPr>
      <w:r w:rsidRPr="002429C5">
        <w:rPr>
          <w:b/>
        </w:rPr>
        <w:lastRenderedPageBreak/>
        <w:t>The Danish Transport and Construction Agency complies with all recommendations of the Danish Accident Investigation Board</w:t>
      </w:r>
    </w:p>
    <w:p w:rsidR="00703412" w:rsidRPr="002429C5" w:rsidRDefault="00703412" w:rsidP="00703412">
      <w:pPr>
        <w:rPr>
          <w:rFonts w:cs="Arial"/>
        </w:rPr>
      </w:pPr>
      <w:r w:rsidRPr="002429C5">
        <w:t>In 2014, the Danish Transport and Construction Agency has received four accounts from the Danish Accident Investigation Board for follow-up. All four accounts have been supervised and several initiatives have been implemented in accordance with the recommendations. All recommendations are considered to be complied by.</w:t>
      </w:r>
    </w:p>
    <w:p w:rsidR="005C443D" w:rsidRPr="002429C5" w:rsidRDefault="00703412" w:rsidP="005C443D">
      <w:pPr>
        <w:spacing w:after="0"/>
        <w:rPr>
          <w:rFonts w:cs="Arial"/>
        </w:rPr>
      </w:pPr>
      <w:r w:rsidRPr="002429C5">
        <w:rPr>
          <w:b/>
        </w:rPr>
        <w:t>The maturity model used for the first time in 2013 appears to be working</w:t>
      </w:r>
    </w:p>
    <w:p w:rsidR="00703412" w:rsidRPr="002429C5" w:rsidRDefault="00F92726" w:rsidP="00703412">
      <w:pPr>
        <w:rPr>
          <w:rFonts w:cs="Arial"/>
        </w:rPr>
      </w:pPr>
      <w:r w:rsidRPr="002429C5">
        <w:t>The Danish Transport and Construction Agency has developed a model to measure the companies’ maturity level in regards to the safety management systems. The level is more or less stable in 2014 compared to the level in 2013. It is expected that the past years’ intensive guidance of the companies will have a positive effect on their maturity level in the coming years.</w:t>
      </w:r>
    </w:p>
    <w:p w:rsidR="005C443D" w:rsidRPr="002429C5" w:rsidRDefault="00703412" w:rsidP="005C443D">
      <w:pPr>
        <w:spacing w:after="0"/>
        <w:rPr>
          <w:rFonts w:cs="Arial"/>
          <w:b/>
        </w:rPr>
      </w:pPr>
      <w:r w:rsidRPr="002429C5">
        <w:rPr>
          <w:b/>
        </w:rPr>
        <w:t xml:space="preserve">This year’s safety performance report </w:t>
      </w:r>
      <w:proofErr w:type="gramStart"/>
      <w:r w:rsidRPr="002429C5">
        <w:rPr>
          <w:b/>
        </w:rPr>
        <w:t>has ”</w:t>
      </w:r>
      <w:proofErr w:type="gramEnd"/>
      <w:r w:rsidRPr="002429C5">
        <w:rPr>
          <w:b/>
        </w:rPr>
        <w:t>special focus areas” as a theme chapter</w:t>
      </w:r>
    </w:p>
    <w:p w:rsidR="009D2865" w:rsidRPr="002429C5" w:rsidRDefault="002C4F9F" w:rsidP="005C443D">
      <w:pPr>
        <w:spacing w:after="120"/>
        <w:rPr>
          <w:rFonts w:cs="Arial"/>
        </w:rPr>
      </w:pPr>
      <w:r w:rsidRPr="002429C5">
        <w:t xml:space="preserve">Each year, the Danish Transport and Construction Agency chooses specific focus areas for supervision. In 2014 these are: </w:t>
      </w:r>
      <w:r w:rsidRPr="002429C5">
        <w:rPr>
          <w:i/>
        </w:rPr>
        <w:t>Competence management, contract handling, stay in the driver's cab, and management of changes in the infrastructure</w:t>
      </w:r>
      <w:r w:rsidRPr="002429C5">
        <w:t>.</w:t>
      </w:r>
    </w:p>
    <w:p w:rsidR="00703412" w:rsidRPr="002429C5" w:rsidRDefault="00703412" w:rsidP="00703412">
      <w:pPr>
        <w:spacing w:before="120" w:after="120"/>
        <w:rPr>
          <w:rFonts w:cs="Arial"/>
        </w:rPr>
      </w:pPr>
      <w:r w:rsidRPr="002429C5">
        <w:t>Common for all four areas is that the supervision has shown how the companies continue to experience problems and challenges with these areas.</w:t>
      </w:r>
    </w:p>
    <w:p w:rsidR="00703412" w:rsidRPr="002429C5" w:rsidRDefault="00341E0C" w:rsidP="00703412">
      <w:pPr>
        <w:spacing w:before="120" w:after="120"/>
        <w:rPr>
          <w:rFonts w:cs="Arial"/>
        </w:rPr>
      </w:pPr>
      <w:r w:rsidRPr="002429C5">
        <w:t>As an example, the supervision on competence management showed that several companies have not yet clarified the required security related competences properly.</w:t>
      </w:r>
    </w:p>
    <w:p w:rsidR="00703412" w:rsidRPr="002429C5" w:rsidRDefault="00703412" w:rsidP="00703412">
      <w:pPr>
        <w:spacing w:before="120" w:after="120"/>
        <w:rPr>
          <w:rFonts w:cs="Arial"/>
        </w:rPr>
      </w:pPr>
      <w:r w:rsidRPr="002429C5">
        <w:t xml:space="preserve">For the handling of contracts, the supervision showed that the companies are experiencing challenges with the development of correct contract content, conducting a proper follow-up </w:t>
      </w:r>
      <w:r w:rsidRPr="002429C5">
        <w:lastRenderedPageBreak/>
        <w:t>on the contracts and having a general overview of the contracts as well as making sure they are updated. On the basis of this, the Danish Transport and Construction Agency has decided that this topic should be a focus area in 2015 as well.</w:t>
      </w:r>
    </w:p>
    <w:p w:rsidR="00703412" w:rsidRPr="002429C5" w:rsidRDefault="00703412" w:rsidP="005C443D">
      <w:pPr>
        <w:keepNext/>
        <w:spacing w:after="0"/>
        <w:rPr>
          <w:rFonts w:cs="Arial"/>
        </w:rPr>
      </w:pPr>
      <w:r w:rsidRPr="002429C5">
        <w:rPr>
          <w:b/>
        </w:rPr>
        <w:t>The application of the Regulation on the Common Safety Method on risk evaluation and assessment has improved</w:t>
      </w:r>
    </w:p>
    <w:p w:rsidR="00703412" w:rsidRPr="002429C5" w:rsidRDefault="00703412" w:rsidP="00703412">
      <w:pPr>
        <w:pStyle w:val="Indledning"/>
      </w:pPr>
      <w:r w:rsidRPr="002429C5">
        <w:rPr>
          <w:sz w:val="18"/>
        </w:rPr>
        <w:t xml:space="preserve">In 2014, the Danish Transport and Construction Agency has continued the </w:t>
      </w:r>
      <w:r w:rsidRPr="002429C5">
        <w:rPr>
          <w:sz w:val="18"/>
        </w:rPr>
        <w:lastRenderedPageBreak/>
        <w:t>work on securing the correct application of the new requirements following the new regulation on the Common Safety Method on risk evaluation and assessment that came into force in 2013. Both the railway companies and infrastructure managers have in general approved in their application of the methods in the regulation.</w:t>
      </w:r>
    </w:p>
    <w:p w:rsidR="0013340A" w:rsidRPr="002429C5" w:rsidRDefault="0013340A" w:rsidP="005C47C3">
      <w:pPr>
        <w:rPr>
          <w:b/>
        </w:rPr>
      </w:pPr>
    </w:p>
    <w:p w:rsidR="0013340A" w:rsidRPr="002429C5" w:rsidRDefault="0013340A" w:rsidP="005C47C3">
      <w:pPr>
        <w:rPr>
          <w:b/>
        </w:rPr>
        <w:sectPr w:rsidR="0013340A" w:rsidRPr="002429C5" w:rsidSect="00356DD7">
          <w:type w:val="continuous"/>
          <w:pgSz w:w="11906" w:h="16838" w:code="9"/>
          <w:pgMar w:top="1985" w:right="1985" w:bottom="1418" w:left="1985" w:header="709" w:footer="709" w:gutter="0"/>
          <w:cols w:num="2" w:space="709"/>
          <w:titlePg/>
          <w:docGrid w:linePitch="360"/>
        </w:sectPr>
      </w:pPr>
    </w:p>
    <w:p w:rsidR="004272FB" w:rsidRPr="002429C5" w:rsidRDefault="004272FB" w:rsidP="004F065E"/>
    <w:p w:rsidR="0013340A" w:rsidRPr="002429C5" w:rsidRDefault="0013340A" w:rsidP="004F065E"/>
    <w:p w:rsidR="0013340A" w:rsidRPr="002429C5" w:rsidRDefault="0013340A" w:rsidP="004F065E">
      <w:pPr>
        <w:sectPr w:rsidR="0013340A" w:rsidRPr="002429C5" w:rsidSect="00356DD7">
          <w:type w:val="continuous"/>
          <w:pgSz w:w="11906" w:h="16838" w:code="9"/>
          <w:pgMar w:top="1985" w:right="1985" w:bottom="1418" w:left="1985" w:header="709" w:footer="709" w:gutter="0"/>
          <w:cols w:space="709"/>
          <w:titlePg/>
          <w:docGrid w:linePitch="360"/>
        </w:sectPr>
      </w:pPr>
    </w:p>
    <w:tbl>
      <w:tblPr>
        <w:tblStyle w:val="TableGrid"/>
        <w:tblW w:w="0" w:type="auto"/>
        <w:tblLook w:val="04A0" w:firstRow="1" w:lastRow="0" w:firstColumn="1" w:lastColumn="0" w:noHBand="0" w:noVBand="1"/>
      </w:tblPr>
      <w:tblGrid>
        <w:gridCol w:w="8076"/>
      </w:tblGrid>
      <w:tr w:rsidR="0013340A" w:rsidRPr="002429C5" w:rsidTr="0013340A">
        <w:tc>
          <w:tcPr>
            <w:tcW w:w="8076" w:type="dxa"/>
            <w:shd w:val="clear" w:color="auto" w:fill="D9D9D9" w:themeFill="background1" w:themeFillShade="D9"/>
          </w:tcPr>
          <w:p w:rsidR="005C443D" w:rsidRPr="002429C5" w:rsidRDefault="005C443D" w:rsidP="005C443D">
            <w:pPr>
              <w:spacing w:after="0"/>
              <w:rPr>
                <w:b/>
              </w:rPr>
            </w:pPr>
          </w:p>
          <w:p w:rsidR="0013340A" w:rsidRPr="002429C5" w:rsidRDefault="00D77D1F" w:rsidP="0013340A">
            <w:pPr>
              <w:rPr>
                <w:b/>
              </w:rPr>
            </w:pPr>
            <w:r w:rsidRPr="002429C5">
              <w:rPr>
                <w:b/>
              </w:rPr>
              <w:t>ABOUT THE DATA IN THE REPORT:</w:t>
            </w:r>
          </w:p>
          <w:p w:rsidR="00747BF7" w:rsidRPr="002429C5" w:rsidRDefault="00747BF7" w:rsidP="00747BF7">
            <w:r w:rsidRPr="002429C5">
              <w:t>The data in the safety report are for 2014. The reason for the relatively late publication is that the Agency only receives the last data from the undertakings in June, and it is an extensive process to validate the information on incidents and accidents on the railways, as reported by the undertakings.</w:t>
            </w:r>
          </w:p>
          <w:p w:rsidR="00747BF7" w:rsidRPr="002429C5" w:rsidRDefault="00943D64" w:rsidP="00747BF7">
            <w:r w:rsidRPr="002429C5">
              <w:t>The Agency is required to publish the safety report and submit it to the European Railway Agency (ERA), but the Agency has chosen to design the report so that it is also interesting for Danish stakeholders such as infrastructure managers, railway undertakings, the Danish Accident Investigation Board, politicians and the press.</w:t>
            </w:r>
          </w:p>
          <w:p w:rsidR="00045E22" w:rsidRPr="002429C5" w:rsidRDefault="00747BF7" w:rsidP="00945BA1">
            <w:r w:rsidRPr="002429C5">
              <w:t>The report therefore includes data from across the entire Danish rail network, including demarcated urban networks such as the metro and local railways, which would otherwise not be covered by the European reporting requirements. The reader must therefore be aware that the data in this report will be different from data reported for use in European statistics.</w:t>
            </w:r>
          </w:p>
        </w:tc>
      </w:tr>
    </w:tbl>
    <w:p w:rsidR="00431C8F" w:rsidRPr="002429C5" w:rsidRDefault="00431C8F" w:rsidP="00A24F89">
      <w:pPr>
        <w:pStyle w:val="TSOverskrift1"/>
      </w:pPr>
      <w:r w:rsidRPr="002429C5">
        <w:br w:type="page"/>
      </w:r>
    </w:p>
    <w:p w:rsidR="00355106" w:rsidRPr="002429C5" w:rsidRDefault="00355106" w:rsidP="00355106">
      <w:pPr>
        <w:pStyle w:val="TSOverskrift1"/>
      </w:pPr>
      <w:bookmarkStart w:id="2" w:name="_Toc441733510"/>
      <w:r w:rsidRPr="002429C5">
        <w:lastRenderedPageBreak/>
        <w:t>Chapter 1. Developments in railway safety</w:t>
      </w:r>
      <w:bookmarkEnd w:id="2"/>
    </w:p>
    <w:p w:rsidR="00355106" w:rsidRPr="002429C5" w:rsidRDefault="00355106" w:rsidP="00355106">
      <w:pPr>
        <w:rPr>
          <w:color w:val="FF0000"/>
        </w:rPr>
        <w:sectPr w:rsidR="00355106" w:rsidRPr="002429C5" w:rsidSect="00356DD7">
          <w:headerReference w:type="even" r:id="rId17"/>
          <w:headerReference w:type="default" r:id="rId18"/>
          <w:type w:val="continuous"/>
          <w:pgSz w:w="11906" w:h="16838" w:code="9"/>
          <w:pgMar w:top="1985" w:right="1985" w:bottom="1418" w:left="1985" w:header="709" w:footer="709" w:gutter="0"/>
          <w:cols w:space="709"/>
          <w:titlePg/>
          <w:docGrid w:linePitch="360"/>
        </w:sectPr>
      </w:pPr>
    </w:p>
    <w:p w:rsidR="00355106" w:rsidRPr="002429C5" w:rsidRDefault="00BE3A82" w:rsidP="00355106">
      <w:pPr>
        <w:rPr>
          <w:sz w:val="24"/>
        </w:rPr>
      </w:pPr>
      <w:r w:rsidRPr="002429C5">
        <w:rPr>
          <w:sz w:val="24"/>
        </w:rPr>
        <w:lastRenderedPageBreak/>
        <w:t>Railway safety is generally high in Denmark.  The number of significant accidents has been at the same low level for the last few years. The Danish safety target for the number of significant accidents involving persons was met in 2014.</w:t>
      </w:r>
    </w:p>
    <w:p w:rsidR="00910579" w:rsidRPr="002429C5" w:rsidRDefault="00910579" w:rsidP="00910579">
      <w:pPr>
        <w:spacing w:after="0"/>
        <w:rPr>
          <w:sz w:val="16"/>
        </w:rPr>
      </w:pPr>
    </w:p>
    <w:p w:rsidR="00910579" w:rsidRPr="002429C5" w:rsidRDefault="00910579" w:rsidP="00910579">
      <w:pPr>
        <w:spacing w:after="0"/>
        <w:rPr>
          <w:sz w:val="16"/>
        </w:rPr>
        <w:sectPr w:rsidR="00910579" w:rsidRPr="002429C5" w:rsidSect="00356DD7">
          <w:type w:val="continuous"/>
          <w:pgSz w:w="11906" w:h="16838" w:code="9"/>
          <w:pgMar w:top="1985" w:right="1985" w:bottom="1418" w:left="1985" w:header="709" w:footer="709" w:gutter="0"/>
          <w:cols w:space="709"/>
          <w:titlePg/>
          <w:docGrid w:linePitch="360"/>
        </w:sectPr>
      </w:pPr>
    </w:p>
    <w:p w:rsidR="00B307C3" w:rsidRPr="002429C5" w:rsidRDefault="00B307C3" w:rsidP="00B307C3">
      <w:r w:rsidRPr="002429C5">
        <w:lastRenderedPageBreak/>
        <w:t>Once a year, infrastructure managers and railway undertakings report all safety-related incidents to the Agency. The Agency analyses developments in railway safety at national level, and presents the results in the Safety Report.</w:t>
      </w:r>
      <w:r w:rsidRPr="002429C5">
        <w:rPr>
          <w:rStyle w:val="FootnoteReference"/>
        </w:rPr>
        <w:footnoteReference w:id="2"/>
      </w:r>
    </w:p>
    <w:p w:rsidR="00355106" w:rsidRPr="002429C5" w:rsidRDefault="00DB6C97" w:rsidP="00355106">
      <w:pPr>
        <w:pStyle w:val="Heading2"/>
      </w:pPr>
      <w:bookmarkStart w:id="3" w:name="_Toc441733511"/>
      <w:r w:rsidRPr="002429C5">
        <w:t>Incidents on the railway</w:t>
      </w:r>
      <w:bookmarkEnd w:id="3"/>
    </w:p>
    <w:p w:rsidR="00AC5E01" w:rsidRPr="002429C5" w:rsidRDefault="00AC5E01" w:rsidP="00355106">
      <w:r w:rsidRPr="002429C5">
        <w:t>There are approximately 2 700 km of railway line in Denmark. A large part is equipped with effective train control systems, which, together with competent operators, significantly reduce the risk of serious accidents. The equipment is mainly used on those lines where traffic is heaviest</w:t>
      </w:r>
      <w:r w:rsidRPr="002429C5">
        <w:rPr>
          <w:rStyle w:val="FootnoteReference"/>
        </w:rPr>
        <w:footnoteReference w:id="3"/>
      </w:r>
      <w:r w:rsidRPr="002429C5">
        <w:t>.</w:t>
      </w:r>
    </w:p>
    <w:p w:rsidR="00B824CC" w:rsidRPr="002429C5" w:rsidRDefault="00121F6F" w:rsidP="00C60729">
      <w:r w:rsidRPr="002429C5">
        <w:t>When incidents do still occur, railway undertakings and infrastructure managers are required continually to follow up on the incidents that occur in their area.</w:t>
      </w:r>
    </w:p>
    <w:p w:rsidR="00C60729" w:rsidRPr="002429C5" w:rsidRDefault="00C60729" w:rsidP="00C60729">
      <w:r w:rsidRPr="002429C5">
        <w:t>It is part of the undertakings' safety management to carry out an investigation when something goes wrong. In the most serious cases, the Accident Investigation Board for Civil Aviation and Railways helps establish the chain of events and possible causes of the fault in the system.</w:t>
      </w:r>
    </w:p>
    <w:p w:rsidR="000669E5" w:rsidRPr="002429C5" w:rsidRDefault="000669E5" w:rsidP="00355106">
      <w:r w:rsidRPr="002429C5">
        <w:lastRenderedPageBreak/>
        <w:t>Incidents are described as accidents and other (safety-related) incidents</w:t>
      </w:r>
      <w:r w:rsidRPr="002429C5">
        <w:rPr>
          <w:rStyle w:val="FootnoteReference"/>
        </w:rPr>
        <w:footnoteReference w:id="4"/>
      </w:r>
      <w:r w:rsidRPr="002429C5">
        <w:t>. For accidents, a distinction is made between significant accidents and minor accidents</w:t>
      </w:r>
      <w:r w:rsidRPr="002429C5">
        <w:rPr>
          <w:rStyle w:val="FootnoteReference"/>
        </w:rPr>
        <w:footnoteReference w:id="5"/>
      </w:r>
      <w:r w:rsidRPr="002429C5">
        <w:t>.</w:t>
      </w:r>
    </w:p>
    <w:p w:rsidR="00C60729" w:rsidRPr="002429C5" w:rsidRDefault="003A2D2D" w:rsidP="00355106">
      <w:r w:rsidRPr="002429C5">
        <w:t>In 2014, only a small proportion of the incidents reported are definite accidents. Nine out of 10 of the incidents reported by undertakings are other incidents (see figure 1).</w:t>
      </w:r>
    </w:p>
    <w:p w:rsidR="00B824CC" w:rsidRPr="002429C5" w:rsidRDefault="00355106" w:rsidP="002429C5">
      <w:pPr>
        <w:rPr>
          <w:noProof/>
        </w:rPr>
      </w:pPr>
      <w:r w:rsidRPr="002429C5">
        <w:rPr>
          <w:i/>
          <w:sz w:val="16"/>
        </w:rPr>
        <w:t>Figure 1: Overview of breakdown of reported number of accidents and other incidents in 2014</w:t>
      </w:r>
    </w:p>
    <w:p w:rsidR="00355106" w:rsidRPr="002429C5" w:rsidRDefault="002429C5" w:rsidP="00355106">
      <w:bookmarkStart w:id="4" w:name="_GoBack"/>
      <w:r w:rsidRPr="002429C5">
        <w:rPr>
          <w:noProof/>
          <w:lang w:val="fr-LU" w:eastAsia="fr-LU" w:bidi="ar-SA"/>
        </w:rPr>
        <w:drawing>
          <wp:inline distT="0" distB="0" distL="0" distR="0" wp14:anchorId="69CC0114" wp14:editId="52525B7E">
            <wp:extent cx="2076450" cy="2905125"/>
            <wp:effectExtent l="0" t="0" r="0" b="9525"/>
            <wp:docPr id="2" name="Diagram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bookmarkEnd w:id="4"/>
    </w:p>
    <w:tbl>
      <w:tblPr>
        <w:tblStyle w:val="TableGrid"/>
        <w:tblW w:w="3753" w:type="dxa"/>
        <w:tblLook w:val="04A0" w:firstRow="1" w:lastRow="0" w:firstColumn="1" w:lastColumn="0" w:noHBand="0" w:noVBand="1"/>
      </w:tblPr>
      <w:tblGrid>
        <w:gridCol w:w="1876"/>
        <w:gridCol w:w="1877"/>
      </w:tblGrid>
      <w:tr w:rsidR="005C443D" w:rsidRPr="002429C5" w:rsidTr="005C443D">
        <w:tc>
          <w:tcPr>
            <w:tcW w:w="1876" w:type="dxa"/>
          </w:tcPr>
          <w:p w:rsidR="005C443D" w:rsidRPr="002429C5" w:rsidRDefault="005C443D" w:rsidP="00910579">
            <w:pPr>
              <w:pStyle w:val="DoNotTranslateExternal1"/>
              <w:keepNext/>
            </w:pPr>
            <w:r w:rsidRPr="002429C5">
              <w:lastRenderedPageBreak/>
              <w:t>DA</w:t>
            </w:r>
          </w:p>
        </w:tc>
        <w:tc>
          <w:tcPr>
            <w:tcW w:w="1877" w:type="dxa"/>
          </w:tcPr>
          <w:p w:rsidR="005C443D" w:rsidRPr="002429C5" w:rsidRDefault="005C443D" w:rsidP="00910579">
            <w:pPr>
              <w:keepNext/>
              <w:spacing w:after="0"/>
              <w:rPr>
                <w:sz w:val="16"/>
              </w:rPr>
            </w:pPr>
            <w:r w:rsidRPr="002429C5">
              <w:rPr>
                <w:sz w:val="16"/>
              </w:rPr>
              <w:t>EN</w:t>
            </w:r>
          </w:p>
        </w:tc>
      </w:tr>
      <w:tr w:rsidR="005C443D" w:rsidRPr="002429C5" w:rsidTr="005C443D">
        <w:tc>
          <w:tcPr>
            <w:tcW w:w="1876" w:type="dxa"/>
          </w:tcPr>
          <w:p w:rsidR="005C443D" w:rsidRPr="002429C5" w:rsidRDefault="005C443D" w:rsidP="00910579">
            <w:pPr>
              <w:pStyle w:val="DoNotTranslateExternal1"/>
              <w:keepNext/>
            </w:pPr>
            <w:proofErr w:type="spellStart"/>
            <w:r w:rsidRPr="002429C5">
              <w:t>Væsentlige</w:t>
            </w:r>
            <w:proofErr w:type="spellEnd"/>
            <w:r w:rsidRPr="002429C5">
              <w:t xml:space="preserve"> </w:t>
            </w:r>
            <w:proofErr w:type="spellStart"/>
            <w:r w:rsidRPr="002429C5">
              <w:t>ulykker</w:t>
            </w:r>
            <w:proofErr w:type="spellEnd"/>
          </w:p>
        </w:tc>
        <w:tc>
          <w:tcPr>
            <w:tcW w:w="1877" w:type="dxa"/>
          </w:tcPr>
          <w:p w:rsidR="005C443D" w:rsidRPr="002429C5" w:rsidRDefault="005C443D" w:rsidP="00910579">
            <w:pPr>
              <w:keepNext/>
              <w:spacing w:after="0"/>
              <w:rPr>
                <w:sz w:val="16"/>
              </w:rPr>
            </w:pPr>
            <w:r w:rsidRPr="002429C5">
              <w:rPr>
                <w:sz w:val="16"/>
              </w:rPr>
              <w:t>Significant accidents</w:t>
            </w:r>
          </w:p>
        </w:tc>
      </w:tr>
      <w:tr w:rsidR="005C443D" w:rsidRPr="002429C5" w:rsidTr="005C443D">
        <w:tc>
          <w:tcPr>
            <w:tcW w:w="1876" w:type="dxa"/>
          </w:tcPr>
          <w:p w:rsidR="005C443D" w:rsidRPr="002429C5" w:rsidRDefault="005C443D" w:rsidP="00910579">
            <w:pPr>
              <w:pStyle w:val="DoNotTranslateExternal1"/>
              <w:keepNext/>
            </w:pPr>
            <w:proofErr w:type="spellStart"/>
            <w:r w:rsidRPr="002429C5">
              <w:t>Mindre</w:t>
            </w:r>
            <w:proofErr w:type="spellEnd"/>
            <w:r w:rsidRPr="002429C5">
              <w:t xml:space="preserve"> </w:t>
            </w:r>
            <w:proofErr w:type="spellStart"/>
            <w:r w:rsidRPr="002429C5">
              <w:t>ulykker</w:t>
            </w:r>
            <w:proofErr w:type="spellEnd"/>
          </w:p>
        </w:tc>
        <w:tc>
          <w:tcPr>
            <w:tcW w:w="1877" w:type="dxa"/>
          </w:tcPr>
          <w:p w:rsidR="005C443D" w:rsidRPr="002429C5" w:rsidRDefault="005C443D" w:rsidP="00910579">
            <w:pPr>
              <w:keepNext/>
              <w:spacing w:after="0"/>
              <w:rPr>
                <w:sz w:val="16"/>
              </w:rPr>
            </w:pPr>
            <w:r w:rsidRPr="002429C5">
              <w:rPr>
                <w:sz w:val="16"/>
              </w:rPr>
              <w:t>Minor accidents</w:t>
            </w:r>
          </w:p>
        </w:tc>
      </w:tr>
      <w:tr w:rsidR="005C443D" w:rsidRPr="002429C5" w:rsidTr="005C443D">
        <w:tc>
          <w:tcPr>
            <w:tcW w:w="1876" w:type="dxa"/>
          </w:tcPr>
          <w:p w:rsidR="005C443D" w:rsidRPr="002429C5" w:rsidRDefault="005C443D" w:rsidP="00910579">
            <w:pPr>
              <w:pStyle w:val="DoNotTranslateExternal1"/>
            </w:pPr>
            <w:r w:rsidRPr="002429C5">
              <w:t xml:space="preserve">Andre </w:t>
            </w:r>
            <w:proofErr w:type="spellStart"/>
            <w:r w:rsidRPr="002429C5">
              <w:t>hændelser</w:t>
            </w:r>
            <w:proofErr w:type="spellEnd"/>
          </w:p>
        </w:tc>
        <w:tc>
          <w:tcPr>
            <w:tcW w:w="1877" w:type="dxa"/>
          </w:tcPr>
          <w:p w:rsidR="005C443D" w:rsidRPr="002429C5" w:rsidRDefault="005C443D" w:rsidP="005C443D">
            <w:pPr>
              <w:spacing w:after="0"/>
              <w:rPr>
                <w:sz w:val="16"/>
              </w:rPr>
            </w:pPr>
            <w:r w:rsidRPr="002429C5">
              <w:rPr>
                <w:sz w:val="16"/>
              </w:rPr>
              <w:t>Other incidents</w:t>
            </w:r>
          </w:p>
        </w:tc>
      </w:tr>
    </w:tbl>
    <w:p w:rsidR="003B2B60" w:rsidRPr="002429C5" w:rsidRDefault="003B2B60" w:rsidP="00482268">
      <w:pPr>
        <w:pStyle w:val="Heading2"/>
      </w:pPr>
      <w:bookmarkStart w:id="5" w:name="_Toc441733512"/>
      <w:r w:rsidRPr="002429C5">
        <w:t>Significant accidents</w:t>
      </w:r>
      <w:bookmarkEnd w:id="5"/>
    </w:p>
    <w:p w:rsidR="00B824CC" w:rsidRPr="002429C5" w:rsidRDefault="00CC52E7" w:rsidP="003B2B60">
      <w:r w:rsidRPr="002429C5">
        <w:t xml:space="preserve">To distinguish between accidents with and without major consequences, the concept of </w:t>
      </w:r>
      <w:r w:rsidRPr="002429C5">
        <w:rPr>
          <w:i/>
        </w:rPr>
        <w:t>significant accidents</w:t>
      </w:r>
      <w:r w:rsidRPr="002429C5">
        <w:t xml:space="preserve"> is used.</w:t>
      </w:r>
      <w:r w:rsidRPr="002429C5">
        <w:rPr>
          <w:i/>
        </w:rPr>
        <w:t xml:space="preserve"> </w:t>
      </w:r>
      <w:r w:rsidRPr="002429C5">
        <w:t>Significant accidents are those that</w:t>
      </w:r>
    </w:p>
    <w:p w:rsidR="003B2B60" w:rsidRPr="002429C5" w:rsidRDefault="00CC52E7" w:rsidP="003B2B60">
      <w:proofErr w:type="gramStart"/>
      <w:r w:rsidRPr="002429C5">
        <w:lastRenderedPageBreak/>
        <w:t>cause</w:t>
      </w:r>
      <w:proofErr w:type="gramEnd"/>
      <w:r w:rsidRPr="002429C5">
        <w:t xml:space="preserve"> serious personal injury, death, damage of more than DKK 1.2 million or delays to train operations of more than six hours. Between 5 and 10 % of railway accidents in Denmark are regarded as so-called significant accidents.</w:t>
      </w:r>
    </w:p>
    <w:p w:rsidR="005C443D" w:rsidRPr="002429C5" w:rsidRDefault="005C443D" w:rsidP="003B2B60"/>
    <w:p w:rsidR="005C443D" w:rsidRPr="002429C5" w:rsidRDefault="005C443D" w:rsidP="003B2B60">
      <w:pPr>
        <w:sectPr w:rsidR="005C443D" w:rsidRPr="002429C5" w:rsidSect="00356DD7">
          <w:type w:val="continuous"/>
          <w:pgSz w:w="11906" w:h="16838" w:code="9"/>
          <w:pgMar w:top="1985" w:right="1985" w:bottom="1418" w:left="1985" w:header="709" w:footer="709" w:gutter="0"/>
          <w:cols w:num="2" w:space="709"/>
          <w:titlePg/>
          <w:docGrid w:linePitch="360"/>
        </w:sectPr>
      </w:pPr>
    </w:p>
    <w:p w:rsidR="00286678" w:rsidRPr="002429C5" w:rsidRDefault="00286678" w:rsidP="00286678"/>
    <w:p w:rsidR="00355106" w:rsidRPr="002429C5" w:rsidRDefault="00355106" w:rsidP="00286678">
      <w:pPr>
        <w:keepNext/>
        <w:rPr>
          <w:i/>
          <w:iCs/>
          <w:sz w:val="16"/>
        </w:rPr>
      </w:pPr>
      <w:r w:rsidRPr="002429C5">
        <w:rPr>
          <w:i/>
          <w:sz w:val="16"/>
        </w:rPr>
        <w:t>Figure 2: Significant accidents 1999 – 2014 (per million train-km)</w:t>
      </w:r>
    </w:p>
    <w:p w:rsidR="00355106" w:rsidRPr="002429C5" w:rsidRDefault="00D25676" w:rsidP="00355106">
      <w:pPr>
        <w:rPr>
          <w:color w:val="FF0000"/>
        </w:rPr>
      </w:pPr>
      <w:r w:rsidRPr="002429C5">
        <w:rPr>
          <w:noProof/>
          <w:lang w:val="fr-LU" w:eastAsia="fr-LU" w:bidi="ar-SA"/>
        </w:rPr>
        <w:drawing>
          <wp:inline distT="0" distB="0" distL="0" distR="0" wp14:anchorId="55B8C556" wp14:editId="2C775A4C">
            <wp:extent cx="5039360" cy="3141201"/>
            <wp:effectExtent l="0" t="0" r="27940" b="21590"/>
            <wp:docPr id="4" name="Diagram 4"/>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rsidR="00355106" w:rsidRPr="002429C5" w:rsidRDefault="00355106" w:rsidP="00286678">
      <w:pPr>
        <w:pStyle w:val="Billedetekst"/>
        <w:spacing w:after="60"/>
      </w:pPr>
      <w:r w:rsidRPr="002429C5">
        <w:t>Significant accidents are train accidents involving damage costing more than DKK 1.2 million, serious personal injury or death, or delays to train operations of more than six hours. The significant accidents are shown per year and per million train-kilometres.</w:t>
      </w:r>
    </w:p>
    <w:tbl>
      <w:tblPr>
        <w:tblStyle w:val="TableGrid"/>
        <w:tblW w:w="0" w:type="auto"/>
        <w:tblLook w:val="04A0" w:firstRow="1" w:lastRow="0" w:firstColumn="1" w:lastColumn="0" w:noHBand="0" w:noVBand="1"/>
      </w:tblPr>
      <w:tblGrid>
        <w:gridCol w:w="4038"/>
        <w:gridCol w:w="4038"/>
      </w:tblGrid>
      <w:tr w:rsidR="00286678" w:rsidRPr="002429C5" w:rsidTr="00286678">
        <w:tc>
          <w:tcPr>
            <w:tcW w:w="4038" w:type="dxa"/>
          </w:tcPr>
          <w:p w:rsidR="00286678" w:rsidRPr="002429C5" w:rsidRDefault="00286678" w:rsidP="00910579">
            <w:pPr>
              <w:pStyle w:val="DoNotTranslateExternal1"/>
            </w:pPr>
            <w:r w:rsidRPr="002429C5">
              <w:t>DA</w:t>
            </w:r>
          </w:p>
        </w:tc>
        <w:tc>
          <w:tcPr>
            <w:tcW w:w="4038" w:type="dxa"/>
          </w:tcPr>
          <w:p w:rsidR="00286678" w:rsidRPr="002429C5" w:rsidRDefault="00286678" w:rsidP="00286678">
            <w:pPr>
              <w:pStyle w:val="Billedetekst"/>
              <w:spacing w:line="240" w:lineRule="auto"/>
              <w:rPr>
                <w:i w:val="0"/>
                <w:sz w:val="16"/>
              </w:rPr>
            </w:pPr>
            <w:r w:rsidRPr="002429C5">
              <w:rPr>
                <w:i w:val="0"/>
                <w:sz w:val="16"/>
              </w:rPr>
              <w:t>EN</w:t>
            </w:r>
          </w:p>
        </w:tc>
      </w:tr>
      <w:tr w:rsidR="00286678" w:rsidRPr="002429C5" w:rsidTr="00286678">
        <w:tc>
          <w:tcPr>
            <w:tcW w:w="4038" w:type="dxa"/>
          </w:tcPr>
          <w:p w:rsidR="00286678" w:rsidRPr="002429C5" w:rsidRDefault="00286678" w:rsidP="00910579">
            <w:pPr>
              <w:pStyle w:val="DoNotTranslateExternal1"/>
            </w:pPr>
            <w:proofErr w:type="spellStart"/>
            <w:r w:rsidRPr="002429C5">
              <w:t>Årligt</w:t>
            </w:r>
            <w:proofErr w:type="spellEnd"/>
          </w:p>
        </w:tc>
        <w:tc>
          <w:tcPr>
            <w:tcW w:w="4038" w:type="dxa"/>
          </w:tcPr>
          <w:p w:rsidR="00286678" w:rsidRPr="002429C5" w:rsidRDefault="00286678" w:rsidP="00FA5788">
            <w:pPr>
              <w:pStyle w:val="Billedetekst"/>
              <w:spacing w:line="240" w:lineRule="auto"/>
              <w:rPr>
                <w:i w:val="0"/>
                <w:sz w:val="16"/>
              </w:rPr>
            </w:pPr>
            <w:r w:rsidRPr="002429C5">
              <w:rPr>
                <w:i w:val="0"/>
                <w:sz w:val="16"/>
              </w:rPr>
              <w:t>Annually</w:t>
            </w:r>
          </w:p>
        </w:tc>
      </w:tr>
      <w:tr w:rsidR="00286678" w:rsidRPr="002429C5" w:rsidTr="00286678">
        <w:tc>
          <w:tcPr>
            <w:tcW w:w="4038" w:type="dxa"/>
          </w:tcPr>
          <w:p w:rsidR="00286678" w:rsidRPr="002429C5" w:rsidRDefault="00286678" w:rsidP="00910579">
            <w:pPr>
              <w:pStyle w:val="DoNotTranslateExternal1"/>
            </w:pPr>
            <w:r w:rsidRPr="002429C5">
              <w:t xml:space="preserve">5-årligt </w:t>
            </w:r>
            <w:proofErr w:type="spellStart"/>
            <w:r w:rsidRPr="002429C5">
              <w:t>gennemsnit</w:t>
            </w:r>
            <w:proofErr w:type="spellEnd"/>
          </w:p>
        </w:tc>
        <w:tc>
          <w:tcPr>
            <w:tcW w:w="4038" w:type="dxa"/>
          </w:tcPr>
          <w:p w:rsidR="00286678" w:rsidRPr="002429C5" w:rsidRDefault="00286678" w:rsidP="00FA5788">
            <w:pPr>
              <w:pStyle w:val="Billedetekst"/>
              <w:spacing w:line="240" w:lineRule="auto"/>
              <w:rPr>
                <w:i w:val="0"/>
                <w:sz w:val="16"/>
              </w:rPr>
            </w:pPr>
            <w:r w:rsidRPr="002429C5">
              <w:rPr>
                <w:i w:val="0"/>
                <w:sz w:val="16"/>
              </w:rPr>
              <w:t>5-year average</w:t>
            </w:r>
          </w:p>
        </w:tc>
      </w:tr>
    </w:tbl>
    <w:p w:rsidR="00286678" w:rsidRPr="002429C5" w:rsidRDefault="00286678" w:rsidP="00355106">
      <w:pPr>
        <w:pStyle w:val="Billedetekst"/>
      </w:pPr>
    </w:p>
    <w:p w:rsidR="00355106" w:rsidRPr="002429C5" w:rsidRDefault="00355106" w:rsidP="00355106">
      <w:pPr>
        <w:rPr>
          <w:color w:val="FF0000"/>
        </w:rPr>
      </w:pPr>
    </w:p>
    <w:p w:rsidR="00355106" w:rsidRPr="002429C5" w:rsidRDefault="00355106" w:rsidP="00355106">
      <w:pPr>
        <w:rPr>
          <w:color w:val="FF0000"/>
        </w:rPr>
        <w:sectPr w:rsidR="00355106" w:rsidRPr="002429C5" w:rsidSect="00356DD7">
          <w:type w:val="continuous"/>
          <w:pgSz w:w="11906" w:h="16838" w:code="9"/>
          <w:pgMar w:top="1985" w:right="1985" w:bottom="1418" w:left="1985" w:header="709" w:footer="709" w:gutter="0"/>
          <w:cols w:space="709"/>
          <w:titlePg/>
          <w:docGrid w:linePitch="360"/>
        </w:sectPr>
      </w:pPr>
    </w:p>
    <w:p w:rsidR="00923C24" w:rsidRPr="002429C5" w:rsidRDefault="00CC52E7" w:rsidP="00355106">
      <w:r w:rsidRPr="002429C5">
        <w:lastRenderedPageBreak/>
        <w:t xml:space="preserve">In 2014 there were 21 significant accidents (0.24 per million train-km, cf. figure 2). The number of significant accidents is higher than last year, when by comparison there were 14 significant accidents. As can be seen in </w:t>
      </w:r>
      <w:r w:rsidRPr="002429C5">
        <w:lastRenderedPageBreak/>
        <w:t>figure 2 above, the 5-year average</w:t>
      </w:r>
      <w:r w:rsidRPr="002429C5">
        <w:rPr>
          <w:rStyle w:val="FootnoteReference"/>
        </w:rPr>
        <w:footnoteReference w:id="6"/>
      </w:r>
      <w:r w:rsidRPr="002429C5">
        <w:t xml:space="preserve"> is nevertheless relatively stable; even though the number of significant </w:t>
      </w:r>
      <w:r w:rsidRPr="002429C5">
        <w:lastRenderedPageBreak/>
        <w:t>accidents is higher in 2014 than in 2013, the level is the same as in recent years.</w:t>
      </w:r>
    </w:p>
    <w:p w:rsidR="00355106" w:rsidRPr="002429C5" w:rsidRDefault="00355106" w:rsidP="00355106">
      <w:r w:rsidRPr="002429C5">
        <w:t>Railway accidents are described in the following categories: collisions, derailments, accidents at level crossings, collisions with persons, fire and 'other accidents'</w:t>
      </w:r>
      <w:r w:rsidRPr="002429C5">
        <w:rPr>
          <w:rStyle w:val="FootnoteReference"/>
        </w:rPr>
        <w:footnoteReference w:id="7"/>
      </w:r>
      <w:r w:rsidRPr="002429C5">
        <w:t>.</w:t>
      </w:r>
    </w:p>
    <w:p w:rsidR="00355106" w:rsidRPr="002429C5" w:rsidRDefault="00355106" w:rsidP="00355106">
      <w:r w:rsidRPr="002429C5">
        <w:t>There are approximately 300-400 railway accidents a year in Denmark. Fortunately the vast majority of these accidents have few, if any, harmful consequences. For example, a collision between a train and a deer or a train and a shopping trolley that has been left on the rails will only rarely have consequences for either stock or passengers.</w:t>
      </w:r>
    </w:p>
    <w:p w:rsidR="00355106" w:rsidRPr="002429C5" w:rsidRDefault="00355106" w:rsidP="00355106">
      <w:r w:rsidRPr="002429C5">
        <w:t>Most significant accidents on the railways occur when people are on the tracks or on level crossings without permission. Significant accidents of the following types rarely occur: collisions, fire or derailments – which are the accidents with the greatest potential for causing multiple injuries.</w:t>
      </w:r>
    </w:p>
    <w:p w:rsidR="00E34F10" w:rsidRPr="002429C5" w:rsidRDefault="00355106" w:rsidP="00355106">
      <w:r w:rsidRPr="002429C5">
        <w:t>2014 also saw the most collisions involving persons and accidents at level crossings among the significant accidents. However, there was also a derailment that caused such large costs that it is significant, just as there were two accidents involving the traction current that are significant on the basis of the injuries suffered.</w:t>
      </w:r>
    </w:p>
    <w:p w:rsidR="00B824CC" w:rsidRPr="002429C5" w:rsidRDefault="00E34F10" w:rsidP="00355106">
      <w:r w:rsidRPr="002429C5">
        <w:t>As can be seen in figure 3, the rise in the number of significant accidents in 2014 is due primarily to a slight rise in the number of collisions involving persons.</w:t>
      </w:r>
    </w:p>
    <w:p w:rsidR="00910579" w:rsidRPr="002429C5" w:rsidRDefault="00910579" w:rsidP="00355106"/>
    <w:p w:rsidR="00910579" w:rsidRPr="002429C5" w:rsidRDefault="00910579" w:rsidP="00355106">
      <w:pPr>
        <w:sectPr w:rsidR="00910579" w:rsidRPr="002429C5" w:rsidSect="00356DD7">
          <w:type w:val="continuous"/>
          <w:pgSz w:w="11906" w:h="16838" w:code="9"/>
          <w:pgMar w:top="1985" w:right="1985" w:bottom="1418" w:left="1985" w:header="709" w:footer="709" w:gutter="0"/>
          <w:cols w:num="2" w:space="709"/>
          <w:titlePg/>
          <w:docGrid w:linePitch="360"/>
        </w:sectPr>
      </w:pPr>
    </w:p>
    <w:p w:rsidR="00323304" w:rsidRPr="002429C5" w:rsidRDefault="00323304" w:rsidP="00F6270B"/>
    <w:p w:rsidR="00355106" w:rsidRPr="002429C5" w:rsidRDefault="00355106" w:rsidP="00355106">
      <w:pPr>
        <w:pStyle w:val="Billedetitel"/>
        <w:numPr>
          <w:ilvl w:val="0"/>
          <w:numId w:val="0"/>
        </w:numPr>
        <w:ind w:left="360" w:hanging="360"/>
      </w:pPr>
      <w:r w:rsidRPr="002429C5">
        <w:t>Figure 3: Significant accidents broken down by type of accident (per million train-km)</w:t>
      </w:r>
    </w:p>
    <w:p w:rsidR="00EB1B6C" w:rsidRPr="002429C5" w:rsidRDefault="00EB1B6C" w:rsidP="00355106">
      <w:pPr>
        <w:sectPr w:rsidR="00EB1B6C" w:rsidRPr="002429C5" w:rsidSect="00356DD7">
          <w:headerReference w:type="first" r:id="rId21"/>
          <w:type w:val="continuous"/>
          <w:pgSz w:w="11906" w:h="16838" w:code="9"/>
          <w:pgMar w:top="1985" w:right="1985" w:bottom="1418" w:left="1985" w:header="709" w:footer="709" w:gutter="0"/>
          <w:cols w:space="709"/>
          <w:titlePg/>
          <w:docGrid w:linePitch="360"/>
        </w:sectPr>
      </w:pPr>
      <w:r w:rsidRPr="002429C5">
        <w:rPr>
          <w:noProof/>
          <w:lang w:val="fr-LU" w:eastAsia="fr-LU" w:bidi="ar-SA"/>
        </w:rPr>
        <w:drawing>
          <wp:inline distT="0" distB="0" distL="0" distR="0" wp14:anchorId="79CFD838" wp14:editId="35A6C88B">
            <wp:extent cx="5039360" cy="3141201"/>
            <wp:effectExtent l="0" t="0" r="27940" b="21590"/>
            <wp:docPr id="7" name="Diagram 7"/>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rsidR="00355106" w:rsidRPr="002429C5" w:rsidRDefault="00355106" w:rsidP="00F6270B">
      <w:pPr>
        <w:pStyle w:val="Billedetekst"/>
        <w:spacing w:after="60"/>
      </w:pPr>
      <w:r w:rsidRPr="002429C5">
        <w:lastRenderedPageBreak/>
        <w:t>Accident types are given in numbers per million train-km for 2014 and as a 5-year average in the period 2010-2014. Suicides are not included.</w:t>
      </w:r>
    </w:p>
    <w:tbl>
      <w:tblPr>
        <w:tblStyle w:val="TableGrid"/>
        <w:tblW w:w="0" w:type="auto"/>
        <w:tblLook w:val="04A0" w:firstRow="1" w:lastRow="0" w:firstColumn="1" w:lastColumn="0" w:noHBand="0" w:noVBand="1"/>
      </w:tblPr>
      <w:tblGrid>
        <w:gridCol w:w="4038"/>
        <w:gridCol w:w="4038"/>
      </w:tblGrid>
      <w:tr w:rsidR="00F6270B" w:rsidRPr="002429C5" w:rsidTr="00F6270B">
        <w:tc>
          <w:tcPr>
            <w:tcW w:w="4038" w:type="dxa"/>
          </w:tcPr>
          <w:p w:rsidR="00F6270B" w:rsidRPr="002429C5" w:rsidRDefault="00F6270B" w:rsidP="00910579">
            <w:pPr>
              <w:pStyle w:val="DoNotTranslateExternal1"/>
            </w:pPr>
            <w:r w:rsidRPr="002429C5">
              <w:t>DA</w:t>
            </w:r>
          </w:p>
        </w:tc>
        <w:tc>
          <w:tcPr>
            <w:tcW w:w="4038" w:type="dxa"/>
          </w:tcPr>
          <w:p w:rsidR="00F6270B" w:rsidRPr="002429C5" w:rsidRDefault="00F6270B" w:rsidP="00F6270B">
            <w:pPr>
              <w:pStyle w:val="Billedetekst"/>
              <w:spacing w:line="240" w:lineRule="auto"/>
              <w:rPr>
                <w:i w:val="0"/>
                <w:sz w:val="16"/>
              </w:rPr>
            </w:pPr>
            <w:r w:rsidRPr="002429C5">
              <w:rPr>
                <w:i w:val="0"/>
                <w:sz w:val="16"/>
              </w:rPr>
              <w:t>EN</w:t>
            </w:r>
          </w:p>
        </w:tc>
      </w:tr>
      <w:tr w:rsidR="00F6270B" w:rsidRPr="002429C5" w:rsidTr="00F6270B">
        <w:tc>
          <w:tcPr>
            <w:tcW w:w="4038" w:type="dxa"/>
          </w:tcPr>
          <w:p w:rsidR="00F6270B" w:rsidRPr="002429C5" w:rsidRDefault="00F6270B" w:rsidP="00910579">
            <w:pPr>
              <w:pStyle w:val="DoNotTranslateExternal1"/>
            </w:pPr>
            <w:proofErr w:type="spellStart"/>
            <w:r w:rsidRPr="002429C5">
              <w:t>Personpåkørsel</w:t>
            </w:r>
            <w:proofErr w:type="spellEnd"/>
          </w:p>
        </w:tc>
        <w:tc>
          <w:tcPr>
            <w:tcW w:w="4038" w:type="dxa"/>
          </w:tcPr>
          <w:p w:rsidR="00F6270B" w:rsidRPr="002429C5" w:rsidRDefault="00F6270B" w:rsidP="00FA5788">
            <w:pPr>
              <w:pStyle w:val="Billedetekst"/>
              <w:spacing w:line="240" w:lineRule="auto"/>
              <w:rPr>
                <w:i w:val="0"/>
                <w:sz w:val="16"/>
              </w:rPr>
            </w:pPr>
            <w:r w:rsidRPr="002429C5">
              <w:rPr>
                <w:i w:val="0"/>
                <w:sz w:val="16"/>
              </w:rPr>
              <w:t>Collisions involving persons</w:t>
            </w:r>
          </w:p>
        </w:tc>
      </w:tr>
      <w:tr w:rsidR="00F6270B" w:rsidRPr="002429C5" w:rsidTr="00F6270B">
        <w:tc>
          <w:tcPr>
            <w:tcW w:w="4038" w:type="dxa"/>
          </w:tcPr>
          <w:p w:rsidR="00F6270B" w:rsidRPr="002429C5" w:rsidRDefault="00F6270B" w:rsidP="00910579">
            <w:pPr>
              <w:pStyle w:val="DoNotTranslateExternal1"/>
            </w:pPr>
            <w:proofErr w:type="spellStart"/>
            <w:r w:rsidRPr="002429C5">
              <w:t>Ulykke</w:t>
            </w:r>
            <w:proofErr w:type="spellEnd"/>
            <w:r w:rsidRPr="002429C5">
              <w:t xml:space="preserve"> </w:t>
            </w:r>
            <w:proofErr w:type="spellStart"/>
            <w:r w:rsidRPr="002429C5">
              <w:t>i</w:t>
            </w:r>
            <w:proofErr w:type="spellEnd"/>
            <w:r w:rsidRPr="002429C5">
              <w:t xml:space="preserve"> </w:t>
            </w:r>
            <w:proofErr w:type="spellStart"/>
            <w:r w:rsidRPr="002429C5">
              <w:t>overkørsel</w:t>
            </w:r>
            <w:proofErr w:type="spellEnd"/>
          </w:p>
        </w:tc>
        <w:tc>
          <w:tcPr>
            <w:tcW w:w="4038" w:type="dxa"/>
          </w:tcPr>
          <w:p w:rsidR="00F6270B" w:rsidRPr="002429C5" w:rsidRDefault="00F6270B" w:rsidP="00FA5788">
            <w:pPr>
              <w:pStyle w:val="Billedetekst"/>
              <w:spacing w:line="240" w:lineRule="auto"/>
              <w:rPr>
                <w:i w:val="0"/>
                <w:sz w:val="16"/>
              </w:rPr>
            </w:pPr>
            <w:r w:rsidRPr="002429C5">
              <w:rPr>
                <w:i w:val="0"/>
                <w:sz w:val="16"/>
              </w:rPr>
              <w:t>Accidents at level crossings</w:t>
            </w:r>
          </w:p>
        </w:tc>
      </w:tr>
      <w:tr w:rsidR="00F6270B" w:rsidRPr="002429C5" w:rsidTr="00F6270B">
        <w:tc>
          <w:tcPr>
            <w:tcW w:w="4038" w:type="dxa"/>
          </w:tcPr>
          <w:p w:rsidR="00F6270B" w:rsidRPr="002429C5" w:rsidRDefault="00F6270B" w:rsidP="00910579">
            <w:pPr>
              <w:pStyle w:val="DoNotTranslateExternal1"/>
            </w:pPr>
            <w:proofErr w:type="spellStart"/>
            <w:r w:rsidRPr="002429C5">
              <w:t>Anden</w:t>
            </w:r>
            <w:proofErr w:type="spellEnd"/>
            <w:r w:rsidRPr="002429C5">
              <w:t xml:space="preserve"> </w:t>
            </w:r>
            <w:proofErr w:type="spellStart"/>
            <w:r w:rsidRPr="002429C5">
              <w:t>væsentlig</w:t>
            </w:r>
            <w:proofErr w:type="spellEnd"/>
            <w:r w:rsidRPr="002429C5">
              <w:t xml:space="preserve"> </w:t>
            </w:r>
            <w:proofErr w:type="spellStart"/>
            <w:r w:rsidRPr="002429C5">
              <w:t>ulykke</w:t>
            </w:r>
            <w:proofErr w:type="spellEnd"/>
          </w:p>
        </w:tc>
        <w:tc>
          <w:tcPr>
            <w:tcW w:w="4038" w:type="dxa"/>
          </w:tcPr>
          <w:p w:rsidR="00F6270B" w:rsidRPr="002429C5" w:rsidRDefault="00F6270B" w:rsidP="00FA5788">
            <w:pPr>
              <w:pStyle w:val="Billedetekst"/>
              <w:spacing w:line="240" w:lineRule="auto"/>
              <w:rPr>
                <w:i w:val="0"/>
                <w:sz w:val="16"/>
              </w:rPr>
            </w:pPr>
            <w:r w:rsidRPr="002429C5">
              <w:rPr>
                <w:i w:val="0"/>
                <w:sz w:val="16"/>
              </w:rPr>
              <w:t>Other significant accidents</w:t>
            </w:r>
          </w:p>
        </w:tc>
      </w:tr>
      <w:tr w:rsidR="00F6270B" w:rsidRPr="002429C5" w:rsidTr="00F6270B">
        <w:tc>
          <w:tcPr>
            <w:tcW w:w="4038" w:type="dxa"/>
          </w:tcPr>
          <w:p w:rsidR="00F6270B" w:rsidRPr="002429C5" w:rsidRDefault="00F6270B" w:rsidP="00910579">
            <w:pPr>
              <w:pStyle w:val="DoNotTranslateExternal1"/>
            </w:pPr>
            <w:proofErr w:type="spellStart"/>
            <w:r w:rsidRPr="002429C5">
              <w:t>Afsporing</w:t>
            </w:r>
            <w:proofErr w:type="spellEnd"/>
          </w:p>
        </w:tc>
        <w:tc>
          <w:tcPr>
            <w:tcW w:w="4038" w:type="dxa"/>
          </w:tcPr>
          <w:p w:rsidR="00F6270B" w:rsidRPr="002429C5" w:rsidRDefault="00F6270B" w:rsidP="00FA5788">
            <w:pPr>
              <w:pStyle w:val="Billedetekst"/>
              <w:spacing w:line="240" w:lineRule="auto"/>
              <w:rPr>
                <w:i w:val="0"/>
                <w:sz w:val="16"/>
              </w:rPr>
            </w:pPr>
            <w:r w:rsidRPr="002429C5">
              <w:rPr>
                <w:i w:val="0"/>
                <w:sz w:val="16"/>
              </w:rPr>
              <w:t>Derailment</w:t>
            </w:r>
          </w:p>
        </w:tc>
      </w:tr>
      <w:tr w:rsidR="00F6270B" w:rsidRPr="002429C5" w:rsidTr="00F6270B">
        <w:tc>
          <w:tcPr>
            <w:tcW w:w="4038" w:type="dxa"/>
          </w:tcPr>
          <w:p w:rsidR="00F6270B" w:rsidRPr="002429C5" w:rsidRDefault="00F6270B" w:rsidP="00910579">
            <w:pPr>
              <w:pStyle w:val="DoNotTranslateExternal1"/>
            </w:pPr>
            <w:r w:rsidRPr="002429C5">
              <w:t>Brand</w:t>
            </w:r>
          </w:p>
        </w:tc>
        <w:tc>
          <w:tcPr>
            <w:tcW w:w="4038" w:type="dxa"/>
          </w:tcPr>
          <w:p w:rsidR="00F6270B" w:rsidRPr="002429C5" w:rsidRDefault="00F6270B" w:rsidP="00FA5788">
            <w:pPr>
              <w:pStyle w:val="Billedetekst"/>
              <w:spacing w:line="240" w:lineRule="auto"/>
              <w:rPr>
                <w:i w:val="0"/>
                <w:sz w:val="16"/>
              </w:rPr>
            </w:pPr>
            <w:r w:rsidRPr="002429C5">
              <w:rPr>
                <w:i w:val="0"/>
                <w:sz w:val="16"/>
              </w:rPr>
              <w:t>Fire</w:t>
            </w:r>
          </w:p>
        </w:tc>
      </w:tr>
      <w:tr w:rsidR="00F6270B" w:rsidRPr="002429C5" w:rsidTr="00F6270B">
        <w:tc>
          <w:tcPr>
            <w:tcW w:w="4038" w:type="dxa"/>
          </w:tcPr>
          <w:p w:rsidR="00F6270B" w:rsidRPr="002429C5" w:rsidRDefault="00F6270B" w:rsidP="00910579">
            <w:pPr>
              <w:pStyle w:val="DoNotTranslateExternal1"/>
            </w:pPr>
            <w:proofErr w:type="spellStart"/>
            <w:r w:rsidRPr="002429C5">
              <w:t>Kollision</w:t>
            </w:r>
            <w:proofErr w:type="spellEnd"/>
          </w:p>
        </w:tc>
        <w:tc>
          <w:tcPr>
            <w:tcW w:w="4038" w:type="dxa"/>
          </w:tcPr>
          <w:p w:rsidR="00F6270B" w:rsidRPr="002429C5" w:rsidRDefault="00F6270B" w:rsidP="00FA5788">
            <w:pPr>
              <w:pStyle w:val="Billedetekst"/>
              <w:spacing w:line="240" w:lineRule="auto"/>
              <w:rPr>
                <w:i w:val="0"/>
                <w:sz w:val="16"/>
              </w:rPr>
            </w:pPr>
            <w:r w:rsidRPr="002429C5">
              <w:rPr>
                <w:i w:val="0"/>
                <w:sz w:val="16"/>
              </w:rPr>
              <w:t>Collision</w:t>
            </w:r>
          </w:p>
        </w:tc>
      </w:tr>
      <w:tr w:rsidR="00F6270B" w:rsidRPr="002429C5" w:rsidTr="00F6270B">
        <w:tc>
          <w:tcPr>
            <w:tcW w:w="4038" w:type="dxa"/>
          </w:tcPr>
          <w:p w:rsidR="00F6270B" w:rsidRPr="002429C5" w:rsidRDefault="00F6270B" w:rsidP="00910579">
            <w:pPr>
              <w:pStyle w:val="DoNotTranslateExternal1"/>
            </w:pPr>
            <w:r w:rsidRPr="002429C5">
              <w:t xml:space="preserve">5-årigt </w:t>
            </w:r>
            <w:proofErr w:type="spellStart"/>
            <w:r w:rsidRPr="002429C5">
              <w:t>gennemsnit</w:t>
            </w:r>
            <w:proofErr w:type="spellEnd"/>
          </w:p>
        </w:tc>
        <w:tc>
          <w:tcPr>
            <w:tcW w:w="4038" w:type="dxa"/>
          </w:tcPr>
          <w:p w:rsidR="00F6270B" w:rsidRPr="002429C5" w:rsidRDefault="00F6270B" w:rsidP="00FA5788">
            <w:pPr>
              <w:pStyle w:val="Billedetekst"/>
              <w:spacing w:line="240" w:lineRule="auto"/>
              <w:rPr>
                <w:i w:val="0"/>
                <w:sz w:val="16"/>
              </w:rPr>
            </w:pPr>
            <w:r w:rsidRPr="002429C5">
              <w:rPr>
                <w:i w:val="0"/>
                <w:sz w:val="16"/>
              </w:rPr>
              <w:t>5-year average</w:t>
            </w:r>
          </w:p>
        </w:tc>
      </w:tr>
    </w:tbl>
    <w:p w:rsidR="00F6270B" w:rsidRPr="002429C5" w:rsidRDefault="00F6270B" w:rsidP="00355106">
      <w:pPr>
        <w:pStyle w:val="Billedetekst"/>
      </w:pPr>
    </w:p>
    <w:p w:rsidR="00355106" w:rsidRPr="002429C5" w:rsidRDefault="00355106" w:rsidP="00355106"/>
    <w:p w:rsidR="00355106" w:rsidRPr="002429C5" w:rsidRDefault="00355106" w:rsidP="00355106">
      <w:pPr>
        <w:sectPr w:rsidR="00355106" w:rsidRPr="002429C5" w:rsidSect="00356DD7">
          <w:type w:val="continuous"/>
          <w:pgSz w:w="11906" w:h="16838" w:code="9"/>
          <w:pgMar w:top="1985" w:right="1985" w:bottom="1418" w:left="1985" w:header="709" w:footer="709" w:gutter="0"/>
          <w:cols w:space="709"/>
          <w:titlePg/>
          <w:docGrid w:linePitch="360"/>
        </w:sectPr>
      </w:pPr>
    </w:p>
    <w:p w:rsidR="00355106" w:rsidRPr="002429C5" w:rsidRDefault="00355106" w:rsidP="00355106">
      <w:pPr>
        <w:pStyle w:val="Heading2"/>
      </w:pPr>
      <w:bookmarkStart w:id="6" w:name="_Toc441733513"/>
      <w:r w:rsidRPr="002429C5">
        <w:lastRenderedPageBreak/>
        <w:t>Safety target for the railways – met for 2014</w:t>
      </w:r>
      <w:bookmarkEnd w:id="6"/>
    </w:p>
    <w:p w:rsidR="00B824CC" w:rsidRPr="002429C5" w:rsidRDefault="00355106" w:rsidP="00355106">
      <w:r w:rsidRPr="002429C5">
        <w:t xml:space="preserve">While </w:t>
      </w:r>
      <w:r w:rsidRPr="002429C5">
        <w:rPr>
          <w:i/>
        </w:rPr>
        <w:t>significant accidents</w:t>
      </w:r>
      <w:r w:rsidRPr="002429C5">
        <w:t xml:space="preserve"> designate accidents with major consequences, </w:t>
      </w:r>
      <w:r w:rsidRPr="002429C5">
        <w:rPr>
          <w:i/>
        </w:rPr>
        <w:t>significant accidents involving persons</w:t>
      </w:r>
      <w:r w:rsidRPr="002429C5">
        <w:t xml:space="preserve"> designate accidents involving serious personal injury.</w:t>
      </w:r>
    </w:p>
    <w:p w:rsidR="00B824CC" w:rsidRPr="002429C5" w:rsidRDefault="009053DB" w:rsidP="00355106">
      <w:r w:rsidRPr="002429C5">
        <w:t xml:space="preserve">The accidents are weighted according to the consequences. For example, significant accidents involving persons are a weighted total of the number of persons killed (weighted 1/1) and </w:t>
      </w:r>
      <w:r w:rsidRPr="002429C5">
        <w:lastRenderedPageBreak/>
        <w:t>seriously injured (weighted 1/10) over the year on the railways</w:t>
      </w:r>
      <w:r w:rsidRPr="002429C5">
        <w:rPr>
          <w:rStyle w:val="FootnoteReference"/>
        </w:rPr>
        <w:footnoteReference w:id="8"/>
      </w:r>
      <w:r w:rsidRPr="002429C5">
        <w:t>.</w:t>
      </w:r>
    </w:p>
    <w:p w:rsidR="006F502B" w:rsidRPr="002429C5" w:rsidRDefault="006F502B" w:rsidP="006F502B">
      <w:r w:rsidRPr="002429C5">
        <w:t>The Danish safety target is that the number of significant accidents involving persons on the railways in Denmark should be less than 0.3 per million train-km in relation to the 5-year average.</w:t>
      </w:r>
      <w:r w:rsidRPr="002429C5">
        <w:rPr>
          <w:rStyle w:val="FootnoteReference"/>
        </w:rPr>
        <w:footnoteReference w:id="9"/>
      </w:r>
      <w:r w:rsidRPr="002429C5">
        <w:t xml:space="preserve"> This is established in </w:t>
      </w:r>
      <w:r w:rsidRPr="002429C5">
        <w:lastRenderedPageBreak/>
        <w:t>relation to serious accidents involving persons, in other words based on the number of deaths and serious injuries.</w:t>
      </w:r>
    </w:p>
    <w:p w:rsidR="00355106" w:rsidRPr="002429C5" w:rsidRDefault="00355106" w:rsidP="00355106">
      <w:r w:rsidRPr="002429C5">
        <w:t>Compliance with the safety target is assessed on the basis of changes in the number of significant accidents involving persons for all railway lines in Denmark.</w:t>
      </w:r>
    </w:p>
    <w:p w:rsidR="00B824CC" w:rsidRPr="002429C5" w:rsidRDefault="00355106" w:rsidP="00355106">
      <w:r w:rsidRPr="002429C5">
        <w:t>Significant accidents involving persons are given as a 5-year average and scaled up to train-km travelled. Figure 4 below shows that the 5-year average has been stable and low in the last four years.</w:t>
      </w:r>
    </w:p>
    <w:p w:rsidR="00355106" w:rsidRPr="002429C5" w:rsidRDefault="00355106" w:rsidP="00355106">
      <w:r w:rsidRPr="002429C5">
        <w:t>The number of significant accidents involving persons in the period 2010</w:t>
      </w:r>
      <w:r w:rsidRPr="002429C5">
        <w:noBreakHyphen/>
        <w:t>2014 (5-year average for the period) was 0.13 per million train-km. This was on a par with previous years, and also below the national safety target of 0.3 significant accidents per million train</w:t>
      </w:r>
      <w:r w:rsidRPr="002429C5">
        <w:noBreakHyphen/>
        <w:t>km.</w:t>
      </w:r>
    </w:p>
    <w:p w:rsidR="00F6270B" w:rsidRPr="002429C5" w:rsidRDefault="00F6270B" w:rsidP="00355106"/>
    <w:p w:rsidR="00355106" w:rsidRPr="002429C5" w:rsidRDefault="00355106" w:rsidP="00355106">
      <w:pPr>
        <w:sectPr w:rsidR="00355106" w:rsidRPr="002429C5" w:rsidSect="00356DD7">
          <w:type w:val="continuous"/>
          <w:pgSz w:w="11906" w:h="16838" w:code="9"/>
          <w:pgMar w:top="1985" w:right="1985" w:bottom="1418" w:left="1985" w:header="709" w:footer="709" w:gutter="0"/>
          <w:cols w:num="2" w:space="709"/>
          <w:titlePg/>
          <w:docGrid w:linePitch="360"/>
        </w:sectPr>
      </w:pPr>
    </w:p>
    <w:p w:rsidR="00355106" w:rsidRPr="002429C5" w:rsidRDefault="00802372" w:rsidP="00F82AF0">
      <w:pPr>
        <w:pStyle w:val="Billedetitel"/>
        <w:numPr>
          <w:ilvl w:val="0"/>
          <w:numId w:val="0"/>
        </w:numPr>
        <w:spacing w:after="120"/>
      </w:pPr>
      <w:r w:rsidRPr="002429C5">
        <w:lastRenderedPageBreak/>
        <w:t>Figure 4: Significant accidents involving persons 1999-2014 (deaths/injuries per million train</w:t>
      </w:r>
      <w:r w:rsidRPr="002429C5">
        <w:noBreakHyphen/>
        <w:t xml:space="preserve">km). </w:t>
      </w:r>
      <w:r w:rsidRPr="002429C5">
        <w:br/>
        <w:t>The red line indicates the Danish safety target.</w:t>
      </w:r>
    </w:p>
    <w:p w:rsidR="00355106" w:rsidRPr="002429C5" w:rsidRDefault="000860DA" w:rsidP="00355106">
      <w:pPr>
        <w:rPr>
          <w:i/>
          <w:iCs/>
          <w:sz w:val="16"/>
        </w:rPr>
      </w:pPr>
      <w:r w:rsidRPr="002429C5">
        <w:rPr>
          <w:noProof/>
          <w:lang w:val="fr-LU" w:eastAsia="fr-LU" w:bidi="ar-SA"/>
        </w:rPr>
        <w:drawing>
          <wp:inline distT="0" distB="0" distL="0" distR="0" wp14:anchorId="25894433" wp14:editId="1E0A118D">
            <wp:extent cx="5039360" cy="3141201"/>
            <wp:effectExtent l="0" t="0" r="27940" b="21590"/>
            <wp:docPr id="11" name="Diagram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r w:rsidRPr="002429C5">
        <w:rPr>
          <w:sz w:val="14"/>
        </w:rPr>
        <w:t>'</w:t>
      </w:r>
      <w:r w:rsidRPr="002429C5">
        <w:rPr>
          <w:i/>
          <w:sz w:val="14"/>
        </w:rPr>
        <w:t>Significant accidents involving persons' are a weighted total of the number of persons killed (weighted 1/1) and seriously injured (weighted 1/10). The statistics cover all groups of persons. The red line marks the Danish safety target</w:t>
      </w:r>
      <w:r w:rsidRPr="002429C5">
        <w:rPr>
          <w:i/>
          <w:sz w:val="16"/>
        </w:rPr>
        <w:t>.</w:t>
      </w:r>
    </w:p>
    <w:tbl>
      <w:tblPr>
        <w:tblStyle w:val="TableGrid"/>
        <w:tblW w:w="0" w:type="auto"/>
        <w:tblLook w:val="04A0" w:firstRow="1" w:lastRow="0" w:firstColumn="1" w:lastColumn="0" w:noHBand="0" w:noVBand="1"/>
      </w:tblPr>
      <w:tblGrid>
        <w:gridCol w:w="4038"/>
        <w:gridCol w:w="4038"/>
      </w:tblGrid>
      <w:tr w:rsidR="006948A4" w:rsidRPr="002429C5" w:rsidTr="006948A4">
        <w:tc>
          <w:tcPr>
            <w:tcW w:w="4038" w:type="dxa"/>
          </w:tcPr>
          <w:p w:rsidR="006948A4" w:rsidRPr="002429C5" w:rsidRDefault="006948A4" w:rsidP="00B824CC">
            <w:pPr>
              <w:pStyle w:val="DoNotTranslateExternal1"/>
            </w:pPr>
            <w:r w:rsidRPr="002429C5">
              <w:t>DA</w:t>
            </w:r>
          </w:p>
        </w:tc>
        <w:tc>
          <w:tcPr>
            <w:tcW w:w="4038" w:type="dxa"/>
          </w:tcPr>
          <w:p w:rsidR="006948A4" w:rsidRPr="002429C5" w:rsidRDefault="006948A4" w:rsidP="006948A4">
            <w:pPr>
              <w:spacing w:after="0"/>
              <w:rPr>
                <w:iCs/>
                <w:sz w:val="16"/>
              </w:rPr>
            </w:pPr>
            <w:r w:rsidRPr="002429C5">
              <w:rPr>
                <w:sz w:val="16"/>
              </w:rPr>
              <w:t>EN</w:t>
            </w:r>
          </w:p>
        </w:tc>
      </w:tr>
      <w:tr w:rsidR="006948A4" w:rsidRPr="002429C5" w:rsidTr="006948A4">
        <w:tc>
          <w:tcPr>
            <w:tcW w:w="4038" w:type="dxa"/>
          </w:tcPr>
          <w:p w:rsidR="006948A4" w:rsidRPr="002429C5" w:rsidRDefault="006948A4" w:rsidP="00B824CC">
            <w:pPr>
              <w:pStyle w:val="DoNotTranslateExternal1"/>
            </w:pPr>
            <w:proofErr w:type="spellStart"/>
            <w:r w:rsidRPr="002429C5">
              <w:t>Årligt</w:t>
            </w:r>
            <w:proofErr w:type="spellEnd"/>
          </w:p>
        </w:tc>
        <w:tc>
          <w:tcPr>
            <w:tcW w:w="4038" w:type="dxa"/>
          </w:tcPr>
          <w:p w:rsidR="006948A4" w:rsidRPr="002429C5" w:rsidRDefault="006948A4" w:rsidP="00FA5788">
            <w:pPr>
              <w:spacing w:after="0"/>
              <w:rPr>
                <w:iCs/>
                <w:sz w:val="16"/>
              </w:rPr>
            </w:pPr>
            <w:r w:rsidRPr="002429C5">
              <w:rPr>
                <w:sz w:val="16"/>
              </w:rPr>
              <w:t>Annually</w:t>
            </w:r>
          </w:p>
        </w:tc>
      </w:tr>
      <w:tr w:rsidR="006948A4" w:rsidRPr="002429C5" w:rsidTr="006948A4">
        <w:tc>
          <w:tcPr>
            <w:tcW w:w="4038" w:type="dxa"/>
          </w:tcPr>
          <w:p w:rsidR="006948A4" w:rsidRPr="002429C5" w:rsidRDefault="006948A4" w:rsidP="00B824CC">
            <w:pPr>
              <w:pStyle w:val="DoNotTranslateExternal1"/>
            </w:pPr>
            <w:r w:rsidRPr="002429C5">
              <w:t xml:space="preserve">5-årligt </w:t>
            </w:r>
            <w:proofErr w:type="spellStart"/>
            <w:r w:rsidRPr="002429C5">
              <w:t>gennemsnit</w:t>
            </w:r>
            <w:proofErr w:type="spellEnd"/>
          </w:p>
        </w:tc>
        <w:tc>
          <w:tcPr>
            <w:tcW w:w="4038" w:type="dxa"/>
          </w:tcPr>
          <w:p w:rsidR="006948A4" w:rsidRPr="002429C5" w:rsidRDefault="006948A4" w:rsidP="00FA5788">
            <w:pPr>
              <w:spacing w:after="0"/>
              <w:rPr>
                <w:iCs/>
                <w:sz w:val="16"/>
              </w:rPr>
            </w:pPr>
            <w:r w:rsidRPr="002429C5">
              <w:rPr>
                <w:sz w:val="16"/>
              </w:rPr>
              <w:t>5-year average</w:t>
            </w:r>
          </w:p>
        </w:tc>
      </w:tr>
    </w:tbl>
    <w:p w:rsidR="00F82AF0" w:rsidRPr="002429C5" w:rsidRDefault="00F82AF0" w:rsidP="00355106">
      <w:pPr>
        <w:rPr>
          <w:i/>
          <w:iCs/>
          <w:sz w:val="16"/>
        </w:rPr>
      </w:pPr>
    </w:p>
    <w:p w:rsidR="00F82AF0" w:rsidRPr="002429C5" w:rsidRDefault="00F82AF0" w:rsidP="00355106"/>
    <w:p w:rsidR="00355106" w:rsidRPr="002429C5" w:rsidRDefault="00355106" w:rsidP="00355106">
      <w:pPr>
        <w:sectPr w:rsidR="00355106" w:rsidRPr="002429C5" w:rsidSect="00356DD7">
          <w:type w:val="continuous"/>
          <w:pgSz w:w="11906" w:h="16838" w:code="9"/>
          <w:pgMar w:top="1985" w:right="1985" w:bottom="1418" w:left="1985" w:header="709" w:footer="709" w:gutter="0"/>
          <w:cols w:space="709"/>
          <w:titlePg/>
          <w:docGrid w:linePitch="360"/>
        </w:sectPr>
      </w:pPr>
    </w:p>
    <w:p w:rsidR="00355106" w:rsidRPr="002429C5" w:rsidRDefault="00355106" w:rsidP="00355106">
      <w:pPr>
        <w:rPr>
          <w:b/>
        </w:rPr>
      </w:pPr>
      <w:r w:rsidRPr="002429C5">
        <w:rPr>
          <w:b/>
        </w:rPr>
        <w:lastRenderedPageBreak/>
        <w:t>Breakdown of accidents involving persons - most collisions involving persons</w:t>
      </w:r>
    </w:p>
    <w:p w:rsidR="001368AB" w:rsidRPr="002429C5" w:rsidRDefault="00355106" w:rsidP="001368AB">
      <w:r w:rsidRPr="002429C5">
        <w:t>The number of accidents involving persons in 2014 is greater than the number for the previous year. This is due to the fact that the number of collisions involving persons rose from six in 2013 to 13 in 2014. See table 1 below.</w:t>
      </w:r>
    </w:p>
    <w:p w:rsidR="00355106" w:rsidRPr="002429C5" w:rsidRDefault="00355106" w:rsidP="00355106">
      <w:r w:rsidRPr="002429C5">
        <w:t>The groups of persons most vulnerable to railway accidents are, first, those on railway property without permission. These are followed by users of level crossings. Employees and passengers are very rarely seriously injured in railway accidents.</w:t>
      </w:r>
    </w:p>
    <w:p w:rsidR="00355106" w:rsidRPr="002429C5" w:rsidRDefault="00355106" w:rsidP="00355106">
      <w:r w:rsidRPr="002429C5">
        <w:t xml:space="preserve">In 2014, however, there was one accident in which a passenger was seriously injured. It involved a woman </w:t>
      </w:r>
      <w:r w:rsidRPr="002429C5">
        <w:lastRenderedPageBreak/>
        <w:t>who fell from the train as it was braking.</w:t>
      </w:r>
    </w:p>
    <w:p w:rsidR="00355106" w:rsidRPr="002429C5" w:rsidRDefault="00355106" w:rsidP="00B55419">
      <w:r w:rsidRPr="002429C5">
        <w:t>In all, there were 20 accidents involving death or serious injury in 2014. This covers five accidents at level crossings, 13 collisions involving persons and two ’other accidents’.</w:t>
      </w:r>
    </w:p>
    <w:p w:rsidR="006027FE" w:rsidRPr="002429C5" w:rsidRDefault="00355106" w:rsidP="009C7C16">
      <w:r w:rsidRPr="002429C5">
        <w:t>Most of the accidents were solo accidents, in which a single person was killed or seriously injured. There was only one accident in which two people were killed. This was an accident at a level crossing, in which there were two people in the car.</w:t>
      </w:r>
    </w:p>
    <w:p w:rsidR="00DA285E" w:rsidRPr="002429C5" w:rsidRDefault="00DA285E" w:rsidP="006027FE">
      <w:pPr>
        <w:pStyle w:val="Heading3"/>
      </w:pPr>
      <w:bookmarkStart w:id="7" w:name="_Toc441733514"/>
      <w:r w:rsidRPr="002429C5">
        <w:t>Deaths and injuries broken down by groups of persons</w:t>
      </w:r>
      <w:bookmarkEnd w:id="7"/>
    </w:p>
    <w:p w:rsidR="00F82AF0" w:rsidRPr="002429C5" w:rsidRDefault="00F82AF0" w:rsidP="00F82AF0">
      <w:pPr>
        <w:spacing w:after="0"/>
      </w:pPr>
    </w:p>
    <w:p w:rsidR="00B824CC" w:rsidRPr="002429C5" w:rsidRDefault="00DA285E" w:rsidP="00DA285E">
      <w:r w:rsidRPr="002429C5">
        <w:t>In 2014, 14 people were killed in railway accidents, while seven people were seriously injured.</w:t>
      </w:r>
    </w:p>
    <w:p w:rsidR="00DA285E" w:rsidRPr="002429C5" w:rsidRDefault="00DA285E" w:rsidP="00DA285E">
      <w:r w:rsidRPr="002429C5">
        <w:lastRenderedPageBreak/>
        <w:t>Out of the 14 people who were killed in railway accidents in 2014, six were level-crossing users, one was covered by the category ‘other persons’, while the remaining seven people were on railway property without permission.</w:t>
      </w:r>
    </w:p>
    <w:p w:rsidR="006027FE" w:rsidRPr="002429C5" w:rsidRDefault="00DA285E" w:rsidP="00DA285E">
      <w:r w:rsidRPr="002429C5">
        <w:lastRenderedPageBreak/>
        <w:t>Of the seven people who were seriously injured in a railway accident in 2014, one was a passenger, one was ‘other’, while five people were on railway property without permission.</w:t>
      </w:r>
    </w:p>
    <w:p w:rsidR="006027FE" w:rsidRPr="002429C5" w:rsidRDefault="006027FE" w:rsidP="00DA285E">
      <w:pPr>
        <w:rPr>
          <w:i/>
          <w:iCs/>
          <w:sz w:val="16"/>
        </w:rPr>
      </w:pPr>
    </w:p>
    <w:p w:rsidR="006027FE" w:rsidRPr="002429C5" w:rsidRDefault="006027FE" w:rsidP="00DA285E">
      <w:pPr>
        <w:rPr>
          <w:i/>
          <w:iCs/>
          <w:sz w:val="16"/>
        </w:rPr>
        <w:sectPr w:rsidR="006027FE" w:rsidRPr="002429C5" w:rsidSect="00356DD7">
          <w:headerReference w:type="default" r:id="rId24"/>
          <w:type w:val="continuous"/>
          <w:pgSz w:w="11906" w:h="16838" w:code="9"/>
          <w:pgMar w:top="1985" w:right="1985" w:bottom="1418" w:left="1985" w:header="709" w:footer="709" w:gutter="0"/>
          <w:cols w:num="2" w:space="709"/>
          <w:titlePg/>
          <w:docGrid w:linePitch="360"/>
        </w:sectPr>
      </w:pPr>
    </w:p>
    <w:p w:rsidR="0079395B" w:rsidRPr="002429C5" w:rsidRDefault="0079395B" w:rsidP="00DA285E">
      <w:pPr>
        <w:rPr>
          <w:i/>
          <w:iCs/>
          <w:sz w:val="16"/>
        </w:rPr>
      </w:pPr>
    </w:p>
    <w:p w:rsidR="00DA285E" w:rsidRPr="002429C5" w:rsidRDefault="00DA285E" w:rsidP="006948A4">
      <w:pPr>
        <w:keepNext/>
        <w:rPr>
          <w:i/>
          <w:iCs/>
          <w:sz w:val="16"/>
        </w:rPr>
      </w:pPr>
      <w:r w:rsidRPr="002429C5">
        <w:rPr>
          <w:i/>
          <w:sz w:val="16"/>
        </w:rPr>
        <w:t>Table 1: Breakdown of accidents in 2014 involving death or serious injury according to group of persons and type of accident</w:t>
      </w:r>
      <w:r w:rsidRPr="002429C5">
        <w:rPr>
          <w:i/>
          <w:sz w:val="16"/>
          <w:vertAlign w:val="superscript"/>
        </w:rPr>
        <w:footnoteReference w:id="10"/>
      </w:r>
      <w:r w:rsidRPr="002429C5">
        <w:rPr>
          <w:i/>
          <w:sz w:val="16"/>
        </w:rPr>
        <w:t>.</w:t>
      </w:r>
    </w:p>
    <w:tbl>
      <w:tblPr>
        <w:tblStyle w:val="TableGrid"/>
        <w:tblW w:w="8484" w:type="dxa"/>
        <w:tblLook w:val="04A0" w:firstRow="1" w:lastRow="0" w:firstColumn="1" w:lastColumn="0" w:noHBand="0" w:noVBand="1"/>
      </w:tblPr>
      <w:tblGrid>
        <w:gridCol w:w="1697"/>
        <w:gridCol w:w="613"/>
        <w:gridCol w:w="614"/>
        <w:gridCol w:w="584"/>
        <w:gridCol w:w="584"/>
        <w:gridCol w:w="593"/>
        <w:gridCol w:w="593"/>
        <w:gridCol w:w="689"/>
        <w:gridCol w:w="689"/>
        <w:gridCol w:w="541"/>
        <w:gridCol w:w="541"/>
        <w:gridCol w:w="541"/>
        <w:gridCol w:w="541"/>
      </w:tblGrid>
      <w:tr w:rsidR="00DA285E" w:rsidRPr="002429C5" w:rsidTr="006948A4">
        <w:tc>
          <w:tcPr>
            <w:tcW w:w="1697" w:type="dxa"/>
            <w:shd w:val="clear" w:color="auto" w:fill="D9D9D9" w:themeFill="background1" w:themeFillShade="D9"/>
            <w:noWrap/>
            <w:hideMark/>
          </w:tcPr>
          <w:p w:rsidR="00DA285E" w:rsidRPr="002429C5" w:rsidRDefault="00DA285E" w:rsidP="00B824CC">
            <w:pPr>
              <w:keepNext/>
              <w:tabs>
                <w:tab w:val="center" w:pos="740"/>
              </w:tabs>
              <w:spacing w:after="0"/>
              <w:rPr>
                <w:rFonts w:ascii="Arial" w:hAnsi="Arial" w:cs="Arial"/>
                <w:b/>
                <w:bCs/>
              </w:rPr>
            </w:pPr>
          </w:p>
          <w:p w:rsidR="00DA285E" w:rsidRPr="002429C5" w:rsidRDefault="00DA285E" w:rsidP="00B824CC">
            <w:pPr>
              <w:keepNext/>
              <w:spacing w:after="0"/>
              <w:rPr>
                <w:rFonts w:ascii="Arial" w:hAnsi="Arial" w:cs="Arial"/>
                <w:b/>
                <w:bCs/>
              </w:rPr>
            </w:pPr>
          </w:p>
        </w:tc>
        <w:tc>
          <w:tcPr>
            <w:tcW w:w="1163" w:type="dxa"/>
            <w:gridSpan w:val="2"/>
            <w:shd w:val="clear" w:color="auto" w:fill="D9D9D9" w:themeFill="background1" w:themeFillShade="D9"/>
            <w:hideMark/>
          </w:tcPr>
          <w:p w:rsidR="00DA285E" w:rsidRPr="002429C5" w:rsidRDefault="00DA285E" w:rsidP="00B824CC">
            <w:pPr>
              <w:keepNext/>
              <w:spacing w:after="0"/>
              <w:jc w:val="center"/>
              <w:rPr>
                <w:rFonts w:ascii="Arial" w:hAnsi="Arial" w:cs="Arial"/>
                <w:b/>
                <w:bCs/>
              </w:rPr>
            </w:pPr>
            <w:r w:rsidRPr="002429C5">
              <w:rPr>
                <w:rFonts w:ascii="Arial" w:hAnsi="Arial"/>
                <w:b/>
              </w:rPr>
              <w:t>Passengers</w:t>
            </w:r>
          </w:p>
        </w:tc>
        <w:tc>
          <w:tcPr>
            <w:tcW w:w="1158" w:type="dxa"/>
            <w:gridSpan w:val="2"/>
            <w:shd w:val="clear" w:color="auto" w:fill="D9D9D9" w:themeFill="background1" w:themeFillShade="D9"/>
            <w:hideMark/>
          </w:tcPr>
          <w:p w:rsidR="00DA285E" w:rsidRPr="002429C5" w:rsidRDefault="00DA285E" w:rsidP="00B824CC">
            <w:pPr>
              <w:keepNext/>
              <w:spacing w:after="0"/>
              <w:jc w:val="center"/>
              <w:rPr>
                <w:rFonts w:ascii="Arial" w:hAnsi="Arial" w:cs="Arial"/>
                <w:b/>
                <w:bCs/>
              </w:rPr>
            </w:pPr>
            <w:r w:rsidRPr="002429C5">
              <w:rPr>
                <w:rFonts w:ascii="Arial" w:hAnsi="Arial"/>
                <w:b/>
              </w:rPr>
              <w:t>Employees</w:t>
            </w:r>
          </w:p>
        </w:tc>
        <w:tc>
          <w:tcPr>
            <w:tcW w:w="1186" w:type="dxa"/>
            <w:gridSpan w:val="2"/>
            <w:shd w:val="clear" w:color="auto" w:fill="D9D9D9" w:themeFill="background1" w:themeFillShade="D9"/>
            <w:hideMark/>
          </w:tcPr>
          <w:p w:rsidR="00DA285E" w:rsidRPr="002429C5" w:rsidRDefault="00DA285E" w:rsidP="00B824CC">
            <w:pPr>
              <w:keepNext/>
              <w:spacing w:after="0"/>
              <w:jc w:val="center"/>
              <w:rPr>
                <w:rFonts w:ascii="Arial" w:hAnsi="Arial" w:cs="Arial"/>
                <w:b/>
                <w:bCs/>
              </w:rPr>
            </w:pPr>
            <w:r w:rsidRPr="002429C5">
              <w:rPr>
                <w:rFonts w:ascii="Arial" w:hAnsi="Arial"/>
                <w:b/>
              </w:rPr>
              <w:t>Level-crossing users</w:t>
            </w:r>
          </w:p>
          <w:p w:rsidR="006948A4" w:rsidRPr="002429C5" w:rsidRDefault="006948A4" w:rsidP="00B824CC">
            <w:pPr>
              <w:keepNext/>
              <w:spacing w:after="0"/>
              <w:jc w:val="center"/>
              <w:rPr>
                <w:rFonts w:ascii="Arial" w:hAnsi="Arial" w:cs="Arial"/>
                <w:b/>
                <w:bCs/>
              </w:rPr>
            </w:pPr>
          </w:p>
        </w:tc>
        <w:tc>
          <w:tcPr>
            <w:tcW w:w="1116" w:type="dxa"/>
            <w:gridSpan w:val="2"/>
            <w:shd w:val="clear" w:color="auto" w:fill="D9D9D9" w:themeFill="background1" w:themeFillShade="D9"/>
            <w:hideMark/>
          </w:tcPr>
          <w:p w:rsidR="00DA285E" w:rsidRPr="002429C5" w:rsidRDefault="00DA285E" w:rsidP="00B824CC">
            <w:pPr>
              <w:keepNext/>
              <w:spacing w:after="0"/>
              <w:jc w:val="center"/>
              <w:rPr>
                <w:rFonts w:ascii="Arial" w:hAnsi="Arial" w:cs="Arial"/>
                <w:b/>
                <w:bCs/>
              </w:rPr>
            </w:pPr>
            <w:r w:rsidRPr="002429C5">
              <w:rPr>
                <w:rFonts w:ascii="Arial" w:hAnsi="Arial"/>
                <w:b/>
              </w:rPr>
              <w:t>Unauthorised</w:t>
            </w:r>
          </w:p>
        </w:tc>
        <w:tc>
          <w:tcPr>
            <w:tcW w:w="1082" w:type="dxa"/>
            <w:gridSpan w:val="2"/>
            <w:tcBorders>
              <w:right w:val="single" w:sz="6" w:space="0" w:color="auto"/>
            </w:tcBorders>
            <w:shd w:val="clear" w:color="auto" w:fill="D9D9D9" w:themeFill="background1" w:themeFillShade="D9"/>
            <w:hideMark/>
          </w:tcPr>
          <w:p w:rsidR="00DA285E" w:rsidRPr="002429C5" w:rsidRDefault="00DA285E" w:rsidP="00B824CC">
            <w:pPr>
              <w:keepNext/>
              <w:spacing w:after="0"/>
              <w:jc w:val="center"/>
              <w:rPr>
                <w:rFonts w:ascii="Arial" w:hAnsi="Arial" w:cs="Arial"/>
                <w:b/>
                <w:bCs/>
              </w:rPr>
            </w:pPr>
            <w:r w:rsidRPr="002429C5">
              <w:rPr>
                <w:rFonts w:ascii="Arial" w:hAnsi="Arial"/>
                <w:b/>
              </w:rPr>
              <w:t>Other</w:t>
            </w:r>
          </w:p>
        </w:tc>
        <w:tc>
          <w:tcPr>
            <w:tcW w:w="1082" w:type="dxa"/>
            <w:gridSpan w:val="2"/>
            <w:tcBorders>
              <w:top w:val="single" w:sz="6" w:space="0" w:color="auto"/>
              <w:left w:val="single" w:sz="6" w:space="0" w:color="auto"/>
              <w:right w:val="single" w:sz="6" w:space="0" w:color="auto"/>
            </w:tcBorders>
            <w:shd w:val="clear" w:color="auto" w:fill="D9D9D9" w:themeFill="background1" w:themeFillShade="D9"/>
            <w:hideMark/>
          </w:tcPr>
          <w:p w:rsidR="00DA285E" w:rsidRPr="002429C5" w:rsidRDefault="00DA285E" w:rsidP="00B824CC">
            <w:pPr>
              <w:keepNext/>
              <w:spacing w:after="0"/>
              <w:jc w:val="center"/>
              <w:rPr>
                <w:rFonts w:ascii="Arial" w:hAnsi="Arial" w:cs="Arial"/>
                <w:b/>
                <w:bCs/>
              </w:rPr>
            </w:pPr>
            <w:r w:rsidRPr="002429C5">
              <w:rPr>
                <w:rFonts w:ascii="Arial" w:hAnsi="Arial"/>
                <w:b/>
              </w:rPr>
              <w:t>Total</w:t>
            </w:r>
          </w:p>
        </w:tc>
      </w:tr>
      <w:tr w:rsidR="00DA285E" w:rsidRPr="002429C5" w:rsidTr="006948A4">
        <w:trPr>
          <w:cantSplit/>
          <w:trHeight w:val="1474"/>
        </w:trPr>
        <w:tc>
          <w:tcPr>
            <w:tcW w:w="1697" w:type="dxa"/>
            <w:shd w:val="clear" w:color="auto" w:fill="D9D9D9" w:themeFill="background1" w:themeFillShade="D9"/>
            <w:noWrap/>
            <w:hideMark/>
          </w:tcPr>
          <w:p w:rsidR="00DA285E" w:rsidRPr="002429C5" w:rsidRDefault="00DA285E" w:rsidP="00B824CC">
            <w:pPr>
              <w:keepNext/>
              <w:spacing w:after="0"/>
              <w:rPr>
                <w:rFonts w:ascii="Arial" w:hAnsi="Arial" w:cs="Arial"/>
                <w:b/>
                <w:bCs/>
              </w:rPr>
            </w:pPr>
            <w:r w:rsidRPr="002429C5">
              <w:rPr>
                <w:rFonts w:ascii="Arial" w:hAnsi="Arial"/>
                <w:b/>
              </w:rPr>
              <w:t> </w:t>
            </w:r>
          </w:p>
        </w:tc>
        <w:tc>
          <w:tcPr>
            <w:tcW w:w="581" w:type="dxa"/>
            <w:noWrap/>
            <w:textDirection w:val="btLr"/>
            <w:hideMark/>
          </w:tcPr>
          <w:p w:rsidR="00DA285E" w:rsidRPr="002429C5" w:rsidRDefault="00DA285E" w:rsidP="00B824CC">
            <w:pPr>
              <w:keepNext/>
              <w:spacing w:after="0"/>
              <w:rPr>
                <w:rFonts w:ascii="Arial" w:hAnsi="Arial" w:cs="Arial"/>
              </w:rPr>
            </w:pPr>
            <w:r w:rsidRPr="002429C5">
              <w:rPr>
                <w:rFonts w:ascii="Arial" w:hAnsi="Arial"/>
              </w:rPr>
              <w:t>death</w:t>
            </w:r>
          </w:p>
        </w:tc>
        <w:tc>
          <w:tcPr>
            <w:tcW w:w="582" w:type="dxa"/>
            <w:noWrap/>
            <w:textDirection w:val="btLr"/>
            <w:hideMark/>
          </w:tcPr>
          <w:p w:rsidR="00DA285E" w:rsidRPr="002429C5" w:rsidRDefault="00DA285E" w:rsidP="00B824CC">
            <w:pPr>
              <w:keepNext/>
              <w:spacing w:after="0"/>
              <w:rPr>
                <w:rFonts w:ascii="Arial" w:hAnsi="Arial" w:cs="Arial"/>
                <w:color w:val="808080"/>
              </w:rPr>
            </w:pPr>
            <w:r w:rsidRPr="002429C5">
              <w:rPr>
                <w:rFonts w:ascii="Arial" w:hAnsi="Arial"/>
                <w:color w:val="808080"/>
              </w:rPr>
              <w:t>serious injury</w:t>
            </w:r>
          </w:p>
        </w:tc>
        <w:tc>
          <w:tcPr>
            <w:tcW w:w="579" w:type="dxa"/>
            <w:noWrap/>
            <w:textDirection w:val="btLr"/>
            <w:hideMark/>
          </w:tcPr>
          <w:p w:rsidR="00DA285E" w:rsidRPr="002429C5" w:rsidRDefault="00DA285E" w:rsidP="00B824CC">
            <w:pPr>
              <w:keepNext/>
              <w:spacing w:after="0"/>
              <w:rPr>
                <w:rFonts w:ascii="Arial" w:hAnsi="Arial" w:cs="Arial"/>
              </w:rPr>
            </w:pPr>
            <w:r w:rsidRPr="002429C5">
              <w:rPr>
                <w:rFonts w:ascii="Arial" w:hAnsi="Arial"/>
              </w:rPr>
              <w:t>death</w:t>
            </w:r>
          </w:p>
        </w:tc>
        <w:tc>
          <w:tcPr>
            <w:tcW w:w="579" w:type="dxa"/>
            <w:noWrap/>
            <w:textDirection w:val="btLr"/>
            <w:hideMark/>
          </w:tcPr>
          <w:p w:rsidR="00DA285E" w:rsidRPr="002429C5" w:rsidRDefault="00DA285E" w:rsidP="00B824CC">
            <w:pPr>
              <w:keepNext/>
              <w:spacing w:after="0"/>
              <w:rPr>
                <w:rFonts w:ascii="Arial" w:hAnsi="Arial" w:cs="Arial"/>
                <w:color w:val="808080"/>
              </w:rPr>
            </w:pPr>
            <w:r w:rsidRPr="002429C5">
              <w:rPr>
                <w:rFonts w:ascii="Arial" w:hAnsi="Arial"/>
                <w:color w:val="808080"/>
              </w:rPr>
              <w:t>serious injury</w:t>
            </w:r>
          </w:p>
        </w:tc>
        <w:tc>
          <w:tcPr>
            <w:tcW w:w="593" w:type="dxa"/>
            <w:noWrap/>
            <w:textDirection w:val="btLr"/>
            <w:hideMark/>
          </w:tcPr>
          <w:p w:rsidR="00DA285E" w:rsidRPr="002429C5" w:rsidRDefault="00DA285E" w:rsidP="00B824CC">
            <w:pPr>
              <w:keepNext/>
              <w:spacing w:after="0"/>
              <w:rPr>
                <w:rFonts w:ascii="Arial" w:hAnsi="Arial" w:cs="Arial"/>
              </w:rPr>
            </w:pPr>
            <w:r w:rsidRPr="002429C5">
              <w:rPr>
                <w:rFonts w:ascii="Arial" w:hAnsi="Arial"/>
              </w:rPr>
              <w:t>death</w:t>
            </w:r>
          </w:p>
        </w:tc>
        <w:tc>
          <w:tcPr>
            <w:tcW w:w="593" w:type="dxa"/>
            <w:noWrap/>
            <w:textDirection w:val="btLr"/>
            <w:hideMark/>
          </w:tcPr>
          <w:p w:rsidR="00DA285E" w:rsidRPr="002429C5" w:rsidRDefault="00DA285E" w:rsidP="00B824CC">
            <w:pPr>
              <w:keepNext/>
              <w:spacing w:after="0"/>
              <w:rPr>
                <w:rFonts w:ascii="Arial" w:hAnsi="Arial" w:cs="Arial"/>
                <w:color w:val="808080"/>
              </w:rPr>
            </w:pPr>
            <w:r w:rsidRPr="002429C5">
              <w:rPr>
                <w:rFonts w:ascii="Arial" w:hAnsi="Arial"/>
                <w:color w:val="808080"/>
              </w:rPr>
              <w:t>serious injury</w:t>
            </w:r>
          </w:p>
        </w:tc>
        <w:tc>
          <w:tcPr>
            <w:tcW w:w="558" w:type="dxa"/>
            <w:noWrap/>
            <w:textDirection w:val="btLr"/>
            <w:hideMark/>
          </w:tcPr>
          <w:p w:rsidR="00DA285E" w:rsidRPr="002429C5" w:rsidRDefault="00DA285E" w:rsidP="00B824CC">
            <w:pPr>
              <w:keepNext/>
              <w:spacing w:after="0"/>
              <w:rPr>
                <w:rFonts w:ascii="Arial" w:hAnsi="Arial" w:cs="Arial"/>
              </w:rPr>
            </w:pPr>
            <w:r w:rsidRPr="002429C5">
              <w:rPr>
                <w:rFonts w:ascii="Arial" w:hAnsi="Arial"/>
              </w:rPr>
              <w:t>death</w:t>
            </w:r>
          </w:p>
        </w:tc>
        <w:tc>
          <w:tcPr>
            <w:tcW w:w="558" w:type="dxa"/>
            <w:noWrap/>
            <w:textDirection w:val="btLr"/>
            <w:hideMark/>
          </w:tcPr>
          <w:p w:rsidR="00DA285E" w:rsidRPr="002429C5" w:rsidRDefault="00DA285E" w:rsidP="00B824CC">
            <w:pPr>
              <w:keepNext/>
              <w:spacing w:after="0"/>
              <w:rPr>
                <w:rFonts w:ascii="Arial" w:hAnsi="Arial" w:cs="Arial"/>
                <w:color w:val="808080"/>
              </w:rPr>
            </w:pPr>
            <w:r w:rsidRPr="002429C5">
              <w:rPr>
                <w:rFonts w:ascii="Arial" w:hAnsi="Arial"/>
                <w:color w:val="808080"/>
              </w:rPr>
              <w:t>serious injury</w:t>
            </w:r>
          </w:p>
        </w:tc>
        <w:tc>
          <w:tcPr>
            <w:tcW w:w="541" w:type="dxa"/>
            <w:noWrap/>
            <w:textDirection w:val="btLr"/>
            <w:hideMark/>
          </w:tcPr>
          <w:p w:rsidR="00DA285E" w:rsidRPr="002429C5" w:rsidRDefault="00DA285E" w:rsidP="00B824CC">
            <w:pPr>
              <w:keepNext/>
              <w:spacing w:after="0"/>
              <w:rPr>
                <w:rFonts w:ascii="Arial" w:hAnsi="Arial" w:cs="Arial"/>
              </w:rPr>
            </w:pPr>
            <w:r w:rsidRPr="002429C5">
              <w:rPr>
                <w:rFonts w:ascii="Arial" w:hAnsi="Arial"/>
              </w:rPr>
              <w:t>death</w:t>
            </w:r>
          </w:p>
        </w:tc>
        <w:tc>
          <w:tcPr>
            <w:tcW w:w="541" w:type="dxa"/>
            <w:tcBorders>
              <w:right w:val="single" w:sz="6" w:space="0" w:color="auto"/>
            </w:tcBorders>
            <w:noWrap/>
            <w:textDirection w:val="btLr"/>
            <w:hideMark/>
          </w:tcPr>
          <w:p w:rsidR="00DA285E" w:rsidRPr="002429C5" w:rsidRDefault="00DA285E" w:rsidP="00B824CC">
            <w:pPr>
              <w:keepNext/>
              <w:spacing w:after="0"/>
              <w:rPr>
                <w:rFonts w:ascii="Arial" w:hAnsi="Arial" w:cs="Arial"/>
                <w:color w:val="808080"/>
              </w:rPr>
            </w:pPr>
            <w:r w:rsidRPr="002429C5">
              <w:rPr>
                <w:rFonts w:ascii="Arial" w:hAnsi="Arial"/>
                <w:color w:val="808080"/>
              </w:rPr>
              <w:t>serious injury</w:t>
            </w:r>
          </w:p>
        </w:tc>
        <w:tc>
          <w:tcPr>
            <w:tcW w:w="541" w:type="dxa"/>
            <w:tcBorders>
              <w:left w:val="single" w:sz="6" w:space="0" w:color="auto"/>
            </w:tcBorders>
            <w:noWrap/>
            <w:textDirection w:val="btLr"/>
            <w:hideMark/>
          </w:tcPr>
          <w:p w:rsidR="00DA285E" w:rsidRPr="002429C5" w:rsidRDefault="00DA285E" w:rsidP="00B824CC">
            <w:pPr>
              <w:keepNext/>
              <w:spacing w:after="0"/>
              <w:rPr>
                <w:rFonts w:ascii="Arial" w:hAnsi="Arial" w:cs="Arial"/>
              </w:rPr>
            </w:pPr>
            <w:r w:rsidRPr="002429C5">
              <w:rPr>
                <w:rFonts w:ascii="Arial" w:hAnsi="Arial"/>
              </w:rPr>
              <w:t>death</w:t>
            </w:r>
          </w:p>
        </w:tc>
        <w:tc>
          <w:tcPr>
            <w:tcW w:w="541" w:type="dxa"/>
            <w:tcBorders>
              <w:right w:val="single" w:sz="6" w:space="0" w:color="auto"/>
            </w:tcBorders>
            <w:noWrap/>
            <w:textDirection w:val="btLr"/>
            <w:hideMark/>
          </w:tcPr>
          <w:p w:rsidR="00DA285E" w:rsidRPr="002429C5" w:rsidRDefault="00DA285E" w:rsidP="00B824CC">
            <w:pPr>
              <w:keepNext/>
              <w:spacing w:after="0"/>
              <w:rPr>
                <w:rFonts w:ascii="Arial" w:hAnsi="Arial" w:cs="Arial"/>
                <w:color w:val="808080"/>
              </w:rPr>
            </w:pPr>
            <w:r w:rsidRPr="002429C5">
              <w:rPr>
                <w:rFonts w:ascii="Arial" w:hAnsi="Arial"/>
                <w:color w:val="808080"/>
              </w:rPr>
              <w:t>serious injury</w:t>
            </w:r>
          </w:p>
        </w:tc>
      </w:tr>
      <w:tr w:rsidR="00DA285E" w:rsidRPr="002429C5" w:rsidTr="006948A4">
        <w:tc>
          <w:tcPr>
            <w:tcW w:w="1697" w:type="dxa"/>
            <w:shd w:val="clear" w:color="auto" w:fill="D9D9D9" w:themeFill="background1" w:themeFillShade="D9"/>
            <w:noWrap/>
            <w:vAlign w:val="center"/>
            <w:hideMark/>
          </w:tcPr>
          <w:p w:rsidR="00DA285E" w:rsidRPr="002429C5" w:rsidRDefault="00DA285E" w:rsidP="006A4BEB">
            <w:pPr>
              <w:spacing w:after="0"/>
              <w:rPr>
                <w:rFonts w:ascii="Arial" w:hAnsi="Arial" w:cs="Arial"/>
                <w:b/>
                <w:bCs/>
              </w:rPr>
            </w:pPr>
            <w:r w:rsidRPr="002429C5">
              <w:rPr>
                <w:rFonts w:ascii="Arial" w:hAnsi="Arial"/>
                <w:b/>
              </w:rPr>
              <w:t>Collision</w:t>
            </w:r>
          </w:p>
        </w:tc>
        <w:tc>
          <w:tcPr>
            <w:tcW w:w="581" w:type="dxa"/>
            <w:noWrap/>
            <w:vAlign w:val="center"/>
            <w:hideMark/>
          </w:tcPr>
          <w:p w:rsidR="00DA285E" w:rsidRPr="002429C5" w:rsidRDefault="00DA285E" w:rsidP="00B824CC">
            <w:pPr>
              <w:pStyle w:val="DoNotTranslateExternal2"/>
            </w:pPr>
            <w:r w:rsidRPr="002429C5">
              <w:t>-</w:t>
            </w:r>
          </w:p>
        </w:tc>
        <w:tc>
          <w:tcPr>
            <w:tcW w:w="582" w:type="dxa"/>
            <w:noWrap/>
            <w:vAlign w:val="center"/>
            <w:hideMark/>
          </w:tcPr>
          <w:p w:rsidR="00DA285E" w:rsidRPr="002429C5" w:rsidRDefault="00DA285E" w:rsidP="00B824CC">
            <w:pPr>
              <w:pStyle w:val="DoNotTranslateExternal3"/>
            </w:pPr>
            <w:r w:rsidRPr="002429C5">
              <w:t>-</w:t>
            </w:r>
          </w:p>
        </w:tc>
        <w:tc>
          <w:tcPr>
            <w:tcW w:w="579" w:type="dxa"/>
            <w:noWrap/>
            <w:vAlign w:val="center"/>
            <w:hideMark/>
          </w:tcPr>
          <w:p w:rsidR="00DA285E" w:rsidRPr="002429C5" w:rsidRDefault="00DA285E" w:rsidP="00B824CC">
            <w:pPr>
              <w:pStyle w:val="DoNotTranslateExternal2"/>
            </w:pPr>
            <w:r w:rsidRPr="002429C5">
              <w:t>-</w:t>
            </w:r>
          </w:p>
        </w:tc>
        <w:tc>
          <w:tcPr>
            <w:tcW w:w="579" w:type="dxa"/>
            <w:noWrap/>
            <w:vAlign w:val="center"/>
            <w:hideMark/>
          </w:tcPr>
          <w:p w:rsidR="00DA285E" w:rsidRPr="002429C5" w:rsidRDefault="00DA285E" w:rsidP="00B824CC">
            <w:pPr>
              <w:pStyle w:val="DoNotTranslateExternal3"/>
            </w:pPr>
            <w:r w:rsidRPr="002429C5">
              <w:t>-</w:t>
            </w:r>
          </w:p>
        </w:tc>
        <w:tc>
          <w:tcPr>
            <w:tcW w:w="593" w:type="dxa"/>
            <w:noWrap/>
            <w:vAlign w:val="center"/>
            <w:hideMark/>
          </w:tcPr>
          <w:p w:rsidR="00DA285E" w:rsidRPr="002429C5" w:rsidRDefault="00DA285E" w:rsidP="00B824CC">
            <w:pPr>
              <w:pStyle w:val="DoNotTranslateExternal2"/>
            </w:pPr>
            <w:r w:rsidRPr="002429C5">
              <w:t>-</w:t>
            </w:r>
          </w:p>
        </w:tc>
        <w:tc>
          <w:tcPr>
            <w:tcW w:w="593" w:type="dxa"/>
            <w:noWrap/>
            <w:vAlign w:val="center"/>
            <w:hideMark/>
          </w:tcPr>
          <w:p w:rsidR="00DA285E" w:rsidRPr="002429C5" w:rsidRDefault="00DA285E" w:rsidP="00B824CC">
            <w:pPr>
              <w:pStyle w:val="DoNotTranslateExternal3"/>
            </w:pPr>
            <w:r w:rsidRPr="002429C5">
              <w:t>-</w:t>
            </w:r>
          </w:p>
        </w:tc>
        <w:tc>
          <w:tcPr>
            <w:tcW w:w="558" w:type="dxa"/>
            <w:noWrap/>
            <w:vAlign w:val="center"/>
            <w:hideMark/>
          </w:tcPr>
          <w:p w:rsidR="00DA285E" w:rsidRPr="002429C5" w:rsidRDefault="00DA285E" w:rsidP="00B824CC">
            <w:pPr>
              <w:pStyle w:val="DoNotTranslateExternal2"/>
            </w:pPr>
            <w:r w:rsidRPr="002429C5">
              <w:t>-</w:t>
            </w:r>
          </w:p>
        </w:tc>
        <w:tc>
          <w:tcPr>
            <w:tcW w:w="558" w:type="dxa"/>
            <w:noWrap/>
            <w:vAlign w:val="center"/>
            <w:hideMark/>
          </w:tcPr>
          <w:p w:rsidR="00DA285E" w:rsidRPr="002429C5" w:rsidRDefault="00DA285E" w:rsidP="00B824CC">
            <w:pPr>
              <w:pStyle w:val="DoNotTranslateExternal3"/>
            </w:pPr>
            <w:r w:rsidRPr="002429C5">
              <w:t>-</w:t>
            </w:r>
          </w:p>
        </w:tc>
        <w:tc>
          <w:tcPr>
            <w:tcW w:w="541" w:type="dxa"/>
            <w:noWrap/>
            <w:vAlign w:val="center"/>
            <w:hideMark/>
          </w:tcPr>
          <w:p w:rsidR="00DA285E" w:rsidRPr="002429C5" w:rsidRDefault="00DA285E" w:rsidP="00B824CC">
            <w:pPr>
              <w:pStyle w:val="DoNotTranslateExternal2"/>
            </w:pPr>
            <w:r w:rsidRPr="002429C5">
              <w:t>-</w:t>
            </w:r>
          </w:p>
        </w:tc>
        <w:tc>
          <w:tcPr>
            <w:tcW w:w="541" w:type="dxa"/>
            <w:tcBorders>
              <w:right w:val="single" w:sz="6" w:space="0" w:color="auto"/>
            </w:tcBorders>
            <w:noWrap/>
            <w:vAlign w:val="center"/>
            <w:hideMark/>
          </w:tcPr>
          <w:p w:rsidR="00DA285E" w:rsidRPr="002429C5" w:rsidRDefault="00DA285E" w:rsidP="00B824CC">
            <w:pPr>
              <w:pStyle w:val="DoNotTranslateExternal3"/>
            </w:pPr>
            <w:r w:rsidRPr="002429C5">
              <w:t>-</w:t>
            </w:r>
          </w:p>
        </w:tc>
        <w:tc>
          <w:tcPr>
            <w:tcW w:w="541" w:type="dxa"/>
            <w:tcBorders>
              <w:left w:val="single" w:sz="6" w:space="0" w:color="auto"/>
            </w:tcBorders>
            <w:noWrap/>
            <w:vAlign w:val="center"/>
            <w:hideMark/>
          </w:tcPr>
          <w:p w:rsidR="00DA285E" w:rsidRPr="002429C5" w:rsidRDefault="00DA285E" w:rsidP="00B824CC">
            <w:pPr>
              <w:pStyle w:val="DoNotTranslateExternal2"/>
            </w:pPr>
            <w:r w:rsidRPr="002429C5">
              <w:t>-</w:t>
            </w:r>
          </w:p>
        </w:tc>
        <w:tc>
          <w:tcPr>
            <w:tcW w:w="541" w:type="dxa"/>
            <w:tcBorders>
              <w:right w:val="single" w:sz="6" w:space="0" w:color="auto"/>
            </w:tcBorders>
            <w:noWrap/>
            <w:vAlign w:val="center"/>
            <w:hideMark/>
          </w:tcPr>
          <w:p w:rsidR="00DA285E" w:rsidRPr="002429C5" w:rsidRDefault="00DA285E" w:rsidP="00B824CC">
            <w:pPr>
              <w:pStyle w:val="DoNotTranslateExternal3"/>
            </w:pPr>
            <w:r w:rsidRPr="002429C5">
              <w:t>-</w:t>
            </w:r>
          </w:p>
        </w:tc>
      </w:tr>
      <w:tr w:rsidR="00DA285E" w:rsidRPr="002429C5" w:rsidTr="006948A4">
        <w:tc>
          <w:tcPr>
            <w:tcW w:w="1697" w:type="dxa"/>
            <w:shd w:val="clear" w:color="auto" w:fill="D9D9D9" w:themeFill="background1" w:themeFillShade="D9"/>
            <w:noWrap/>
            <w:vAlign w:val="center"/>
            <w:hideMark/>
          </w:tcPr>
          <w:p w:rsidR="00DA285E" w:rsidRPr="002429C5" w:rsidRDefault="00DA285E" w:rsidP="006A4BEB">
            <w:pPr>
              <w:spacing w:after="0"/>
              <w:rPr>
                <w:rFonts w:ascii="Arial" w:hAnsi="Arial" w:cs="Arial"/>
                <w:b/>
                <w:bCs/>
              </w:rPr>
            </w:pPr>
            <w:r w:rsidRPr="002429C5">
              <w:rPr>
                <w:rFonts w:ascii="Arial" w:hAnsi="Arial"/>
                <w:b/>
              </w:rPr>
              <w:t>Derailment</w:t>
            </w:r>
          </w:p>
        </w:tc>
        <w:tc>
          <w:tcPr>
            <w:tcW w:w="581" w:type="dxa"/>
            <w:noWrap/>
            <w:vAlign w:val="center"/>
            <w:hideMark/>
          </w:tcPr>
          <w:p w:rsidR="00DA285E" w:rsidRPr="002429C5" w:rsidRDefault="00DA285E" w:rsidP="00B824CC">
            <w:pPr>
              <w:pStyle w:val="DoNotTranslateExternal2"/>
            </w:pPr>
            <w:r w:rsidRPr="002429C5">
              <w:t>-</w:t>
            </w:r>
          </w:p>
        </w:tc>
        <w:tc>
          <w:tcPr>
            <w:tcW w:w="582" w:type="dxa"/>
            <w:noWrap/>
            <w:vAlign w:val="center"/>
            <w:hideMark/>
          </w:tcPr>
          <w:p w:rsidR="00DA285E" w:rsidRPr="002429C5" w:rsidRDefault="00DA285E" w:rsidP="00B824CC">
            <w:pPr>
              <w:pStyle w:val="DoNotTranslateExternal3"/>
            </w:pPr>
            <w:r w:rsidRPr="002429C5">
              <w:t>-</w:t>
            </w:r>
          </w:p>
        </w:tc>
        <w:tc>
          <w:tcPr>
            <w:tcW w:w="579" w:type="dxa"/>
            <w:noWrap/>
            <w:vAlign w:val="center"/>
            <w:hideMark/>
          </w:tcPr>
          <w:p w:rsidR="00DA285E" w:rsidRPr="002429C5" w:rsidRDefault="00DA285E" w:rsidP="00B824CC">
            <w:pPr>
              <w:pStyle w:val="DoNotTranslateExternal2"/>
            </w:pPr>
            <w:r w:rsidRPr="002429C5">
              <w:t>-</w:t>
            </w:r>
          </w:p>
        </w:tc>
        <w:tc>
          <w:tcPr>
            <w:tcW w:w="579" w:type="dxa"/>
            <w:noWrap/>
            <w:vAlign w:val="center"/>
            <w:hideMark/>
          </w:tcPr>
          <w:p w:rsidR="00DA285E" w:rsidRPr="002429C5" w:rsidRDefault="00DA285E" w:rsidP="00B824CC">
            <w:pPr>
              <w:pStyle w:val="DoNotTranslateExternal3"/>
            </w:pPr>
            <w:r w:rsidRPr="002429C5">
              <w:t>-</w:t>
            </w:r>
          </w:p>
        </w:tc>
        <w:tc>
          <w:tcPr>
            <w:tcW w:w="593" w:type="dxa"/>
            <w:noWrap/>
            <w:vAlign w:val="center"/>
            <w:hideMark/>
          </w:tcPr>
          <w:p w:rsidR="00DA285E" w:rsidRPr="002429C5" w:rsidRDefault="00DA285E" w:rsidP="00B824CC">
            <w:pPr>
              <w:pStyle w:val="DoNotTranslateExternal2"/>
            </w:pPr>
            <w:r w:rsidRPr="002429C5">
              <w:t>-</w:t>
            </w:r>
          </w:p>
        </w:tc>
        <w:tc>
          <w:tcPr>
            <w:tcW w:w="593" w:type="dxa"/>
            <w:noWrap/>
            <w:vAlign w:val="center"/>
            <w:hideMark/>
          </w:tcPr>
          <w:p w:rsidR="00DA285E" w:rsidRPr="002429C5" w:rsidRDefault="00DA285E" w:rsidP="00B824CC">
            <w:pPr>
              <w:pStyle w:val="DoNotTranslateExternal3"/>
            </w:pPr>
            <w:r w:rsidRPr="002429C5">
              <w:t>-</w:t>
            </w:r>
          </w:p>
        </w:tc>
        <w:tc>
          <w:tcPr>
            <w:tcW w:w="558" w:type="dxa"/>
            <w:noWrap/>
            <w:vAlign w:val="center"/>
            <w:hideMark/>
          </w:tcPr>
          <w:p w:rsidR="00DA285E" w:rsidRPr="002429C5" w:rsidRDefault="00DA285E" w:rsidP="00B824CC">
            <w:pPr>
              <w:pStyle w:val="DoNotTranslateExternal2"/>
            </w:pPr>
            <w:r w:rsidRPr="002429C5">
              <w:t>-</w:t>
            </w:r>
          </w:p>
        </w:tc>
        <w:tc>
          <w:tcPr>
            <w:tcW w:w="558" w:type="dxa"/>
            <w:noWrap/>
            <w:vAlign w:val="center"/>
            <w:hideMark/>
          </w:tcPr>
          <w:p w:rsidR="00DA285E" w:rsidRPr="002429C5" w:rsidRDefault="00DA285E" w:rsidP="00B824CC">
            <w:pPr>
              <w:pStyle w:val="DoNotTranslateExternal3"/>
            </w:pPr>
            <w:r w:rsidRPr="002429C5">
              <w:t>-</w:t>
            </w:r>
          </w:p>
        </w:tc>
        <w:tc>
          <w:tcPr>
            <w:tcW w:w="541" w:type="dxa"/>
            <w:noWrap/>
            <w:vAlign w:val="center"/>
            <w:hideMark/>
          </w:tcPr>
          <w:p w:rsidR="00DA285E" w:rsidRPr="002429C5" w:rsidRDefault="00DA285E" w:rsidP="00B824CC">
            <w:pPr>
              <w:pStyle w:val="DoNotTranslateExternal2"/>
            </w:pPr>
            <w:r w:rsidRPr="002429C5">
              <w:t>-</w:t>
            </w:r>
          </w:p>
        </w:tc>
        <w:tc>
          <w:tcPr>
            <w:tcW w:w="541" w:type="dxa"/>
            <w:tcBorders>
              <w:right w:val="single" w:sz="6" w:space="0" w:color="auto"/>
            </w:tcBorders>
            <w:noWrap/>
            <w:vAlign w:val="center"/>
            <w:hideMark/>
          </w:tcPr>
          <w:p w:rsidR="00DA285E" w:rsidRPr="002429C5" w:rsidRDefault="00DA285E" w:rsidP="00B824CC">
            <w:pPr>
              <w:pStyle w:val="DoNotTranslateExternal3"/>
            </w:pPr>
            <w:r w:rsidRPr="002429C5">
              <w:t>-</w:t>
            </w:r>
          </w:p>
        </w:tc>
        <w:tc>
          <w:tcPr>
            <w:tcW w:w="541" w:type="dxa"/>
            <w:tcBorders>
              <w:left w:val="single" w:sz="6" w:space="0" w:color="auto"/>
            </w:tcBorders>
            <w:noWrap/>
            <w:vAlign w:val="center"/>
            <w:hideMark/>
          </w:tcPr>
          <w:p w:rsidR="00DA285E" w:rsidRPr="002429C5" w:rsidRDefault="00DA285E" w:rsidP="00B824CC">
            <w:pPr>
              <w:pStyle w:val="DoNotTranslateExternal2"/>
            </w:pPr>
            <w:r w:rsidRPr="002429C5">
              <w:t>-</w:t>
            </w:r>
          </w:p>
        </w:tc>
        <w:tc>
          <w:tcPr>
            <w:tcW w:w="541" w:type="dxa"/>
            <w:tcBorders>
              <w:right w:val="single" w:sz="6" w:space="0" w:color="auto"/>
            </w:tcBorders>
            <w:noWrap/>
            <w:vAlign w:val="center"/>
            <w:hideMark/>
          </w:tcPr>
          <w:p w:rsidR="00DA285E" w:rsidRPr="002429C5" w:rsidRDefault="00DA285E" w:rsidP="00B824CC">
            <w:pPr>
              <w:pStyle w:val="DoNotTranslateExternal3"/>
            </w:pPr>
            <w:r w:rsidRPr="002429C5">
              <w:t>-</w:t>
            </w:r>
          </w:p>
        </w:tc>
      </w:tr>
      <w:tr w:rsidR="00DA285E" w:rsidRPr="002429C5" w:rsidTr="006948A4">
        <w:tc>
          <w:tcPr>
            <w:tcW w:w="1697" w:type="dxa"/>
            <w:shd w:val="clear" w:color="auto" w:fill="D9D9D9" w:themeFill="background1" w:themeFillShade="D9"/>
            <w:noWrap/>
            <w:vAlign w:val="center"/>
            <w:hideMark/>
          </w:tcPr>
          <w:p w:rsidR="00DA285E" w:rsidRPr="002429C5" w:rsidRDefault="00DA285E" w:rsidP="006A4BEB">
            <w:pPr>
              <w:spacing w:after="0"/>
              <w:rPr>
                <w:rFonts w:ascii="Arial" w:hAnsi="Arial" w:cs="Arial"/>
                <w:b/>
                <w:bCs/>
              </w:rPr>
            </w:pPr>
            <w:r w:rsidRPr="002429C5">
              <w:rPr>
                <w:rFonts w:ascii="Arial" w:hAnsi="Arial"/>
                <w:b/>
              </w:rPr>
              <w:t>Accident at level crossing</w:t>
            </w:r>
          </w:p>
        </w:tc>
        <w:tc>
          <w:tcPr>
            <w:tcW w:w="581" w:type="dxa"/>
            <w:noWrap/>
            <w:vAlign w:val="center"/>
            <w:hideMark/>
          </w:tcPr>
          <w:p w:rsidR="00DA285E" w:rsidRPr="002429C5" w:rsidRDefault="00DA285E" w:rsidP="00B824CC">
            <w:pPr>
              <w:pStyle w:val="DoNotTranslateExternal2"/>
            </w:pPr>
            <w:r w:rsidRPr="002429C5">
              <w:t>-</w:t>
            </w:r>
          </w:p>
        </w:tc>
        <w:tc>
          <w:tcPr>
            <w:tcW w:w="582" w:type="dxa"/>
            <w:noWrap/>
            <w:vAlign w:val="center"/>
            <w:hideMark/>
          </w:tcPr>
          <w:p w:rsidR="00DA285E" w:rsidRPr="002429C5" w:rsidRDefault="00DA285E" w:rsidP="00B824CC">
            <w:pPr>
              <w:pStyle w:val="DoNotTranslateExternal3"/>
            </w:pPr>
            <w:r w:rsidRPr="002429C5">
              <w:t>-</w:t>
            </w:r>
          </w:p>
        </w:tc>
        <w:tc>
          <w:tcPr>
            <w:tcW w:w="579" w:type="dxa"/>
            <w:noWrap/>
            <w:vAlign w:val="center"/>
            <w:hideMark/>
          </w:tcPr>
          <w:p w:rsidR="00DA285E" w:rsidRPr="002429C5" w:rsidRDefault="00DA285E" w:rsidP="00B824CC">
            <w:pPr>
              <w:pStyle w:val="DoNotTranslateExternal2"/>
            </w:pPr>
            <w:r w:rsidRPr="002429C5">
              <w:t>-</w:t>
            </w:r>
          </w:p>
        </w:tc>
        <w:tc>
          <w:tcPr>
            <w:tcW w:w="579" w:type="dxa"/>
            <w:noWrap/>
            <w:vAlign w:val="center"/>
            <w:hideMark/>
          </w:tcPr>
          <w:p w:rsidR="00DA285E" w:rsidRPr="002429C5" w:rsidRDefault="00DA285E" w:rsidP="00B824CC">
            <w:pPr>
              <w:pStyle w:val="DoNotTranslateExternal3"/>
            </w:pPr>
            <w:r w:rsidRPr="002429C5">
              <w:t>-</w:t>
            </w:r>
          </w:p>
        </w:tc>
        <w:tc>
          <w:tcPr>
            <w:tcW w:w="593" w:type="dxa"/>
            <w:noWrap/>
            <w:vAlign w:val="center"/>
            <w:hideMark/>
          </w:tcPr>
          <w:p w:rsidR="00DA285E" w:rsidRPr="002429C5" w:rsidRDefault="00DA285E" w:rsidP="00B824CC">
            <w:pPr>
              <w:pStyle w:val="DoNotTranslateExternal2"/>
              <w:rPr>
                <w:b/>
                <w:bCs/>
              </w:rPr>
            </w:pPr>
            <w:r w:rsidRPr="002429C5">
              <w:rPr>
                <w:b/>
              </w:rPr>
              <w:t>6</w:t>
            </w:r>
          </w:p>
        </w:tc>
        <w:tc>
          <w:tcPr>
            <w:tcW w:w="593" w:type="dxa"/>
            <w:noWrap/>
            <w:vAlign w:val="center"/>
            <w:hideMark/>
          </w:tcPr>
          <w:p w:rsidR="00DA285E" w:rsidRPr="002429C5" w:rsidRDefault="00DA285E" w:rsidP="00B824CC">
            <w:pPr>
              <w:pStyle w:val="DoNotTranslateExternal3"/>
            </w:pPr>
            <w:r w:rsidRPr="002429C5">
              <w:t>-</w:t>
            </w:r>
          </w:p>
        </w:tc>
        <w:tc>
          <w:tcPr>
            <w:tcW w:w="558" w:type="dxa"/>
            <w:noWrap/>
            <w:vAlign w:val="center"/>
            <w:hideMark/>
          </w:tcPr>
          <w:p w:rsidR="00DA285E" w:rsidRPr="002429C5" w:rsidRDefault="00DA285E" w:rsidP="00B824CC">
            <w:pPr>
              <w:pStyle w:val="DoNotTranslateExternal2"/>
            </w:pPr>
            <w:r w:rsidRPr="002429C5">
              <w:t>-</w:t>
            </w:r>
          </w:p>
        </w:tc>
        <w:tc>
          <w:tcPr>
            <w:tcW w:w="558" w:type="dxa"/>
            <w:noWrap/>
            <w:vAlign w:val="center"/>
            <w:hideMark/>
          </w:tcPr>
          <w:p w:rsidR="00DA285E" w:rsidRPr="002429C5" w:rsidRDefault="00DA285E" w:rsidP="00B824CC">
            <w:pPr>
              <w:pStyle w:val="DoNotTranslateExternal3"/>
            </w:pPr>
            <w:r w:rsidRPr="002429C5">
              <w:t>-</w:t>
            </w:r>
          </w:p>
        </w:tc>
        <w:tc>
          <w:tcPr>
            <w:tcW w:w="541" w:type="dxa"/>
            <w:noWrap/>
            <w:vAlign w:val="center"/>
            <w:hideMark/>
          </w:tcPr>
          <w:p w:rsidR="00DA285E" w:rsidRPr="002429C5" w:rsidRDefault="00DA285E" w:rsidP="00B824CC">
            <w:pPr>
              <w:pStyle w:val="DoNotTranslateExternal2"/>
            </w:pPr>
            <w:r w:rsidRPr="002429C5">
              <w:t>-</w:t>
            </w:r>
          </w:p>
        </w:tc>
        <w:tc>
          <w:tcPr>
            <w:tcW w:w="541" w:type="dxa"/>
            <w:tcBorders>
              <w:right w:val="single" w:sz="6" w:space="0" w:color="auto"/>
            </w:tcBorders>
            <w:noWrap/>
            <w:vAlign w:val="center"/>
            <w:hideMark/>
          </w:tcPr>
          <w:p w:rsidR="00DA285E" w:rsidRPr="002429C5" w:rsidRDefault="00DA285E" w:rsidP="00B824CC">
            <w:pPr>
              <w:pStyle w:val="DoNotTranslateExternal3"/>
            </w:pPr>
            <w:r w:rsidRPr="002429C5">
              <w:t>-</w:t>
            </w:r>
          </w:p>
        </w:tc>
        <w:tc>
          <w:tcPr>
            <w:tcW w:w="541" w:type="dxa"/>
            <w:tcBorders>
              <w:left w:val="single" w:sz="6" w:space="0" w:color="auto"/>
            </w:tcBorders>
            <w:noWrap/>
            <w:vAlign w:val="center"/>
            <w:hideMark/>
          </w:tcPr>
          <w:p w:rsidR="00DA285E" w:rsidRPr="002429C5" w:rsidRDefault="00DA285E" w:rsidP="00B824CC">
            <w:pPr>
              <w:pStyle w:val="DoNotTranslateExternal2"/>
              <w:rPr>
                <w:b/>
                <w:bCs/>
              </w:rPr>
            </w:pPr>
            <w:r w:rsidRPr="002429C5">
              <w:rPr>
                <w:b/>
              </w:rPr>
              <w:t>6</w:t>
            </w:r>
          </w:p>
        </w:tc>
        <w:tc>
          <w:tcPr>
            <w:tcW w:w="541" w:type="dxa"/>
            <w:tcBorders>
              <w:right w:val="single" w:sz="6" w:space="0" w:color="auto"/>
            </w:tcBorders>
            <w:noWrap/>
            <w:vAlign w:val="center"/>
            <w:hideMark/>
          </w:tcPr>
          <w:p w:rsidR="00DA285E" w:rsidRPr="002429C5" w:rsidRDefault="00DA285E" w:rsidP="00B824CC">
            <w:pPr>
              <w:pStyle w:val="DoNotTranslateExternal3"/>
            </w:pPr>
            <w:r w:rsidRPr="002429C5">
              <w:t>-</w:t>
            </w:r>
          </w:p>
        </w:tc>
      </w:tr>
      <w:tr w:rsidR="00DA285E" w:rsidRPr="002429C5" w:rsidTr="006948A4">
        <w:tc>
          <w:tcPr>
            <w:tcW w:w="1697" w:type="dxa"/>
            <w:shd w:val="clear" w:color="auto" w:fill="D9D9D9" w:themeFill="background1" w:themeFillShade="D9"/>
            <w:noWrap/>
            <w:vAlign w:val="center"/>
            <w:hideMark/>
          </w:tcPr>
          <w:p w:rsidR="00DA285E" w:rsidRPr="002429C5" w:rsidRDefault="00DA285E" w:rsidP="006A4BEB">
            <w:pPr>
              <w:spacing w:after="0"/>
              <w:rPr>
                <w:rFonts w:ascii="Arial" w:hAnsi="Arial" w:cs="Arial"/>
                <w:b/>
                <w:bCs/>
              </w:rPr>
            </w:pPr>
            <w:r w:rsidRPr="002429C5">
              <w:rPr>
                <w:rFonts w:ascii="Arial" w:hAnsi="Arial"/>
                <w:b/>
              </w:rPr>
              <w:t>Collision involving persons</w:t>
            </w:r>
          </w:p>
        </w:tc>
        <w:tc>
          <w:tcPr>
            <w:tcW w:w="581" w:type="dxa"/>
            <w:noWrap/>
            <w:vAlign w:val="center"/>
            <w:hideMark/>
          </w:tcPr>
          <w:p w:rsidR="00DA285E" w:rsidRPr="002429C5" w:rsidRDefault="00DA285E" w:rsidP="00B824CC">
            <w:pPr>
              <w:pStyle w:val="DoNotTranslateExternal2"/>
            </w:pPr>
            <w:r w:rsidRPr="002429C5">
              <w:t>-</w:t>
            </w:r>
          </w:p>
        </w:tc>
        <w:tc>
          <w:tcPr>
            <w:tcW w:w="582" w:type="dxa"/>
            <w:noWrap/>
            <w:vAlign w:val="center"/>
            <w:hideMark/>
          </w:tcPr>
          <w:p w:rsidR="00DA285E" w:rsidRPr="002429C5" w:rsidRDefault="00DA285E" w:rsidP="00B824CC">
            <w:pPr>
              <w:pStyle w:val="DoNotTranslateExternal3"/>
            </w:pPr>
            <w:r w:rsidRPr="002429C5">
              <w:t>1</w:t>
            </w:r>
          </w:p>
        </w:tc>
        <w:tc>
          <w:tcPr>
            <w:tcW w:w="579" w:type="dxa"/>
            <w:noWrap/>
            <w:vAlign w:val="center"/>
            <w:hideMark/>
          </w:tcPr>
          <w:p w:rsidR="00DA285E" w:rsidRPr="002429C5" w:rsidRDefault="00DA285E" w:rsidP="00B824CC">
            <w:pPr>
              <w:pStyle w:val="DoNotTranslateExternal2"/>
            </w:pPr>
            <w:r w:rsidRPr="002429C5">
              <w:t>-</w:t>
            </w:r>
          </w:p>
        </w:tc>
        <w:tc>
          <w:tcPr>
            <w:tcW w:w="579" w:type="dxa"/>
            <w:noWrap/>
            <w:vAlign w:val="center"/>
            <w:hideMark/>
          </w:tcPr>
          <w:p w:rsidR="00DA285E" w:rsidRPr="002429C5" w:rsidRDefault="00DA285E" w:rsidP="00B824CC">
            <w:pPr>
              <w:pStyle w:val="DoNotTranslateExternal3"/>
            </w:pPr>
            <w:r w:rsidRPr="002429C5">
              <w:t>-</w:t>
            </w:r>
          </w:p>
        </w:tc>
        <w:tc>
          <w:tcPr>
            <w:tcW w:w="593" w:type="dxa"/>
            <w:noWrap/>
            <w:vAlign w:val="center"/>
            <w:hideMark/>
          </w:tcPr>
          <w:p w:rsidR="00DA285E" w:rsidRPr="002429C5" w:rsidRDefault="00DA285E" w:rsidP="00B824CC">
            <w:pPr>
              <w:pStyle w:val="DoNotTranslateExternal2"/>
            </w:pPr>
            <w:r w:rsidRPr="002429C5">
              <w:t>-</w:t>
            </w:r>
          </w:p>
        </w:tc>
        <w:tc>
          <w:tcPr>
            <w:tcW w:w="593" w:type="dxa"/>
            <w:noWrap/>
            <w:vAlign w:val="center"/>
            <w:hideMark/>
          </w:tcPr>
          <w:p w:rsidR="00DA285E" w:rsidRPr="002429C5" w:rsidRDefault="00DA285E" w:rsidP="00B824CC">
            <w:pPr>
              <w:pStyle w:val="DoNotTranslateExternal3"/>
            </w:pPr>
            <w:r w:rsidRPr="002429C5">
              <w:t>-</w:t>
            </w:r>
          </w:p>
        </w:tc>
        <w:tc>
          <w:tcPr>
            <w:tcW w:w="558" w:type="dxa"/>
            <w:noWrap/>
            <w:vAlign w:val="center"/>
            <w:hideMark/>
          </w:tcPr>
          <w:p w:rsidR="00DA285E" w:rsidRPr="002429C5" w:rsidRDefault="00DA285E" w:rsidP="00B824CC">
            <w:pPr>
              <w:pStyle w:val="DoNotTranslateExternal2"/>
              <w:rPr>
                <w:b/>
                <w:bCs/>
              </w:rPr>
            </w:pPr>
            <w:r w:rsidRPr="002429C5">
              <w:rPr>
                <w:b/>
              </w:rPr>
              <w:t>6</w:t>
            </w:r>
          </w:p>
        </w:tc>
        <w:tc>
          <w:tcPr>
            <w:tcW w:w="558" w:type="dxa"/>
            <w:noWrap/>
            <w:vAlign w:val="center"/>
            <w:hideMark/>
          </w:tcPr>
          <w:p w:rsidR="00DA285E" w:rsidRPr="002429C5" w:rsidRDefault="00DA285E" w:rsidP="00B824CC">
            <w:pPr>
              <w:pStyle w:val="DoNotTranslateExternal3"/>
            </w:pPr>
            <w:r w:rsidRPr="002429C5">
              <w:t>4</w:t>
            </w:r>
          </w:p>
        </w:tc>
        <w:tc>
          <w:tcPr>
            <w:tcW w:w="541" w:type="dxa"/>
            <w:noWrap/>
            <w:vAlign w:val="center"/>
            <w:hideMark/>
          </w:tcPr>
          <w:p w:rsidR="00DA285E" w:rsidRPr="002429C5" w:rsidRDefault="00DA285E" w:rsidP="00B824CC">
            <w:pPr>
              <w:pStyle w:val="DoNotTranslateExternal2"/>
              <w:rPr>
                <w:b/>
                <w:bCs/>
              </w:rPr>
            </w:pPr>
            <w:r w:rsidRPr="002429C5">
              <w:rPr>
                <w:b/>
              </w:rPr>
              <w:t>1</w:t>
            </w:r>
          </w:p>
        </w:tc>
        <w:tc>
          <w:tcPr>
            <w:tcW w:w="541" w:type="dxa"/>
            <w:tcBorders>
              <w:right w:val="single" w:sz="6" w:space="0" w:color="auto"/>
            </w:tcBorders>
            <w:noWrap/>
            <w:vAlign w:val="center"/>
            <w:hideMark/>
          </w:tcPr>
          <w:p w:rsidR="00DA285E" w:rsidRPr="002429C5" w:rsidRDefault="00DA285E" w:rsidP="00B824CC">
            <w:pPr>
              <w:pStyle w:val="DoNotTranslateExternal3"/>
            </w:pPr>
            <w:r w:rsidRPr="002429C5">
              <w:t>1</w:t>
            </w:r>
          </w:p>
        </w:tc>
        <w:tc>
          <w:tcPr>
            <w:tcW w:w="541" w:type="dxa"/>
            <w:tcBorders>
              <w:left w:val="single" w:sz="6" w:space="0" w:color="auto"/>
            </w:tcBorders>
            <w:noWrap/>
            <w:vAlign w:val="center"/>
            <w:hideMark/>
          </w:tcPr>
          <w:p w:rsidR="00DA285E" w:rsidRPr="002429C5" w:rsidRDefault="00DA285E" w:rsidP="00B824CC">
            <w:pPr>
              <w:pStyle w:val="DoNotTranslateExternal2"/>
              <w:rPr>
                <w:b/>
                <w:bCs/>
              </w:rPr>
            </w:pPr>
            <w:r w:rsidRPr="002429C5">
              <w:rPr>
                <w:b/>
              </w:rPr>
              <w:t>7</w:t>
            </w:r>
          </w:p>
        </w:tc>
        <w:tc>
          <w:tcPr>
            <w:tcW w:w="541" w:type="dxa"/>
            <w:tcBorders>
              <w:right w:val="single" w:sz="6" w:space="0" w:color="auto"/>
            </w:tcBorders>
            <w:noWrap/>
            <w:vAlign w:val="center"/>
            <w:hideMark/>
          </w:tcPr>
          <w:p w:rsidR="00DA285E" w:rsidRPr="002429C5" w:rsidRDefault="00DA285E" w:rsidP="00B824CC">
            <w:pPr>
              <w:pStyle w:val="DoNotTranslateExternal3"/>
            </w:pPr>
            <w:r w:rsidRPr="002429C5">
              <w:t>6</w:t>
            </w:r>
          </w:p>
        </w:tc>
      </w:tr>
      <w:tr w:rsidR="00DA285E" w:rsidRPr="002429C5" w:rsidTr="006948A4">
        <w:tc>
          <w:tcPr>
            <w:tcW w:w="1697" w:type="dxa"/>
            <w:shd w:val="clear" w:color="auto" w:fill="D9D9D9" w:themeFill="background1" w:themeFillShade="D9"/>
            <w:noWrap/>
            <w:vAlign w:val="center"/>
            <w:hideMark/>
          </w:tcPr>
          <w:p w:rsidR="00DA285E" w:rsidRPr="002429C5" w:rsidRDefault="00DA285E" w:rsidP="006A4BEB">
            <w:pPr>
              <w:spacing w:after="0"/>
              <w:rPr>
                <w:rFonts w:ascii="Arial" w:hAnsi="Arial" w:cs="Arial"/>
                <w:b/>
                <w:bCs/>
              </w:rPr>
            </w:pPr>
            <w:r w:rsidRPr="002429C5">
              <w:rPr>
                <w:rFonts w:ascii="Arial" w:hAnsi="Arial"/>
                <w:b/>
              </w:rPr>
              <w:t>Fire</w:t>
            </w:r>
          </w:p>
        </w:tc>
        <w:tc>
          <w:tcPr>
            <w:tcW w:w="581" w:type="dxa"/>
            <w:noWrap/>
            <w:vAlign w:val="center"/>
            <w:hideMark/>
          </w:tcPr>
          <w:p w:rsidR="00DA285E" w:rsidRPr="002429C5" w:rsidRDefault="00DA285E" w:rsidP="00B824CC">
            <w:pPr>
              <w:pStyle w:val="DoNotTranslateExternal2"/>
            </w:pPr>
            <w:r w:rsidRPr="002429C5">
              <w:t>-</w:t>
            </w:r>
          </w:p>
        </w:tc>
        <w:tc>
          <w:tcPr>
            <w:tcW w:w="582" w:type="dxa"/>
            <w:noWrap/>
            <w:vAlign w:val="center"/>
            <w:hideMark/>
          </w:tcPr>
          <w:p w:rsidR="00DA285E" w:rsidRPr="002429C5" w:rsidRDefault="00DA285E" w:rsidP="00B824CC">
            <w:pPr>
              <w:pStyle w:val="DoNotTranslateExternal3"/>
            </w:pPr>
            <w:r w:rsidRPr="002429C5">
              <w:t>-</w:t>
            </w:r>
          </w:p>
        </w:tc>
        <w:tc>
          <w:tcPr>
            <w:tcW w:w="579" w:type="dxa"/>
            <w:noWrap/>
            <w:vAlign w:val="center"/>
            <w:hideMark/>
          </w:tcPr>
          <w:p w:rsidR="00DA285E" w:rsidRPr="002429C5" w:rsidRDefault="00DA285E" w:rsidP="00B824CC">
            <w:pPr>
              <w:pStyle w:val="DoNotTranslateExternal2"/>
            </w:pPr>
            <w:r w:rsidRPr="002429C5">
              <w:t>-</w:t>
            </w:r>
          </w:p>
        </w:tc>
        <w:tc>
          <w:tcPr>
            <w:tcW w:w="579" w:type="dxa"/>
            <w:noWrap/>
            <w:vAlign w:val="center"/>
            <w:hideMark/>
          </w:tcPr>
          <w:p w:rsidR="00DA285E" w:rsidRPr="002429C5" w:rsidRDefault="00DA285E" w:rsidP="00B824CC">
            <w:pPr>
              <w:pStyle w:val="DoNotTranslateExternal3"/>
            </w:pPr>
            <w:r w:rsidRPr="002429C5">
              <w:t>-</w:t>
            </w:r>
          </w:p>
        </w:tc>
        <w:tc>
          <w:tcPr>
            <w:tcW w:w="593" w:type="dxa"/>
            <w:noWrap/>
            <w:vAlign w:val="center"/>
            <w:hideMark/>
          </w:tcPr>
          <w:p w:rsidR="00DA285E" w:rsidRPr="002429C5" w:rsidRDefault="00DA285E" w:rsidP="00B824CC">
            <w:pPr>
              <w:pStyle w:val="DoNotTranslateExternal2"/>
            </w:pPr>
            <w:r w:rsidRPr="002429C5">
              <w:t>-</w:t>
            </w:r>
          </w:p>
        </w:tc>
        <w:tc>
          <w:tcPr>
            <w:tcW w:w="593" w:type="dxa"/>
            <w:noWrap/>
            <w:vAlign w:val="center"/>
            <w:hideMark/>
          </w:tcPr>
          <w:p w:rsidR="00DA285E" w:rsidRPr="002429C5" w:rsidRDefault="00DA285E" w:rsidP="00B824CC">
            <w:pPr>
              <w:pStyle w:val="DoNotTranslateExternal3"/>
            </w:pPr>
            <w:r w:rsidRPr="002429C5">
              <w:t>-</w:t>
            </w:r>
          </w:p>
        </w:tc>
        <w:tc>
          <w:tcPr>
            <w:tcW w:w="558" w:type="dxa"/>
            <w:noWrap/>
            <w:vAlign w:val="center"/>
            <w:hideMark/>
          </w:tcPr>
          <w:p w:rsidR="00DA285E" w:rsidRPr="002429C5" w:rsidRDefault="00DA285E" w:rsidP="00B824CC">
            <w:pPr>
              <w:pStyle w:val="DoNotTranslateExternal2"/>
            </w:pPr>
            <w:r w:rsidRPr="002429C5">
              <w:t>-</w:t>
            </w:r>
          </w:p>
        </w:tc>
        <w:tc>
          <w:tcPr>
            <w:tcW w:w="558" w:type="dxa"/>
            <w:noWrap/>
            <w:vAlign w:val="center"/>
            <w:hideMark/>
          </w:tcPr>
          <w:p w:rsidR="00DA285E" w:rsidRPr="002429C5" w:rsidRDefault="00DA285E" w:rsidP="00B824CC">
            <w:pPr>
              <w:pStyle w:val="DoNotTranslateExternal3"/>
            </w:pPr>
            <w:r w:rsidRPr="002429C5">
              <w:t>-</w:t>
            </w:r>
          </w:p>
        </w:tc>
        <w:tc>
          <w:tcPr>
            <w:tcW w:w="541" w:type="dxa"/>
            <w:noWrap/>
            <w:vAlign w:val="center"/>
            <w:hideMark/>
          </w:tcPr>
          <w:p w:rsidR="00DA285E" w:rsidRPr="002429C5" w:rsidRDefault="00DA285E" w:rsidP="00B824CC">
            <w:pPr>
              <w:pStyle w:val="DoNotTranslateExternal2"/>
            </w:pPr>
            <w:r w:rsidRPr="002429C5">
              <w:t>-</w:t>
            </w:r>
          </w:p>
        </w:tc>
        <w:tc>
          <w:tcPr>
            <w:tcW w:w="541" w:type="dxa"/>
            <w:tcBorders>
              <w:right w:val="single" w:sz="6" w:space="0" w:color="auto"/>
            </w:tcBorders>
            <w:noWrap/>
            <w:vAlign w:val="center"/>
            <w:hideMark/>
          </w:tcPr>
          <w:p w:rsidR="00DA285E" w:rsidRPr="002429C5" w:rsidRDefault="00DA285E" w:rsidP="00B824CC">
            <w:pPr>
              <w:pStyle w:val="DoNotTranslateExternal3"/>
            </w:pPr>
            <w:r w:rsidRPr="002429C5">
              <w:t>-</w:t>
            </w:r>
          </w:p>
        </w:tc>
        <w:tc>
          <w:tcPr>
            <w:tcW w:w="541" w:type="dxa"/>
            <w:tcBorders>
              <w:left w:val="single" w:sz="6" w:space="0" w:color="auto"/>
            </w:tcBorders>
            <w:noWrap/>
            <w:vAlign w:val="center"/>
            <w:hideMark/>
          </w:tcPr>
          <w:p w:rsidR="00DA285E" w:rsidRPr="002429C5" w:rsidRDefault="00DA285E" w:rsidP="00B824CC">
            <w:pPr>
              <w:pStyle w:val="DoNotTranslateExternal2"/>
            </w:pPr>
            <w:r w:rsidRPr="002429C5">
              <w:t>-</w:t>
            </w:r>
          </w:p>
        </w:tc>
        <w:tc>
          <w:tcPr>
            <w:tcW w:w="541" w:type="dxa"/>
            <w:tcBorders>
              <w:right w:val="single" w:sz="6" w:space="0" w:color="auto"/>
            </w:tcBorders>
            <w:noWrap/>
            <w:vAlign w:val="center"/>
            <w:hideMark/>
          </w:tcPr>
          <w:p w:rsidR="00DA285E" w:rsidRPr="002429C5" w:rsidRDefault="00DA285E" w:rsidP="00B824CC">
            <w:pPr>
              <w:pStyle w:val="DoNotTranslateExternal3"/>
            </w:pPr>
            <w:r w:rsidRPr="002429C5">
              <w:t>-</w:t>
            </w:r>
          </w:p>
        </w:tc>
      </w:tr>
      <w:tr w:rsidR="00DA285E" w:rsidRPr="002429C5" w:rsidTr="006948A4">
        <w:tc>
          <w:tcPr>
            <w:tcW w:w="1697" w:type="dxa"/>
            <w:shd w:val="clear" w:color="auto" w:fill="D9D9D9" w:themeFill="background1" w:themeFillShade="D9"/>
            <w:noWrap/>
            <w:vAlign w:val="center"/>
            <w:hideMark/>
          </w:tcPr>
          <w:p w:rsidR="00DA285E" w:rsidRPr="002429C5" w:rsidRDefault="00DA285E" w:rsidP="006A4BEB">
            <w:pPr>
              <w:spacing w:after="0"/>
              <w:rPr>
                <w:rFonts w:ascii="Arial" w:hAnsi="Arial" w:cs="Arial"/>
                <w:b/>
                <w:bCs/>
              </w:rPr>
            </w:pPr>
            <w:r w:rsidRPr="002429C5">
              <w:rPr>
                <w:rFonts w:ascii="Arial" w:hAnsi="Arial"/>
                <w:b/>
              </w:rPr>
              <w:t>Other accident</w:t>
            </w:r>
          </w:p>
        </w:tc>
        <w:tc>
          <w:tcPr>
            <w:tcW w:w="581" w:type="dxa"/>
            <w:noWrap/>
            <w:vAlign w:val="center"/>
            <w:hideMark/>
          </w:tcPr>
          <w:p w:rsidR="00DA285E" w:rsidRPr="002429C5" w:rsidRDefault="00DA285E" w:rsidP="00B824CC">
            <w:pPr>
              <w:pStyle w:val="DoNotTranslateExternal2"/>
            </w:pPr>
            <w:r w:rsidRPr="002429C5">
              <w:t>-</w:t>
            </w:r>
          </w:p>
        </w:tc>
        <w:tc>
          <w:tcPr>
            <w:tcW w:w="582" w:type="dxa"/>
            <w:noWrap/>
            <w:vAlign w:val="center"/>
            <w:hideMark/>
          </w:tcPr>
          <w:p w:rsidR="00DA285E" w:rsidRPr="002429C5" w:rsidRDefault="00DA285E" w:rsidP="00B824CC">
            <w:pPr>
              <w:pStyle w:val="DoNotTranslateExternal3"/>
            </w:pPr>
            <w:r w:rsidRPr="002429C5">
              <w:t>-</w:t>
            </w:r>
          </w:p>
        </w:tc>
        <w:tc>
          <w:tcPr>
            <w:tcW w:w="579" w:type="dxa"/>
            <w:noWrap/>
            <w:vAlign w:val="center"/>
            <w:hideMark/>
          </w:tcPr>
          <w:p w:rsidR="00DA285E" w:rsidRPr="002429C5" w:rsidRDefault="00DA285E" w:rsidP="00B824CC">
            <w:pPr>
              <w:pStyle w:val="DoNotTranslateExternal2"/>
            </w:pPr>
            <w:r w:rsidRPr="002429C5">
              <w:t>-</w:t>
            </w:r>
          </w:p>
        </w:tc>
        <w:tc>
          <w:tcPr>
            <w:tcW w:w="579" w:type="dxa"/>
            <w:noWrap/>
            <w:vAlign w:val="center"/>
            <w:hideMark/>
          </w:tcPr>
          <w:p w:rsidR="00DA285E" w:rsidRPr="002429C5" w:rsidRDefault="00DA285E" w:rsidP="00B824CC">
            <w:pPr>
              <w:pStyle w:val="DoNotTranslateExternal3"/>
            </w:pPr>
            <w:r w:rsidRPr="002429C5">
              <w:t>-</w:t>
            </w:r>
          </w:p>
        </w:tc>
        <w:tc>
          <w:tcPr>
            <w:tcW w:w="593" w:type="dxa"/>
            <w:noWrap/>
            <w:vAlign w:val="center"/>
            <w:hideMark/>
          </w:tcPr>
          <w:p w:rsidR="00DA285E" w:rsidRPr="002429C5" w:rsidRDefault="00DA285E" w:rsidP="00B824CC">
            <w:pPr>
              <w:pStyle w:val="DoNotTranslateExternal2"/>
            </w:pPr>
            <w:r w:rsidRPr="002429C5">
              <w:t>-</w:t>
            </w:r>
          </w:p>
        </w:tc>
        <w:tc>
          <w:tcPr>
            <w:tcW w:w="593" w:type="dxa"/>
            <w:noWrap/>
            <w:vAlign w:val="center"/>
            <w:hideMark/>
          </w:tcPr>
          <w:p w:rsidR="00DA285E" w:rsidRPr="002429C5" w:rsidRDefault="00DA285E" w:rsidP="00B824CC">
            <w:pPr>
              <w:pStyle w:val="DoNotTranslateExternal3"/>
            </w:pPr>
            <w:r w:rsidRPr="002429C5">
              <w:t>-</w:t>
            </w:r>
          </w:p>
        </w:tc>
        <w:tc>
          <w:tcPr>
            <w:tcW w:w="558" w:type="dxa"/>
            <w:noWrap/>
            <w:vAlign w:val="center"/>
            <w:hideMark/>
          </w:tcPr>
          <w:p w:rsidR="00DA285E" w:rsidRPr="002429C5" w:rsidRDefault="00DA285E" w:rsidP="00B824CC">
            <w:pPr>
              <w:pStyle w:val="DoNotTranslateExternal2"/>
            </w:pPr>
            <w:r w:rsidRPr="002429C5">
              <w:t>1</w:t>
            </w:r>
          </w:p>
        </w:tc>
        <w:tc>
          <w:tcPr>
            <w:tcW w:w="558" w:type="dxa"/>
            <w:noWrap/>
            <w:vAlign w:val="center"/>
            <w:hideMark/>
          </w:tcPr>
          <w:p w:rsidR="00DA285E" w:rsidRPr="002429C5" w:rsidRDefault="00DA285E" w:rsidP="00B824CC">
            <w:pPr>
              <w:pStyle w:val="DoNotTranslateExternal3"/>
            </w:pPr>
            <w:r w:rsidRPr="002429C5">
              <w:t>1</w:t>
            </w:r>
          </w:p>
        </w:tc>
        <w:tc>
          <w:tcPr>
            <w:tcW w:w="541" w:type="dxa"/>
            <w:noWrap/>
            <w:vAlign w:val="center"/>
            <w:hideMark/>
          </w:tcPr>
          <w:p w:rsidR="00DA285E" w:rsidRPr="002429C5" w:rsidRDefault="00DA285E" w:rsidP="00B824CC">
            <w:pPr>
              <w:pStyle w:val="DoNotTranslateExternal2"/>
            </w:pPr>
            <w:r w:rsidRPr="002429C5">
              <w:t>-</w:t>
            </w:r>
          </w:p>
        </w:tc>
        <w:tc>
          <w:tcPr>
            <w:tcW w:w="541" w:type="dxa"/>
            <w:tcBorders>
              <w:right w:val="single" w:sz="6" w:space="0" w:color="auto"/>
            </w:tcBorders>
            <w:noWrap/>
            <w:vAlign w:val="center"/>
            <w:hideMark/>
          </w:tcPr>
          <w:p w:rsidR="00DA285E" w:rsidRPr="002429C5" w:rsidRDefault="00DA285E" w:rsidP="00B824CC">
            <w:pPr>
              <w:pStyle w:val="DoNotTranslateExternal3"/>
            </w:pPr>
            <w:r w:rsidRPr="002429C5">
              <w:t>-</w:t>
            </w:r>
          </w:p>
        </w:tc>
        <w:tc>
          <w:tcPr>
            <w:tcW w:w="541" w:type="dxa"/>
            <w:tcBorders>
              <w:left w:val="single" w:sz="6" w:space="0" w:color="auto"/>
            </w:tcBorders>
            <w:noWrap/>
            <w:vAlign w:val="center"/>
            <w:hideMark/>
          </w:tcPr>
          <w:p w:rsidR="00DA285E" w:rsidRPr="002429C5" w:rsidRDefault="00DA285E" w:rsidP="00B824CC">
            <w:pPr>
              <w:pStyle w:val="DoNotTranslateExternal2"/>
            </w:pPr>
            <w:r w:rsidRPr="002429C5">
              <w:t>1</w:t>
            </w:r>
          </w:p>
        </w:tc>
        <w:tc>
          <w:tcPr>
            <w:tcW w:w="541" w:type="dxa"/>
            <w:tcBorders>
              <w:right w:val="single" w:sz="6" w:space="0" w:color="auto"/>
            </w:tcBorders>
            <w:noWrap/>
            <w:vAlign w:val="center"/>
            <w:hideMark/>
          </w:tcPr>
          <w:p w:rsidR="00DA285E" w:rsidRPr="002429C5" w:rsidRDefault="00DA285E" w:rsidP="00B824CC">
            <w:pPr>
              <w:pStyle w:val="DoNotTranslateExternal3"/>
            </w:pPr>
            <w:r w:rsidRPr="002429C5">
              <w:t>1</w:t>
            </w:r>
          </w:p>
        </w:tc>
      </w:tr>
      <w:tr w:rsidR="00DA285E" w:rsidRPr="002429C5" w:rsidTr="006948A4">
        <w:tc>
          <w:tcPr>
            <w:tcW w:w="1697" w:type="dxa"/>
            <w:tcBorders>
              <w:bottom w:val="single" w:sz="6" w:space="0" w:color="auto"/>
            </w:tcBorders>
            <w:shd w:val="clear" w:color="auto" w:fill="D9D9D9" w:themeFill="background1" w:themeFillShade="D9"/>
            <w:noWrap/>
            <w:vAlign w:val="center"/>
            <w:hideMark/>
          </w:tcPr>
          <w:p w:rsidR="00DA285E" w:rsidRPr="002429C5" w:rsidRDefault="00DA285E" w:rsidP="006A4BEB">
            <w:pPr>
              <w:spacing w:after="0"/>
              <w:rPr>
                <w:rFonts w:ascii="Arial" w:hAnsi="Arial" w:cs="Arial"/>
                <w:b/>
                <w:bCs/>
              </w:rPr>
            </w:pPr>
            <w:r w:rsidRPr="002429C5">
              <w:rPr>
                <w:rFonts w:ascii="Arial" w:hAnsi="Arial"/>
                <w:b/>
              </w:rPr>
              <w:t>Hazardous goods</w:t>
            </w:r>
          </w:p>
        </w:tc>
        <w:tc>
          <w:tcPr>
            <w:tcW w:w="581" w:type="dxa"/>
            <w:tcBorders>
              <w:bottom w:val="single" w:sz="6" w:space="0" w:color="auto"/>
            </w:tcBorders>
            <w:noWrap/>
            <w:vAlign w:val="center"/>
            <w:hideMark/>
          </w:tcPr>
          <w:p w:rsidR="00DA285E" w:rsidRPr="002429C5" w:rsidRDefault="00DA285E" w:rsidP="00B824CC">
            <w:pPr>
              <w:pStyle w:val="DoNotTranslateExternal2"/>
            </w:pPr>
            <w:r w:rsidRPr="002429C5">
              <w:t>-</w:t>
            </w:r>
          </w:p>
        </w:tc>
        <w:tc>
          <w:tcPr>
            <w:tcW w:w="582" w:type="dxa"/>
            <w:tcBorders>
              <w:bottom w:val="single" w:sz="6" w:space="0" w:color="auto"/>
            </w:tcBorders>
            <w:noWrap/>
            <w:vAlign w:val="center"/>
            <w:hideMark/>
          </w:tcPr>
          <w:p w:rsidR="00DA285E" w:rsidRPr="002429C5" w:rsidRDefault="00DA285E" w:rsidP="00B824CC">
            <w:pPr>
              <w:pStyle w:val="DoNotTranslateExternal3"/>
            </w:pPr>
            <w:r w:rsidRPr="002429C5">
              <w:t>-</w:t>
            </w:r>
          </w:p>
        </w:tc>
        <w:tc>
          <w:tcPr>
            <w:tcW w:w="579" w:type="dxa"/>
            <w:tcBorders>
              <w:bottom w:val="single" w:sz="6" w:space="0" w:color="auto"/>
            </w:tcBorders>
            <w:noWrap/>
            <w:vAlign w:val="center"/>
            <w:hideMark/>
          </w:tcPr>
          <w:p w:rsidR="00DA285E" w:rsidRPr="002429C5" w:rsidRDefault="00DA285E" w:rsidP="00B824CC">
            <w:pPr>
              <w:pStyle w:val="DoNotTranslateExternal2"/>
            </w:pPr>
            <w:r w:rsidRPr="002429C5">
              <w:t>-</w:t>
            </w:r>
          </w:p>
        </w:tc>
        <w:tc>
          <w:tcPr>
            <w:tcW w:w="579" w:type="dxa"/>
            <w:tcBorders>
              <w:bottom w:val="single" w:sz="6" w:space="0" w:color="auto"/>
            </w:tcBorders>
            <w:noWrap/>
            <w:vAlign w:val="center"/>
            <w:hideMark/>
          </w:tcPr>
          <w:p w:rsidR="00DA285E" w:rsidRPr="002429C5" w:rsidRDefault="00DA285E" w:rsidP="00B824CC">
            <w:pPr>
              <w:pStyle w:val="DoNotTranslateExternal3"/>
            </w:pPr>
            <w:r w:rsidRPr="002429C5">
              <w:t>-</w:t>
            </w:r>
          </w:p>
        </w:tc>
        <w:tc>
          <w:tcPr>
            <w:tcW w:w="593" w:type="dxa"/>
            <w:tcBorders>
              <w:bottom w:val="single" w:sz="6" w:space="0" w:color="auto"/>
            </w:tcBorders>
            <w:noWrap/>
            <w:vAlign w:val="center"/>
            <w:hideMark/>
          </w:tcPr>
          <w:p w:rsidR="00DA285E" w:rsidRPr="002429C5" w:rsidRDefault="00DA285E" w:rsidP="00B824CC">
            <w:pPr>
              <w:pStyle w:val="DoNotTranslateExternal2"/>
            </w:pPr>
            <w:r w:rsidRPr="002429C5">
              <w:t>-</w:t>
            </w:r>
          </w:p>
        </w:tc>
        <w:tc>
          <w:tcPr>
            <w:tcW w:w="593" w:type="dxa"/>
            <w:tcBorders>
              <w:bottom w:val="single" w:sz="6" w:space="0" w:color="auto"/>
            </w:tcBorders>
            <w:noWrap/>
            <w:vAlign w:val="center"/>
            <w:hideMark/>
          </w:tcPr>
          <w:p w:rsidR="00DA285E" w:rsidRPr="002429C5" w:rsidRDefault="00DA285E" w:rsidP="00B824CC">
            <w:pPr>
              <w:pStyle w:val="DoNotTranslateExternal3"/>
            </w:pPr>
            <w:r w:rsidRPr="002429C5">
              <w:t>-</w:t>
            </w:r>
          </w:p>
        </w:tc>
        <w:tc>
          <w:tcPr>
            <w:tcW w:w="558" w:type="dxa"/>
            <w:tcBorders>
              <w:bottom w:val="single" w:sz="6" w:space="0" w:color="auto"/>
            </w:tcBorders>
            <w:noWrap/>
            <w:vAlign w:val="center"/>
            <w:hideMark/>
          </w:tcPr>
          <w:p w:rsidR="00DA285E" w:rsidRPr="002429C5" w:rsidRDefault="00DA285E" w:rsidP="00B824CC">
            <w:pPr>
              <w:pStyle w:val="DoNotTranslateExternal2"/>
            </w:pPr>
            <w:r w:rsidRPr="002429C5">
              <w:t>-</w:t>
            </w:r>
          </w:p>
        </w:tc>
        <w:tc>
          <w:tcPr>
            <w:tcW w:w="558" w:type="dxa"/>
            <w:tcBorders>
              <w:bottom w:val="single" w:sz="6" w:space="0" w:color="auto"/>
            </w:tcBorders>
            <w:noWrap/>
            <w:vAlign w:val="center"/>
            <w:hideMark/>
          </w:tcPr>
          <w:p w:rsidR="00DA285E" w:rsidRPr="002429C5" w:rsidRDefault="00DA285E" w:rsidP="00B824CC">
            <w:pPr>
              <w:pStyle w:val="DoNotTranslateExternal3"/>
            </w:pPr>
            <w:r w:rsidRPr="002429C5">
              <w:t>-</w:t>
            </w:r>
          </w:p>
        </w:tc>
        <w:tc>
          <w:tcPr>
            <w:tcW w:w="541" w:type="dxa"/>
            <w:tcBorders>
              <w:bottom w:val="single" w:sz="6" w:space="0" w:color="auto"/>
            </w:tcBorders>
            <w:noWrap/>
            <w:vAlign w:val="center"/>
            <w:hideMark/>
          </w:tcPr>
          <w:p w:rsidR="00DA285E" w:rsidRPr="002429C5" w:rsidRDefault="00DA285E" w:rsidP="00B824CC">
            <w:pPr>
              <w:pStyle w:val="DoNotTranslateExternal2"/>
            </w:pPr>
            <w:r w:rsidRPr="002429C5">
              <w:t>-</w:t>
            </w:r>
          </w:p>
        </w:tc>
        <w:tc>
          <w:tcPr>
            <w:tcW w:w="541" w:type="dxa"/>
            <w:tcBorders>
              <w:bottom w:val="single" w:sz="6" w:space="0" w:color="auto"/>
              <w:right w:val="single" w:sz="6" w:space="0" w:color="auto"/>
            </w:tcBorders>
            <w:noWrap/>
            <w:vAlign w:val="center"/>
            <w:hideMark/>
          </w:tcPr>
          <w:p w:rsidR="00DA285E" w:rsidRPr="002429C5" w:rsidRDefault="00DA285E" w:rsidP="00B824CC">
            <w:pPr>
              <w:pStyle w:val="DoNotTranslateExternal3"/>
            </w:pPr>
            <w:r w:rsidRPr="002429C5">
              <w:t>-</w:t>
            </w:r>
          </w:p>
        </w:tc>
        <w:tc>
          <w:tcPr>
            <w:tcW w:w="541" w:type="dxa"/>
            <w:tcBorders>
              <w:left w:val="single" w:sz="6" w:space="0" w:color="auto"/>
              <w:bottom w:val="single" w:sz="6" w:space="0" w:color="auto"/>
            </w:tcBorders>
            <w:noWrap/>
            <w:vAlign w:val="center"/>
            <w:hideMark/>
          </w:tcPr>
          <w:p w:rsidR="00DA285E" w:rsidRPr="002429C5" w:rsidRDefault="00DA285E" w:rsidP="00B824CC">
            <w:pPr>
              <w:pStyle w:val="DoNotTranslateExternal2"/>
            </w:pPr>
            <w:r w:rsidRPr="002429C5">
              <w:t>-</w:t>
            </w:r>
          </w:p>
        </w:tc>
        <w:tc>
          <w:tcPr>
            <w:tcW w:w="541" w:type="dxa"/>
            <w:tcBorders>
              <w:bottom w:val="single" w:sz="6" w:space="0" w:color="auto"/>
              <w:right w:val="single" w:sz="6" w:space="0" w:color="auto"/>
            </w:tcBorders>
            <w:noWrap/>
            <w:vAlign w:val="center"/>
            <w:hideMark/>
          </w:tcPr>
          <w:p w:rsidR="00DA285E" w:rsidRPr="002429C5" w:rsidRDefault="00DA285E" w:rsidP="00B824CC">
            <w:pPr>
              <w:pStyle w:val="DoNotTranslateExternal3"/>
            </w:pPr>
            <w:r w:rsidRPr="002429C5">
              <w:t>-</w:t>
            </w:r>
          </w:p>
        </w:tc>
      </w:tr>
      <w:tr w:rsidR="00DA285E" w:rsidRPr="002429C5" w:rsidTr="00B824CC">
        <w:trPr>
          <w:trHeight w:val="794"/>
        </w:trPr>
        <w:tc>
          <w:tcPr>
            <w:tcW w:w="1697" w:type="dxa"/>
            <w:tcBorders>
              <w:top w:val="single" w:sz="6" w:space="0" w:color="auto"/>
              <w:left w:val="single" w:sz="6" w:space="0" w:color="auto"/>
              <w:bottom w:val="single" w:sz="6" w:space="0" w:color="auto"/>
            </w:tcBorders>
            <w:shd w:val="clear" w:color="auto" w:fill="D9D9D9" w:themeFill="background1" w:themeFillShade="D9"/>
            <w:noWrap/>
            <w:vAlign w:val="center"/>
            <w:hideMark/>
          </w:tcPr>
          <w:p w:rsidR="00DA285E" w:rsidRPr="002429C5" w:rsidRDefault="00DA285E" w:rsidP="006A4BEB">
            <w:pPr>
              <w:spacing w:after="0"/>
              <w:rPr>
                <w:rFonts w:ascii="Arial" w:hAnsi="Arial" w:cs="Arial"/>
                <w:b/>
                <w:bCs/>
              </w:rPr>
            </w:pPr>
            <w:r w:rsidRPr="002429C5">
              <w:rPr>
                <w:rFonts w:ascii="Arial" w:hAnsi="Arial"/>
                <w:b/>
              </w:rPr>
              <w:t>total</w:t>
            </w:r>
          </w:p>
        </w:tc>
        <w:tc>
          <w:tcPr>
            <w:tcW w:w="581" w:type="dxa"/>
            <w:tcBorders>
              <w:top w:val="single" w:sz="6" w:space="0" w:color="auto"/>
              <w:bottom w:val="single" w:sz="6" w:space="0" w:color="auto"/>
            </w:tcBorders>
            <w:noWrap/>
            <w:vAlign w:val="center"/>
            <w:hideMark/>
          </w:tcPr>
          <w:p w:rsidR="00DA285E" w:rsidRPr="002429C5" w:rsidRDefault="00DA285E" w:rsidP="00B824CC">
            <w:pPr>
              <w:pStyle w:val="DoNotTranslateExternal2"/>
              <w:rPr>
                <w:b/>
                <w:bCs/>
              </w:rPr>
            </w:pPr>
            <w:r w:rsidRPr="002429C5">
              <w:rPr>
                <w:b/>
              </w:rPr>
              <w:t>0</w:t>
            </w:r>
          </w:p>
        </w:tc>
        <w:tc>
          <w:tcPr>
            <w:tcW w:w="582" w:type="dxa"/>
            <w:tcBorders>
              <w:top w:val="single" w:sz="6" w:space="0" w:color="auto"/>
              <w:bottom w:val="single" w:sz="6" w:space="0" w:color="auto"/>
            </w:tcBorders>
            <w:noWrap/>
            <w:vAlign w:val="center"/>
            <w:hideMark/>
          </w:tcPr>
          <w:p w:rsidR="00DA285E" w:rsidRPr="002429C5" w:rsidRDefault="00DA285E" w:rsidP="00B824CC">
            <w:pPr>
              <w:pStyle w:val="DoNotTranslateExternal3"/>
            </w:pPr>
            <w:r w:rsidRPr="002429C5">
              <w:t>1</w:t>
            </w:r>
          </w:p>
        </w:tc>
        <w:tc>
          <w:tcPr>
            <w:tcW w:w="579" w:type="dxa"/>
            <w:tcBorders>
              <w:top w:val="single" w:sz="6" w:space="0" w:color="auto"/>
              <w:bottom w:val="single" w:sz="6" w:space="0" w:color="auto"/>
            </w:tcBorders>
            <w:noWrap/>
            <w:vAlign w:val="center"/>
            <w:hideMark/>
          </w:tcPr>
          <w:p w:rsidR="00DA285E" w:rsidRPr="002429C5" w:rsidRDefault="00DA285E" w:rsidP="00B824CC">
            <w:pPr>
              <w:pStyle w:val="DoNotTranslateExternal2"/>
              <w:rPr>
                <w:b/>
                <w:bCs/>
              </w:rPr>
            </w:pPr>
            <w:r w:rsidRPr="002429C5">
              <w:rPr>
                <w:b/>
              </w:rPr>
              <w:t>0</w:t>
            </w:r>
          </w:p>
        </w:tc>
        <w:tc>
          <w:tcPr>
            <w:tcW w:w="579" w:type="dxa"/>
            <w:tcBorders>
              <w:top w:val="single" w:sz="6" w:space="0" w:color="auto"/>
              <w:bottom w:val="single" w:sz="6" w:space="0" w:color="auto"/>
            </w:tcBorders>
            <w:noWrap/>
            <w:vAlign w:val="center"/>
            <w:hideMark/>
          </w:tcPr>
          <w:p w:rsidR="00DA285E" w:rsidRPr="002429C5" w:rsidRDefault="00DA285E" w:rsidP="00B824CC">
            <w:pPr>
              <w:pStyle w:val="DoNotTranslateExternal3"/>
            </w:pPr>
            <w:r w:rsidRPr="002429C5">
              <w:t>0</w:t>
            </w:r>
          </w:p>
        </w:tc>
        <w:tc>
          <w:tcPr>
            <w:tcW w:w="593" w:type="dxa"/>
            <w:tcBorders>
              <w:top w:val="single" w:sz="6" w:space="0" w:color="auto"/>
              <w:bottom w:val="single" w:sz="6" w:space="0" w:color="auto"/>
            </w:tcBorders>
            <w:noWrap/>
            <w:vAlign w:val="center"/>
            <w:hideMark/>
          </w:tcPr>
          <w:p w:rsidR="00DA285E" w:rsidRPr="002429C5" w:rsidRDefault="00DA285E" w:rsidP="00B824CC">
            <w:pPr>
              <w:pStyle w:val="DoNotTranslateExternal2"/>
              <w:rPr>
                <w:b/>
                <w:bCs/>
              </w:rPr>
            </w:pPr>
            <w:r w:rsidRPr="002429C5">
              <w:rPr>
                <w:b/>
              </w:rPr>
              <w:t>6</w:t>
            </w:r>
          </w:p>
        </w:tc>
        <w:tc>
          <w:tcPr>
            <w:tcW w:w="593" w:type="dxa"/>
            <w:tcBorders>
              <w:top w:val="single" w:sz="6" w:space="0" w:color="auto"/>
              <w:bottom w:val="single" w:sz="6" w:space="0" w:color="auto"/>
            </w:tcBorders>
            <w:noWrap/>
            <w:vAlign w:val="center"/>
            <w:hideMark/>
          </w:tcPr>
          <w:p w:rsidR="00DA285E" w:rsidRPr="002429C5" w:rsidRDefault="00DA285E" w:rsidP="00B824CC">
            <w:pPr>
              <w:pStyle w:val="DoNotTranslateExternal3"/>
            </w:pPr>
            <w:r w:rsidRPr="002429C5">
              <w:t>0</w:t>
            </w:r>
          </w:p>
        </w:tc>
        <w:tc>
          <w:tcPr>
            <w:tcW w:w="558" w:type="dxa"/>
            <w:tcBorders>
              <w:top w:val="single" w:sz="6" w:space="0" w:color="auto"/>
              <w:bottom w:val="single" w:sz="6" w:space="0" w:color="auto"/>
            </w:tcBorders>
            <w:noWrap/>
            <w:vAlign w:val="center"/>
            <w:hideMark/>
          </w:tcPr>
          <w:p w:rsidR="00DA285E" w:rsidRPr="002429C5" w:rsidRDefault="00DA285E" w:rsidP="00B824CC">
            <w:pPr>
              <w:pStyle w:val="DoNotTranslateExternal2"/>
              <w:rPr>
                <w:b/>
                <w:bCs/>
              </w:rPr>
            </w:pPr>
            <w:r w:rsidRPr="002429C5">
              <w:rPr>
                <w:b/>
              </w:rPr>
              <w:t>7</w:t>
            </w:r>
          </w:p>
        </w:tc>
        <w:tc>
          <w:tcPr>
            <w:tcW w:w="558" w:type="dxa"/>
            <w:tcBorders>
              <w:top w:val="single" w:sz="6" w:space="0" w:color="auto"/>
              <w:bottom w:val="single" w:sz="6" w:space="0" w:color="auto"/>
            </w:tcBorders>
            <w:noWrap/>
            <w:vAlign w:val="center"/>
            <w:hideMark/>
          </w:tcPr>
          <w:p w:rsidR="00DA285E" w:rsidRPr="002429C5" w:rsidRDefault="00DA285E" w:rsidP="00B824CC">
            <w:pPr>
              <w:pStyle w:val="DoNotTranslateExternal3"/>
            </w:pPr>
            <w:r w:rsidRPr="002429C5">
              <w:t>5</w:t>
            </w:r>
          </w:p>
        </w:tc>
        <w:tc>
          <w:tcPr>
            <w:tcW w:w="541" w:type="dxa"/>
            <w:tcBorders>
              <w:top w:val="single" w:sz="6" w:space="0" w:color="auto"/>
              <w:bottom w:val="single" w:sz="6" w:space="0" w:color="auto"/>
            </w:tcBorders>
            <w:noWrap/>
            <w:vAlign w:val="center"/>
            <w:hideMark/>
          </w:tcPr>
          <w:p w:rsidR="00DA285E" w:rsidRPr="002429C5" w:rsidRDefault="00DA285E" w:rsidP="00B824CC">
            <w:pPr>
              <w:pStyle w:val="DoNotTranslateExternal2"/>
              <w:rPr>
                <w:b/>
                <w:bCs/>
              </w:rPr>
            </w:pPr>
            <w:r w:rsidRPr="002429C5">
              <w:rPr>
                <w:b/>
              </w:rPr>
              <w:t>1</w:t>
            </w:r>
          </w:p>
        </w:tc>
        <w:tc>
          <w:tcPr>
            <w:tcW w:w="541" w:type="dxa"/>
            <w:tcBorders>
              <w:top w:val="single" w:sz="6" w:space="0" w:color="auto"/>
              <w:bottom w:val="single" w:sz="6" w:space="0" w:color="auto"/>
              <w:right w:val="single" w:sz="6" w:space="0" w:color="auto"/>
            </w:tcBorders>
            <w:noWrap/>
            <w:vAlign w:val="center"/>
            <w:hideMark/>
          </w:tcPr>
          <w:p w:rsidR="00DA285E" w:rsidRPr="002429C5" w:rsidRDefault="00DA285E" w:rsidP="00B824CC">
            <w:pPr>
              <w:pStyle w:val="DoNotTranslateExternal3"/>
            </w:pPr>
            <w:r w:rsidRPr="002429C5">
              <w:t>1</w:t>
            </w:r>
          </w:p>
        </w:tc>
        <w:tc>
          <w:tcPr>
            <w:tcW w:w="541" w:type="dxa"/>
            <w:tcBorders>
              <w:top w:val="single" w:sz="6" w:space="0" w:color="auto"/>
              <w:left w:val="single" w:sz="6" w:space="0" w:color="auto"/>
              <w:bottom w:val="single" w:sz="6" w:space="0" w:color="auto"/>
            </w:tcBorders>
            <w:noWrap/>
            <w:vAlign w:val="center"/>
            <w:hideMark/>
          </w:tcPr>
          <w:p w:rsidR="00DA285E" w:rsidRPr="002429C5" w:rsidRDefault="00DA285E" w:rsidP="00B824CC">
            <w:pPr>
              <w:pStyle w:val="DoNotTranslateExternal2"/>
              <w:rPr>
                <w:b/>
                <w:bCs/>
              </w:rPr>
            </w:pPr>
            <w:r w:rsidRPr="002429C5">
              <w:rPr>
                <w:b/>
              </w:rPr>
              <w:t>14</w:t>
            </w:r>
          </w:p>
        </w:tc>
        <w:tc>
          <w:tcPr>
            <w:tcW w:w="541" w:type="dxa"/>
            <w:tcBorders>
              <w:top w:val="single" w:sz="6" w:space="0" w:color="auto"/>
              <w:bottom w:val="single" w:sz="6" w:space="0" w:color="auto"/>
              <w:right w:val="single" w:sz="6" w:space="0" w:color="auto"/>
            </w:tcBorders>
            <w:noWrap/>
            <w:vAlign w:val="center"/>
            <w:hideMark/>
          </w:tcPr>
          <w:p w:rsidR="00DA285E" w:rsidRPr="002429C5" w:rsidRDefault="00DA285E" w:rsidP="00B824CC">
            <w:pPr>
              <w:pStyle w:val="DoNotTranslateExternal3"/>
            </w:pPr>
            <w:r w:rsidRPr="002429C5">
              <w:t>7</w:t>
            </w:r>
          </w:p>
        </w:tc>
      </w:tr>
    </w:tbl>
    <w:p w:rsidR="00DA285E" w:rsidRPr="002429C5" w:rsidRDefault="00DA285E" w:rsidP="00DA285E">
      <w:pPr>
        <w:spacing w:after="0" w:line="240" w:lineRule="exact"/>
        <w:rPr>
          <w:i/>
          <w:iCs/>
          <w:sz w:val="14"/>
          <w:szCs w:val="14"/>
        </w:rPr>
      </w:pPr>
      <w:r w:rsidRPr="002429C5">
        <w:rPr>
          <w:i/>
          <w:sz w:val="14"/>
        </w:rPr>
        <w:t>In 2014, 14 people were killed and 7 seriously injured in railway accidents</w:t>
      </w:r>
    </w:p>
    <w:p w:rsidR="00F82AF0" w:rsidRPr="002429C5" w:rsidRDefault="00F82AF0" w:rsidP="00DA285E">
      <w:pPr>
        <w:spacing w:after="0" w:line="240" w:lineRule="exact"/>
        <w:rPr>
          <w:i/>
          <w:iCs/>
          <w:sz w:val="14"/>
          <w:szCs w:val="14"/>
        </w:rPr>
      </w:pPr>
    </w:p>
    <w:p w:rsidR="00DA285E" w:rsidRPr="002429C5" w:rsidRDefault="00DA285E" w:rsidP="00FD0977">
      <w:pPr>
        <w:pStyle w:val="Heading2"/>
        <w:sectPr w:rsidR="00DA285E" w:rsidRPr="002429C5" w:rsidSect="00356DD7">
          <w:type w:val="continuous"/>
          <w:pgSz w:w="11906" w:h="16838" w:code="9"/>
          <w:pgMar w:top="1985" w:right="1985" w:bottom="1418" w:left="1985" w:header="709" w:footer="709" w:gutter="0"/>
          <w:cols w:space="709"/>
          <w:titlePg/>
          <w:docGrid w:linePitch="360"/>
        </w:sectPr>
      </w:pPr>
    </w:p>
    <w:p w:rsidR="00FD0977" w:rsidRPr="002429C5" w:rsidRDefault="00FD0977" w:rsidP="00FD0977">
      <w:pPr>
        <w:pStyle w:val="Heading2"/>
      </w:pPr>
      <w:bookmarkStart w:id="8" w:name="_Toc441733515"/>
      <w:r w:rsidRPr="002429C5">
        <w:lastRenderedPageBreak/>
        <w:t>Suicides on the railway</w:t>
      </w:r>
      <w:bookmarkEnd w:id="8"/>
    </w:p>
    <w:p w:rsidR="006948A4" w:rsidRPr="002429C5" w:rsidRDefault="006948A4" w:rsidP="00FD0977">
      <w:pPr>
        <w:sectPr w:rsidR="006948A4" w:rsidRPr="002429C5" w:rsidSect="00356DD7">
          <w:type w:val="continuous"/>
          <w:pgSz w:w="11906" w:h="16838" w:code="9"/>
          <w:pgMar w:top="1985" w:right="1985" w:bottom="1418" w:left="1985" w:header="709" w:footer="709" w:gutter="0"/>
          <w:cols w:space="709"/>
          <w:titlePg/>
          <w:docGrid w:linePitch="360"/>
        </w:sectPr>
      </w:pPr>
    </w:p>
    <w:p w:rsidR="00FD0977" w:rsidRPr="002429C5" w:rsidRDefault="00FD0977" w:rsidP="00FD0977">
      <w:r w:rsidRPr="002429C5">
        <w:lastRenderedPageBreak/>
        <w:t>Suicide is not viewed as a railway accident in the traditional sense. This is due to the fact that the causes of suicide are not directly related to the railways. Suicide on the railways is no different from suicide in other locations, and should be prevented in the same way as suicides in general.</w:t>
      </w:r>
    </w:p>
    <w:p w:rsidR="00B824CC" w:rsidRPr="002429C5" w:rsidRDefault="00FD0977" w:rsidP="00FD0977">
      <w:r w:rsidRPr="002429C5">
        <w:t>Nevertheless, it is interesting to monitor the number of suicides on the railways. Besides the fact that suicide and attempted suicide obviously have very serious consequences for those who choose to take their own lives, and their relatives, suicide also has serious repercussions for train drivers and any witnesses to the suicide, as well as a general negative effect on the railways.</w:t>
      </w:r>
    </w:p>
    <w:p w:rsidR="00B824CC" w:rsidRPr="002429C5" w:rsidRDefault="00FD0977" w:rsidP="00FD0977">
      <w:r w:rsidRPr="002429C5">
        <w:t>There are therefore many reasons why it is important to prevent suicides wherever possible – including on the railways.</w:t>
      </w:r>
    </w:p>
    <w:p w:rsidR="00FD0977" w:rsidRPr="002429C5" w:rsidRDefault="00FD0977" w:rsidP="00FD0977">
      <w:r w:rsidRPr="002429C5">
        <w:lastRenderedPageBreak/>
        <w:t>In the EU, the number of suicides on the railways has risen by approximately 100 people a year since 2008. In 2008 there were around 2 500 suicides on the railways, while in 2012 there were almost 3 000 suicides.</w:t>
      </w:r>
    </w:p>
    <w:p w:rsidR="00FD0977" w:rsidRPr="002429C5" w:rsidRDefault="00FD0977" w:rsidP="00FD0977">
      <w:r w:rsidRPr="002429C5">
        <w:t>In Denmark, the trend in suicides has been smoother. In the last five years, the number of suicides has typically hovered around 25 - 30 suicides a year. In 2012, however, the number of suicides on the railways was unusually high, with 44 people committing suicide. And yet in both 2013 and 2014 the number of suicides fell to 31 in 2014 and 29 in 2013 (see figure 5).</w:t>
      </w:r>
    </w:p>
    <w:p w:rsidR="00B824CC" w:rsidRPr="002429C5" w:rsidRDefault="00FD0977" w:rsidP="00FD0977">
      <w:r w:rsidRPr="002429C5">
        <w:t>When it is compared with the number of kilometres travelled on the railways, the number of suicides on the railways in Denmark is still relatively low compared with other European countries.</w:t>
      </w:r>
    </w:p>
    <w:p w:rsidR="006948A4" w:rsidRPr="002429C5" w:rsidRDefault="006948A4" w:rsidP="00FD0977">
      <w:pPr>
        <w:sectPr w:rsidR="006948A4" w:rsidRPr="002429C5" w:rsidSect="00356DD7">
          <w:type w:val="continuous"/>
          <w:pgSz w:w="11906" w:h="16838" w:code="9"/>
          <w:pgMar w:top="1985" w:right="1985" w:bottom="1418" w:left="1985" w:header="709" w:footer="709" w:gutter="0"/>
          <w:cols w:num="2" w:space="709"/>
          <w:titlePg/>
          <w:docGrid w:linePitch="360"/>
        </w:sectPr>
      </w:pPr>
    </w:p>
    <w:p w:rsidR="00FD0977" w:rsidRPr="002429C5" w:rsidRDefault="00FD0977" w:rsidP="006948A4"/>
    <w:p w:rsidR="00FD0977" w:rsidRPr="002429C5" w:rsidRDefault="00FD0977" w:rsidP="00FD0977">
      <w:pPr>
        <w:pStyle w:val="Tabeltitel"/>
        <w:numPr>
          <w:ilvl w:val="0"/>
          <w:numId w:val="0"/>
        </w:numPr>
      </w:pPr>
      <w:r w:rsidRPr="002429C5">
        <w:t>Figure 5: Number of suicides on the railways in the period 1999-2014.</w:t>
      </w:r>
    </w:p>
    <w:p w:rsidR="00FD0977" w:rsidRPr="002429C5" w:rsidRDefault="00FD0977" w:rsidP="00FD0977">
      <w:pPr>
        <w:sectPr w:rsidR="00FD0977" w:rsidRPr="002429C5" w:rsidSect="00356DD7">
          <w:headerReference w:type="default" r:id="rId25"/>
          <w:type w:val="continuous"/>
          <w:pgSz w:w="11906" w:h="16838" w:code="9"/>
          <w:pgMar w:top="1985" w:right="1985" w:bottom="1418" w:left="1985" w:header="709" w:footer="709" w:gutter="0"/>
          <w:cols w:space="709"/>
          <w:titlePg/>
          <w:docGrid w:linePitch="360"/>
        </w:sectPr>
      </w:pPr>
    </w:p>
    <w:p w:rsidR="00FD0977" w:rsidRPr="002429C5" w:rsidRDefault="00A547DC" w:rsidP="006948A4">
      <w:pPr>
        <w:spacing w:after="120"/>
        <w:rPr>
          <w:color w:val="FF0000"/>
        </w:rPr>
      </w:pPr>
      <w:r w:rsidRPr="002429C5">
        <w:rPr>
          <w:noProof/>
          <w:lang w:val="fr-LU" w:eastAsia="fr-LU" w:bidi="ar-SA"/>
        </w:rPr>
        <w:lastRenderedPageBreak/>
        <w:drawing>
          <wp:inline distT="0" distB="0" distL="0" distR="0" wp14:anchorId="03500A78" wp14:editId="30AE5292">
            <wp:extent cx="5039360" cy="3141201"/>
            <wp:effectExtent l="0" t="0" r="27940" b="21590"/>
            <wp:docPr id="13" name="Diagram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r w:rsidRPr="002429C5">
        <w:rPr>
          <w:i/>
          <w:sz w:val="14"/>
        </w:rPr>
        <w:t>Suicides resulting in a fatality. Suicides are recorded on the basis of witness statements and police decisions.</w:t>
      </w:r>
    </w:p>
    <w:tbl>
      <w:tblPr>
        <w:tblStyle w:val="TableGrid"/>
        <w:tblW w:w="0" w:type="auto"/>
        <w:tblLook w:val="04A0" w:firstRow="1" w:lastRow="0" w:firstColumn="1" w:lastColumn="0" w:noHBand="0" w:noVBand="1"/>
      </w:tblPr>
      <w:tblGrid>
        <w:gridCol w:w="4038"/>
        <w:gridCol w:w="4038"/>
      </w:tblGrid>
      <w:tr w:rsidR="006948A4" w:rsidRPr="002429C5" w:rsidTr="006948A4">
        <w:tc>
          <w:tcPr>
            <w:tcW w:w="4038" w:type="dxa"/>
          </w:tcPr>
          <w:p w:rsidR="006948A4" w:rsidRPr="002429C5" w:rsidRDefault="006948A4" w:rsidP="00B824CC">
            <w:pPr>
              <w:pStyle w:val="DoNotTranslateExternal1"/>
            </w:pPr>
            <w:r w:rsidRPr="002429C5">
              <w:t>DA</w:t>
            </w:r>
          </w:p>
        </w:tc>
        <w:tc>
          <w:tcPr>
            <w:tcW w:w="4038" w:type="dxa"/>
          </w:tcPr>
          <w:p w:rsidR="006948A4" w:rsidRPr="002429C5" w:rsidRDefault="006948A4" w:rsidP="006948A4">
            <w:pPr>
              <w:pStyle w:val="Billedetekst"/>
              <w:spacing w:line="240" w:lineRule="auto"/>
              <w:rPr>
                <w:i w:val="0"/>
                <w:sz w:val="16"/>
              </w:rPr>
            </w:pPr>
            <w:r w:rsidRPr="002429C5">
              <w:rPr>
                <w:i w:val="0"/>
                <w:sz w:val="16"/>
              </w:rPr>
              <w:t>EN</w:t>
            </w:r>
          </w:p>
        </w:tc>
      </w:tr>
      <w:tr w:rsidR="006948A4" w:rsidRPr="002429C5" w:rsidTr="006948A4">
        <w:tc>
          <w:tcPr>
            <w:tcW w:w="4038" w:type="dxa"/>
          </w:tcPr>
          <w:p w:rsidR="006948A4" w:rsidRPr="002429C5" w:rsidRDefault="006948A4" w:rsidP="00B824CC">
            <w:pPr>
              <w:pStyle w:val="DoNotTranslateExternal1"/>
            </w:pPr>
            <w:proofErr w:type="spellStart"/>
            <w:r w:rsidRPr="002429C5">
              <w:t>Dræbte</w:t>
            </w:r>
            <w:proofErr w:type="spellEnd"/>
            <w:r w:rsidRPr="002429C5">
              <w:t xml:space="preserve"> </w:t>
            </w:r>
            <w:proofErr w:type="spellStart"/>
            <w:r w:rsidRPr="002429C5">
              <w:t>årligt</w:t>
            </w:r>
            <w:proofErr w:type="spellEnd"/>
          </w:p>
        </w:tc>
        <w:tc>
          <w:tcPr>
            <w:tcW w:w="4038" w:type="dxa"/>
          </w:tcPr>
          <w:p w:rsidR="006948A4" w:rsidRPr="002429C5" w:rsidRDefault="006948A4" w:rsidP="00FA5788">
            <w:pPr>
              <w:pStyle w:val="Billedetekst"/>
              <w:spacing w:line="240" w:lineRule="auto"/>
              <w:rPr>
                <w:i w:val="0"/>
                <w:sz w:val="16"/>
              </w:rPr>
            </w:pPr>
            <w:r w:rsidRPr="002429C5">
              <w:rPr>
                <w:i w:val="0"/>
                <w:sz w:val="16"/>
              </w:rPr>
              <w:t>Deaths annually</w:t>
            </w:r>
          </w:p>
        </w:tc>
      </w:tr>
      <w:tr w:rsidR="006948A4" w:rsidRPr="002429C5" w:rsidTr="006948A4">
        <w:tc>
          <w:tcPr>
            <w:tcW w:w="4038" w:type="dxa"/>
          </w:tcPr>
          <w:p w:rsidR="006948A4" w:rsidRPr="002429C5" w:rsidRDefault="006948A4" w:rsidP="00B824CC">
            <w:pPr>
              <w:pStyle w:val="DoNotTranslateExternal1"/>
            </w:pPr>
            <w:proofErr w:type="spellStart"/>
            <w:r w:rsidRPr="002429C5">
              <w:t>Dræbte</w:t>
            </w:r>
            <w:proofErr w:type="spellEnd"/>
            <w:r w:rsidRPr="002429C5">
              <w:t xml:space="preserve"> 5-årligt </w:t>
            </w:r>
            <w:proofErr w:type="spellStart"/>
            <w:r w:rsidRPr="002429C5">
              <w:t>gennemsnit</w:t>
            </w:r>
            <w:proofErr w:type="spellEnd"/>
          </w:p>
        </w:tc>
        <w:tc>
          <w:tcPr>
            <w:tcW w:w="4038" w:type="dxa"/>
          </w:tcPr>
          <w:p w:rsidR="006948A4" w:rsidRPr="002429C5" w:rsidRDefault="006948A4" w:rsidP="00FA5788">
            <w:pPr>
              <w:pStyle w:val="Billedetekst"/>
              <w:spacing w:line="240" w:lineRule="auto"/>
              <w:rPr>
                <w:i w:val="0"/>
                <w:sz w:val="16"/>
              </w:rPr>
            </w:pPr>
            <w:r w:rsidRPr="002429C5">
              <w:rPr>
                <w:i w:val="0"/>
                <w:sz w:val="16"/>
              </w:rPr>
              <w:t>5-year average number of deaths</w:t>
            </w:r>
          </w:p>
        </w:tc>
      </w:tr>
    </w:tbl>
    <w:p w:rsidR="00FD0977" w:rsidRPr="002429C5" w:rsidRDefault="00FD0977" w:rsidP="00FD0977">
      <w:pPr>
        <w:pStyle w:val="Billedetekst"/>
      </w:pPr>
    </w:p>
    <w:p w:rsidR="00FD0977" w:rsidRPr="002429C5" w:rsidRDefault="00FD0977" w:rsidP="00FD0977">
      <w:pPr>
        <w:pStyle w:val="Billedetekst"/>
      </w:pPr>
    </w:p>
    <w:p w:rsidR="00FD0977" w:rsidRPr="002429C5" w:rsidRDefault="00FD0977" w:rsidP="00FD0977">
      <w:pPr>
        <w:sectPr w:rsidR="00FD0977" w:rsidRPr="002429C5" w:rsidSect="00356DD7">
          <w:type w:val="continuous"/>
          <w:pgSz w:w="11906" w:h="16838" w:code="9"/>
          <w:pgMar w:top="1985" w:right="1985" w:bottom="1418" w:left="1985" w:header="709" w:footer="709" w:gutter="0"/>
          <w:cols w:space="709"/>
          <w:titlePg/>
          <w:docGrid w:linePitch="360"/>
        </w:sectPr>
      </w:pPr>
    </w:p>
    <w:p w:rsidR="00FD0977" w:rsidRPr="002429C5" w:rsidRDefault="00FD0977" w:rsidP="00FD0977">
      <w:pPr>
        <w:pStyle w:val="Billedetitel"/>
        <w:numPr>
          <w:ilvl w:val="0"/>
          <w:numId w:val="0"/>
        </w:numPr>
        <w:ind w:left="360" w:hanging="360"/>
      </w:pPr>
      <w:r w:rsidRPr="002429C5">
        <w:lastRenderedPageBreak/>
        <w:t>Figure 6: Minor accidents broken down by type of accident 2014 (per million train-km)</w:t>
      </w:r>
    </w:p>
    <w:p w:rsidR="00FD0977" w:rsidRPr="002429C5" w:rsidRDefault="00040B6C" w:rsidP="00FD0977">
      <w:pPr>
        <w:rPr>
          <w:i/>
          <w:iCs/>
          <w:sz w:val="14"/>
        </w:rPr>
      </w:pPr>
      <w:r w:rsidRPr="002429C5">
        <w:rPr>
          <w:noProof/>
          <w:lang w:val="fr-LU" w:eastAsia="fr-LU" w:bidi="ar-SA"/>
        </w:rPr>
        <w:drawing>
          <wp:inline distT="0" distB="0" distL="0" distR="0" wp14:anchorId="2AA26EA1" wp14:editId="347ADAD3">
            <wp:extent cx="5039360" cy="3141201"/>
            <wp:effectExtent l="0" t="0" r="27940" b="21590"/>
            <wp:docPr id="3" name="Diagram 3"/>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r w:rsidRPr="002429C5">
        <w:rPr>
          <w:i/>
          <w:sz w:val="14"/>
        </w:rPr>
        <w:t xml:space="preserve">Minor accidents are those involving minor injuries or material damage of less than DKK 1.2 million. The types of accident are given per million train-km and as a 5-year average for the period 2009-2014. </w:t>
      </w:r>
    </w:p>
    <w:tbl>
      <w:tblPr>
        <w:tblStyle w:val="TableGrid"/>
        <w:tblW w:w="0" w:type="auto"/>
        <w:tblLook w:val="04A0" w:firstRow="1" w:lastRow="0" w:firstColumn="1" w:lastColumn="0" w:noHBand="0" w:noVBand="1"/>
      </w:tblPr>
      <w:tblGrid>
        <w:gridCol w:w="4038"/>
        <w:gridCol w:w="4038"/>
      </w:tblGrid>
      <w:tr w:rsidR="008C6E0A" w:rsidRPr="002429C5" w:rsidTr="008C6E0A">
        <w:tc>
          <w:tcPr>
            <w:tcW w:w="4038" w:type="dxa"/>
          </w:tcPr>
          <w:p w:rsidR="008C6E0A" w:rsidRPr="002429C5" w:rsidRDefault="008C6E0A" w:rsidP="00B824CC">
            <w:pPr>
              <w:pStyle w:val="DoNotTranslateExternal1"/>
            </w:pPr>
            <w:r w:rsidRPr="002429C5">
              <w:t>DA</w:t>
            </w:r>
          </w:p>
        </w:tc>
        <w:tc>
          <w:tcPr>
            <w:tcW w:w="4038" w:type="dxa"/>
          </w:tcPr>
          <w:p w:rsidR="008C6E0A" w:rsidRPr="002429C5" w:rsidRDefault="008C6E0A" w:rsidP="008C6E0A">
            <w:pPr>
              <w:spacing w:after="0"/>
              <w:rPr>
                <w:iCs/>
                <w:sz w:val="16"/>
              </w:rPr>
            </w:pPr>
            <w:r w:rsidRPr="002429C5">
              <w:rPr>
                <w:sz w:val="16"/>
              </w:rPr>
              <w:t>EN</w:t>
            </w:r>
          </w:p>
        </w:tc>
      </w:tr>
      <w:tr w:rsidR="008C6E0A" w:rsidRPr="002429C5" w:rsidTr="008C6E0A">
        <w:tc>
          <w:tcPr>
            <w:tcW w:w="4038" w:type="dxa"/>
          </w:tcPr>
          <w:p w:rsidR="008C6E0A" w:rsidRPr="002429C5" w:rsidRDefault="008C6E0A" w:rsidP="00B824CC">
            <w:pPr>
              <w:pStyle w:val="DoNotTranslateExternal1"/>
            </w:pPr>
            <w:proofErr w:type="spellStart"/>
            <w:r w:rsidRPr="002429C5">
              <w:t>Kollision</w:t>
            </w:r>
            <w:proofErr w:type="spellEnd"/>
          </w:p>
        </w:tc>
        <w:tc>
          <w:tcPr>
            <w:tcW w:w="4038" w:type="dxa"/>
          </w:tcPr>
          <w:p w:rsidR="008C6E0A" w:rsidRPr="002429C5" w:rsidRDefault="008C6E0A" w:rsidP="00FA5788">
            <w:pPr>
              <w:spacing w:after="0"/>
              <w:rPr>
                <w:iCs/>
                <w:sz w:val="16"/>
              </w:rPr>
            </w:pPr>
            <w:r w:rsidRPr="002429C5">
              <w:rPr>
                <w:sz w:val="16"/>
              </w:rPr>
              <w:t>Collision</w:t>
            </w:r>
          </w:p>
        </w:tc>
      </w:tr>
      <w:tr w:rsidR="008C6E0A" w:rsidRPr="002429C5" w:rsidTr="008C6E0A">
        <w:tc>
          <w:tcPr>
            <w:tcW w:w="4038" w:type="dxa"/>
          </w:tcPr>
          <w:p w:rsidR="008C6E0A" w:rsidRPr="002429C5" w:rsidRDefault="008C6E0A" w:rsidP="00B824CC">
            <w:pPr>
              <w:pStyle w:val="DoNotTranslateExternal1"/>
            </w:pPr>
            <w:proofErr w:type="spellStart"/>
            <w:r w:rsidRPr="002429C5">
              <w:t>Anden</w:t>
            </w:r>
            <w:proofErr w:type="spellEnd"/>
            <w:r w:rsidRPr="002429C5">
              <w:t xml:space="preserve"> </w:t>
            </w:r>
            <w:proofErr w:type="spellStart"/>
            <w:r w:rsidRPr="002429C5">
              <w:t>ikke</w:t>
            </w:r>
            <w:proofErr w:type="spellEnd"/>
            <w:r w:rsidRPr="002429C5">
              <w:t xml:space="preserve"> </w:t>
            </w:r>
            <w:proofErr w:type="spellStart"/>
            <w:r w:rsidRPr="002429C5">
              <w:t>væsentlig</w:t>
            </w:r>
            <w:proofErr w:type="spellEnd"/>
            <w:r w:rsidRPr="002429C5">
              <w:t xml:space="preserve"> </w:t>
            </w:r>
            <w:proofErr w:type="spellStart"/>
            <w:r w:rsidRPr="002429C5">
              <w:t>ulykke</w:t>
            </w:r>
            <w:proofErr w:type="spellEnd"/>
          </w:p>
        </w:tc>
        <w:tc>
          <w:tcPr>
            <w:tcW w:w="4038" w:type="dxa"/>
          </w:tcPr>
          <w:p w:rsidR="008C6E0A" w:rsidRPr="002429C5" w:rsidRDefault="008C6E0A" w:rsidP="00FA5788">
            <w:pPr>
              <w:spacing w:after="0"/>
              <w:rPr>
                <w:iCs/>
                <w:sz w:val="16"/>
              </w:rPr>
            </w:pPr>
            <w:r w:rsidRPr="002429C5">
              <w:rPr>
                <w:sz w:val="16"/>
              </w:rPr>
              <w:t>Other non-significant accident</w:t>
            </w:r>
          </w:p>
        </w:tc>
      </w:tr>
      <w:tr w:rsidR="008C6E0A" w:rsidRPr="002429C5" w:rsidTr="008C6E0A">
        <w:tc>
          <w:tcPr>
            <w:tcW w:w="4038" w:type="dxa"/>
          </w:tcPr>
          <w:p w:rsidR="008C6E0A" w:rsidRPr="002429C5" w:rsidRDefault="008C6E0A" w:rsidP="00B824CC">
            <w:pPr>
              <w:pStyle w:val="DoNotTranslateExternal1"/>
            </w:pPr>
            <w:r w:rsidRPr="002429C5">
              <w:t>Brand</w:t>
            </w:r>
          </w:p>
        </w:tc>
        <w:tc>
          <w:tcPr>
            <w:tcW w:w="4038" w:type="dxa"/>
          </w:tcPr>
          <w:p w:rsidR="008C6E0A" w:rsidRPr="002429C5" w:rsidRDefault="008C6E0A" w:rsidP="00FA5788">
            <w:pPr>
              <w:spacing w:after="0"/>
              <w:rPr>
                <w:iCs/>
                <w:sz w:val="16"/>
              </w:rPr>
            </w:pPr>
            <w:r w:rsidRPr="002429C5">
              <w:rPr>
                <w:sz w:val="16"/>
              </w:rPr>
              <w:t>Fire</w:t>
            </w:r>
          </w:p>
        </w:tc>
      </w:tr>
      <w:tr w:rsidR="008C6E0A" w:rsidRPr="002429C5" w:rsidTr="008C6E0A">
        <w:tc>
          <w:tcPr>
            <w:tcW w:w="4038" w:type="dxa"/>
          </w:tcPr>
          <w:p w:rsidR="008C6E0A" w:rsidRPr="002429C5" w:rsidRDefault="008C6E0A" w:rsidP="00B824CC">
            <w:pPr>
              <w:pStyle w:val="DoNotTranslateExternal1"/>
            </w:pPr>
            <w:proofErr w:type="spellStart"/>
            <w:r w:rsidRPr="002429C5">
              <w:t>Personpåkørsel</w:t>
            </w:r>
            <w:proofErr w:type="spellEnd"/>
          </w:p>
        </w:tc>
        <w:tc>
          <w:tcPr>
            <w:tcW w:w="4038" w:type="dxa"/>
          </w:tcPr>
          <w:p w:rsidR="008C6E0A" w:rsidRPr="002429C5" w:rsidRDefault="008C6E0A" w:rsidP="00FA5788">
            <w:pPr>
              <w:spacing w:after="0"/>
              <w:rPr>
                <w:iCs/>
                <w:sz w:val="16"/>
              </w:rPr>
            </w:pPr>
            <w:r w:rsidRPr="002429C5">
              <w:rPr>
                <w:sz w:val="16"/>
              </w:rPr>
              <w:t>Collision involving persons</w:t>
            </w:r>
          </w:p>
        </w:tc>
      </w:tr>
      <w:tr w:rsidR="008C6E0A" w:rsidRPr="002429C5" w:rsidTr="008C6E0A">
        <w:tc>
          <w:tcPr>
            <w:tcW w:w="4038" w:type="dxa"/>
          </w:tcPr>
          <w:p w:rsidR="008C6E0A" w:rsidRPr="002429C5" w:rsidRDefault="008C6E0A" w:rsidP="00B824CC">
            <w:pPr>
              <w:pStyle w:val="DoNotTranslateExternal1"/>
            </w:pPr>
            <w:proofErr w:type="spellStart"/>
            <w:r w:rsidRPr="002429C5">
              <w:t>Ulykke</w:t>
            </w:r>
            <w:proofErr w:type="spellEnd"/>
            <w:r w:rsidRPr="002429C5">
              <w:t xml:space="preserve"> </w:t>
            </w:r>
            <w:proofErr w:type="spellStart"/>
            <w:r w:rsidRPr="002429C5">
              <w:t>i</w:t>
            </w:r>
            <w:proofErr w:type="spellEnd"/>
            <w:r w:rsidRPr="002429C5">
              <w:t xml:space="preserve"> </w:t>
            </w:r>
            <w:proofErr w:type="spellStart"/>
            <w:r w:rsidRPr="002429C5">
              <w:t>overkørsel</w:t>
            </w:r>
            <w:proofErr w:type="spellEnd"/>
          </w:p>
        </w:tc>
        <w:tc>
          <w:tcPr>
            <w:tcW w:w="4038" w:type="dxa"/>
          </w:tcPr>
          <w:p w:rsidR="008C6E0A" w:rsidRPr="002429C5" w:rsidRDefault="008C6E0A" w:rsidP="00FA5788">
            <w:pPr>
              <w:spacing w:after="0"/>
              <w:rPr>
                <w:iCs/>
                <w:sz w:val="16"/>
              </w:rPr>
            </w:pPr>
            <w:r w:rsidRPr="002429C5">
              <w:rPr>
                <w:sz w:val="16"/>
              </w:rPr>
              <w:t>Accident at level crossing</w:t>
            </w:r>
          </w:p>
        </w:tc>
      </w:tr>
      <w:tr w:rsidR="008C6E0A" w:rsidRPr="002429C5" w:rsidTr="008C6E0A">
        <w:tc>
          <w:tcPr>
            <w:tcW w:w="4038" w:type="dxa"/>
          </w:tcPr>
          <w:p w:rsidR="008C6E0A" w:rsidRPr="002429C5" w:rsidRDefault="008C6E0A" w:rsidP="00B824CC">
            <w:pPr>
              <w:pStyle w:val="DoNotTranslateExternal1"/>
            </w:pPr>
            <w:proofErr w:type="spellStart"/>
            <w:r w:rsidRPr="002429C5">
              <w:t>Afsporing</w:t>
            </w:r>
            <w:proofErr w:type="spellEnd"/>
          </w:p>
        </w:tc>
        <w:tc>
          <w:tcPr>
            <w:tcW w:w="4038" w:type="dxa"/>
          </w:tcPr>
          <w:p w:rsidR="008C6E0A" w:rsidRPr="002429C5" w:rsidRDefault="008C6E0A" w:rsidP="00FA5788">
            <w:pPr>
              <w:spacing w:after="0"/>
              <w:rPr>
                <w:iCs/>
                <w:sz w:val="16"/>
              </w:rPr>
            </w:pPr>
            <w:r w:rsidRPr="002429C5">
              <w:rPr>
                <w:sz w:val="16"/>
              </w:rPr>
              <w:t>Derailment</w:t>
            </w:r>
          </w:p>
        </w:tc>
      </w:tr>
      <w:tr w:rsidR="008C6E0A" w:rsidRPr="002429C5" w:rsidTr="008C6E0A">
        <w:tc>
          <w:tcPr>
            <w:tcW w:w="4038" w:type="dxa"/>
          </w:tcPr>
          <w:p w:rsidR="008C6E0A" w:rsidRPr="002429C5" w:rsidRDefault="008C6E0A" w:rsidP="00B824CC">
            <w:pPr>
              <w:pStyle w:val="DoNotTranslateExternal1"/>
            </w:pPr>
            <w:r w:rsidRPr="002429C5">
              <w:t xml:space="preserve">5-årigt </w:t>
            </w:r>
            <w:proofErr w:type="spellStart"/>
            <w:r w:rsidRPr="002429C5">
              <w:t>gennemsnit</w:t>
            </w:r>
            <w:proofErr w:type="spellEnd"/>
          </w:p>
        </w:tc>
        <w:tc>
          <w:tcPr>
            <w:tcW w:w="4038" w:type="dxa"/>
          </w:tcPr>
          <w:p w:rsidR="008C6E0A" w:rsidRPr="002429C5" w:rsidRDefault="008C6E0A" w:rsidP="00FA5788">
            <w:pPr>
              <w:spacing w:after="0"/>
              <w:rPr>
                <w:iCs/>
                <w:sz w:val="16"/>
              </w:rPr>
            </w:pPr>
            <w:r w:rsidRPr="002429C5">
              <w:rPr>
                <w:sz w:val="16"/>
              </w:rPr>
              <w:t>5-year average</w:t>
            </w:r>
          </w:p>
        </w:tc>
      </w:tr>
      <w:tr w:rsidR="008C6E0A" w:rsidRPr="002429C5" w:rsidTr="008C6E0A">
        <w:tc>
          <w:tcPr>
            <w:tcW w:w="4038" w:type="dxa"/>
          </w:tcPr>
          <w:p w:rsidR="008C6E0A" w:rsidRPr="002429C5" w:rsidRDefault="008C6E0A" w:rsidP="00B824CC">
            <w:pPr>
              <w:pStyle w:val="DoNotTranslateExternal1"/>
            </w:pPr>
            <w:proofErr w:type="spellStart"/>
            <w:r w:rsidRPr="002429C5">
              <w:t>Årligt</w:t>
            </w:r>
            <w:proofErr w:type="spellEnd"/>
          </w:p>
        </w:tc>
        <w:tc>
          <w:tcPr>
            <w:tcW w:w="4038" w:type="dxa"/>
          </w:tcPr>
          <w:p w:rsidR="008C6E0A" w:rsidRPr="002429C5" w:rsidRDefault="008C6E0A" w:rsidP="00FA5788">
            <w:pPr>
              <w:spacing w:after="0"/>
              <w:rPr>
                <w:iCs/>
                <w:sz w:val="16"/>
              </w:rPr>
            </w:pPr>
            <w:r w:rsidRPr="002429C5">
              <w:rPr>
                <w:sz w:val="16"/>
              </w:rPr>
              <w:t>Annually</w:t>
            </w:r>
          </w:p>
        </w:tc>
      </w:tr>
    </w:tbl>
    <w:p w:rsidR="008C6E0A" w:rsidRPr="002429C5" w:rsidRDefault="008C6E0A" w:rsidP="00FD0977">
      <w:pPr>
        <w:rPr>
          <w:iCs/>
          <w:sz w:val="14"/>
        </w:rPr>
      </w:pPr>
    </w:p>
    <w:p w:rsidR="008C6E0A" w:rsidRPr="002429C5" w:rsidRDefault="008C6E0A" w:rsidP="00FD0977">
      <w:pPr>
        <w:rPr>
          <w:i/>
          <w:iCs/>
          <w:sz w:val="14"/>
        </w:rPr>
      </w:pPr>
    </w:p>
    <w:p w:rsidR="00FD0977" w:rsidRPr="002429C5" w:rsidRDefault="00FD0977" w:rsidP="00FD0977">
      <w:pPr>
        <w:pStyle w:val="TSOverskrift2"/>
        <w:sectPr w:rsidR="00FD0977" w:rsidRPr="002429C5" w:rsidSect="00356DD7">
          <w:headerReference w:type="default" r:id="rId28"/>
          <w:type w:val="continuous"/>
          <w:pgSz w:w="11906" w:h="16838" w:code="9"/>
          <w:pgMar w:top="1985" w:right="1985" w:bottom="1418" w:left="1985" w:header="709" w:footer="709" w:gutter="0"/>
          <w:cols w:space="709"/>
          <w:titlePg/>
          <w:docGrid w:linePitch="360"/>
        </w:sectPr>
      </w:pPr>
    </w:p>
    <w:p w:rsidR="00FD0977" w:rsidRPr="002429C5" w:rsidRDefault="00FD0977" w:rsidP="008C6E0A">
      <w:pPr>
        <w:pStyle w:val="Heading2"/>
        <w:spacing w:before="240"/>
      </w:pPr>
      <w:bookmarkStart w:id="9" w:name="_Toc441733516"/>
      <w:r w:rsidRPr="002429C5">
        <w:lastRenderedPageBreak/>
        <w:t>Minor accidents – most collisions</w:t>
      </w:r>
      <w:bookmarkEnd w:id="9"/>
    </w:p>
    <w:p w:rsidR="00FD0977" w:rsidRPr="002429C5" w:rsidRDefault="00FD0977" w:rsidP="00FD0977">
      <w:r w:rsidRPr="002429C5">
        <w:t>In 2014, 325 'minor accidents' were recorded (see figure 6 above). In these statistics, an accident is considered ‘minor’ if it does not involve extensive material damage or serious personal injury. The number is fairly constant compared with previous years.</w:t>
      </w:r>
    </w:p>
    <w:p w:rsidR="00FD0977" w:rsidRPr="002429C5" w:rsidRDefault="00FD0977" w:rsidP="00FD0977">
      <w:r w:rsidRPr="002429C5">
        <w:t xml:space="preserve">2014 saw a rise in the number of minor collisions, and collisions therefore still represent the majority of minor accidents. In their safety reports for 2014, several undertakings say they feel that there are more problems with vandalism on the rails in the form of piles of stones or rubble or other deposited materials with which trains </w:t>
      </w:r>
      <w:r w:rsidRPr="002429C5">
        <w:lastRenderedPageBreak/>
        <w:t>collide. This may be one of the reasons for the increase.</w:t>
      </w:r>
    </w:p>
    <w:p w:rsidR="00B824CC" w:rsidRPr="002429C5" w:rsidRDefault="00FD0977" w:rsidP="00FD0977">
      <w:pPr>
        <w:pStyle w:val="FootnoteText"/>
        <w:rPr>
          <w:sz w:val="18"/>
        </w:rPr>
      </w:pPr>
      <w:r w:rsidRPr="002429C5">
        <w:rPr>
          <w:sz w:val="18"/>
        </w:rPr>
        <w:t xml:space="preserve">There has previously been a source of error in the reporting, since some accidents in shunting areas and clearing areas have been incorrectly categorised, resulting in their being counted as </w:t>
      </w:r>
      <w:r w:rsidRPr="002429C5">
        <w:rPr>
          <w:i/>
          <w:sz w:val="18"/>
        </w:rPr>
        <w:t>collisions</w:t>
      </w:r>
      <w:r w:rsidRPr="002429C5">
        <w:rPr>
          <w:sz w:val="18"/>
        </w:rPr>
        <w:t xml:space="preserve"> or </w:t>
      </w:r>
      <w:r w:rsidRPr="002429C5">
        <w:rPr>
          <w:i/>
          <w:sz w:val="18"/>
        </w:rPr>
        <w:t>derailments</w:t>
      </w:r>
      <w:r w:rsidRPr="002429C5">
        <w:rPr>
          <w:sz w:val="18"/>
        </w:rPr>
        <w:t xml:space="preserve"> in the statistics</w:t>
      </w:r>
      <w:r w:rsidRPr="002429C5">
        <w:rPr>
          <w:rStyle w:val="FootnoteReference"/>
        </w:rPr>
        <w:footnoteReference w:id="11"/>
      </w:r>
      <w:r w:rsidRPr="002429C5">
        <w:rPr>
          <w:sz w:val="18"/>
        </w:rPr>
        <w:t>.</w:t>
      </w:r>
    </w:p>
    <w:p w:rsidR="00FD0977" w:rsidRPr="002429C5" w:rsidRDefault="00FD0977" w:rsidP="00FD0977">
      <w:pPr>
        <w:pStyle w:val="FootnoteText"/>
        <w:rPr>
          <w:i/>
          <w:sz w:val="18"/>
        </w:rPr>
      </w:pPr>
      <w:r w:rsidRPr="002429C5">
        <w:rPr>
          <w:sz w:val="18"/>
        </w:rPr>
        <w:lastRenderedPageBreak/>
        <w:t xml:space="preserve">In the past few years, undertakings have become more aware of this incorrect categorisation, and this is probably why we are seeing an increase in the number of accidents in the category </w:t>
      </w:r>
      <w:r w:rsidRPr="002429C5">
        <w:rPr>
          <w:i/>
          <w:sz w:val="18"/>
        </w:rPr>
        <w:t>other accident</w:t>
      </w:r>
      <w:r w:rsidRPr="002429C5">
        <w:rPr>
          <w:sz w:val="18"/>
        </w:rPr>
        <w:t>.</w:t>
      </w:r>
    </w:p>
    <w:p w:rsidR="00FD0977" w:rsidRPr="002429C5" w:rsidRDefault="00FD0977" w:rsidP="00FD0977">
      <w:pPr>
        <w:rPr>
          <w:b/>
          <w:sz w:val="22"/>
          <w:szCs w:val="22"/>
        </w:rPr>
      </w:pPr>
      <w:r w:rsidRPr="002429C5">
        <w:t>The number of fires in rolling stock has also fallen.</w:t>
      </w:r>
    </w:p>
    <w:p w:rsidR="00FD0977" w:rsidRPr="002429C5" w:rsidRDefault="00FD0977" w:rsidP="00FD0977">
      <w:pPr>
        <w:rPr>
          <w:b/>
          <w:sz w:val="22"/>
          <w:szCs w:val="22"/>
        </w:rPr>
      </w:pPr>
      <w:r w:rsidRPr="002429C5">
        <w:rPr>
          <w:b/>
          <w:sz w:val="22"/>
        </w:rPr>
        <w:t>Accidents and incidents with dangerous goods</w:t>
      </w:r>
    </w:p>
    <w:p w:rsidR="00FD0977" w:rsidRPr="002429C5" w:rsidRDefault="00FD0977" w:rsidP="00FD0977">
      <w:r w:rsidRPr="002429C5">
        <w:t>In 2014, only one accident involving dangerous goods was reported. It concerns a derailment in connection with shunting, where, among other things, an empty wagon, which had been used to transport dangerous goods, and which had not yet been cleaned, was derailed. No dangerous goods were released in the accident.</w:t>
      </w:r>
    </w:p>
    <w:p w:rsidR="00FD0977" w:rsidRPr="002429C5" w:rsidRDefault="00FD0977" w:rsidP="00FD0977"/>
    <w:p w:rsidR="00FD0977" w:rsidRPr="002429C5" w:rsidRDefault="00FD0977" w:rsidP="00FD0977">
      <w:pPr>
        <w:rPr>
          <w:highlight w:val="yellow"/>
        </w:rPr>
        <w:sectPr w:rsidR="00FD0977" w:rsidRPr="002429C5" w:rsidSect="00356DD7">
          <w:type w:val="continuous"/>
          <w:pgSz w:w="11906" w:h="16838" w:code="9"/>
          <w:pgMar w:top="1985" w:right="1985" w:bottom="1418" w:left="1985" w:header="709" w:footer="709" w:gutter="0"/>
          <w:cols w:num="2" w:space="709"/>
          <w:titlePg/>
          <w:docGrid w:linePitch="360"/>
        </w:sectPr>
      </w:pPr>
    </w:p>
    <w:p w:rsidR="00FD0977" w:rsidRPr="002429C5" w:rsidRDefault="00B0235E" w:rsidP="00D91A5B">
      <w:pPr>
        <w:keepNext/>
        <w:rPr>
          <w:noProof/>
        </w:rPr>
      </w:pPr>
      <w:r w:rsidRPr="002429C5">
        <w:rPr>
          <w:i/>
          <w:noProof/>
          <w:sz w:val="16"/>
        </w:rPr>
        <w:lastRenderedPageBreak/>
        <w:t>Figure 7: Precursors to accidents broken down by type 2014 (per million train-km)</w:t>
      </w:r>
    </w:p>
    <w:p w:rsidR="00FD0977" w:rsidRPr="002429C5" w:rsidRDefault="00035085" w:rsidP="00FD0977">
      <w:pPr>
        <w:rPr>
          <w:i/>
          <w:sz w:val="14"/>
        </w:rPr>
      </w:pPr>
      <w:r w:rsidRPr="002429C5">
        <w:rPr>
          <w:noProof/>
          <w:lang w:val="fr-LU" w:eastAsia="fr-LU" w:bidi="ar-SA"/>
        </w:rPr>
        <w:drawing>
          <wp:inline distT="0" distB="0" distL="0" distR="0" wp14:anchorId="6E555507" wp14:editId="5AABF2FD">
            <wp:extent cx="4960188" cy="3040664"/>
            <wp:effectExtent l="0" t="0" r="12065" b="26670"/>
            <wp:docPr id="20" name="Diagram 20"/>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r w:rsidRPr="002429C5">
        <w:rPr>
          <w:i/>
          <w:sz w:val="14"/>
        </w:rPr>
        <w:t xml:space="preserve">Precursors to accidents are given in relation to million train-km travelled, and as a 5-year average over the period 2010-2014. Precursors to accidents do not cause damage. </w:t>
      </w:r>
    </w:p>
    <w:tbl>
      <w:tblPr>
        <w:tblStyle w:val="TableGrid"/>
        <w:tblW w:w="0" w:type="auto"/>
        <w:tblLook w:val="04A0" w:firstRow="1" w:lastRow="0" w:firstColumn="1" w:lastColumn="0" w:noHBand="0" w:noVBand="1"/>
      </w:tblPr>
      <w:tblGrid>
        <w:gridCol w:w="4038"/>
        <w:gridCol w:w="4038"/>
      </w:tblGrid>
      <w:tr w:rsidR="006B4005" w:rsidRPr="002429C5" w:rsidTr="006B4005">
        <w:tc>
          <w:tcPr>
            <w:tcW w:w="4038" w:type="dxa"/>
          </w:tcPr>
          <w:p w:rsidR="006B4005" w:rsidRPr="002429C5" w:rsidRDefault="006B4005" w:rsidP="00B824CC">
            <w:pPr>
              <w:pStyle w:val="DoNotTranslateExternal1"/>
            </w:pPr>
            <w:r w:rsidRPr="002429C5">
              <w:t>DA</w:t>
            </w:r>
          </w:p>
        </w:tc>
        <w:tc>
          <w:tcPr>
            <w:tcW w:w="4038" w:type="dxa"/>
          </w:tcPr>
          <w:p w:rsidR="006B4005" w:rsidRPr="002429C5" w:rsidRDefault="006B4005" w:rsidP="00D91A5B">
            <w:pPr>
              <w:spacing w:after="0"/>
              <w:rPr>
                <w:sz w:val="16"/>
              </w:rPr>
            </w:pPr>
            <w:r w:rsidRPr="002429C5">
              <w:rPr>
                <w:sz w:val="16"/>
              </w:rPr>
              <w:t>EN</w:t>
            </w:r>
          </w:p>
        </w:tc>
      </w:tr>
      <w:tr w:rsidR="006B4005" w:rsidRPr="002429C5" w:rsidTr="006B4005">
        <w:tc>
          <w:tcPr>
            <w:tcW w:w="4038" w:type="dxa"/>
          </w:tcPr>
          <w:p w:rsidR="006B4005" w:rsidRPr="002429C5" w:rsidRDefault="006B4005" w:rsidP="00B824CC">
            <w:pPr>
              <w:pStyle w:val="DoNotTranslateExternal1"/>
            </w:pPr>
            <w:proofErr w:type="spellStart"/>
            <w:r w:rsidRPr="002429C5">
              <w:t>Signalforbikørsler</w:t>
            </w:r>
            <w:proofErr w:type="spellEnd"/>
          </w:p>
        </w:tc>
        <w:tc>
          <w:tcPr>
            <w:tcW w:w="4038" w:type="dxa"/>
          </w:tcPr>
          <w:p w:rsidR="006B4005" w:rsidRPr="002429C5" w:rsidRDefault="006B4005" w:rsidP="00FA5788">
            <w:pPr>
              <w:spacing w:after="0"/>
              <w:rPr>
                <w:sz w:val="16"/>
              </w:rPr>
            </w:pPr>
            <w:r w:rsidRPr="002429C5">
              <w:rPr>
                <w:sz w:val="16"/>
              </w:rPr>
              <w:t>Signals passed at danger</w:t>
            </w:r>
          </w:p>
        </w:tc>
      </w:tr>
      <w:tr w:rsidR="006B4005" w:rsidRPr="002429C5" w:rsidTr="006B4005">
        <w:tc>
          <w:tcPr>
            <w:tcW w:w="4038" w:type="dxa"/>
          </w:tcPr>
          <w:p w:rsidR="006B4005" w:rsidRPr="002429C5" w:rsidRDefault="006B4005" w:rsidP="00B824CC">
            <w:pPr>
              <w:pStyle w:val="DoNotTranslateExternal1"/>
            </w:pPr>
            <w:proofErr w:type="spellStart"/>
            <w:r w:rsidRPr="002429C5">
              <w:t>Signalfejl</w:t>
            </w:r>
            <w:proofErr w:type="spellEnd"/>
          </w:p>
        </w:tc>
        <w:tc>
          <w:tcPr>
            <w:tcW w:w="4038" w:type="dxa"/>
          </w:tcPr>
          <w:p w:rsidR="006B4005" w:rsidRPr="002429C5" w:rsidRDefault="006B4005" w:rsidP="00FA5788">
            <w:pPr>
              <w:spacing w:after="0"/>
              <w:rPr>
                <w:sz w:val="16"/>
              </w:rPr>
            </w:pPr>
            <w:r w:rsidRPr="002429C5">
              <w:rPr>
                <w:sz w:val="16"/>
              </w:rPr>
              <w:t>Signal failure</w:t>
            </w:r>
          </w:p>
        </w:tc>
      </w:tr>
      <w:tr w:rsidR="006B4005" w:rsidRPr="002429C5" w:rsidTr="006B4005">
        <w:tc>
          <w:tcPr>
            <w:tcW w:w="4038" w:type="dxa"/>
          </w:tcPr>
          <w:p w:rsidR="006B4005" w:rsidRPr="002429C5" w:rsidRDefault="006B4005" w:rsidP="00B824CC">
            <w:pPr>
              <w:pStyle w:val="DoNotTranslateExternal1"/>
            </w:pPr>
            <w:proofErr w:type="spellStart"/>
            <w:r w:rsidRPr="002429C5">
              <w:t>Skinnebrud</w:t>
            </w:r>
            <w:proofErr w:type="spellEnd"/>
          </w:p>
        </w:tc>
        <w:tc>
          <w:tcPr>
            <w:tcW w:w="4038" w:type="dxa"/>
          </w:tcPr>
          <w:p w:rsidR="006B4005" w:rsidRPr="002429C5" w:rsidRDefault="006B4005" w:rsidP="00FA5788">
            <w:pPr>
              <w:spacing w:after="0"/>
              <w:rPr>
                <w:sz w:val="16"/>
              </w:rPr>
            </w:pPr>
            <w:r w:rsidRPr="002429C5">
              <w:rPr>
                <w:sz w:val="16"/>
              </w:rPr>
              <w:t>Broken rails</w:t>
            </w:r>
          </w:p>
        </w:tc>
      </w:tr>
      <w:tr w:rsidR="006B4005" w:rsidRPr="002429C5" w:rsidTr="006B4005">
        <w:tc>
          <w:tcPr>
            <w:tcW w:w="4038" w:type="dxa"/>
          </w:tcPr>
          <w:p w:rsidR="006B4005" w:rsidRPr="002429C5" w:rsidRDefault="006B4005" w:rsidP="00B824CC">
            <w:pPr>
              <w:pStyle w:val="DoNotTranslateExternal1"/>
            </w:pPr>
            <w:proofErr w:type="spellStart"/>
            <w:r w:rsidRPr="002429C5">
              <w:t>Defekte</w:t>
            </w:r>
            <w:proofErr w:type="spellEnd"/>
            <w:r w:rsidRPr="002429C5">
              <w:t xml:space="preserve"> </w:t>
            </w:r>
            <w:proofErr w:type="spellStart"/>
            <w:r w:rsidRPr="002429C5">
              <w:t>hjul</w:t>
            </w:r>
            <w:proofErr w:type="spellEnd"/>
            <w:r w:rsidRPr="002429C5">
              <w:t xml:space="preserve"> </w:t>
            </w:r>
            <w:proofErr w:type="spellStart"/>
            <w:r w:rsidRPr="002429C5">
              <w:t>og</w:t>
            </w:r>
            <w:proofErr w:type="spellEnd"/>
            <w:r w:rsidRPr="002429C5">
              <w:t xml:space="preserve"> </w:t>
            </w:r>
            <w:proofErr w:type="spellStart"/>
            <w:r w:rsidRPr="002429C5">
              <w:t>aksler</w:t>
            </w:r>
            <w:proofErr w:type="spellEnd"/>
          </w:p>
        </w:tc>
        <w:tc>
          <w:tcPr>
            <w:tcW w:w="4038" w:type="dxa"/>
          </w:tcPr>
          <w:p w:rsidR="006B4005" w:rsidRPr="002429C5" w:rsidRDefault="006B4005" w:rsidP="00FA5788">
            <w:pPr>
              <w:spacing w:after="0"/>
              <w:rPr>
                <w:sz w:val="16"/>
              </w:rPr>
            </w:pPr>
            <w:r w:rsidRPr="002429C5">
              <w:rPr>
                <w:sz w:val="16"/>
              </w:rPr>
              <w:t>Broken wheels and axles</w:t>
            </w:r>
          </w:p>
        </w:tc>
      </w:tr>
      <w:tr w:rsidR="006B4005" w:rsidRPr="002429C5" w:rsidTr="006B4005">
        <w:tc>
          <w:tcPr>
            <w:tcW w:w="4038" w:type="dxa"/>
          </w:tcPr>
          <w:p w:rsidR="006B4005" w:rsidRPr="002429C5" w:rsidRDefault="006B4005" w:rsidP="00B824CC">
            <w:pPr>
              <w:pStyle w:val="DoNotTranslateExternal1"/>
            </w:pPr>
            <w:proofErr w:type="spellStart"/>
            <w:r w:rsidRPr="002429C5">
              <w:t>Solkurver</w:t>
            </w:r>
            <w:proofErr w:type="spellEnd"/>
          </w:p>
        </w:tc>
        <w:tc>
          <w:tcPr>
            <w:tcW w:w="4038" w:type="dxa"/>
          </w:tcPr>
          <w:p w:rsidR="006B4005" w:rsidRPr="002429C5" w:rsidRDefault="006B4005" w:rsidP="00FA5788">
            <w:pPr>
              <w:spacing w:after="0"/>
              <w:rPr>
                <w:sz w:val="16"/>
              </w:rPr>
            </w:pPr>
            <w:r w:rsidRPr="002429C5">
              <w:rPr>
                <w:sz w:val="16"/>
              </w:rPr>
              <w:t>Track buckles</w:t>
            </w:r>
          </w:p>
        </w:tc>
      </w:tr>
      <w:tr w:rsidR="006B4005" w:rsidRPr="002429C5" w:rsidTr="006B4005">
        <w:tc>
          <w:tcPr>
            <w:tcW w:w="4038" w:type="dxa"/>
          </w:tcPr>
          <w:p w:rsidR="006B4005" w:rsidRPr="002429C5" w:rsidRDefault="006B4005" w:rsidP="00B824CC">
            <w:pPr>
              <w:pStyle w:val="DoNotTranslateExternal1"/>
            </w:pPr>
            <w:r w:rsidRPr="002429C5">
              <w:t xml:space="preserve">5-årgt </w:t>
            </w:r>
            <w:proofErr w:type="spellStart"/>
            <w:r w:rsidRPr="002429C5">
              <w:t>gennemsnit</w:t>
            </w:r>
            <w:proofErr w:type="spellEnd"/>
          </w:p>
        </w:tc>
        <w:tc>
          <w:tcPr>
            <w:tcW w:w="4038" w:type="dxa"/>
          </w:tcPr>
          <w:p w:rsidR="006B4005" w:rsidRPr="002429C5" w:rsidRDefault="006B4005" w:rsidP="00FA5788">
            <w:pPr>
              <w:spacing w:after="0"/>
              <w:rPr>
                <w:sz w:val="16"/>
              </w:rPr>
            </w:pPr>
            <w:r w:rsidRPr="002429C5">
              <w:rPr>
                <w:sz w:val="16"/>
              </w:rPr>
              <w:t>5-year average</w:t>
            </w:r>
          </w:p>
        </w:tc>
      </w:tr>
      <w:tr w:rsidR="006B4005" w:rsidRPr="002429C5" w:rsidTr="006B4005">
        <w:tc>
          <w:tcPr>
            <w:tcW w:w="4038" w:type="dxa"/>
          </w:tcPr>
          <w:p w:rsidR="006B4005" w:rsidRPr="002429C5" w:rsidRDefault="006B4005" w:rsidP="00B824CC">
            <w:pPr>
              <w:pStyle w:val="DoNotTranslateExternal1"/>
            </w:pPr>
            <w:r w:rsidRPr="002429C5">
              <w:t>I alt</w:t>
            </w:r>
          </w:p>
        </w:tc>
        <w:tc>
          <w:tcPr>
            <w:tcW w:w="4038" w:type="dxa"/>
          </w:tcPr>
          <w:p w:rsidR="006B4005" w:rsidRPr="002429C5" w:rsidRDefault="006B4005" w:rsidP="00FA5788">
            <w:pPr>
              <w:spacing w:after="0"/>
              <w:rPr>
                <w:sz w:val="16"/>
              </w:rPr>
            </w:pPr>
            <w:r w:rsidRPr="002429C5">
              <w:rPr>
                <w:sz w:val="16"/>
              </w:rPr>
              <w:t>Total</w:t>
            </w:r>
          </w:p>
        </w:tc>
      </w:tr>
    </w:tbl>
    <w:p w:rsidR="00D91A5B" w:rsidRPr="002429C5" w:rsidRDefault="00D91A5B" w:rsidP="00D91A5B">
      <w:pPr>
        <w:spacing w:after="0"/>
      </w:pPr>
    </w:p>
    <w:p w:rsidR="00D91A5B" w:rsidRPr="002429C5" w:rsidRDefault="00D91A5B" w:rsidP="00FD0977">
      <w:pPr>
        <w:rPr>
          <w:color w:val="FF0000"/>
        </w:rPr>
      </w:pPr>
    </w:p>
    <w:p w:rsidR="00FD0977" w:rsidRPr="002429C5" w:rsidRDefault="00FD0977" w:rsidP="00FD0977">
      <w:pPr>
        <w:pStyle w:val="TSOverskrift3"/>
        <w:sectPr w:rsidR="00FD0977" w:rsidRPr="002429C5" w:rsidSect="00356DD7">
          <w:type w:val="continuous"/>
          <w:pgSz w:w="11906" w:h="16838" w:code="9"/>
          <w:pgMar w:top="1985" w:right="1985" w:bottom="1418" w:left="1985" w:header="709" w:footer="709" w:gutter="0"/>
          <w:cols w:space="709"/>
          <w:titlePg/>
          <w:docGrid w:linePitch="360"/>
        </w:sectPr>
      </w:pPr>
    </w:p>
    <w:p w:rsidR="00FD0977" w:rsidRPr="002429C5" w:rsidRDefault="00FD0977" w:rsidP="006B4005">
      <w:pPr>
        <w:pStyle w:val="Heading2"/>
        <w:spacing w:before="0"/>
      </w:pPr>
      <w:bookmarkStart w:id="10" w:name="_Toc441733517"/>
      <w:r w:rsidRPr="002429C5">
        <w:lastRenderedPageBreak/>
        <w:t>Other safety-related incidents</w:t>
      </w:r>
      <w:bookmarkEnd w:id="10"/>
    </w:p>
    <w:p w:rsidR="00B824CC" w:rsidRPr="002429C5" w:rsidRDefault="00FD0977" w:rsidP="00B824CC">
      <w:pPr>
        <w:spacing w:after="120"/>
        <w:rPr>
          <w:i/>
        </w:rPr>
      </w:pPr>
      <w:r w:rsidRPr="002429C5">
        <w:t xml:space="preserve">The other safety-related incidents recorded by undertakings can be divided into </w:t>
      </w:r>
      <w:r w:rsidRPr="002429C5">
        <w:rPr>
          <w:i/>
        </w:rPr>
        <w:t>precursors to accidents</w:t>
      </w:r>
      <w:r w:rsidRPr="002429C5">
        <w:t xml:space="preserve"> and </w:t>
      </w:r>
      <w:r w:rsidRPr="002429C5">
        <w:rPr>
          <w:i/>
        </w:rPr>
        <w:t>safety irregularities.</w:t>
      </w:r>
    </w:p>
    <w:p w:rsidR="00B824CC" w:rsidRPr="002429C5" w:rsidRDefault="00FD0977" w:rsidP="00B824CC">
      <w:pPr>
        <w:spacing w:after="120"/>
      </w:pPr>
      <w:r w:rsidRPr="002429C5">
        <w:t xml:space="preserve">Common to the two categories of incident is that they are lapses in safety that did not cause damage. The difference between the two categories is that the Agency is only required to report data on </w:t>
      </w:r>
      <w:r w:rsidRPr="002429C5">
        <w:rPr>
          <w:i/>
        </w:rPr>
        <w:t>precursors to accidents</w:t>
      </w:r>
      <w:r w:rsidRPr="002429C5">
        <w:t xml:space="preserve"> to the EU.</w:t>
      </w:r>
    </w:p>
    <w:p w:rsidR="006B4005" w:rsidRPr="002429C5" w:rsidRDefault="00FD0977" w:rsidP="006B4005">
      <w:pPr>
        <w:keepNext/>
        <w:spacing w:after="0"/>
        <w:rPr>
          <w:b/>
        </w:rPr>
      </w:pPr>
      <w:r w:rsidRPr="002429C5">
        <w:rPr>
          <w:b/>
        </w:rPr>
        <w:t>Precursors to accidents</w:t>
      </w:r>
    </w:p>
    <w:p w:rsidR="00FD0977" w:rsidRPr="002429C5" w:rsidRDefault="00FD0977" w:rsidP="00B824CC">
      <w:pPr>
        <w:spacing w:after="120"/>
        <w:rPr>
          <w:b/>
        </w:rPr>
      </w:pPr>
      <w:r w:rsidRPr="002429C5">
        <w:t xml:space="preserve">Precursors to accidents can be divided into five types: </w:t>
      </w:r>
      <w:r w:rsidRPr="002429C5">
        <w:rPr>
          <w:i/>
        </w:rPr>
        <w:t>broken rails</w:t>
      </w:r>
      <w:r w:rsidRPr="002429C5">
        <w:t xml:space="preserve">, </w:t>
      </w:r>
      <w:r w:rsidRPr="002429C5">
        <w:rPr>
          <w:i/>
        </w:rPr>
        <w:t>track buckles</w:t>
      </w:r>
      <w:r w:rsidRPr="002429C5">
        <w:t xml:space="preserve">, </w:t>
      </w:r>
      <w:r w:rsidRPr="002429C5">
        <w:rPr>
          <w:i/>
        </w:rPr>
        <w:t>signals passed at danger</w:t>
      </w:r>
      <w:r w:rsidRPr="002429C5">
        <w:t xml:space="preserve">, </w:t>
      </w:r>
      <w:r w:rsidRPr="002429C5">
        <w:rPr>
          <w:i/>
        </w:rPr>
        <w:t>signal failure</w:t>
      </w:r>
      <w:r w:rsidRPr="002429C5">
        <w:t xml:space="preserve">, </w:t>
      </w:r>
      <w:r w:rsidRPr="002429C5">
        <w:rPr>
          <w:i/>
        </w:rPr>
        <w:t>broken wheels and axles.</w:t>
      </w:r>
    </w:p>
    <w:p w:rsidR="00FD0977" w:rsidRPr="002429C5" w:rsidRDefault="00FD0977" w:rsidP="00B824CC">
      <w:pPr>
        <w:spacing w:after="120"/>
      </w:pPr>
      <w:r w:rsidRPr="002429C5">
        <w:t xml:space="preserve">Signals passed at danger easily constituted the highest proportion of </w:t>
      </w:r>
      <w:r w:rsidRPr="002429C5">
        <w:lastRenderedPageBreak/>
        <w:t>precursors to accidents again in 2014 (142 cases), as figure 7 shows. However, the number is well below the 5-year average.</w:t>
      </w:r>
    </w:p>
    <w:p w:rsidR="00FD0977" w:rsidRPr="002429C5" w:rsidRDefault="00FD0977" w:rsidP="00B824CC">
      <w:pPr>
        <w:spacing w:after="120"/>
      </w:pPr>
      <w:r w:rsidRPr="002429C5">
        <w:t xml:space="preserve">The chart in figure 7 only shows signals passed at danger by a </w:t>
      </w:r>
      <w:r w:rsidRPr="002429C5">
        <w:rPr>
          <w:u w:val="single"/>
        </w:rPr>
        <w:t>train</w:t>
      </w:r>
      <w:r w:rsidRPr="002429C5">
        <w:t xml:space="preserve">. Signals passed at danger by </w:t>
      </w:r>
      <w:r w:rsidRPr="002429C5">
        <w:rPr>
          <w:u w:val="single"/>
        </w:rPr>
        <w:t>shunting</w:t>
      </w:r>
      <w:r w:rsidRPr="002429C5">
        <w:t xml:space="preserve"> </w:t>
      </w:r>
      <w:r w:rsidRPr="002429C5">
        <w:rPr>
          <w:u w:val="single"/>
        </w:rPr>
        <w:t xml:space="preserve">rolling stock </w:t>
      </w:r>
      <w:r w:rsidRPr="002429C5">
        <w:t>or</w:t>
      </w:r>
      <w:r w:rsidRPr="002429C5">
        <w:rPr>
          <w:u w:val="single"/>
        </w:rPr>
        <w:t xml:space="preserve"> work vehicles</w:t>
      </w:r>
      <w:r w:rsidRPr="002429C5">
        <w:t xml:space="preserve"> are also recorded. The two types of signals passed at danger will often have very different risk potentials, since signals passed at danger with shunting rolling stock and work vehicles often occur in an area where there are no passenger trains and where the speed is lower.</w:t>
      </w:r>
    </w:p>
    <w:p w:rsidR="00FD0977" w:rsidRPr="002429C5" w:rsidRDefault="00FD0977" w:rsidP="00B824CC">
      <w:pPr>
        <w:spacing w:after="120"/>
      </w:pPr>
      <w:r w:rsidRPr="002429C5">
        <w:t>Figure 7 includes signals passed at danger by a train, 142 in total. In 2014, 238 signals were also passed at danger by shunting rolling stock or work vehicles.</w:t>
      </w:r>
    </w:p>
    <w:p w:rsidR="006B4005" w:rsidRPr="002429C5" w:rsidRDefault="006B4005" w:rsidP="00FD0977">
      <w:pPr>
        <w:sectPr w:rsidR="006B4005" w:rsidRPr="002429C5" w:rsidSect="00356DD7">
          <w:type w:val="continuous"/>
          <w:pgSz w:w="11906" w:h="16838" w:code="9"/>
          <w:pgMar w:top="1985" w:right="1985" w:bottom="1418" w:left="1985" w:header="709" w:footer="709" w:gutter="0"/>
          <w:cols w:num="2" w:space="709"/>
          <w:titlePg/>
          <w:docGrid w:linePitch="360"/>
        </w:sectPr>
      </w:pPr>
    </w:p>
    <w:p w:rsidR="006B4005" w:rsidRPr="002429C5" w:rsidRDefault="006B4005" w:rsidP="00B824CC">
      <w:pPr>
        <w:spacing w:after="0"/>
      </w:pPr>
    </w:p>
    <w:p w:rsidR="00FD0977" w:rsidRPr="002429C5" w:rsidRDefault="00990A6C" w:rsidP="00DE3A50">
      <w:pPr>
        <w:pStyle w:val="Billedetitel"/>
        <w:numPr>
          <w:ilvl w:val="0"/>
          <w:numId w:val="0"/>
        </w:numPr>
      </w:pPr>
      <w:r w:rsidRPr="002429C5">
        <w:lastRenderedPageBreak/>
        <w:t>Figure 8: Number of recorded episodes with a ’risk of a collision involving persons’ in the years 2009-2014.</w:t>
      </w:r>
    </w:p>
    <w:p w:rsidR="00FD0977" w:rsidRPr="002429C5" w:rsidRDefault="00FD0977" w:rsidP="00FD0977">
      <w:pPr>
        <w:rPr>
          <w:b/>
        </w:rPr>
      </w:pPr>
      <w:r w:rsidRPr="002429C5">
        <w:rPr>
          <w:noProof/>
          <w:lang w:val="fr-LU" w:eastAsia="fr-LU" w:bidi="ar-SA"/>
        </w:rPr>
        <w:drawing>
          <wp:inline distT="0" distB="0" distL="0" distR="0" wp14:anchorId="1195C115" wp14:editId="391D0F0E">
            <wp:extent cx="5071731" cy="2796363"/>
            <wp:effectExtent l="0" t="0" r="15240" b="23495"/>
            <wp:docPr id="19" name="Diagram 19"/>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p>
    <w:p w:rsidR="00B824CC" w:rsidRPr="002429C5" w:rsidRDefault="00FD0977" w:rsidP="00FD0977">
      <w:pPr>
        <w:rPr>
          <w:i/>
          <w:sz w:val="14"/>
        </w:rPr>
      </w:pPr>
      <w:r w:rsidRPr="002429C5">
        <w:rPr>
          <w:i/>
          <w:sz w:val="14"/>
        </w:rPr>
        <w:t xml:space="preserve">Undertakings record a </w:t>
      </w:r>
      <w:r w:rsidRPr="002429C5">
        <w:rPr>
          <w:sz w:val="14"/>
        </w:rPr>
        <w:t>risk of a collision involving persons</w:t>
      </w:r>
      <w:r w:rsidRPr="002429C5">
        <w:rPr>
          <w:i/>
          <w:sz w:val="14"/>
        </w:rPr>
        <w:t xml:space="preserve"> in situations where there is a risk of one or more persons being hit by rolling stock or an object linked to the rolling stock (other than attempted suicide).</w:t>
      </w:r>
    </w:p>
    <w:p w:rsidR="00FD0977" w:rsidRPr="002429C5" w:rsidRDefault="00FD0977" w:rsidP="00FD0977">
      <w:pPr>
        <w:rPr>
          <w:i/>
          <w:sz w:val="14"/>
        </w:rPr>
        <w:sectPr w:rsidR="00FD0977" w:rsidRPr="002429C5" w:rsidSect="00356DD7">
          <w:type w:val="continuous"/>
          <w:pgSz w:w="11906" w:h="16838" w:code="9"/>
          <w:pgMar w:top="1985" w:right="1985" w:bottom="1418" w:left="1985" w:header="709" w:footer="709" w:gutter="0"/>
          <w:cols w:space="709"/>
          <w:titlePg/>
          <w:docGrid w:linePitch="360"/>
        </w:sectPr>
      </w:pPr>
    </w:p>
    <w:p w:rsidR="006B4005" w:rsidRPr="002429C5" w:rsidRDefault="00FD0977" w:rsidP="006B4005">
      <w:pPr>
        <w:keepNext/>
        <w:rPr>
          <w:b/>
        </w:rPr>
      </w:pPr>
      <w:r w:rsidRPr="002429C5">
        <w:rPr>
          <w:b/>
        </w:rPr>
        <w:lastRenderedPageBreak/>
        <w:t>Safety irregularities</w:t>
      </w:r>
    </w:p>
    <w:p w:rsidR="00B824CC" w:rsidRPr="002429C5" w:rsidRDefault="00FD0977" w:rsidP="00FD0977">
      <w:r w:rsidRPr="002429C5">
        <w:t>Besides precursors to accidents, undertakings also report safety irregularities to the Agency.</w:t>
      </w:r>
    </w:p>
    <w:p w:rsidR="00FD0977" w:rsidRPr="002429C5" w:rsidRDefault="00FD0977" w:rsidP="00FD0977">
      <w:r w:rsidRPr="002429C5">
        <w:t xml:space="preserve">Safety irregularities are described in the following categories: </w:t>
      </w:r>
      <w:r w:rsidRPr="002429C5">
        <w:rPr>
          <w:i/>
        </w:rPr>
        <w:t>risk of a collision involving persons</w:t>
      </w:r>
      <w:r w:rsidRPr="002429C5">
        <w:t xml:space="preserve">, </w:t>
      </w:r>
      <w:r w:rsidRPr="002429C5">
        <w:rPr>
          <w:i/>
        </w:rPr>
        <w:t>irregularity at level crossing</w:t>
      </w:r>
      <w:r w:rsidRPr="002429C5">
        <w:t xml:space="preserve">, </w:t>
      </w:r>
      <w:r w:rsidRPr="002429C5">
        <w:rPr>
          <w:i/>
        </w:rPr>
        <w:t>non-technical signalling error</w:t>
      </w:r>
      <w:r w:rsidRPr="002429C5">
        <w:t xml:space="preserve">, </w:t>
      </w:r>
      <w:proofErr w:type="gramStart"/>
      <w:r w:rsidRPr="002429C5">
        <w:rPr>
          <w:i/>
        </w:rPr>
        <w:t>problems</w:t>
      </w:r>
      <w:proofErr w:type="gramEnd"/>
      <w:r w:rsidRPr="002429C5">
        <w:rPr>
          <w:i/>
        </w:rPr>
        <w:t xml:space="preserve"> with gauge conditions</w:t>
      </w:r>
      <w:r w:rsidRPr="002429C5">
        <w:t xml:space="preserve">, </w:t>
      </w:r>
      <w:r w:rsidRPr="002429C5">
        <w:rPr>
          <w:i/>
        </w:rPr>
        <w:t>brake failure</w:t>
      </w:r>
      <w:r w:rsidRPr="002429C5">
        <w:t xml:space="preserve">, </w:t>
      </w:r>
      <w:r w:rsidRPr="002429C5">
        <w:rPr>
          <w:i/>
        </w:rPr>
        <w:t>track deformation</w:t>
      </w:r>
      <w:r w:rsidRPr="002429C5">
        <w:t xml:space="preserve">, </w:t>
      </w:r>
      <w:r w:rsidRPr="002429C5">
        <w:rPr>
          <w:i/>
        </w:rPr>
        <w:t>gauge conditions</w:t>
      </w:r>
      <w:r w:rsidRPr="002429C5">
        <w:t xml:space="preserve">, </w:t>
      </w:r>
      <w:r w:rsidRPr="002429C5">
        <w:rPr>
          <w:i/>
        </w:rPr>
        <w:t>vandalism</w:t>
      </w:r>
      <w:r w:rsidRPr="002429C5">
        <w:t xml:space="preserve"> and </w:t>
      </w:r>
      <w:r w:rsidRPr="002429C5">
        <w:rPr>
          <w:i/>
        </w:rPr>
        <w:t>other irregularity</w:t>
      </w:r>
      <w:r w:rsidRPr="002429C5">
        <w:t>.</w:t>
      </w:r>
    </w:p>
    <w:p w:rsidR="00FD0977" w:rsidRPr="002429C5" w:rsidRDefault="00FD0977" w:rsidP="006B4005">
      <w:pPr>
        <w:keepNext/>
        <w:rPr>
          <w:b/>
        </w:rPr>
      </w:pPr>
      <w:r w:rsidRPr="002429C5">
        <w:rPr>
          <w:b/>
        </w:rPr>
        <w:t>Less respect for the railways?</w:t>
      </w:r>
    </w:p>
    <w:p w:rsidR="00B824CC" w:rsidRPr="002429C5" w:rsidRDefault="00FD0977" w:rsidP="00FD0977">
      <w:r w:rsidRPr="002429C5">
        <w:t xml:space="preserve">Just like last year, there has been an increase at national level in the number of recorded situations involving a </w:t>
      </w:r>
      <w:r w:rsidRPr="002429C5">
        <w:rPr>
          <w:i/>
        </w:rPr>
        <w:t xml:space="preserve">risk of a collision involving persons </w:t>
      </w:r>
      <w:r w:rsidRPr="002429C5">
        <w:t>(see figure 8).</w:t>
      </w:r>
    </w:p>
    <w:p w:rsidR="00FD0977" w:rsidRPr="002429C5" w:rsidRDefault="00FD0977" w:rsidP="00FD0977">
      <w:r w:rsidRPr="002429C5">
        <w:t>Undertakings also find there has been an increase in the number of situations in which people are on the railways without permission.</w:t>
      </w:r>
    </w:p>
    <w:p w:rsidR="00FD0977" w:rsidRPr="002429C5" w:rsidRDefault="00FD0977" w:rsidP="00FD0977">
      <w:r w:rsidRPr="002429C5">
        <w:t>In 2014, the Agency discussed the issue with the safety officers of the undertakings.</w:t>
      </w:r>
    </w:p>
    <w:p w:rsidR="00B824CC" w:rsidRPr="002429C5" w:rsidRDefault="00FD0977" w:rsidP="00FD0977">
      <w:r w:rsidRPr="002429C5">
        <w:t xml:space="preserve">The undertakings indicated that part of the reason for the increase lies in the </w:t>
      </w:r>
      <w:r w:rsidRPr="002429C5">
        <w:lastRenderedPageBreak/>
        <w:t>fact that they have become better at recording incidents where there is a risk of a collision involving persons.</w:t>
      </w:r>
    </w:p>
    <w:p w:rsidR="00FD0977" w:rsidRPr="002429C5" w:rsidRDefault="00FD0977" w:rsidP="00B506CB">
      <w:r w:rsidRPr="002429C5">
        <w:t>However, they also believe there has actually been an increase in the number of episodes with near-collisions. The problem of unauthorised persons on the tracks is therefore still an area on which the industry must focus.</w:t>
      </w:r>
    </w:p>
    <w:p w:rsidR="00FD0977" w:rsidRPr="002429C5" w:rsidRDefault="00FD0977" w:rsidP="00FD0977">
      <w:pPr>
        <w:pStyle w:val="Heading2"/>
      </w:pPr>
      <w:bookmarkStart w:id="11" w:name="_Toc441733518"/>
      <w:r w:rsidRPr="002429C5">
        <w:t>Railway safety in other countries – Denmark fares well</w:t>
      </w:r>
      <w:bookmarkEnd w:id="11"/>
    </w:p>
    <w:p w:rsidR="00FD0977" w:rsidRPr="002429C5" w:rsidRDefault="006B4005" w:rsidP="006B4005">
      <w:pPr>
        <w:keepNext/>
        <w:rPr>
          <w:b/>
        </w:rPr>
      </w:pPr>
      <w:r w:rsidRPr="002429C5">
        <w:rPr>
          <w:b/>
        </w:rPr>
        <w:t>The EU's safety targets</w:t>
      </w:r>
    </w:p>
    <w:p w:rsidR="00FD0977" w:rsidRPr="002429C5" w:rsidRDefault="00FD0977" w:rsidP="00FD0977">
      <w:r w:rsidRPr="002429C5">
        <w:t>The European Railway Agency (ERA) publishes safety indicators and safety levels for EU Member States</w:t>
      </w:r>
      <w:r w:rsidRPr="002429C5">
        <w:rPr>
          <w:rStyle w:val="FootnoteReference"/>
        </w:rPr>
        <w:footnoteReference w:id="12"/>
      </w:r>
      <w:r w:rsidRPr="002429C5">
        <w:t xml:space="preserve">. A comparison between the countries shows that Denmark has a very high </w:t>
      </w:r>
      <w:r w:rsidRPr="002429C5">
        <w:lastRenderedPageBreak/>
        <w:t>level of safety, on a par with the neighbouring countries with which the country normally compares itself.</w:t>
      </w:r>
    </w:p>
    <w:p w:rsidR="00FD0977" w:rsidRPr="002429C5" w:rsidRDefault="00FD0977" w:rsidP="00FD0977">
      <w:pPr>
        <w:shd w:val="clear" w:color="auto" w:fill="FFFFFF" w:themeFill="background1"/>
      </w:pPr>
      <w:r w:rsidRPr="002429C5">
        <w:t>The numbers in figure 9 below are from the period 2008-2013. Please note that where the figures in the rest of this chapter concern the entire Danish rail network, those given in figure 9 relate to the Danish rail network excluding the metro and local railways. This is because metros and railways that are functionally distinct from the rest of the rail network, and that can only be used to transport passengers in local, urban or suburban areas, are not included in the official European statistics</w:t>
      </w:r>
      <w:r w:rsidRPr="002429C5">
        <w:rPr>
          <w:rStyle w:val="FootnoteReference"/>
        </w:rPr>
        <w:footnoteReference w:id="13"/>
      </w:r>
      <w:r w:rsidRPr="002429C5">
        <w:t>.</w:t>
      </w:r>
    </w:p>
    <w:p w:rsidR="00B824CC" w:rsidRPr="002429C5" w:rsidRDefault="00FD0977" w:rsidP="00FD0977">
      <w:r w:rsidRPr="002429C5">
        <w:t>For the entire rail network, the safety level in the period was 0.14 deaths and weighted serious injuries per million train-km in the 5-year period, while the safety level for the network excluding the metro and local railways was 0.15 deaths and weighted serious injuries per million train-km in the 5-year period.</w:t>
      </w:r>
    </w:p>
    <w:p w:rsidR="00FD0977" w:rsidRPr="002429C5" w:rsidRDefault="00FD0977" w:rsidP="00FD0977">
      <w:r w:rsidRPr="002429C5">
        <w:t>Figure 9 also shows the European average, which is 0.33 significant accidents involving persons per million train-km in the reporting period. This is almost twice as high as the Danish average for the period and slightly above the Danish safety target.</w:t>
      </w:r>
    </w:p>
    <w:p w:rsidR="00B824CC" w:rsidRPr="002429C5" w:rsidRDefault="00FD0977" w:rsidP="00FD0977">
      <w:r w:rsidRPr="002429C5">
        <w:t>Common safety targets for the whole EU were adopted in 2010 and revised in 2012</w:t>
      </w:r>
      <w:r w:rsidRPr="002429C5">
        <w:rPr>
          <w:rStyle w:val="FootnoteReference"/>
        </w:rPr>
        <w:footnoteReference w:id="14"/>
      </w:r>
      <w:r w:rsidRPr="002429C5">
        <w:t>. The safety targets are based on the first four years of data collected at Community level (2004-2009).</w:t>
      </w:r>
    </w:p>
    <w:p w:rsidR="00FD0977" w:rsidRPr="002429C5" w:rsidRDefault="00FD0977" w:rsidP="00FD0977">
      <w:r w:rsidRPr="002429C5">
        <w:t xml:space="preserve">The purpose of the European safety targets is to ensure a high level of safety on the railways across the whole EU. The EU’s actions in the coming years will increasingly be focused on </w:t>
      </w:r>
      <w:r w:rsidRPr="002429C5">
        <w:lastRenderedPageBreak/>
        <w:t>those countries facing the greatest challenges.</w:t>
      </w:r>
    </w:p>
    <w:p w:rsidR="00A76F79" w:rsidRPr="002429C5" w:rsidRDefault="00A76F79" w:rsidP="00FD0977">
      <w:pPr>
        <w:pStyle w:val="Heading2"/>
      </w:pPr>
    </w:p>
    <w:p w:rsidR="00FD0977" w:rsidRPr="002429C5" w:rsidRDefault="00FD0977" w:rsidP="000C2DA5">
      <w:pPr>
        <w:pStyle w:val="Heading2"/>
        <w:sectPr w:rsidR="00FD0977" w:rsidRPr="002429C5" w:rsidSect="00356DD7">
          <w:type w:val="continuous"/>
          <w:pgSz w:w="11906" w:h="16838" w:code="9"/>
          <w:pgMar w:top="1985" w:right="1985" w:bottom="1418" w:left="1985" w:header="709" w:footer="709" w:gutter="0"/>
          <w:cols w:num="2" w:space="709"/>
          <w:titlePg/>
          <w:docGrid w:linePitch="360"/>
        </w:sectPr>
      </w:pPr>
    </w:p>
    <w:p w:rsidR="00FD0977" w:rsidRPr="002429C5" w:rsidRDefault="00FD0977" w:rsidP="00FD0977">
      <w:pPr>
        <w:pStyle w:val="Billedetitel"/>
        <w:numPr>
          <w:ilvl w:val="0"/>
          <w:numId w:val="0"/>
        </w:numPr>
      </w:pPr>
      <w:r w:rsidRPr="002429C5">
        <w:lastRenderedPageBreak/>
        <w:t>Figure 9: Significant accidents involving persons in the EU 2008-2013</w:t>
      </w:r>
    </w:p>
    <w:p w:rsidR="00FD0977" w:rsidRPr="002429C5" w:rsidRDefault="00FD0977" w:rsidP="00FD0977">
      <w:pPr>
        <w:tabs>
          <w:tab w:val="left" w:pos="8940"/>
        </w:tabs>
        <w:rPr>
          <w:rStyle w:val="CommentReference"/>
        </w:rPr>
      </w:pPr>
      <w:r w:rsidRPr="002429C5">
        <w:rPr>
          <w:noProof/>
          <w:lang w:val="fr-LU" w:eastAsia="fr-LU" w:bidi="ar-SA"/>
        </w:rPr>
        <w:drawing>
          <wp:inline distT="0" distB="0" distL="0" distR="0" wp14:anchorId="2AD7706B" wp14:editId="260074AA">
            <wp:extent cx="4859079" cy="6943061"/>
            <wp:effectExtent l="0" t="0" r="17780" b="10795"/>
            <wp:docPr id="6" name="Diagram 6"/>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p>
    <w:p w:rsidR="00065570" w:rsidRPr="002429C5" w:rsidRDefault="00FD0977" w:rsidP="00FD0977">
      <w:pPr>
        <w:rPr>
          <w:i/>
          <w:sz w:val="14"/>
          <w:szCs w:val="14"/>
        </w:rPr>
      </w:pPr>
      <w:r w:rsidRPr="002429C5">
        <w:rPr>
          <w:i/>
          <w:sz w:val="14"/>
        </w:rPr>
        <w:t xml:space="preserve">The safety level is given as the number of deaths and weighted serious injuries over a 5-year period. Source: ERAIL (European Railway Accident Information Links) erail.era.europa.eu. Railway Safety Performance in the European Union 2014, European Railway Agency. </w:t>
      </w:r>
      <w:hyperlink r:id="rId32">
        <w:r w:rsidRPr="002429C5">
          <w:rPr>
            <w:rStyle w:val="Hyperlink"/>
            <w:i/>
            <w:sz w:val="14"/>
          </w:rPr>
          <w:t>www.era.europa.eu</w:t>
        </w:r>
      </w:hyperlink>
      <w:r w:rsidRPr="002429C5">
        <w:rPr>
          <w:i/>
          <w:sz w:val="14"/>
        </w:rPr>
        <w:t>.</w:t>
      </w:r>
    </w:p>
    <w:tbl>
      <w:tblPr>
        <w:tblStyle w:val="TableGrid"/>
        <w:tblW w:w="0" w:type="auto"/>
        <w:tblLook w:val="04A0" w:firstRow="1" w:lastRow="0" w:firstColumn="1" w:lastColumn="0" w:noHBand="0" w:noVBand="1"/>
      </w:tblPr>
      <w:tblGrid>
        <w:gridCol w:w="4038"/>
        <w:gridCol w:w="4038"/>
      </w:tblGrid>
      <w:tr w:rsidR="006B4005" w:rsidRPr="002429C5" w:rsidTr="006B4005">
        <w:tc>
          <w:tcPr>
            <w:tcW w:w="4038" w:type="dxa"/>
          </w:tcPr>
          <w:p w:rsidR="006B4005" w:rsidRPr="002429C5" w:rsidRDefault="006B4005" w:rsidP="007509E1">
            <w:pPr>
              <w:pStyle w:val="DoNotTranslateExternal1"/>
            </w:pPr>
            <w:r w:rsidRPr="002429C5">
              <w:t>DA</w:t>
            </w:r>
          </w:p>
        </w:tc>
        <w:tc>
          <w:tcPr>
            <w:tcW w:w="4038" w:type="dxa"/>
          </w:tcPr>
          <w:p w:rsidR="006B4005" w:rsidRPr="002429C5" w:rsidRDefault="006B4005" w:rsidP="006B4005">
            <w:pPr>
              <w:spacing w:after="0"/>
              <w:rPr>
                <w:sz w:val="16"/>
                <w:szCs w:val="14"/>
              </w:rPr>
            </w:pPr>
            <w:r w:rsidRPr="002429C5">
              <w:rPr>
                <w:sz w:val="16"/>
              </w:rPr>
              <w:t>EN</w:t>
            </w:r>
          </w:p>
        </w:tc>
      </w:tr>
      <w:tr w:rsidR="00F62F9D" w:rsidRPr="002429C5" w:rsidTr="006B4005">
        <w:tc>
          <w:tcPr>
            <w:tcW w:w="4038" w:type="dxa"/>
          </w:tcPr>
          <w:p w:rsidR="00F62F9D" w:rsidRPr="002429C5" w:rsidRDefault="00F62F9D" w:rsidP="007509E1">
            <w:pPr>
              <w:pStyle w:val="DoNotTranslateExternal1"/>
            </w:pPr>
            <w:proofErr w:type="spellStart"/>
            <w:r w:rsidRPr="002429C5">
              <w:t>Irland</w:t>
            </w:r>
            <w:proofErr w:type="spellEnd"/>
          </w:p>
        </w:tc>
        <w:tc>
          <w:tcPr>
            <w:tcW w:w="4038" w:type="dxa"/>
          </w:tcPr>
          <w:p w:rsidR="00F62F9D" w:rsidRPr="002429C5" w:rsidRDefault="00F62F9D" w:rsidP="00FA5788">
            <w:pPr>
              <w:spacing w:after="0"/>
              <w:rPr>
                <w:sz w:val="16"/>
                <w:szCs w:val="14"/>
              </w:rPr>
            </w:pPr>
            <w:r w:rsidRPr="002429C5">
              <w:rPr>
                <w:sz w:val="16"/>
              </w:rPr>
              <w:t>Ireland</w:t>
            </w:r>
          </w:p>
        </w:tc>
      </w:tr>
      <w:tr w:rsidR="00F62F9D" w:rsidRPr="002429C5" w:rsidTr="006B4005">
        <w:tc>
          <w:tcPr>
            <w:tcW w:w="4038" w:type="dxa"/>
          </w:tcPr>
          <w:p w:rsidR="00F62F9D" w:rsidRPr="002429C5" w:rsidRDefault="00F62F9D" w:rsidP="007509E1">
            <w:pPr>
              <w:pStyle w:val="DoNotTranslateExternal1"/>
            </w:pPr>
            <w:proofErr w:type="spellStart"/>
            <w:r w:rsidRPr="002429C5">
              <w:t>Storbritannien</w:t>
            </w:r>
            <w:proofErr w:type="spellEnd"/>
          </w:p>
        </w:tc>
        <w:tc>
          <w:tcPr>
            <w:tcW w:w="4038" w:type="dxa"/>
          </w:tcPr>
          <w:p w:rsidR="00F62F9D" w:rsidRPr="002429C5" w:rsidRDefault="00F62F9D" w:rsidP="00FA5788">
            <w:pPr>
              <w:spacing w:after="0"/>
              <w:rPr>
                <w:sz w:val="16"/>
                <w:szCs w:val="14"/>
              </w:rPr>
            </w:pPr>
            <w:r w:rsidRPr="002429C5">
              <w:rPr>
                <w:sz w:val="16"/>
              </w:rPr>
              <w:t>UK</w:t>
            </w:r>
          </w:p>
        </w:tc>
      </w:tr>
      <w:tr w:rsidR="00F62F9D" w:rsidRPr="002429C5" w:rsidTr="006B4005">
        <w:tc>
          <w:tcPr>
            <w:tcW w:w="4038" w:type="dxa"/>
          </w:tcPr>
          <w:p w:rsidR="00F62F9D" w:rsidRPr="002429C5" w:rsidRDefault="00F62F9D" w:rsidP="007509E1">
            <w:pPr>
              <w:pStyle w:val="DoNotTranslateExternal1"/>
            </w:pPr>
            <w:r w:rsidRPr="002429C5">
              <w:t>Holland</w:t>
            </w:r>
          </w:p>
        </w:tc>
        <w:tc>
          <w:tcPr>
            <w:tcW w:w="4038" w:type="dxa"/>
          </w:tcPr>
          <w:p w:rsidR="00F62F9D" w:rsidRPr="002429C5" w:rsidRDefault="00F62F9D" w:rsidP="00FA5788">
            <w:pPr>
              <w:spacing w:after="0"/>
              <w:rPr>
                <w:sz w:val="16"/>
                <w:szCs w:val="14"/>
              </w:rPr>
            </w:pPr>
            <w:r w:rsidRPr="002429C5">
              <w:rPr>
                <w:sz w:val="16"/>
              </w:rPr>
              <w:t>Netherlands</w:t>
            </w:r>
          </w:p>
        </w:tc>
      </w:tr>
      <w:tr w:rsidR="00F62F9D" w:rsidRPr="002429C5" w:rsidTr="006B4005">
        <w:tc>
          <w:tcPr>
            <w:tcW w:w="4038" w:type="dxa"/>
          </w:tcPr>
          <w:p w:rsidR="00F62F9D" w:rsidRPr="002429C5" w:rsidRDefault="00F62F9D" w:rsidP="007509E1">
            <w:pPr>
              <w:pStyle w:val="DoNotTranslateExternal1"/>
            </w:pPr>
            <w:proofErr w:type="spellStart"/>
            <w:r w:rsidRPr="002429C5">
              <w:t>Danmark</w:t>
            </w:r>
            <w:proofErr w:type="spellEnd"/>
          </w:p>
        </w:tc>
        <w:tc>
          <w:tcPr>
            <w:tcW w:w="4038" w:type="dxa"/>
          </w:tcPr>
          <w:p w:rsidR="00F62F9D" w:rsidRPr="002429C5" w:rsidRDefault="00F62F9D" w:rsidP="00FA5788">
            <w:pPr>
              <w:spacing w:after="0"/>
              <w:rPr>
                <w:sz w:val="16"/>
                <w:szCs w:val="14"/>
              </w:rPr>
            </w:pPr>
            <w:r w:rsidRPr="002429C5">
              <w:rPr>
                <w:sz w:val="16"/>
              </w:rPr>
              <w:t>Denmark</w:t>
            </w:r>
          </w:p>
        </w:tc>
      </w:tr>
      <w:tr w:rsidR="00F62F9D" w:rsidRPr="002429C5" w:rsidTr="006B4005">
        <w:tc>
          <w:tcPr>
            <w:tcW w:w="4038" w:type="dxa"/>
          </w:tcPr>
          <w:p w:rsidR="00F62F9D" w:rsidRPr="002429C5" w:rsidRDefault="00F62F9D" w:rsidP="007509E1">
            <w:pPr>
              <w:pStyle w:val="DoNotTranslateExternal1"/>
            </w:pPr>
            <w:proofErr w:type="spellStart"/>
            <w:r w:rsidRPr="002429C5">
              <w:lastRenderedPageBreak/>
              <w:t>Tyskland</w:t>
            </w:r>
            <w:proofErr w:type="spellEnd"/>
          </w:p>
        </w:tc>
        <w:tc>
          <w:tcPr>
            <w:tcW w:w="4038" w:type="dxa"/>
          </w:tcPr>
          <w:p w:rsidR="00F62F9D" w:rsidRPr="002429C5" w:rsidRDefault="00F62F9D" w:rsidP="00FA5788">
            <w:pPr>
              <w:spacing w:after="0"/>
              <w:rPr>
                <w:sz w:val="16"/>
                <w:szCs w:val="14"/>
              </w:rPr>
            </w:pPr>
            <w:r w:rsidRPr="002429C5">
              <w:rPr>
                <w:sz w:val="16"/>
              </w:rPr>
              <w:t>Germany</w:t>
            </w:r>
          </w:p>
        </w:tc>
      </w:tr>
      <w:tr w:rsidR="00F62F9D" w:rsidRPr="002429C5" w:rsidTr="006B4005">
        <w:tc>
          <w:tcPr>
            <w:tcW w:w="4038" w:type="dxa"/>
          </w:tcPr>
          <w:p w:rsidR="00F62F9D" w:rsidRPr="002429C5" w:rsidRDefault="00F62F9D" w:rsidP="007509E1">
            <w:pPr>
              <w:pStyle w:val="DoNotTranslateExternal1"/>
            </w:pPr>
            <w:proofErr w:type="spellStart"/>
            <w:r w:rsidRPr="002429C5">
              <w:t>Frankrig</w:t>
            </w:r>
            <w:proofErr w:type="spellEnd"/>
          </w:p>
        </w:tc>
        <w:tc>
          <w:tcPr>
            <w:tcW w:w="4038" w:type="dxa"/>
          </w:tcPr>
          <w:p w:rsidR="00F62F9D" w:rsidRPr="002429C5" w:rsidRDefault="00F62F9D" w:rsidP="00FA5788">
            <w:pPr>
              <w:spacing w:after="0"/>
              <w:rPr>
                <w:sz w:val="16"/>
                <w:szCs w:val="14"/>
              </w:rPr>
            </w:pPr>
            <w:r w:rsidRPr="002429C5">
              <w:rPr>
                <w:sz w:val="16"/>
              </w:rPr>
              <w:t>France</w:t>
            </w:r>
          </w:p>
        </w:tc>
      </w:tr>
      <w:tr w:rsidR="00F62F9D" w:rsidRPr="002429C5" w:rsidTr="006B4005">
        <w:tc>
          <w:tcPr>
            <w:tcW w:w="4038" w:type="dxa"/>
          </w:tcPr>
          <w:p w:rsidR="00F62F9D" w:rsidRPr="002429C5" w:rsidRDefault="00F62F9D" w:rsidP="007509E1">
            <w:pPr>
              <w:pStyle w:val="DoNotTranslateExternal1"/>
            </w:pPr>
            <w:proofErr w:type="spellStart"/>
            <w:r w:rsidRPr="002429C5">
              <w:t>Sverige</w:t>
            </w:r>
            <w:proofErr w:type="spellEnd"/>
          </w:p>
        </w:tc>
        <w:tc>
          <w:tcPr>
            <w:tcW w:w="4038" w:type="dxa"/>
          </w:tcPr>
          <w:p w:rsidR="00F62F9D" w:rsidRPr="002429C5" w:rsidRDefault="00F62F9D" w:rsidP="00FA5788">
            <w:pPr>
              <w:spacing w:after="0"/>
              <w:rPr>
                <w:sz w:val="16"/>
                <w:szCs w:val="14"/>
              </w:rPr>
            </w:pPr>
            <w:r w:rsidRPr="002429C5">
              <w:rPr>
                <w:sz w:val="16"/>
              </w:rPr>
              <w:t>Sweden</w:t>
            </w:r>
          </w:p>
        </w:tc>
      </w:tr>
      <w:tr w:rsidR="00F62F9D" w:rsidRPr="002429C5" w:rsidTr="006B4005">
        <w:tc>
          <w:tcPr>
            <w:tcW w:w="4038" w:type="dxa"/>
          </w:tcPr>
          <w:p w:rsidR="00F62F9D" w:rsidRPr="002429C5" w:rsidRDefault="00F62F9D" w:rsidP="007509E1">
            <w:pPr>
              <w:pStyle w:val="DoNotTranslateExternal1"/>
            </w:pPr>
            <w:r w:rsidRPr="002429C5">
              <w:t>Finland</w:t>
            </w:r>
          </w:p>
        </w:tc>
        <w:tc>
          <w:tcPr>
            <w:tcW w:w="4038" w:type="dxa"/>
          </w:tcPr>
          <w:p w:rsidR="00F62F9D" w:rsidRPr="002429C5" w:rsidRDefault="00F62F9D" w:rsidP="00FA5788">
            <w:pPr>
              <w:spacing w:after="0"/>
              <w:rPr>
                <w:sz w:val="16"/>
                <w:szCs w:val="14"/>
              </w:rPr>
            </w:pPr>
            <w:r w:rsidRPr="002429C5">
              <w:rPr>
                <w:sz w:val="16"/>
              </w:rPr>
              <w:t>Finland</w:t>
            </w:r>
          </w:p>
        </w:tc>
      </w:tr>
      <w:tr w:rsidR="00F62F9D" w:rsidRPr="002429C5" w:rsidTr="006B4005">
        <w:tc>
          <w:tcPr>
            <w:tcW w:w="4038" w:type="dxa"/>
          </w:tcPr>
          <w:p w:rsidR="00F62F9D" w:rsidRPr="002429C5" w:rsidRDefault="00F62F9D" w:rsidP="007509E1">
            <w:pPr>
              <w:pStyle w:val="DoNotTranslateExternal1"/>
            </w:pPr>
            <w:proofErr w:type="spellStart"/>
            <w:r w:rsidRPr="002429C5">
              <w:t>Tjekkiet</w:t>
            </w:r>
            <w:proofErr w:type="spellEnd"/>
          </w:p>
        </w:tc>
        <w:tc>
          <w:tcPr>
            <w:tcW w:w="4038" w:type="dxa"/>
          </w:tcPr>
          <w:p w:rsidR="00F62F9D" w:rsidRPr="002429C5" w:rsidRDefault="00F62F9D" w:rsidP="00FA5788">
            <w:pPr>
              <w:spacing w:after="0"/>
              <w:rPr>
                <w:sz w:val="16"/>
                <w:szCs w:val="14"/>
              </w:rPr>
            </w:pPr>
            <w:r w:rsidRPr="002429C5">
              <w:rPr>
                <w:sz w:val="16"/>
              </w:rPr>
              <w:t>Czech Republic</w:t>
            </w:r>
          </w:p>
        </w:tc>
      </w:tr>
      <w:tr w:rsidR="00F62F9D" w:rsidRPr="002429C5" w:rsidTr="006B4005">
        <w:tc>
          <w:tcPr>
            <w:tcW w:w="4038" w:type="dxa"/>
          </w:tcPr>
          <w:p w:rsidR="00F62F9D" w:rsidRPr="002429C5" w:rsidRDefault="00F62F9D" w:rsidP="007509E1">
            <w:pPr>
              <w:pStyle w:val="DoNotTranslateExternal1"/>
            </w:pPr>
            <w:proofErr w:type="spellStart"/>
            <w:r w:rsidRPr="002429C5">
              <w:t>Italien</w:t>
            </w:r>
            <w:proofErr w:type="spellEnd"/>
          </w:p>
        </w:tc>
        <w:tc>
          <w:tcPr>
            <w:tcW w:w="4038" w:type="dxa"/>
          </w:tcPr>
          <w:p w:rsidR="00F62F9D" w:rsidRPr="002429C5" w:rsidRDefault="00F62F9D" w:rsidP="00FA5788">
            <w:pPr>
              <w:spacing w:after="0"/>
              <w:rPr>
                <w:sz w:val="16"/>
                <w:szCs w:val="14"/>
              </w:rPr>
            </w:pPr>
            <w:r w:rsidRPr="002429C5">
              <w:rPr>
                <w:sz w:val="16"/>
              </w:rPr>
              <w:t>Italy</w:t>
            </w:r>
          </w:p>
        </w:tc>
      </w:tr>
      <w:tr w:rsidR="00F62F9D" w:rsidRPr="002429C5" w:rsidTr="006B4005">
        <w:tc>
          <w:tcPr>
            <w:tcW w:w="4038" w:type="dxa"/>
          </w:tcPr>
          <w:p w:rsidR="00F62F9D" w:rsidRPr="002429C5" w:rsidRDefault="00F62F9D" w:rsidP="007509E1">
            <w:pPr>
              <w:pStyle w:val="DoNotTranslateExternal1"/>
            </w:pPr>
            <w:proofErr w:type="spellStart"/>
            <w:r w:rsidRPr="002429C5">
              <w:t>Østrig</w:t>
            </w:r>
            <w:proofErr w:type="spellEnd"/>
          </w:p>
        </w:tc>
        <w:tc>
          <w:tcPr>
            <w:tcW w:w="4038" w:type="dxa"/>
          </w:tcPr>
          <w:p w:rsidR="00F62F9D" w:rsidRPr="002429C5" w:rsidRDefault="00F62F9D" w:rsidP="00FA5788">
            <w:pPr>
              <w:spacing w:after="0"/>
              <w:rPr>
                <w:sz w:val="16"/>
                <w:szCs w:val="14"/>
              </w:rPr>
            </w:pPr>
            <w:r w:rsidRPr="002429C5">
              <w:rPr>
                <w:sz w:val="16"/>
              </w:rPr>
              <w:t>Austria</w:t>
            </w:r>
          </w:p>
        </w:tc>
      </w:tr>
      <w:tr w:rsidR="00F62F9D" w:rsidRPr="002429C5" w:rsidTr="006B4005">
        <w:tc>
          <w:tcPr>
            <w:tcW w:w="4038" w:type="dxa"/>
          </w:tcPr>
          <w:p w:rsidR="00F62F9D" w:rsidRPr="002429C5" w:rsidRDefault="00F62F9D" w:rsidP="007509E1">
            <w:pPr>
              <w:pStyle w:val="DoNotTranslateExternal1"/>
            </w:pPr>
            <w:proofErr w:type="spellStart"/>
            <w:r w:rsidRPr="002429C5">
              <w:t>Spanien</w:t>
            </w:r>
            <w:proofErr w:type="spellEnd"/>
          </w:p>
        </w:tc>
        <w:tc>
          <w:tcPr>
            <w:tcW w:w="4038" w:type="dxa"/>
          </w:tcPr>
          <w:p w:rsidR="00F62F9D" w:rsidRPr="002429C5" w:rsidRDefault="00F62F9D" w:rsidP="00FA5788">
            <w:pPr>
              <w:spacing w:after="0"/>
              <w:rPr>
                <w:sz w:val="16"/>
                <w:szCs w:val="14"/>
              </w:rPr>
            </w:pPr>
            <w:r w:rsidRPr="002429C5">
              <w:rPr>
                <w:sz w:val="16"/>
              </w:rPr>
              <w:t>Spain</w:t>
            </w:r>
          </w:p>
        </w:tc>
      </w:tr>
      <w:tr w:rsidR="00F62F9D" w:rsidRPr="002429C5" w:rsidTr="006B4005">
        <w:tc>
          <w:tcPr>
            <w:tcW w:w="4038" w:type="dxa"/>
          </w:tcPr>
          <w:p w:rsidR="00F62F9D" w:rsidRPr="002429C5" w:rsidRDefault="00F62F9D" w:rsidP="007509E1">
            <w:pPr>
              <w:pStyle w:val="DoNotTranslateExternal1"/>
            </w:pPr>
            <w:proofErr w:type="spellStart"/>
            <w:r w:rsidRPr="002429C5">
              <w:t>Belgien</w:t>
            </w:r>
            <w:proofErr w:type="spellEnd"/>
          </w:p>
        </w:tc>
        <w:tc>
          <w:tcPr>
            <w:tcW w:w="4038" w:type="dxa"/>
          </w:tcPr>
          <w:p w:rsidR="00F62F9D" w:rsidRPr="002429C5" w:rsidRDefault="00F62F9D" w:rsidP="00FA5788">
            <w:pPr>
              <w:spacing w:after="0"/>
              <w:rPr>
                <w:sz w:val="16"/>
                <w:szCs w:val="14"/>
              </w:rPr>
            </w:pPr>
            <w:r w:rsidRPr="002429C5">
              <w:rPr>
                <w:sz w:val="16"/>
              </w:rPr>
              <w:t>Belgium</w:t>
            </w:r>
          </w:p>
        </w:tc>
      </w:tr>
      <w:tr w:rsidR="00F62F9D" w:rsidRPr="002429C5" w:rsidTr="006B4005">
        <w:tc>
          <w:tcPr>
            <w:tcW w:w="4038" w:type="dxa"/>
          </w:tcPr>
          <w:p w:rsidR="00F62F9D" w:rsidRPr="002429C5" w:rsidRDefault="00F62F9D" w:rsidP="007509E1">
            <w:pPr>
              <w:pStyle w:val="DoNotTranslateExternal1"/>
            </w:pPr>
            <w:r w:rsidRPr="002429C5">
              <w:t xml:space="preserve">EU </w:t>
            </w:r>
            <w:proofErr w:type="spellStart"/>
            <w:r w:rsidRPr="002429C5">
              <w:t>gennemsnit</w:t>
            </w:r>
            <w:proofErr w:type="spellEnd"/>
          </w:p>
        </w:tc>
        <w:tc>
          <w:tcPr>
            <w:tcW w:w="4038" w:type="dxa"/>
          </w:tcPr>
          <w:p w:rsidR="00F62F9D" w:rsidRPr="002429C5" w:rsidRDefault="00F62F9D" w:rsidP="00FA5788">
            <w:pPr>
              <w:spacing w:after="0"/>
              <w:rPr>
                <w:sz w:val="16"/>
                <w:szCs w:val="14"/>
              </w:rPr>
            </w:pPr>
            <w:r w:rsidRPr="002429C5">
              <w:rPr>
                <w:sz w:val="16"/>
              </w:rPr>
              <w:t>EU average</w:t>
            </w:r>
          </w:p>
        </w:tc>
      </w:tr>
      <w:tr w:rsidR="00F62F9D" w:rsidRPr="002429C5" w:rsidTr="006B4005">
        <w:tc>
          <w:tcPr>
            <w:tcW w:w="4038" w:type="dxa"/>
          </w:tcPr>
          <w:p w:rsidR="00F62F9D" w:rsidRPr="002429C5" w:rsidRDefault="00F62F9D" w:rsidP="007509E1">
            <w:pPr>
              <w:pStyle w:val="DoNotTranslateExternal1"/>
            </w:pPr>
            <w:proofErr w:type="spellStart"/>
            <w:r w:rsidRPr="002429C5">
              <w:t>Slovenien</w:t>
            </w:r>
            <w:proofErr w:type="spellEnd"/>
          </w:p>
        </w:tc>
        <w:tc>
          <w:tcPr>
            <w:tcW w:w="4038" w:type="dxa"/>
          </w:tcPr>
          <w:p w:rsidR="00F62F9D" w:rsidRPr="002429C5" w:rsidRDefault="00F62F9D" w:rsidP="00FA5788">
            <w:pPr>
              <w:spacing w:after="0"/>
              <w:rPr>
                <w:sz w:val="16"/>
                <w:szCs w:val="14"/>
              </w:rPr>
            </w:pPr>
            <w:r w:rsidRPr="002429C5">
              <w:rPr>
                <w:sz w:val="16"/>
              </w:rPr>
              <w:t>Slovenia</w:t>
            </w:r>
          </w:p>
        </w:tc>
      </w:tr>
      <w:tr w:rsidR="00F62F9D" w:rsidRPr="002429C5" w:rsidTr="006B4005">
        <w:tc>
          <w:tcPr>
            <w:tcW w:w="4038" w:type="dxa"/>
          </w:tcPr>
          <w:p w:rsidR="00F62F9D" w:rsidRPr="002429C5" w:rsidRDefault="00F62F9D" w:rsidP="007509E1">
            <w:pPr>
              <w:pStyle w:val="DoNotTranslateExternal1"/>
            </w:pPr>
            <w:r w:rsidRPr="002429C5">
              <w:t>Portugal</w:t>
            </w:r>
          </w:p>
        </w:tc>
        <w:tc>
          <w:tcPr>
            <w:tcW w:w="4038" w:type="dxa"/>
          </w:tcPr>
          <w:p w:rsidR="00F62F9D" w:rsidRPr="002429C5" w:rsidRDefault="00F62F9D" w:rsidP="00FA5788">
            <w:pPr>
              <w:spacing w:after="0"/>
              <w:rPr>
                <w:sz w:val="16"/>
                <w:szCs w:val="14"/>
              </w:rPr>
            </w:pPr>
            <w:r w:rsidRPr="002429C5">
              <w:rPr>
                <w:sz w:val="16"/>
              </w:rPr>
              <w:t>Portugal</w:t>
            </w:r>
          </w:p>
        </w:tc>
      </w:tr>
      <w:tr w:rsidR="00F62F9D" w:rsidRPr="002429C5" w:rsidTr="006B4005">
        <w:tc>
          <w:tcPr>
            <w:tcW w:w="4038" w:type="dxa"/>
          </w:tcPr>
          <w:p w:rsidR="00F62F9D" w:rsidRPr="002429C5" w:rsidRDefault="00F62F9D" w:rsidP="007509E1">
            <w:pPr>
              <w:pStyle w:val="DoNotTranslateExternal1"/>
            </w:pPr>
            <w:proofErr w:type="spellStart"/>
            <w:r w:rsidRPr="002429C5">
              <w:t>Kroatien</w:t>
            </w:r>
            <w:proofErr w:type="spellEnd"/>
          </w:p>
        </w:tc>
        <w:tc>
          <w:tcPr>
            <w:tcW w:w="4038" w:type="dxa"/>
          </w:tcPr>
          <w:p w:rsidR="00F62F9D" w:rsidRPr="002429C5" w:rsidRDefault="00F62F9D" w:rsidP="00FA5788">
            <w:pPr>
              <w:spacing w:after="0"/>
              <w:rPr>
                <w:sz w:val="16"/>
                <w:szCs w:val="14"/>
              </w:rPr>
            </w:pPr>
            <w:r w:rsidRPr="002429C5">
              <w:rPr>
                <w:sz w:val="16"/>
              </w:rPr>
              <w:t>Croatia</w:t>
            </w:r>
          </w:p>
        </w:tc>
      </w:tr>
      <w:tr w:rsidR="00F62F9D" w:rsidRPr="002429C5" w:rsidTr="006B4005">
        <w:tc>
          <w:tcPr>
            <w:tcW w:w="4038" w:type="dxa"/>
          </w:tcPr>
          <w:p w:rsidR="00F62F9D" w:rsidRPr="002429C5" w:rsidRDefault="00F62F9D" w:rsidP="007509E1">
            <w:pPr>
              <w:pStyle w:val="DoNotTranslateExternal1"/>
            </w:pPr>
            <w:proofErr w:type="spellStart"/>
            <w:r w:rsidRPr="002429C5">
              <w:t>Bulgarien</w:t>
            </w:r>
            <w:proofErr w:type="spellEnd"/>
          </w:p>
        </w:tc>
        <w:tc>
          <w:tcPr>
            <w:tcW w:w="4038" w:type="dxa"/>
          </w:tcPr>
          <w:p w:rsidR="00F62F9D" w:rsidRPr="002429C5" w:rsidRDefault="00F62F9D" w:rsidP="00FA5788">
            <w:pPr>
              <w:spacing w:after="0"/>
              <w:rPr>
                <w:sz w:val="16"/>
                <w:szCs w:val="14"/>
              </w:rPr>
            </w:pPr>
            <w:r w:rsidRPr="002429C5">
              <w:rPr>
                <w:sz w:val="16"/>
              </w:rPr>
              <w:t>Bulgaria</w:t>
            </w:r>
          </w:p>
        </w:tc>
      </w:tr>
      <w:tr w:rsidR="00F62F9D" w:rsidRPr="002429C5" w:rsidTr="006B4005">
        <w:tc>
          <w:tcPr>
            <w:tcW w:w="4038" w:type="dxa"/>
          </w:tcPr>
          <w:p w:rsidR="00F62F9D" w:rsidRPr="002429C5" w:rsidRDefault="00F62F9D" w:rsidP="007509E1">
            <w:pPr>
              <w:pStyle w:val="DoNotTranslateExternal1"/>
            </w:pPr>
            <w:proofErr w:type="spellStart"/>
            <w:r w:rsidRPr="002429C5">
              <w:t>Ungarn</w:t>
            </w:r>
            <w:proofErr w:type="spellEnd"/>
          </w:p>
        </w:tc>
        <w:tc>
          <w:tcPr>
            <w:tcW w:w="4038" w:type="dxa"/>
          </w:tcPr>
          <w:p w:rsidR="00F62F9D" w:rsidRPr="002429C5" w:rsidRDefault="00F62F9D" w:rsidP="00FA5788">
            <w:pPr>
              <w:spacing w:after="0"/>
              <w:rPr>
                <w:sz w:val="16"/>
                <w:szCs w:val="14"/>
              </w:rPr>
            </w:pPr>
            <w:r w:rsidRPr="002429C5">
              <w:rPr>
                <w:sz w:val="16"/>
              </w:rPr>
              <w:t>Hungary</w:t>
            </w:r>
          </w:p>
        </w:tc>
      </w:tr>
      <w:tr w:rsidR="00F62F9D" w:rsidRPr="002429C5" w:rsidTr="006B4005">
        <w:tc>
          <w:tcPr>
            <w:tcW w:w="4038" w:type="dxa"/>
          </w:tcPr>
          <w:p w:rsidR="00F62F9D" w:rsidRPr="002429C5" w:rsidRDefault="00F62F9D" w:rsidP="007509E1">
            <w:pPr>
              <w:pStyle w:val="DoNotTranslateExternal1"/>
            </w:pPr>
            <w:proofErr w:type="spellStart"/>
            <w:r w:rsidRPr="002429C5">
              <w:t>Letland</w:t>
            </w:r>
            <w:proofErr w:type="spellEnd"/>
          </w:p>
        </w:tc>
        <w:tc>
          <w:tcPr>
            <w:tcW w:w="4038" w:type="dxa"/>
          </w:tcPr>
          <w:p w:rsidR="00F62F9D" w:rsidRPr="002429C5" w:rsidRDefault="00F62F9D" w:rsidP="00FA5788">
            <w:pPr>
              <w:spacing w:after="0"/>
              <w:rPr>
                <w:sz w:val="16"/>
                <w:szCs w:val="14"/>
              </w:rPr>
            </w:pPr>
            <w:r w:rsidRPr="002429C5">
              <w:rPr>
                <w:sz w:val="16"/>
              </w:rPr>
              <w:t>Latvia</w:t>
            </w:r>
          </w:p>
        </w:tc>
      </w:tr>
      <w:tr w:rsidR="00F62F9D" w:rsidRPr="002429C5" w:rsidTr="006B4005">
        <w:tc>
          <w:tcPr>
            <w:tcW w:w="4038" w:type="dxa"/>
          </w:tcPr>
          <w:p w:rsidR="00F62F9D" w:rsidRPr="002429C5" w:rsidRDefault="00F62F9D" w:rsidP="007509E1">
            <w:pPr>
              <w:pStyle w:val="DoNotTranslateExternal1"/>
            </w:pPr>
            <w:proofErr w:type="spellStart"/>
            <w:r w:rsidRPr="002429C5">
              <w:t>Estland</w:t>
            </w:r>
            <w:proofErr w:type="spellEnd"/>
          </w:p>
        </w:tc>
        <w:tc>
          <w:tcPr>
            <w:tcW w:w="4038" w:type="dxa"/>
          </w:tcPr>
          <w:p w:rsidR="00F62F9D" w:rsidRPr="002429C5" w:rsidRDefault="00F62F9D" w:rsidP="00FA5788">
            <w:pPr>
              <w:spacing w:after="0"/>
              <w:rPr>
                <w:sz w:val="16"/>
                <w:szCs w:val="14"/>
              </w:rPr>
            </w:pPr>
            <w:r w:rsidRPr="002429C5">
              <w:rPr>
                <w:sz w:val="16"/>
              </w:rPr>
              <w:t>Estonia</w:t>
            </w:r>
          </w:p>
        </w:tc>
      </w:tr>
      <w:tr w:rsidR="00F62F9D" w:rsidRPr="002429C5" w:rsidTr="006B4005">
        <w:tc>
          <w:tcPr>
            <w:tcW w:w="4038" w:type="dxa"/>
          </w:tcPr>
          <w:p w:rsidR="00F62F9D" w:rsidRPr="002429C5" w:rsidRDefault="00F62F9D" w:rsidP="007509E1">
            <w:pPr>
              <w:pStyle w:val="DoNotTranslateExternal1"/>
            </w:pPr>
            <w:proofErr w:type="spellStart"/>
            <w:r w:rsidRPr="002429C5">
              <w:t>Grækenland</w:t>
            </w:r>
            <w:proofErr w:type="spellEnd"/>
          </w:p>
        </w:tc>
        <w:tc>
          <w:tcPr>
            <w:tcW w:w="4038" w:type="dxa"/>
          </w:tcPr>
          <w:p w:rsidR="00F62F9D" w:rsidRPr="002429C5" w:rsidRDefault="00F62F9D" w:rsidP="00FA5788">
            <w:pPr>
              <w:spacing w:after="0"/>
              <w:rPr>
                <w:sz w:val="16"/>
                <w:szCs w:val="14"/>
              </w:rPr>
            </w:pPr>
            <w:r w:rsidRPr="002429C5">
              <w:rPr>
                <w:sz w:val="16"/>
              </w:rPr>
              <w:t>Greece</w:t>
            </w:r>
          </w:p>
        </w:tc>
      </w:tr>
      <w:tr w:rsidR="00F62F9D" w:rsidRPr="002429C5" w:rsidTr="006B4005">
        <w:tc>
          <w:tcPr>
            <w:tcW w:w="4038" w:type="dxa"/>
          </w:tcPr>
          <w:p w:rsidR="00F62F9D" w:rsidRPr="002429C5" w:rsidRDefault="00F62F9D" w:rsidP="007509E1">
            <w:pPr>
              <w:pStyle w:val="DoNotTranslateExternal1"/>
            </w:pPr>
            <w:proofErr w:type="spellStart"/>
            <w:r w:rsidRPr="002429C5">
              <w:t>Slovakiet</w:t>
            </w:r>
            <w:proofErr w:type="spellEnd"/>
          </w:p>
        </w:tc>
        <w:tc>
          <w:tcPr>
            <w:tcW w:w="4038" w:type="dxa"/>
          </w:tcPr>
          <w:p w:rsidR="00F62F9D" w:rsidRPr="002429C5" w:rsidRDefault="00F62F9D" w:rsidP="00FA5788">
            <w:pPr>
              <w:spacing w:after="0"/>
              <w:rPr>
                <w:sz w:val="16"/>
                <w:szCs w:val="14"/>
              </w:rPr>
            </w:pPr>
            <w:r w:rsidRPr="002429C5">
              <w:rPr>
                <w:sz w:val="16"/>
              </w:rPr>
              <w:t>Slovakia</w:t>
            </w:r>
          </w:p>
        </w:tc>
      </w:tr>
      <w:tr w:rsidR="00F62F9D" w:rsidRPr="002429C5" w:rsidTr="006B4005">
        <w:tc>
          <w:tcPr>
            <w:tcW w:w="4038" w:type="dxa"/>
          </w:tcPr>
          <w:p w:rsidR="00F62F9D" w:rsidRPr="002429C5" w:rsidRDefault="00F62F9D" w:rsidP="007509E1">
            <w:pPr>
              <w:pStyle w:val="DoNotTranslateExternal1"/>
            </w:pPr>
            <w:proofErr w:type="spellStart"/>
            <w:r w:rsidRPr="002429C5">
              <w:t>Polen</w:t>
            </w:r>
            <w:proofErr w:type="spellEnd"/>
          </w:p>
        </w:tc>
        <w:tc>
          <w:tcPr>
            <w:tcW w:w="4038" w:type="dxa"/>
          </w:tcPr>
          <w:p w:rsidR="00F62F9D" w:rsidRPr="002429C5" w:rsidRDefault="00F62F9D" w:rsidP="00FA5788">
            <w:pPr>
              <w:spacing w:after="0"/>
              <w:rPr>
                <w:sz w:val="16"/>
                <w:szCs w:val="14"/>
              </w:rPr>
            </w:pPr>
            <w:r w:rsidRPr="002429C5">
              <w:rPr>
                <w:sz w:val="16"/>
              </w:rPr>
              <w:t>Poland</w:t>
            </w:r>
          </w:p>
        </w:tc>
      </w:tr>
      <w:tr w:rsidR="00F62F9D" w:rsidRPr="002429C5" w:rsidTr="006B4005">
        <w:tc>
          <w:tcPr>
            <w:tcW w:w="4038" w:type="dxa"/>
          </w:tcPr>
          <w:p w:rsidR="00F62F9D" w:rsidRPr="002429C5" w:rsidRDefault="00F62F9D" w:rsidP="007509E1">
            <w:pPr>
              <w:pStyle w:val="DoNotTranslateExternal1"/>
            </w:pPr>
            <w:proofErr w:type="spellStart"/>
            <w:r w:rsidRPr="002429C5">
              <w:t>Rumænien</w:t>
            </w:r>
            <w:proofErr w:type="spellEnd"/>
          </w:p>
        </w:tc>
        <w:tc>
          <w:tcPr>
            <w:tcW w:w="4038" w:type="dxa"/>
          </w:tcPr>
          <w:p w:rsidR="00F62F9D" w:rsidRPr="002429C5" w:rsidRDefault="00F62F9D" w:rsidP="00FA5788">
            <w:pPr>
              <w:spacing w:after="0"/>
              <w:rPr>
                <w:sz w:val="16"/>
                <w:szCs w:val="14"/>
              </w:rPr>
            </w:pPr>
            <w:r w:rsidRPr="002429C5">
              <w:rPr>
                <w:sz w:val="16"/>
              </w:rPr>
              <w:t>Romania</w:t>
            </w:r>
          </w:p>
        </w:tc>
      </w:tr>
      <w:tr w:rsidR="00F62F9D" w:rsidRPr="002429C5" w:rsidTr="006B4005">
        <w:tc>
          <w:tcPr>
            <w:tcW w:w="4038" w:type="dxa"/>
          </w:tcPr>
          <w:p w:rsidR="00F62F9D" w:rsidRPr="002429C5" w:rsidRDefault="00F62F9D" w:rsidP="007509E1">
            <w:pPr>
              <w:pStyle w:val="DoNotTranslateExternal1"/>
            </w:pPr>
            <w:proofErr w:type="spellStart"/>
            <w:r w:rsidRPr="002429C5">
              <w:t>Litauen</w:t>
            </w:r>
            <w:proofErr w:type="spellEnd"/>
          </w:p>
        </w:tc>
        <w:tc>
          <w:tcPr>
            <w:tcW w:w="4038" w:type="dxa"/>
          </w:tcPr>
          <w:p w:rsidR="00F62F9D" w:rsidRPr="002429C5" w:rsidRDefault="00F62F9D" w:rsidP="00FA5788">
            <w:pPr>
              <w:spacing w:after="0"/>
              <w:rPr>
                <w:sz w:val="16"/>
                <w:szCs w:val="14"/>
              </w:rPr>
            </w:pPr>
            <w:r w:rsidRPr="002429C5">
              <w:rPr>
                <w:sz w:val="16"/>
              </w:rPr>
              <w:t>Lithuania</w:t>
            </w:r>
          </w:p>
        </w:tc>
      </w:tr>
      <w:tr w:rsidR="00F62F9D" w:rsidRPr="002429C5" w:rsidTr="006B4005">
        <w:tc>
          <w:tcPr>
            <w:tcW w:w="4038" w:type="dxa"/>
          </w:tcPr>
          <w:p w:rsidR="00F62F9D" w:rsidRPr="002429C5" w:rsidRDefault="00F62F9D" w:rsidP="007509E1">
            <w:pPr>
              <w:pStyle w:val="DoNotTranslateExternal1"/>
            </w:pPr>
            <w:proofErr w:type="spellStart"/>
            <w:r w:rsidRPr="002429C5">
              <w:t>Antal</w:t>
            </w:r>
            <w:proofErr w:type="spellEnd"/>
            <w:r w:rsidRPr="002429C5">
              <w:t xml:space="preserve"> </w:t>
            </w:r>
            <w:proofErr w:type="spellStart"/>
            <w:r w:rsidRPr="002429C5">
              <w:t>pr.mio.tog</w:t>
            </w:r>
            <w:proofErr w:type="spellEnd"/>
            <w:r w:rsidRPr="002429C5">
              <w:t>-km</w:t>
            </w:r>
          </w:p>
        </w:tc>
        <w:tc>
          <w:tcPr>
            <w:tcW w:w="4038" w:type="dxa"/>
          </w:tcPr>
          <w:p w:rsidR="00F62F9D" w:rsidRPr="002429C5" w:rsidRDefault="00F62F9D" w:rsidP="00FA5788">
            <w:pPr>
              <w:spacing w:after="0"/>
              <w:rPr>
                <w:sz w:val="16"/>
                <w:szCs w:val="14"/>
              </w:rPr>
            </w:pPr>
            <w:r w:rsidRPr="002429C5">
              <w:rPr>
                <w:sz w:val="16"/>
              </w:rPr>
              <w:t>Number per million train-km</w:t>
            </w:r>
          </w:p>
        </w:tc>
      </w:tr>
    </w:tbl>
    <w:p w:rsidR="006B4005" w:rsidRPr="002429C5" w:rsidRDefault="006B4005" w:rsidP="006B4005">
      <w:pPr>
        <w:spacing w:after="0"/>
        <w:rPr>
          <w:sz w:val="16"/>
          <w:szCs w:val="14"/>
        </w:rPr>
      </w:pPr>
    </w:p>
    <w:p w:rsidR="006B4005" w:rsidRPr="002429C5" w:rsidRDefault="006B4005" w:rsidP="00FD0977"/>
    <w:p w:rsidR="00065570" w:rsidRPr="002429C5" w:rsidRDefault="00065570" w:rsidP="00264A00">
      <w:pPr>
        <w:pStyle w:val="Heading1"/>
        <w:sectPr w:rsidR="00065570" w:rsidRPr="002429C5" w:rsidSect="00356DD7">
          <w:headerReference w:type="first" r:id="rId33"/>
          <w:type w:val="continuous"/>
          <w:pgSz w:w="11906" w:h="16838" w:code="9"/>
          <w:pgMar w:top="1985" w:right="1985" w:bottom="1418" w:left="1985" w:header="709" w:footer="709" w:gutter="0"/>
          <w:cols w:space="709"/>
          <w:titlePg/>
          <w:docGrid w:linePitch="360"/>
        </w:sectPr>
      </w:pPr>
    </w:p>
    <w:p w:rsidR="00264A00" w:rsidRPr="002429C5" w:rsidRDefault="00065570" w:rsidP="00264A00">
      <w:pPr>
        <w:pStyle w:val="Heading1"/>
      </w:pPr>
      <w:r w:rsidRPr="002429C5">
        <w:lastRenderedPageBreak/>
        <w:br w:type="page"/>
      </w:r>
      <w:bookmarkStart w:id="12" w:name="_Toc441733519"/>
      <w:r w:rsidRPr="002429C5">
        <w:lastRenderedPageBreak/>
        <w:t>Chapter 2. Follow-up of recommendations from the Accident Investigation Board and other incidents</w:t>
      </w:r>
      <w:bookmarkEnd w:id="12"/>
    </w:p>
    <w:p w:rsidR="000336BB" w:rsidRPr="002429C5" w:rsidRDefault="00EB3EE5" w:rsidP="007C4691">
      <w:pPr>
        <w:rPr>
          <w:sz w:val="24"/>
          <w:szCs w:val="24"/>
        </w:rPr>
      </w:pPr>
      <w:r w:rsidRPr="002429C5">
        <w:rPr>
          <w:sz w:val="24"/>
        </w:rPr>
        <w:t>In 2014, the Agency received four reports from the Accident Investigation Board for follow-up. The Agency has monitored these incidents and implemented several measures in accordance with the recommendations. The Agency considers all recommendations to have been complied with.</w:t>
      </w:r>
    </w:p>
    <w:p w:rsidR="00D81BC9" w:rsidRPr="002429C5" w:rsidRDefault="00D81BC9" w:rsidP="007C4691">
      <w:pPr>
        <w:sectPr w:rsidR="00D81BC9" w:rsidRPr="002429C5" w:rsidSect="00356DD7">
          <w:headerReference w:type="default" r:id="rId34"/>
          <w:type w:val="continuous"/>
          <w:pgSz w:w="11906" w:h="16838" w:code="9"/>
          <w:pgMar w:top="1985" w:right="1985" w:bottom="1418" w:left="1985" w:header="709" w:footer="709" w:gutter="0"/>
          <w:cols w:space="709"/>
          <w:titlePg/>
          <w:docGrid w:linePitch="360"/>
        </w:sectPr>
      </w:pPr>
    </w:p>
    <w:p w:rsidR="00B824CC" w:rsidRPr="002429C5" w:rsidRDefault="00F0566F" w:rsidP="000336BB">
      <w:pPr>
        <w:pStyle w:val="Heading2"/>
        <w:spacing w:before="0"/>
      </w:pPr>
      <w:bookmarkStart w:id="13" w:name="_Toc441733520"/>
      <w:r w:rsidRPr="002429C5">
        <w:lastRenderedPageBreak/>
        <w:t>Recommendations from the Accident Investigation Board</w:t>
      </w:r>
      <w:bookmarkEnd w:id="13"/>
    </w:p>
    <w:p w:rsidR="00B824CC" w:rsidRPr="002429C5" w:rsidRDefault="001D7D61" w:rsidP="007C4691">
      <w:r w:rsidRPr="002429C5">
        <w:t>Every year there are incidents on the railways that require particular attention and need following up. These may be specific recommendations from the Accident Investigation Board or specific incidents that have not (yet) been investigated by the Accident Investigation Board.</w:t>
      </w:r>
    </w:p>
    <w:p w:rsidR="00B824CC" w:rsidRPr="002429C5" w:rsidRDefault="0030086F" w:rsidP="0030086F">
      <w:r w:rsidRPr="002429C5">
        <w:t>The overall objective of the Accident Investigation Board's work is to identify opportunities to improve safety and prevent accidents. The Accident Investigation Board does not attribute blame and responsibility.</w:t>
      </w:r>
    </w:p>
    <w:p w:rsidR="0030086F" w:rsidRPr="002429C5" w:rsidRDefault="005D4CF9" w:rsidP="0030086F">
      <w:r w:rsidRPr="002429C5">
        <w:t xml:space="preserve">Through its accident investigations, the Accident Investigation Board provides an independent assessment of the </w:t>
      </w:r>
      <w:r w:rsidRPr="002429C5">
        <w:lastRenderedPageBreak/>
        <w:t>underlying causes of an accident, thus giving undertakings the opportunity to rectify any errors and discrepancies.</w:t>
      </w:r>
    </w:p>
    <w:p w:rsidR="0030086F" w:rsidRPr="002429C5" w:rsidRDefault="00E7143C" w:rsidP="003D100E">
      <w:r w:rsidRPr="002429C5">
        <w:t>As the recipient of a recommendation, the Agency must ensure that there is appropriate follow-up. Any action takes place in cooperation with the relevant responsible actors.</w:t>
      </w:r>
    </w:p>
    <w:p w:rsidR="0030086F" w:rsidRPr="002429C5" w:rsidRDefault="0030086F" w:rsidP="007C4691">
      <w:r w:rsidRPr="002429C5">
        <w:t>In 2014, the Accident Investigation Board published four reports with recommendations for the Agency (see table 2).</w:t>
      </w:r>
    </w:p>
    <w:p w:rsidR="007C4691" w:rsidRPr="002429C5" w:rsidRDefault="007C4691" w:rsidP="007C4691">
      <w:r w:rsidRPr="002429C5">
        <w:t>The Agency's follow-up of these reports from the Accident Investigation Board is outlined below. Finally, this chapter discusses other incidents, which in 2014 involved the breakage of IC4 train axle bearing boxes.</w:t>
      </w:r>
    </w:p>
    <w:p w:rsidR="00B7053F" w:rsidRPr="002429C5" w:rsidRDefault="00B7053F" w:rsidP="007C4691"/>
    <w:p w:rsidR="00B7053F" w:rsidRPr="002429C5" w:rsidRDefault="00B7053F" w:rsidP="007C4691">
      <w:pPr>
        <w:sectPr w:rsidR="00B7053F" w:rsidRPr="002429C5" w:rsidSect="00356DD7">
          <w:type w:val="continuous"/>
          <w:pgSz w:w="11906" w:h="16838" w:code="9"/>
          <w:pgMar w:top="1985" w:right="1985" w:bottom="1418" w:left="1985" w:header="709" w:footer="709" w:gutter="0"/>
          <w:cols w:num="2" w:space="709"/>
          <w:titlePg/>
          <w:docGrid w:linePitch="360"/>
        </w:sectPr>
      </w:pPr>
    </w:p>
    <w:p w:rsidR="000336BB" w:rsidRPr="002429C5" w:rsidRDefault="000336BB" w:rsidP="000336BB"/>
    <w:p w:rsidR="00D81BC9" w:rsidRPr="002429C5" w:rsidRDefault="00D81BC9" w:rsidP="000336BB">
      <w:pPr>
        <w:keepNext/>
        <w:rPr>
          <w:i/>
          <w:iCs/>
          <w:sz w:val="16"/>
        </w:rPr>
      </w:pPr>
      <w:r w:rsidRPr="002429C5">
        <w:rPr>
          <w:i/>
          <w:sz w:val="16"/>
        </w:rPr>
        <w:t>Table 2: Reports from the Accident Investigation Board that the Agency followed up in 2014.</w:t>
      </w:r>
    </w:p>
    <w:tbl>
      <w:tblPr>
        <w:tblStyle w:val="LightShading"/>
        <w:tblW w:w="7905" w:type="dxa"/>
        <w:tblLayout w:type="fixed"/>
        <w:tblLook w:val="04A0" w:firstRow="1" w:lastRow="0" w:firstColumn="1" w:lastColumn="0" w:noHBand="0" w:noVBand="1"/>
      </w:tblPr>
      <w:tblGrid>
        <w:gridCol w:w="1902"/>
        <w:gridCol w:w="4018"/>
        <w:gridCol w:w="1985"/>
      </w:tblGrid>
      <w:tr w:rsidR="00D81BC9" w:rsidRPr="002429C5" w:rsidTr="000336BB">
        <w:trPr>
          <w:cnfStyle w:val="100000000000" w:firstRow="1" w:lastRow="0" w:firstColumn="0" w:lastColumn="0" w:oddVBand="0" w:evenVBand="0" w:oddHBand="0"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902" w:type="dxa"/>
          </w:tcPr>
          <w:p w:rsidR="00D81BC9" w:rsidRPr="002429C5" w:rsidRDefault="00D81BC9" w:rsidP="000336BB">
            <w:pPr>
              <w:keepNext/>
              <w:rPr>
                <w:b w:val="0"/>
                <w:sz w:val="20"/>
              </w:rPr>
            </w:pPr>
            <w:r w:rsidRPr="002429C5">
              <w:rPr>
                <w:b w:val="0"/>
                <w:sz w:val="20"/>
              </w:rPr>
              <w:t>Report date</w:t>
            </w:r>
          </w:p>
        </w:tc>
        <w:tc>
          <w:tcPr>
            <w:tcW w:w="4018" w:type="dxa"/>
          </w:tcPr>
          <w:p w:rsidR="00D81BC9" w:rsidRPr="002429C5" w:rsidRDefault="00D81BC9" w:rsidP="000336BB">
            <w:pPr>
              <w:keepNext/>
              <w:cnfStyle w:val="100000000000" w:firstRow="1" w:lastRow="0" w:firstColumn="0" w:lastColumn="0" w:oddVBand="0" w:evenVBand="0" w:oddHBand="0" w:evenHBand="0" w:firstRowFirstColumn="0" w:firstRowLastColumn="0" w:lastRowFirstColumn="0" w:lastRowLastColumn="0"/>
              <w:rPr>
                <w:b w:val="0"/>
                <w:sz w:val="20"/>
              </w:rPr>
            </w:pPr>
            <w:r w:rsidRPr="002429C5">
              <w:rPr>
                <w:b w:val="0"/>
                <w:sz w:val="20"/>
              </w:rPr>
              <w:t>Incident</w:t>
            </w:r>
          </w:p>
        </w:tc>
        <w:tc>
          <w:tcPr>
            <w:tcW w:w="1985" w:type="dxa"/>
          </w:tcPr>
          <w:p w:rsidR="00D81BC9" w:rsidRPr="002429C5" w:rsidRDefault="00D81BC9" w:rsidP="000336BB">
            <w:pPr>
              <w:keepNext/>
              <w:cnfStyle w:val="100000000000" w:firstRow="1" w:lastRow="0" w:firstColumn="0" w:lastColumn="0" w:oddVBand="0" w:evenVBand="0" w:oddHBand="0" w:evenHBand="0" w:firstRowFirstColumn="0" w:firstRowLastColumn="0" w:lastRowFirstColumn="0" w:lastRowLastColumn="0"/>
              <w:rPr>
                <w:b w:val="0"/>
                <w:sz w:val="20"/>
              </w:rPr>
            </w:pPr>
            <w:r w:rsidRPr="002429C5">
              <w:rPr>
                <w:b w:val="0"/>
                <w:sz w:val="20"/>
              </w:rPr>
              <w:t>Incident date</w:t>
            </w:r>
          </w:p>
        </w:tc>
      </w:tr>
      <w:tr w:rsidR="00D81BC9" w:rsidRPr="002429C5" w:rsidTr="000336BB">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902" w:type="dxa"/>
          </w:tcPr>
          <w:p w:rsidR="00D81BC9" w:rsidRPr="002429C5" w:rsidRDefault="00D81BC9" w:rsidP="00213D83">
            <w:r w:rsidRPr="002429C5">
              <w:t>11-06-2014</w:t>
            </w:r>
          </w:p>
        </w:tc>
        <w:tc>
          <w:tcPr>
            <w:tcW w:w="4018" w:type="dxa"/>
          </w:tcPr>
          <w:p w:rsidR="00D81BC9" w:rsidRPr="002429C5" w:rsidRDefault="00D81BC9" w:rsidP="00213D83">
            <w:pPr>
              <w:cnfStyle w:val="000000100000" w:firstRow="0" w:lastRow="0" w:firstColumn="0" w:lastColumn="0" w:oddVBand="0" w:evenVBand="0" w:oddHBand="1" w:evenHBand="0" w:firstRowFirstColumn="0" w:firstRowLastColumn="0" w:lastRowFirstColumn="0" w:lastRowLastColumn="0"/>
            </w:pPr>
            <w:r w:rsidRPr="002429C5">
              <w:t>Collision between two IC4 units at Esbjerg station</w:t>
            </w:r>
          </w:p>
        </w:tc>
        <w:tc>
          <w:tcPr>
            <w:tcW w:w="1985" w:type="dxa"/>
          </w:tcPr>
          <w:p w:rsidR="00D81BC9" w:rsidRPr="002429C5" w:rsidRDefault="00D81BC9" w:rsidP="00213D83">
            <w:pPr>
              <w:cnfStyle w:val="000000100000" w:firstRow="0" w:lastRow="0" w:firstColumn="0" w:lastColumn="0" w:oddVBand="0" w:evenVBand="0" w:oddHBand="1" w:evenHBand="0" w:firstRowFirstColumn="0" w:firstRowLastColumn="0" w:lastRowFirstColumn="0" w:lastRowLastColumn="0"/>
            </w:pPr>
            <w:r w:rsidRPr="002429C5">
              <w:t>09-12-2013</w:t>
            </w:r>
          </w:p>
        </w:tc>
      </w:tr>
      <w:tr w:rsidR="00D81BC9" w:rsidRPr="002429C5" w:rsidTr="000336BB">
        <w:trPr>
          <w:cantSplit/>
        </w:trPr>
        <w:tc>
          <w:tcPr>
            <w:cnfStyle w:val="001000000000" w:firstRow="0" w:lastRow="0" w:firstColumn="1" w:lastColumn="0" w:oddVBand="0" w:evenVBand="0" w:oddHBand="0" w:evenHBand="0" w:firstRowFirstColumn="0" w:firstRowLastColumn="0" w:lastRowFirstColumn="0" w:lastRowLastColumn="0"/>
            <w:tcW w:w="1902" w:type="dxa"/>
          </w:tcPr>
          <w:p w:rsidR="00D81BC9" w:rsidRPr="002429C5" w:rsidRDefault="00D81BC9" w:rsidP="00213D83">
            <w:r w:rsidRPr="002429C5">
              <w:t>10-07-2014</w:t>
            </w:r>
          </w:p>
        </w:tc>
        <w:tc>
          <w:tcPr>
            <w:tcW w:w="4018" w:type="dxa"/>
          </w:tcPr>
          <w:p w:rsidR="00D81BC9" w:rsidRPr="002429C5" w:rsidRDefault="00D81BC9" w:rsidP="00213D83">
            <w:pPr>
              <w:cnfStyle w:val="000000000000" w:firstRow="0" w:lastRow="0" w:firstColumn="0" w:lastColumn="0" w:oddVBand="0" w:evenVBand="0" w:oddHBand="0" w:evenHBand="0" w:firstRowFirstColumn="0" w:firstRowLastColumn="0" w:lastRowFirstColumn="0" w:lastRowLastColumn="0"/>
            </w:pPr>
            <w:r w:rsidRPr="002429C5">
              <w:t xml:space="preserve">Car hit by train at level crossing 115 – </w:t>
            </w:r>
            <w:proofErr w:type="spellStart"/>
            <w:r w:rsidRPr="002429C5">
              <w:t>Stokholmvej</w:t>
            </w:r>
            <w:proofErr w:type="spellEnd"/>
            <w:r w:rsidRPr="002429C5">
              <w:t xml:space="preserve"> in </w:t>
            </w:r>
            <w:proofErr w:type="spellStart"/>
            <w:r w:rsidRPr="002429C5">
              <w:t>Vinderup</w:t>
            </w:r>
            <w:proofErr w:type="spellEnd"/>
          </w:p>
        </w:tc>
        <w:tc>
          <w:tcPr>
            <w:tcW w:w="1985" w:type="dxa"/>
          </w:tcPr>
          <w:p w:rsidR="00D81BC9" w:rsidRPr="002429C5" w:rsidRDefault="00D81BC9" w:rsidP="00213D83">
            <w:pPr>
              <w:cnfStyle w:val="000000000000" w:firstRow="0" w:lastRow="0" w:firstColumn="0" w:lastColumn="0" w:oddVBand="0" w:evenVBand="0" w:oddHBand="0" w:evenHBand="0" w:firstRowFirstColumn="0" w:firstRowLastColumn="0" w:lastRowFirstColumn="0" w:lastRowLastColumn="0"/>
            </w:pPr>
            <w:r w:rsidRPr="002429C5">
              <w:t>05-05-2013</w:t>
            </w:r>
          </w:p>
        </w:tc>
      </w:tr>
      <w:tr w:rsidR="00D81BC9" w:rsidRPr="002429C5" w:rsidTr="000336BB">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902" w:type="dxa"/>
          </w:tcPr>
          <w:p w:rsidR="00D81BC9" w:rsidRPr="002429C5" w:rsidRDefault="00D81BC9" w:rsidP="00213D83">
            <w:r w:rsidRPr="002429C5">
              <w:t>19-12-2014</w:t>
            </w:r>
          </w:p>
        </w:tc>
        <w:tc>
          <w:tcPr>
            <w:tcW w:w="4018" w:type="dxa"/>
          </w:tcPr>
          <w:p w:rsidR="00D81BC9" w:rsidRPr="002429C5" w:rsidRDefault="00D81BC9" w:rsidP="00213D83">
            <w:pPr>
              <w:cnfStyle w:val="000000100000" w:firstRow="0" w:lastRow="0" w:firstColumn="0" w:lastColumn="0" w:oddVBand="0" w:evenVBand="0" w:oddHBand="1" w:evenHBand="0" w:firstRowFirstColumn="0" w:firstRowLastColumn="0" w:lastRowFirstColumn="0" w:lastRowLastColumn="0"/>
            </w:pPr>
            <w:r w:rsidRPr="002429C5">
              <w:t>Development of fire/smoke in IC3 units from 8 July 2009 to 31 December 2013</w:t>
            </w:r>
          </w:p>
        </w:tc>
        <w:tc>
          <w:tcPr>
            <w:tcW w:w="1985" w:type="dxa"/>
          </w:tcPr>
          <w:p w:rsidR="00D81BC9" w:rsidRPr="002429C5" w:rsidRDefault="00D81BC9" w:rsidP="00213D83">
            <w:pPr>
              <w:cnfStyle w:val="000000100000" w:firstRow="0" w:lastRow="0" w:firstColumn="0" w:lastColumn="0" w:oddVBand="0" w:evenVBand="0" w:oddHBand="1" w:evenHBand="0" w:firstRowFirstColumn="0" w:firstRowLastColumn="0" w:lastRowFirstColumn="0" w:lastRowLastColumn="0"/>
            </w:pPr>
            <w:r w:rsidRPr="002429C5">
              <w:t>08-07-2009 to 31-12-2013</w:t>
            </w:r>
          </w:p>
        </w:tc>
      </w:tr>
      <w:tr w:rsidR="00D81BC9" w:rsidRPr="002429C5" w:rsidTr="000336BB">
        <w:trPr>
          <w:cantSplit/>
        </w:trPr>
        <w:tc>
          <w:tcPr>
            <w:cnfStyle w:val="001000000000" w:firstRow="0" w:lastRow="0" w:firstColumn="1" w:lastColumn="0" w:oddVBand="0" w:evenVBand="0" w:oddHBand="0" w:evenHBand="0" w:firstRowFirstColumn="0" w:firstRowLastColumn="0" w:lastRowFirstColumn="0" w:lastRowLastColumn="0"/>
            <w:tcW w:w="1902" w:type="dxa"/>
          </w:tcPr>
          <w:p w:rsidR="00D81BC9" w:rsidRPr="002429C5" w:rsidRDefault="00D81BC9" w:rsidP="00213D83">
            <w:r w:rsidRPr="002429C5">
              <w:t>22-12-2014</w:t>
            </w:r>
          </w:p>
        </w:tc>
        <w:tc>
          <w:tcPr>
            <w:tcW w:w="4018" w:type="dxa"/>
          </w:tcPr>
          <w:p w:rsidR="00D81BC9" w:rsidRPr="002429C5" w:rsidRDefault="00D81BC9" w:rsidP="00213D83">
            <w:pPr>
              <w:cnfStyle w:val="000000000000" w:firstRow="0" w:lastRow="0" w:firstColumn="0" w:lastColumn="0" w:oddVBand="0" w:evenVBand="0" w:oddHBand="0" w:evenHBand="0" w:firstRowFirstColumn="0" w:firstRowLastColumn="0" w:lastRowFirstColumn="0" w:lastRowLastColumn="0"/>
            </w:pPr>
            <w:r w:rsidRPr="002429C5">
              <w:t xml:space="preserve">Goods trains collided at </w:t>
            </w:r>
            <w:proofErr w:type="spellStart"/>
            <w:r w:rsidRPr="002429C5">
              <w:t>Padborg</w:t>
            </w:r>
            <w:proofErr w:type="spellEnd"/>
            <w:r w:rsidRPr="002429C5">
              <w:t xml:space="preserve"> station</w:t>
            </w:r>
          </w:p>
        </w:tc>
        <w:tc>
          <w:tcPr>
            <w:tcW w:w="1985" w:type="dxa"/>
          </w:tcPr>
          <w:p w:rsidR="00D81BC9" w:rsidRPr="002429C5" w:rsidRDefault="00D81BC9" w:rsidP="00213D83">
            <w:pPr>
              <w:cnfStyle w:val="000000000000" w:firstRow="0" w:lastRow="0" w:firstColumn="0" w:lastColumn="0" w:oddVBand="0" w:evenVBand="0" w:oddHBand="0" w:evenHBand="0" w:firstRowFirstColumn="0" w:firstRowLastColumn="0" w:lastRowFirstColumn="0" w:lastRowLastColumn="0"/>
            </w:pPr>
            <w:r w:rsidRPr="002429C5">
              <w:t>30-11-2013</w:t>
            </w:r>
          </w:p>
        </w:tc>
      </w:tr>
    </w:tbl>
    <w:p w:rsidR="00D81BC9" w:rsidRPr="002429C5" w:rsidRDefault="00D81BC9" w:rsidP="00D81BC9">
      <w:pPr>
        <w:sectPr w:rsidR="00D81BC9" w:rsidRPr="002429C5" w:rsidSect="00356DD7">
          <w:type w:val="continuous"/>
          <w:pgSz w:w="11906" w:h="16838" w:code="9"/>
          <w:pgMar w:top="1985" w:right="1985" w:bottom="1418" w:left="1985" w:header="709" w:footer="709" w:gutter="0"/>
          <w:cols w:space="709"/>
          <w:titlePg/>
          <w:docGrid w:linePitch="360"/>
        </w:sectPr>
      </w:pPr>
    </w:p>
    <w:p w:rsidR="00D81BC9" w:rsidRPr="002429C5" w:rsidRDefault="00D81BC9" w:rsidP="000336BB">
      <w:pPr>
        <w:jc w:val="center"/>
      </w:pPr>
    </w:p>
    <w:p w:rsidR="0020757F" w:rsidRPr="002429C5" w:rsidRDefault="0020757F" w:rsidP="0030086F">
      <w:pPr>
        <w:pStyle w:val="Heading2"/>
        <w:sectPr w:rsidR="0020757F" w:rsidRPr="002429C5" w:rsidSect="00356DD7">
          <w:type w:val="continuous"/>
          <w:pgSz w:w="11906" w:h="16838" w:code="9"/>
          <w:pgMar w:top="1985" w:right="1985" w:bottom="1418" w:left="1985" w:header="709" w:footer="709" w:gutter="0"/>
          <w:cols w:space="709"/>
          <w:titlePg/>
          <w:docGrid w:linePitch="360"/>
        </w:sectPr>
      </w:pPr>
    </w:p>
    <w:p w:rsidR="0030086F" w:rsidRPr="002429C5" w:rsidRDefault="0030086F" w:rsidP="0020757F">
      <w:pPr>
        <w:pStyle w:val="Heading2"/>
        <w:spacing w:before="0"/>
      </w:pPr>
      <w:bookmarkStart w:id="14" w:name="_Toc441733521"/>
      <w:r w:rsidRPr="002429C5">
        <w:lastRenderedPageBreak/>
        <w:t>Collision between two IC4 units at Esbjerg station</w:t>
      </w:r>
      <w:bookmarkEnd w:id="14"/>
    </w:p>
    <w:p w:rsidR="0030086F" w:rsidRPr="002429C5" w:rsidRDefault="0030086F" w:rsidP="0030086F">
      <w:r w:rsidRPr="002429C5">
        <w:t>The incident occurred on 9 December 2013 at Esbjerg Station. While shunting in connection with coupling, the train collided with another IC4 unit. The unit should have stopped approximately 10 m before the stationary train, but the driver could not stop the train in time and therefore collided with the stationary unit. The incident caused only slight material damage. At the time of the collision, the train staff consisted of two drivers and a technician from DSB Maintenance.</w:t>
      </w:r>
    </w:p>
    <w:p w:rsidR="0030086F" w:rsidRPr="002429C5" w:rsidRDefault="0030086F" w:rsidP="0030086F">
      <w:r w:rsidRPr="002429C5">
        <w:t>No rail conditions or previous recordings of faults with the unit were identified that might have affected the train's braking.</w:t>
      </w:r>
    </w:p>
    <w:p w:rsidR="007C4691" w:rsidRPr="002429C5" w:rsidRDefault="007C4691" w:rsidP="007C4691">
      <w:r w:rsidRPr="002429C5">
        <w:t xml:space="preserve">The driver started braking 120 m before the expected braking point and the speed was 40 </w:t>
      </w:r>
      <w:proofErr w:type="spellStart"/>
      <w:r w:rsidRPr="002429C5">
        <w:t>kph</w:t>
      </w:r>
      <w:proofErr w:type="spellEnd"/>
      <w:r w:rsidRPr="002429C5">
        <w:t xml:space="preserve"> when braking was initiated. At the time of the collision, the speed was 15 </w:t>
      </w:r>
      <w:proofErr w:type="spellStart"/>
      <w:r w:rsidRPr="002429C5">
        <w:t>kph</w:t>
      </w:r>
      <w:proofErr w:type="spellEnd"/>
      <w:r w:rsidRPr="002429C5">
        <w:t>. The driver had 10 years' experience of driving IC4 units and had local knowledge of Esbjerg station.</w:t>
      </w:r>
    </w:p>
    <w:p w:rsidR="007C4691" w:rsidRPr="002429C5" w:rsidRDefault="007C4691" w:rsidP="005A0C79">
      <w:r w:rsidRPr="002429C5">
        <w:t>It was noted in connection with the Accident Investigation Board's investigation that:</w:t>
      </w:r>
    </w:p>
    <w:p w:rsidR="007C4691" w:rsidRPr="002429C5" w:rsidRDefault="007C4691" w:rsidP="00D81BC9">
      <w:pPr>
        <w:pStyle w:val="ListParagraph"/>
        <w:numPr>
          <w:ilvl w:val="0"/>
          <w:numId w:val="25"/>
        </w:numPr>
        <w:tabs>
          <w:tab w:val="left" w:pos="1701"/>
          <w:tab w:val="left" w:pos="1843"/>
          <w:tab w:val="left" w:pos="2268"/>
          <w:tab w:val="left" w:pos="3261"/>
          <w:tab w:val="left" w:pos="3402"/>
        </w:tabs>
        <w:spacing w:line="240" w:lineRule="auto"/>
        <w:rPr>
          <w:sz w:val="18"/>
        </w:rPr>
      </w:pPr>
      <w:r w:rsidRPr="002429C5">
        <w:rPr>
          <w:sz w:val="18"/>
        </w:rPr>
        <w:t>the distance travelled was not recorded</w:t>
      </w:r>
    </w:p>
    <w:p w:rsidR="007C4691" w:rsidRPr="002429C5" w:rsidRDefault="007C4691" w:rsidP="005A0C79">
      <w:pPr>
        <w:pStyle w:val="ListParagraph"/>
        <w:numPr>
          <w:ilvl w:val="0"/>
          <w:numId w:val="25"/>
        </w:numPr>
        <w:tabs>
          <w:tab w:val="left" w:pos="1701"/>
          <w:tab w:val="left" w:pos="1843"/>
        </w:tabs>
        <w:spacing w:line="240" w:lineRule="auto"/>
        <w:rPr>
          <w:sz w:val="18"/>
        </w:rPr>
      </w:pPr>
      <w:r w:rsidRPr="002429C5">
        <w:rPr>
          <w:sz w:val="18"/>
        </w:rPr>
        <w:t>the recording of the actual speed was inaccurate</w:t>
      </w:r>
    </w:p>
    <w:p w:rsidR="007C4691" w:rsidRPr="002429C5" w:rsidRDefault="007C4691" w:rsidP="005A0C79">
      <w:pPr>
        <w:pStyle w:val="ListParagraph"/>
        <w:numPr>
          <w:ilvl w:val="0"/>
          <w:numId w:val="25"/>
        </w:numPr>
        <w:tabs>
          <w:tab w:val="left" w:pos="1701"/>
          <w:tab w:val="left" w:pos="1843"/>
        </w:tabs>
        <w:spacing w:line="240" w:lineRule="auto"/>
        <w:rPr>
          <w:sz w:val="18"/>
        </w:rPr>
      </w:pPr>
      <w:r w:rsidRPr="002429C5">
        <w:rPr>
          <w:sz w:val="18"/>
        </w:rPr>
        <w:t>there was continuous recording of wheel locking</w:t>
      </w:r>
    </w:p>
    <w:p w:rsidR="007C4691" w:rsidRPr="002429C5" w:rsidRDefault="007C4691" w:rsidP="005A0C79">
      <w:pPr>
        <w:pStyle w:val="ListParagraph"/>
        <w:numPr>
          <w:ilvl w:val="0"/>
          <w:numId w:val="25"/>
        </w:numPr>
        <w:tabs>
          <w:tab w:val="left" w:pos="1701"/>
          <w:tab w:val="left" w:pos="1843"/>
          <w:tab w:val="left" w:pos="2835"/>
        </w:tabs>
        <w:spacing w:line="240" w:lineRule="auto"/>
        <w:rPr>
          <w:sz w:val="18"/>
        </w:rPr>
      </w:pPr>
      <w:r w:rsidRPr="002429C5">
        <w:rPr>
          <w:sz w:val="18"/>
        </w:rPr>
        <w:t>prior to the incident, no problems had been recorded with braking or slippery rails</w:t>
      </w:r>
    </w:p>
    <w:p w:rsidR="007C4691" w:rsidRPr="002429C5" w:rsidRDefault="007C4691" w:rsidP="005A0C79">
      <w:pPr>
        <w:pStyle w:val="ListParagraph"/>
        <w:numPr>
          <w:ilvl w:val="0"/>
          <w:numId w:val="25"/>
        </w:numPr>
        <w:tabs>
          <w:tab w:val="left" w:pos="1701"/>
          <w:tab w:val="left" w:pos="1843"/>
        </w:tabs>
        <w:spacing w:line="240" w:lineRule="auto"/>
        <w:rPr>
          <w:sz w:val="18"/>
        </w:rPr>
      </w:pPr>
      <w:r w:rsidRPr="002429C5">
        <w:rPr>
          <w:sz w:val="18"/>
        </w:rPr>
        <w:t>the train was unable to brake as the driver expected</w:t>
      </w:r>
    </w:p>
    <w:p w:rsidR="007C4691" w:rsidRPr="002429C5" w:rsidRDefault="007C4691" w:rsidP="005A0C79">
      <w:pPr>
        <w:pStyle w:val="ListParagraph"/>
        <w:numPr>
          <w:ilvl w:val="0"/>
          <w:numId w:val="25"/>
        </w:numPr>
        <w:tabs>
          <w:tab w:val="left" w:pos="1701"/>
          <w:tab w:val="left" w:pos="1843"/>
        </w:tabs>
        <w:spacing w:line="240" w:lineRule="auto"/>
        <w:rPr>
          <w:sz w:val="18"/>
        </w:rPr>
      </w:pPr>
      <w:proofErr w:type="gramStart"/>
      <w:r w:rsidRPr="002429C5">
        <w:rPr>
          <w:sz w:val="18"/>
        </w:rPr>
        <w:t>the</w:t>
      </w:r>
      <w:proofErr w:type="gramEnd"/>
      <w:r w:rsidRPr="002429C5">
        <w:rPr>
          <w:sz w:val="18"/>
        </w:rPr>
        <w:t xml:space="preserve"> lack of braking could occur in different speed ranges.</w:t>
      </w:r>
    </w:p>
    <w:p w:rsidR="00780AC0" w:rsidRPr="002429C5" w:rsidRDefault="00780AC0" w:rsidP="007C4691">
      <w:pPr>
        <w:rPr>
          <w:u w:val="single"/>
        </w:rPr>
      </w:pPr>
    </w:p>
    <w:p w:rsidR="007C4691" w:rsidRPr="002429C5" w:rsidRDefault="007C4691" w:rsidP="000336BB">
      <w:pPr>
        <w:keepNext/>
        <w:rPr>
          <w:u w:val="single"/>
        </w:rPr>
      </w:pPr>
      <w:r w:rsidRPr="002429C5">
        <w:rPr>
          <w:u w:val="single"/>
        </w:rPr>
        <w:t>Recommendations</w:t>
      </w:r>
    </w:p>
    <w:p w:rsidR="007C4691" w:rsidRPr="002429C5" w:rsidRDefault="007C4691" w:rsidP="007C4691">
      <w:r w:rsidRPr="002429C5">
        <w:t xml:space="preserve">In the light of the </w:t>
      </w:r>
      <w:proofErr w:type="spellStart"/>
      <w:r w:rsidRPr="002429C5">
        <w:t>Marslev</w:t>
      </w:r>
      <w:proofErr w:type="spellEnd"/>
      <w:r w:rsidRPr="002429C5">
        <w:t xml:space="preserve"> report (</w:t>
      </w:r>
      <w:hyperlink r:id="rId35">
        <w:r w:rsidRPr="002429C5">
          <w:rPr>
            <w:rStyle w:val="Hyperlink"/>
            <w:i/>
          </w:rPr>
          <w:t xml:space="preserve">report HCLJ611-2011-23 of 30.08.2013: IC4 unit passed signal at 'stop' in </w:t>
        </w:r>
        <w:proofErr w:type="spellStart"/>
        <w:r w:rsidRPr="002429C5">
          <w:rPr>
            <w:rStyle w:val="Hyperlink"/>
            <w:i/>
          </w:rPr>
          <w:t>Marslev</w:t>
        </w:r>
        <w:proofErr w:type="spellEnd"/>
      </w:hyperlink>
      <w:r w:rsidRPr="002429C5">
        <w:t xml:space="preserve">) combined with the Esbjerg incidents, the Accident Investigation Board concludes that the </w:t>
      </w:r>
      <w:r w:rsidRPr="002429C5">
        <w:lastRenderedPageBreak/>
        <w:t>reduced braking performance identified can occur independently of the speed.</w:t>
      </w:r>
    </w:p>
    <w:p w:rsidR="00AC2622" w:rsidRPr="002429C5" w:rsidRDefault="007C4691" w:rsidP="00AC2622">
      <w:r w:rsidRPr="002429C5">
        <w:t xml:space="preserve">In addition to the recommendations resulting from the </w:t>
      </w:r>
      <w:proofErr w:type="spellStart"/>
      <w:r w:rsidRPr="002429C5">
        <w:t>Marslev</w:t>
      </w:r>
      <w:proofErr w:type="spellEnd"/>
      <w:r w:rsidRPr="002429C5">
        <w:t xml:space="preserve"> incident, the Accident Investigation Board recommends that:</w:t>
      </w:r>
    </w:p>
    <w:p w:rsidR="007C4691" w:rsidRPr="002429C5" w:rsidRDefault="005D1ECD" w:rsidP="00AC2622">
      <w:pPr>
        <w:ind w:left="284"/>
      </w:pPr>
      <w:r w:rsidRPr="002429C5">
        <w:rPr>
          <w:i/>
        </w:rPr>
        <w:t>The Agency ensure that the IC4 train type MG has a predictable braking functionality under all conditions that can be expected in daily operations. This means that the on-board staff can expect the train to be able to be brought to a standstill according to a procedure and functionality known in advance.</w:t>
      </w:r>
    </w:p>
    <w:p w:rsidR="007C4691" w:rsidRPr="002429C5" w:rsidRDefault="005D1ECD" w:rsidP="007C4691">
      <w:pPr>
        <w:rPr>
          <w:u w:val="single"/>
        </w:rPr>
      </w:pPr>
      <w:r w:rsidRPr="002429C5">
        <w:rPr>
          <w:u w:val="single"/>
        </w:rPr>
        <w:t>The Agency's follow-up</w:t>
      </w:r>
    </w:p>
    <w:p w:rsidR="007C4691" w:rsidRPr="002429C5" w:rsidRDefault="005D1ECD" w:rsidP="005A0C79">
      <w:r w:rsidRPr="002429C5">
        <w:t xml:space="preserve">In the light of the incident in </w:t>
      </w:r>
      <w:proofErr w:type="spellStart"/>
      <w:r w:rsidRPr="002429C5">
        <w:t>Marslev</w:t>
      </w:r>
      <w:proofErr w:type="spellEnd"/>
      <w:r w:rsidRPr="002429C5">
        <w:t xml:space="preserve"> and subsequent recommendations by the Accident Investigation Board, the Agency has set the following conditions for the general authorisation to place into service for IC4:</w:t>
      </w:r>
    </w:p>
    <w:p w:rsidR="007C4691" w:rsidRPr="002429C5" w:rsidRDefault="007C4691" w:rsidP="005A0C79">
      <w:pPr>
        <w:pStyle w:val="ListParagraph"/>
        <w:numPr>
          <w:ilvl w:val="0"/>
          <w:numId w:val="42"/>
        </w:numPr>
        <w:spacing w:line="240" w:lineRule="auto"/>
        <w:rPr>
          <w:sz w:val="18"/>
        </w:rPr>
      </w:pPr>
      <w:r w:rsidRPr="002429C5">
        <w:rPr>
          <w:sz w:val="18"/>
        </w:rPr>
        <w:t xml:space="preserve">'Units may not travel at more than 140 </w:t>
      </w:r>
      <w:proofErr w:type="spellStart"/>
      <w:r w:rsidRPr="002429C5">
        <w:rPr>
          <w:sz w:val="18"/>
        </w:rPr>
        <w:t>kph</w:t>
      </w:r>
      <w:proofErr w:type="spellEnd"/>
      <w:r w:rsidRPr="002429C5">
        <w:rPr>
          <w:sz w:val="18"/>
        </w:rPr>
        <w:t xml:space="preserve"> in the period from 1 October to 30 November</w:t>
      </w:r>
      <w:r w:rsidRPr="002429C5">
        <w:rPr>
          <w:rStyle w:val="FootnoteReference"/>
          <w:sz w:val="18"/>
        </w:rPr>
        <w:footnoteReference w:id="15"/>
      </w:r>
      <w:r w:rsidRPr="002429C5">
        <w:rPr>
          <w:sz w:val="18"/>
        </w:rPr>
        <w:t>.'</w:t>
      </w:r>
    </w:p>
    <w:p w:rsidR="007C4691" w:rsidRPr="002429C5" w:rsidRDefault="007C4691" w:rsidP="005A0C79">
      <w:r w:rsidRPr="002429C5">
        <w:t>This is justified as follows:</w:t>
      </w:r>
    </w:p>
    <w:p w:rsidR="007C4691" w:rsidRPr="002429C5" w:rsidRDefault="007C4691" w:rsidP="005A0C79">
      <w:pPr>
        <w:pStyle w:val="ListParagraph"/>
        <w:numPr>
          <w:ilvl w:val="0"/>
          <w:numId w:val="42"/>
        </w:numPr>
        <w:spacing w:line="240" w:lineRule="auto"/>
        <w:rPr>
          <w:sz w:val="18"/>
        </w:rPr>
      </w:pPr>
      <w:r w:rsidRPr="002429C5">
        <w:rPr>
          <w:sz w:val="18"/>
        </w:rPr>
        <w:t xml:space="preserve">'The speed restriction to a maximum of 140 </w:t>
      </w:r>
      <w:proofErr w:type="spellStart"/>
      <w:r w:rsidRPr="002429C5">
        <w:rPr>
          <w:sz w:val="18"/>
        </w:rPr>
        <w:t>kph</w:t>
      </w:r>
      <w:proofErr w:type="spellEnd"/>
      <w:r w:rsidRPr="002429C5">
        <w:rPr>
          <w:sz w:val="18"/>
        </w:rPr>
        <w:t xml:space="preserve"> in the leaf-fall period may be dropped if documentation is submitted to the Agency showing that the unit brakes according to the applicable international standard within the train's utilisation range, including in the adhesion conditions that may be expected to occur in normal operation.'</w:t>
      </w:r>
    </w:p>
    <w:p w:rsidR="00B824CC" w:rsidRPr="002429C5" w:rsidRDefault="003346CE" w:rsidP="007C4691">
      <w:r w:rsidRPr="002429C5">
        <w:t xml:space="preserve">In the light of the above, the Agency ruled that IC4 trains had to be tested according to the applicable international standards to again obtain permission to travel at maximum speed in the period from 1 October to 30 November. The IC4 train was tested in 2014, and on 24 November 2014 the </w:t>
      </w:r>
      <w:r w:rsidRPr="002429C5">
        <w:lastRenderedPageBreak/>
        <w:t xml:space="preserve">Agency received a request to lift the condition that IC4 trains may travel at a maximum of 140 </w:t>
      </w:r>
      <w:proofErr w:type="spellStart"/>
      <w:r w:rsidRPr="002429C5">
        <w:t>kph</w:t>
      </w:r>
      <w:proofErr w:type="spellEnd"/>
      <w:r w:rsidRPr="002429C5">
        <w:t xml:space="preserve"> in the period from 1 October to 30 November.</w:t>
      </w:r>
    </w:p>
    <w:p w:rsidR="007C4691" w:rsidRPr="002429C5" w:rsidRDefault="007C4691" w:rsidP="007C4691">
      <w:r w:rsidRPr="002429C5">
        <w:t>On 12 February 2015 the Agency took the decision to lift the condition of the speed restriction for IC4 trains in the leaf-fall period.</w:t>
      </w:r>
    </w:p>
    <w:p w:rsidR="00A94773" w:rsidRPr="002429C5" w:rsidRDefault="005D1ECD" w:rsidP="001831C3">
      <w:r w:rsidRPr="002429C5">
        <w:t>Based on a briefing from DSB on 'dead units</w:t>
      </w:r>
      <w:r w:rsidRPr="002429C5">
        <w:rPr>
          <w:rStyle w:val="FootnoteReference"/>
        </w:rPr>
        <w:footnoteReference w:id="16"/>
      </w:r>
      <w:r w:rsidRPr="002429C5">
        <w:t>' when running with two coupled units in conjunction with the recommendation from the Accident Investigation Board's report on the collision between two IC4 units at Esbjerg station on 9 December 2014, the Agency considers that the situation regarding 'dead units' poses a risk to railway safety. On 10 July 2014 the Agency forwarded the decision on the injunction regarding the following:</w:t>
      </w:r>
    </w:p>
    <w:p w:rsidR="00C7200D" w:rsidRPr="002429C5" w:rsidRDefault="00C7200D" w:rsidP="001831C3">
      <w:pPr>
        <w:pStyle w:val="ListParagraph"/>
        <w:numPr>
          <w:ilvl w:val="0"/>
          <w:numId w:val="42"/>
        </w:numPr>
        <w:spacing w:line="240" w:lineRule="auto"/>
        <w:rPr>
          <w:sz w:val="18"/>
        </w:rPr>
      </w:pPr>
      <w:r w:rsidRPr="002429C5">
        <w:rPr>
          <w:sz w:val="18"/>
        </w:rPr>
        <w:t>DSB Safety must document that IC4 trains in dual configuration (Multiple 2) have a predictable braking functionality under all conditions that may be expected in day-to-day operation.</w:t>
      </w:r>
    </w:p>
    <w:p w:rsidR="00C7200D" w:rsidRPr="002429C5" w:rsidRDefault="00C7200D" w:rsidP="001831C3">
      <w:pPr>
        <w:pStyle w:val="ListParagraph"/>
        <w:numPr>
          <w:ilvl w:val="0"/>
          <w:numId w:val="26"/>
        </w:numPr>
        <w:spacing w:after="120" w:line="240" w:lineRule="auto"/>
        <w:rPr>
          <w:sz w:val="18"/>
        </w:rPr>
      </w:pPr>
      <w:r w:rsidRPr="002429C5">
        <w:rPr>
          <w:sz w:val="18"/>
        </w:rPr>
        <w:t>IC4 trains must not be used for travelling with passengers in dual configuration (Multiple 2) before the Agency has received and accepted the above documentation.</w:t>
      </w:r>
    </w:p>
    <w:p w:rsidR="00B824CC" w:rsidRPr="002429C5" w:rsidRDefault="005D1ECD" w:rsidP="00A209EE">
      <w:pPr>
        <w:spacing w:after="120"/>
      </w:pPr>
      <w:r w:rsidRPr="002429C5">
        <w:t>The Agency thus considers the Accident Investigation Board's recommendation to have been complied with.</w:t>
      </w:r>
    </w:p>
    <w:p w:rsidR="00A209EE" w:rsidRPr="002429C5" w:rsidRDefault="00821805" w:rsidP="00D339FB">
      <w:pPr>
        <w:spacing w:after="120"/>
      </w:pPr>
      <w:r w:rsidRPr="002429C5">
        <w:t>On 6 July 2015 a decision was also taken to lift the injunction of 10 July 2014, since it has been documented with sufficient certainty that IC4s have a predictable braking functionality under the conditions known in day-to-day operation for multiple running. The rationale was based, inter alia, on the type approval of 6 July 2015 for IC4s in multiple 3 configuration.</w:t>
      </w:r>
    </w:p>
    <w:p w:rsidR="00C7200D" w:rsidRPr="002429C5" w:rsidRDefault="00C7200D" w:rsidP="00DF5E59">
      <w:pPr>
        <w:pStyle w:val="Heading2"/>
      </w:pPr>
      <w:bookmarkStart w:id="15" w:name="_Toc441733522"/>
      <w:r w:rsidRPr="002429C5">
        <w:lastRenderedPageBreak/>
        <w:t xml:space="preserve">Car hit by train at level crossing 115 – </w:t>
      </w:r>
      <w:proofErr w:type="spellStart"/>
      <w:r w:rsidRPr="002429C5">
        <w:t>Stokholmvej</w:t>
      </w:r>
      <w:proofErr w:type="spellEnd"/>
      <w:r w:rsidRPr="002429C5">
        <w:t xml:space="preserve"> in </w:t>
      </w:r>
      <w:proofErr w:type="spellStart"/>
      <w:r w:rsidRPr="002429C5">
        <w:t>Vinderup</w:t>
      </w:r>
      <w:bookmarkEnd w:id="15"/>
      <w:proofErr w:type="spellEnd"/>
    </w:p>
    <w:p w:rsidR="00C7200D" w:rsidRPr="002429C5" w:rsidRDefault="00C7200D" w:rsidP="00C7200D">
      <w:r w:rsidRPr="002429C5">
        <w:t xml:space="preserve">The accident occurred on 5 May 2013 at a level crossing on the stretch between </w:t>
      </w:r>
      <w:proofErr w:type="spellStart"/>
      <w:r w:rsidRPr="002429C5">
        <w:t>Langå</w:t>
      </w:r>
      <w:proofErr w:type="spellEnd"/>
      <w:r w:rsidRPr="002429C5">
        <w:t xml:space="preserve"> and </w:t>
      </w:r>
      <w:proofErr w:type="spellStart"/>
      <w:r w:rsidRPr="002429C5">
        <w:t>Struer</w:t>
      </w:r>
      <w:proofErr w:type="spellEnd"/>
      <w:r w:rsidRPr="002429C5">
        <w:t>. While traversing the level crossing the train collided with a car, resulting in three fatalities (passengers). The car was on the level crossing at the time of the accident. There were no casualties in the train. The level crossing, which was being converted into a crossing with half-barriers, was equipped with a warning signal system with six road signals (due to the road layout). The protection system was activated at the time of the accident and the signals on the road were flashing red. As part of the conversion, the light signal was facing in the direction of the moving car, so was focused on the future road layout.</w:t>
      </w:r>
    </w:p>
    <w:p w:rsidR="00C7200D" w:rsidRPr="002429C5" w:rsidRDefault="00C7200D" w:rsidP="00C7200D">
      <w:r w:rsidRPr="002429C5">
        <w:t>The protection system is constructed in such a way that the red light in the warning system's signals is a prerequisite of the train receiving the signal to traverse the level crossing.</w:t>
      </w:r>
    </w:p>
    <w:p w:rsidR="00C7200D" w:rsidRPr="002429C5" w:rsidRDefault="00C7200D" w:rsidP="00C7200D">
      <w:pPr>
        <w:spacing w:after="0"/>
      </w:pPr>
      <w:r w:rsidRPr="002429C5">
        <w:t>The ongoing conversion of the level crossing system, which involved, inter alia, changing the road layout, meant that the light signal that was directed towards the car that crashed was focused on the changed road layout. This meant that the light signal was turned at an angle that caused reduced visibility at a distance of 50 m.</w:t>
      </w:r>
    </w:p>
    <w:p w:rsidR="00C7200D" w:rsidRPr="002429C5" w:rsidRDefault="00C7200D" w:rsidP="00C7200D">
      <w:pPr>
        <w:spacing w:after="0"/>
      </w:pPr>
    </w:p>
    <w:p w:rsidR="00C7200D" w:rsidRPr="002429C5" w:rsidRDefault="00C7200D" w:rsidP="0020757F">
      <w:pPr>
        <w:keepNext/>
        <w:rPr>
          <w:u w:val="single"/>
        </w:rPr>
      </w:pPr>
      <w:r w:rsidRPr="002429C5">
        <w:rPr>
          <w:u w:val="single"/>
        </w:rPr>
        <w:t>Recommendations</w:t>
      </w:r>
    </w:p>
    <w:p w:rsidR="00B824CC" w:rsidRPr="002429C5" w:rsidRDefault="00C7200D" w:rsidP="0020757F">
      <w:pPr>
        <w:keepLines/>
      </w:pPr>
      <w:r w:rsidRPr="002429C5">
        <w:t>Based on the lack of coherence between road signal V1’s set-up geared towards the new road layout instead of the existing one and the fact that risk analyses etc. were focused on the final design of the system,</w:t>
      </w:r>
    </w:p>
    <w:p w:rsidR="00C7200D" w:rsidRPr="002429C5" w:rsidRDefault="00C7200D" w:rsidP="00C7200D">
      <w:proofErr w:type="gramStart"/>
      <w:r w:rsidRPr="002429C5">
        <w:t>the</w:t>
      </w:r>
      <w:proofErr w:type="gramEnd"/>
      <w:r w:rsidRPr="002429C5">
        <w:t xml:space="preserve"> Accident Investigation Board recommends that:</w:t>
      </w:r>
    </w:p>
    <w:p w:rsidR="00C7200D" w:rsidRPr="002429C5" w:rsidRDefault="005D1ECD" w:rsidP="003D1A78">
      <w:pPr>
        <w:spacing w:after="0"/>
        <w:ind w:left="284"/>
        <w:rPr>
          <w:i/>
        </w:rPr>
      </w:pPr>
      <w:r w:rsidRPr="002429C5">
        <w:rPr>
          <w:i/>
        </w:rPr>
        <w:t>The Agency ensure that railway infrastructure managers also assess and manage risks during changes that are made on an ongoing basis in the conversion phase.</w:t>
      </w:r>
    </w:p>
    <w:p w:rsidR="00780AC0" w:rsidRPr="002429C5" w:rsidRDefault="00780AC0" w:rsidP="00C7200D">
      <w:pPr>
        <w:rPr>
          <w:u w:val="single"/>
        </w:rPr>
      </w:pPr>
    </w:p>
    <w:p w:rsidR="00C7200D" w:rsidRPr="002429C5" w:rsidRDefault="005D1ECD" w:rsidP="000C77D1">
      <w:pPr>
        <w:keepNext/>
      </w:pPr>
      <w:r w:rsidRPr="002429C5">
        <w:rPr>
          <w:u w:val="single"/>
        </w:rPr>
        <w:lastRenderedPageBreak/>
        <w:t>The Agency's follow-up</w:t>
      </w:r>
    </w:p>
    <w:p w:rsidR="00C7200D" w:rsidRPr="002429C5" w:rsidRDefault="005D1ECD" w:rsidP="00C7200D">
      <w:r w:rsidRPr="002429C5">
        <w:t>The Agency continuously supervises railway infrastructure managers' handling of change projects.</w:t>
      </w:r>
    </w:p>
    <w:p w:rsidR="00C7200D" w:rsidRPr="002429C5" w:rsidRDefault="00DE3B29" w:rsidP="00C7200D">
      <w:r w:rsidRPr="002429C5">
        <w:t>In the case of non-significant changes, the Agency makes sure that the undertakings' safety management systems ensure that all risks are managed before, during and after the implementation of a change.</w:t>
      </w:r>
    </w:p>
    <w:p w:rsidR="00C7200D" w:rsidRPr="002429C5" w:rsidRDefault="00C7200D" w:rsidP="00C7200D">
      <w:r w:rsidRPr="002429C5">
        <w:t>In the case of significant changes, the Agency makes sure in connection with the approval process that the assessor has ensured that the undertakings manage risks before, during and after the implementation of a change.</w:t>
      </w:r>
    </w:p>
    <w:p w:rsidR="00B824CC" w:rsidRPr="002429C5" w:rsidRDefault="005D1ECD" w:rsidP="00C7200D">
      <w:r w:rsidRPr="002429C5">
        <w:t xml:space="preserve">Among other things, the Agency followed up on the recommendation in connection with supervision of </w:t>
      </w:r>
      <w:proofErr w:type="spellStart"/>
      <w:r w:rsidRPr="002429C5">
        <w:t>Banedanmark</w:t>
      </w:r>
      <w:proofErr w:type="spellEnd"/>
      <w:r w:rsidRPr="002429C5">
        <w:t xml:space="preserve"> in 2014. During this supervision it was found that in 2013 and 2014, </w:t>
      </w:r>
      <w:proofErr w:type="spellStart"/>
      <w:r w:rsidRPr="002429C5">
        <w:t>Banedanmark</w:t>
      </w:r>
      <w:proofErr w:type="spellEnd"/>
      <w:r w:rsidRPr="002429C5">
        <w:t xml:space="preserve"> altered its change control processes and focused on assessing safety on an ongoing basis during the conversion phase.</w:t>
      </w:r>
    </w:p>
    <w:p w:rsidR="00DE3B29" w:rsidRPr="002429C5" w:rsidRDefault="005D1ECD" w:rsidP="00DE3B29">
      <w:pPr>
        <w:spacing w:after="0"/>
      </w:pPr>
      <w:r w:rsidRPr="002429C5">
        <w:t>The Agency thus considers the Accident Investigation Board's recommendation to have been complied with.</w:t>
      </w:r>
    </w:p>
    <w:p w:rsidR="00B824CC" w:rsidRPr="002429C5" w:rsidRDefault="00AC2622" w:rsidP="00DF5E59">
      <w:pPr>
        <w:pStyle w:val="Heading2"/>
      </w:pPr>
      <w:bookmarkStart w:id="16" w:name="_Toc441733523"/>
      <w:r w:rsidRPr="002429C5">
        <w:t>Development of fire/smoke in IC3 units</w:t>
      </w:r>
      <w:bookmarkEnd w:id="16"/>
    </w:p>
    <w:p w:rsidR="00C7200D" w:rsidRPr="002429C5" w:rsidRDefault="00C7200D" w:rsidP="00C7200D">
      <w:r w:rsidRPr="002429C5">
        <w:t>In the period 1 January 2014 to 5 November 2014, DSB reported 21 incidents involving the development of fire or smoke in IC3 units. None of these incidents evolved into a major fire, and the Accident Investigation Board did not carry out any formal investigations of the individual reports. In 10 out of 17 of the reported incidents it was found that the smoke detection system had not been activated. In the remaining four incidents, activation was not identified.</w:t>
      </w:r>
    </w:p>
    <w:p w:rsidR="00C7200D" w:rsidRPr="002429C5" w:rsidRDefault="00C7200D" w:rsidP="00C7200D">
      <w:r w:rsidRPr="002429C5">
        <w:t xml:space="preserve">All IC3 units are fitted with smoke detection systems and in connection with the approval of these, in 2006 DSB developed a risk analysis that described a series of incident scenarios with the potential consequences and the frequency at which they were expected to occur. Some of the </w:t>
      </w:r>
      <w:r w:rsidRPr="002429C5">
        <w:lastRenderedPageBreak/>
        <w:t>hazards and dangers described in the risk analysis were handled by the introduction of the smoke detection system, which is designed to shut off the fuel supply to the engine in question when smoke is detected. Based on incidents in the period 2006 to 2012, the risk analysis was updated in 2012 with the focus on whether the existing smoke detection system was effective. The conclusion in the risk analysis describes a desire to analyse the smoke detection system's reduced ability to react to exhaust gases.</w:t>
      </w:r>
    </w:p>
    <w:p w:rsidR="00C7200D" w:rsidRPr="002429C5" w:rsidRDefault="00C7200D" w:rsidP="00C7200D">
      <w:r w:rsidRPr="002429C5">
        <w:t>In the period from 8 July 2009 to 31 December 2013, 90 incidents were reported involving the development of smoke and fire in the 96 diesel-powered IC3 units. The incidents can be divided into three main types: turbocharger (21), oil leak (21) and 'other' (48). Several of these cases resulted in passengers being evacuated and some being taken to hospital for observation for smoke inhalation. There were no recorded actual cases of smoke intoxication or other injuries.</w:t>
      </w:r>
    </w:p>
    <w:p w:rsidR="00C7200D" w:rsidRPr="002429C5" w:rsidRDefault="00C7200D" w:rsidP="0020757F">
      <w:pPr>
        <w:keepNext/>
        <w:rPr>
          <w:u w:val="single"/>
        </w:rPr>
      </w:pPr>
      <w:r w:rsidRPr="002429C5">
        <w:rPr>
          <w:u w:val="single"/>
        </w:rPr>
        <w:t>Recommendations</w:t>
      </w:r>
    </w:p>
    <w:p w:rsidR="00C7200D" w:rsidRPr="002429C5" w:rsidRDefault="00A209EE" w:rsidP="00C7200D">
      <w:r w:rsidRPr="002429C5">
        <w:t xml:space="preserve">In its report, the Accident Investigation Board states that since there are still cases where the smoke detection system was not activated by the development of fire or smoke, and given that, inter alia, the smoke detection system is the last barrier in 16 of the 39 hazards on which the approval of the </w:t>
      </w:r>
      <w:proofErr w:type="spellStart"/>
      <w:r w:rsidRPr="002429C5">
        <w:t>remotorisation</w:t>
      </w:r>
      <w:proofErr w:type="spellEnd"/>
      <w:r w:rsidRPr="002429C5">
        <w:t xml:space="preserve"> is based, the functionality of the smoke detection system should be reassessed.</w:t>
      </w:r>
    </w:p>
    <w:p w:rsidR="006F7A50" w:rsidRPr="002429C5" w:rsidRDefault="00C7200D" w:rsidP="00C7200D">
      <w:r w:rsidRPr="002429C5">
        <w:t>The Accident Investigation Board recommends that:</w:t>
      </w:r>
    </w:p>
    <w:p w:rsidR="00C7200D" w:rsidRPr="002429C5" w:rsidRDefault="005D1ECD" w:rsidP="00AC2622">
      <w:pPr>
        <w:ind w:left="284"/>
        <w:rPr>
          <w:i/>
        </w:rPr>
      </w:pPr>
      <w:r w:rsidRPr="002429C5">
        <w:rPr>
          <w:i/>
        </w:rPr>
        <w:t>Together with DSB, the Agency reassess the need for fire and smoke detection, the functionality of the smoke detection system and its use as a safety barrier.</w:t>
      </w:r>
    </w:p>
    <w:p w:rsidR="00C7200D" w:rsidRPr="002429C5" w:rsidRDefault="005D1ECD" w:rsidP="00C7200D">
      <w:pPr>
        <w:rPr>
          <w:u w:val="single"/>
        </w:rPr>
      </w:pPr>
      <w:r w:rsidRPr="002429C5">
        <w:rPr>
          <w:u w:val="single"/>
        </w:rPr>
        <w:t>The Agency's follow-up</w:t>
      </w:r>
    </w:p>
    <w:p w:rsidR="00B824CC" w:rsidRPr="002429C5" w:rsidRDefault="005D1ECD" w:rsidP="00C7200D">
      <w:r w:rsidRPr="002429C5">
        <w:t xml:space="preserve">On 8 January 2015 the Agency conducted an inspection at DSB’s workshop in </w:t>
      </w:r>
      <w:proofErr w:type="spellStart"/>
      <w:r w:rsidRPr="002429C5">
        <w:t>Århus</w:t>
      </w:r>
      <w:proofErr w:type="spellEnd"/>
      <w:r w:rsidRPr="002429C5">
        <w:t xml:space="preserve">, where IC3 trains are maintained. In connection with the inspection, the Agency examined the functionality of the smoke detection system, the system-s self-control, </w:t>
      </w:r>
      <w:r w:rsidRPr="002429C5">
        <w:lastRenderedPageBreak/>
        <w:t>compliance with the maintenance intervals and carried out a visual inspection of the system.</w:t>
      </w:r>
    </w:p>
    <w:p w:rsidR="00C7200D" w:rsidRPr="002429C5" w:rsidRDefault="00C7200D" w:rsidP="00C7200D">
      <w:r w:rsidRPr="002429C5">
        <w:t>It is the Agency's assessment that DSB is able to demonstrate that the smoke detection system can be used and function as a safety barrier on IC3 units.</w:t>
      </w:r>
    </w:p>
    <w:p w:rsidR="00C7200D" w:rsidRPr="002429C5" w:rsidRDefault="00C7200D" w:rsidP="00C7200D">
      <w:r w:rsidRPr="002429C5">
        <w:t>In February 2015, the Agency also invited DSB to reassess the risks associated with the operation on the railways of, inter alia, IC3 units.</w:t>
      </w:r>
    </w:p>
    <w:p w:rsidR="00C7200D" w:rsidRPr="002429C5" w:rsidRDefault="005D1ECD" w:rsidP="00C7200D">
      <w:pPr>
        <w:rPr>
          <w:sz w:val="20"/>
        </w:rPr>
      </w:pPr>
      <w:r w:rsidRPr="002429C5">
        <w:t>The Agency thus considers the Accident Investigation Board's recommendation to have been complied with.</w:t>
      </w:r>
    </w:p>
    <w:p w:rsidR="00C7200D" w:rsidRPr="002429C5" w:rsidRDefault="00C7200D" w:rsidP="00DF5E59">
      <w:pPr>
        <w:pStyle w:val="Heading2"/>
      </w:pPr>
      <w:bookmarkStart w:id="17" w:name="_Toc441733524"/>
      <w:r w:rsidRPr="002429C5">
        <w:t xml:space="preserve">Goods trains collided at </w:t>
      </w:r>
      <w:proofErr w:type="spellStart"/>
      <w:r w:rsidRPr="002429C5">
        <w:t>Padborg</w:t>
      </w:r>
      <w:proofErr w:type="spellEnd"/>
      <w:r w:rsidRPr="002429C5">
        <w:t xml:space="preserve"> station</w:t>
      </w:r>
      <w:bookmarkEnd w:id="17"/>
    </w:p>
    <w:p w:rsidR="00B824CC" w:rsidRPr="002429C5" w:rsidRDefault="00C7200D" w:rsidP="00C7200D">
      <w:r w:rsidRPr="002429C5">
        <w:t xml:space="preserve">The incident occurred on 30 November 2013 at </w:t>
      </w:r>
      <w:proofErr w:type="spellStart"/>
      <w:r w:rsidRPr="002429C5">
        <w:t>Padborg</w:t>
      </w:r>
      <w:proofErr w:type="spellEnd"/>
      <w:r w:rsidRPr="002429C5">
        <w:t xml:space="preserve"> Station. While pulling into the station a goods train coming from the south collided with a goods train that was waiting for a signal to proceed south. The incident caused significant damage to property as well as damage to the infrastructure. One driver suffered minor injuries.</w:t>
      </w:r>
    </w:p>
    <w:p w:rsidR="00B824CC" w:rsidRPr="002429C5" w:rsidRDefault="00951363" w:rsidP="00C7200D">
      <w:r w:rsidRPr="002429C5">
        <w:t>The incident occurred because the waiting train inadvertently rolled past a signal and at the time of the accident was at points that were set for the oncoming train.</w:t>
      </w:r>
    </w:p>
    <w:p w:rsidR="00B824CC" w:rsidRPr="002429C5" w:rsidRDefault="00C7200D" w:rsidP="00C7200D">
      <w:proofErr w:type="spellStart"/>
      <w:r w:rsidRPr="002429C5">
        <w:t>Padborg</w:t>
      </w:r>
      <w:proofErr w:type="spellEnd"/>
      <w:r w:rsidRPr="002429C5">
        <w:t xml:space="preserve"> station is on a gradient of between 1.11 % and 2.55 %. Both drivers had received the necessary training and were also familiar with </w:t>
      </w:r>
      <w:proofErr w:type="spellStart"/>
      <w:r w:rsidRPr="002429C5">
        <w:t>Padborg</w:t>
      </w:r>
      <w:proofErr w:type="spellEnd"/>
      <w:r w:rsidRPr="002429C5">
        <w:t xml:space="preserve"> station. Communication between the stationmaster and the drivers took place in accordance with the rules.</w:t>
      </w:r>
    </w:p>
    <w:p w:rsidR="00C7200D" w:rsidRPr="002429C5" w:rsidRDefault="00C7200D" w:rsidP="00C7200D">
      <w:r w:rsidRPr="002429C5">
        <w:t xml:space="preserve">The incoming train was equipped with a German control system (PZB) and a Danish control system (ATC). The PZB was active at the time of the incident. The holding (rolling) train was equipped with PZB but not with ATC. </w:t>
      </w:r>
      <w:proofErr w:type="spellStart"/>
      <w:r w:rsidRPr="002429C5">
        <w:t>Padborg</w:t>
      </w:r>
      <w:proofErr w:type="spellEnd"/>
      <w:r w:rsidRPr="002429C5">
        <w:t xml:space="preserve"> station is equipped with a Danish control system (ATC), which, if it had been able to communicate with the 'rolling' train, could have caused it to brake, thus preventing the incident.</w:t>
      </w:r>
    </w:p>
    <w:p w:rsidR="00C7200D" w:rsidRPr="002429C5" w:rsidRDefault="00C7200D" w:rsidP="00C7200D">
      <w:r w:rsidRPr="002429C5">
        <w:lastRenderedPageBreak/>
        <w:t xml:space="preserve">The driver of the holding train was not aware of the gradient conditions at </w:t>
      </w:r>
      <w:proofErr w:type="spellStart"/>
      <w:r w:rsidRPr="002429C5">
        <w:t>Padborg</w:t>
      </w:r>
      <w:proofErr w:type="spellEnd"/>
      <w:r w:rsidRPr="002429C5">
        <w:t xml:space="preserve"> station and had not braked the train to the degree necessary to hold it. There was also no control system that could </w:t>
      </w:r>
      <w:proofErr w:type="spellStart"/>
      <w:r w:rsidRPr="002429C5">
        <w:t>brake</w:t>
      </w:r>
      <w:proofErr w:type="spellEnd"/>
      <w:r w:rsidRPr="002429C5">
        <w:t xml:space="preserve"> the train. The driver of the holding train failed to notice that the train was rolling and was not looking out of the window at the time of the incident.</w:t>
      </w:r>
    </w:p>
    <w:p w:rsidR="00C7200D" w:rsidRPr="002429C5" w:rsidRDefault="00C7200D" w:rsidP="00C33704">
      <w:pPr>
        <w:rPr>
          <w:u w:val="single"/>
        </w:rPr>
      </w:pPr>
      <w:r w:rsidRPr="002429C5">
        <w:rPr>
          <w:u w:val="single"/>
        </w:rPr>
        <w:t>Recommendations:</w:t>
      </w:r>
    </w:p>
    <w:p w:rsidR="00C7200D" w:rsidRPr="002429C5" w:rsidRDefault="00C7200D" w:rsidP="00C33704">
      <w:r w:rsidRPr="002429C5">
        <w:t>Based on:</w:t>
      </w:r>
    </w:p>
    <w:p w:rsidR="00184A88" w:rsidRPr="002429C5" w:rsidRDefault="00C7200D" w:rsidP="0020757F">
      <w:pPr>
        <w:pStyle w:val="ListParagraph"/>
        <w:numPr>
          <w:ilvl w:val="0"/>
          <w:numId w:val="27"/>
        </w:numPr>
        <w:spacing w:line="240" w:lineRule="auto"/>
        <w:ind w:left="360"/>
        <w:rPr>
          <w:sz w:val="18"/>
        </w:rPr>
      </w:pPr>
      <w:r w:rsidRPr="002429C5">
        <w:rPr>
          <w:sz w:val="18"/>
        </w:rPr>
        <w:t>the interaction between the mobile and stationary train control systems at other stations with fixed train control systems (ATC), which are considered to contribute significantly to avoiding such things as collisions and thus increase train safety considerably, and</w:t>
      </w:r>
    </w:p>
    <w:p w:rsidR="00C7200D" w:rsidRPr="002429C5" w:rsidRDefault="00D76D1A" w:rsidP="0020757F">
      <w:pPr>
        <w:pStyle w:val="ListParagraph"/>
        <w:numPr>
          <w:ilvl w:val="0"/>
          <w:numId w:val="27"/>
        </w:numPr>
        <w:spacing w:line="240" w:lineRule="auto"/>
        <w:ind w:left="360"/>
        <w:rPr>
          <w:sz w:val="18"/>
        </w:rPr>
      </w:pPr>
      <w:r w:rsidRPr="002429C5">
        <w:rPr>
          <w:sz w:val="18"/>
        </w:rPr>
        <w:t xml:space="preserve">the fact that </w:t>
      </w:r>
      <w:proofErr w:type="spellStart"/>
      <w:r w:rsidRPr="002429C5">
        <w:rPr>
          <w:sz w:val="18"/>
        </w:rPr>
        <w:t>Padborg</w:t>
      </w:r>
      <w:proofErr w:type="spellEnd"/>
      <w:r w:rsidRPr="002429C5">
        <w:rPr>
          <w:sz w:val="18"/>
        </w:rPr>
        <w:t xml:space="preserve"> station is fully equipped with an ATC fixed train control system,</w:t>
      </w:r>
    </w:p>
    <w:p w:rsidR="00AC2622" w:rsidRPr="002429C5" w:rsidRDefault="00C7200D" w:rsidP="00AC2622">
      <w:proofErr w:type="gramStart"/>
      <w:r w:rsidRPr="002429C5">
        <w:t>the</w:t>
      </w:r>
      <w:proofErr w:type="gramEnd"/>
      <w:r w:rsidRPr="002429C5">
        <w:t xml:space="preserve"> Accident Investigation Board recommends that:</w:t>
      </w:r>
    </w:p>
    <w:p w:rsidR="00C7200D" w:rsidRPr="002429C5" w:rsidRDefault="005D1ECD" w:rsidP="00AC2622">
      <w:pPr>
        <w:ind w:left="284"/>
      </w:pPr>
      <w:r w:rsidRPr="002429C5">
        <w:rPr>
          <w:i/>
        </w:rPr>
        <w:t xml:space="preserve">The Agency assess the need for station-wide active train control systems, where there is full interaction between fixed and mobile systems, so that the same level of safety can be achieved at </w:t>
      </w:r>
      <w:proofErr w:type="spellStart"/>
      <w:r w:rsidRPr="002429C5">
        <w:rPr>
          <w:i/>
        </w:rPr>
        <w:t>Padborg</w:t>
      </w:r>
      <w:proofErr w:type="spellEnd"/>
      <w:r w:rsidRPr="002429C5">
        <w:rPr>
          <w:i/>
        </w:rPr>
        <w:t xml:space="preserve"> station as at other railway stations with fixed train control systems.</w:t>
      </w:r>
    </w:p>
    <w:p w:rsidR="002D2906" w:rsidRPr="002429C5" w:rsidRDefault="00C7200D" w:rsidP="00C7200D">
      <w:r w:rsidRPr="002429C5">
        <w:t>Since the railway undertakings are responsible for instructing their own staff so that an undertaking's employees can be made aware of conditions of relevance to safety for several undertakings,</w:t>
      </w:r>
    </w:p>
    <w:p w:rsidR="00AC2622" w:rsidRPr="002429C5" w:rsidRDefault="00C7200D" w:rsidP="00C7200D">
      <w:proofErr w:type="gramStart"/>
      <w:r w:rsidRPr="002429C5">
        <w:t>the</w:t>
      </w:r>
      <w:proofErr w:type="gramEnd"/>
      <w:r w:rsidRPr="002429C5">
        <w:t xml:space="preserve"> Accident Investigation Board recommends that:</w:t>
      </w:r>
    </w:p>
    <w:p w:rsidR="00C7200D" w:rsidRPr="002429C5" w:rsidRDefault="005D1ECD" w:rsidP="00AC2622">
      <w:pPr>
        <w:ind w:left="284"/>
        <w:rPr>
          <w:i/>
        </w:rPr>
      </w:pPr>
      <w:r w:rsidRPr="002429C5">
        <w:rPr>
          <w:i/>
        </w:rPr>
        <w:t>The Agency assess the need for a structure to ensure the formalised exchange of safety-relevant information – including details of local conditions such as e.g. gradients at stations that can cause trains not (adequately) braked to start moving – between railway undertakings themselves and with infrastructure managers.</w:t>
      </w:r>
    </w:p>
    <w:p w:rsidR="00C7200D" w:rsidRPr="002429C5" w:rsidRDefault="005D1ECD" w:rsidP="00C7200D">
      <w:pPr>
        <w:rPr>
          <w:u w:val="single"/>
        </w:rPr>
      </w:pPr>
      <w:r w:rsidRPr="002429C5">
        <w:rPr>
          <w:u w:val="single"/>
        </w:rPr>
        <w:lastRenderedPageBreak/>
        <w:t>The Agency's follow-up</w:t>
      </w:r>
    </w:p>
    <w:p w:rsidR="00C7200D" w:rsidRPr="002429C5" w:rsidRDefault="005D1ECD" w:rsidP="00C7200D">
      <w:pPr>
        <w:autoSpaceDE w:val="0"/>
        <w:autoSpaceDN w:val="0"/>
        <w:spacing w:after="0"/>
        <w:rPr>
          <w:rFonts w:eastAsia="Calibri"/>
        </w:rPr>
      </w:pPr>
      <w:r w:rsidRPr="002429C5">
        <w:t>Based on the Accident Investigation Board's report, the Agency has initiated a themed supervision. In this connection, the Agency has deemed it essential that the undertakings' operating instructions make it clear how vehicles should be braked in the various operating situations. On 27 February 2015 the Agency invited all railway undertakings and infrastructure managers to provide information on the undertakings' rules for securing vehicles in connection with stopping during operation, preparation for operation and by recommendation, and to indicate where the rules are described.</w:t>
      </w:r>
    </w:p>
    <w:p w:rsidR="00C7200D" w:rsidRPr="002429C5" w:rsidRDefault="00C7200D" w:rsidP="00C7200D">
      <w:pPr>
        <w:autoSpaceDE w:val="0"/>
        <w:autoSpaceDN w:val="0"/>
        <w:spacing w:after="0"/>
        <w:rPr>
          <w:rFonts w:eastAsia="Calibri"/>
        </w:rPr>
      </w:pPr>
    </w:p>
    <w:p w:rsidR="00C7200D" w:rsidRPr="002429C5" w:rsidRDefault="00C7200D" w:rsidP="00C7200D">
      <w:pPr>
        <w:autoSpaceDE w:val="0"/>
        <w:autoSpaceDN w:val="0"/>
        <w:spacing w:after="0"/>
        <w:rPr>
          <w:rFonts w:eastAsia="Calibri"/>
        </w:rPr>
      </w:pPr>
      <w:r w:rsidRPr="002429C5">
        <w:t xml:space="preserve">On 2 March 2015 the Agency held a meeting with </w:t>
      </w:r>
      <w:proofErr w:type="spellStart"/>
      <w:r w:rsidRPr="002429C5">
        <w:t>Banedanmark</w:t>
      </w:r>
      <w:proofErr w:type="spellEnd"/>
      <w:r w:rsidRPr="002429C5">
        <w:t xml:space="preserve">, at which the Accident Investigation Board's report was discussed. The Agency and </w:t>
      </w:r>
      <w:proofErr w:type="spellStart"/>
      <w:r w:rsidRPr="002429C5">
        <w:t>Banedanmark</w:t>
      </w:r>
      <w:proofErr w:type="spellEnd"/>
      <w:r w:rsidRPr="002429C5">
        <w:t xml:space="preserve"> agreed that there is no need for a station-wide active train control system at </w:t>
      </w:r>
      <w:proofErr w:type="spellStart"/>
      <w:r w:rsidRPr="002429C5">
        <w:t>Padborg</w:t>
      </w:r>
      <w:proofErr w:type="spellEnd"/>
      <w:r w:rsidRPr="002429C5">
        <w:t xml:space="preserve"> station.</w:t>
      </w:r>
    </w:p>
    <w:p w:rsidR="00C7200D" w:rsidRPr="002429C5" w:rsidRDefault="00C7200D" w:rsidP="00C7200D">
      <w:pPr>
        <w:autoSpaceDE w:val="0"/>
        <w:autoSpaceDN w:val="0"/>
        <w:spacing w:after="0"/>
        <w:rPr>
          <w:rFonts w:eastAsia="Calibri"/>
        </w:rPr>
      </w:pPr>
    </w:p>
    <w:p w:rsidR="00C7200D" w:rsidRPr="002429C5" w:rsidRDefault="001D427C" w:rsidP="00C7200D">
      <w:pPr>
        <w:autoSpaceDE w:val="0"/>
        <w:autoSpaceDN w:val="0"/>
        <w:spacing w:after="0"/>
        <w:rPr>
          <w:rFonts w:eastAsia="Calibri"/>
        </w:rPr>
      </w:pPr>
      <w:r w:rsidRPr="002429C5">
        <w:t xml:space="preserve">Regarding information on local conditions at stations, at the meeting the Agency asked </w:t>
      </w:r>
      <w:proofErr w:type="spellStart"/>
      <w:r w:rsidRPr="002429C5">
        <w:t>Banedanmark</w:t>
      </w:r>
      <w:proofErr w:type="spellEnd"/>
      <w:r w:rsidRPr="002429C5">
        <w:t xml:space="preserve"> to undertake a screening/risk assessment in relation to the gradient conditions at stations to identify those stations that slope more than expected, so that this information can be included in the material used to teach local knowledge.</w:t>
      </w:r>
    </w:p>
    <w:p w:rsidR="000336BB" w:rsidRPr="002429C5" w:rsidRDefault="000336BB" w:rsidP="00C7200D">
      <w:pPr>
        <w:spacing w:after="0"/>
      </w:pPr>
    </w:p>
    <w:p w:rsidR="00C7200D" w:rsidRPr="002429C5" w:rsidRDefault="005D1ECD" w:rsidP="00C7200D">
      <w:pPr>
        <w:spacing w:after="0"/>
      </w:pPr>
      <w:r w:rsidRPr="002429C5">
        <w:t>The Agency thus considers the Accident Investigation Board's recommendation to have been complied with.</w:t>
      </w:r>
    </w:p>
    <w:p w:rsidR="001553EA" w:rsidRPr="002429C5" w:rsidRDefault="001D2D25" w:rsidP="001553EA">
      <w:pPr>
        <w:pStyle w:val="Heading2"/>
      </w:pPr>
      <w:bookmarkStart w:id="18" w:name="_Toc441733525"/>
      <w:r w:rsidRPr="002429C5">
        <w:t>Other incidents: Breakage of IC4 train axle bearing boxes</w:t>
      </w:r>
      <w:bookmarkEnd w:id="18"/>
    </w:p>
    <w:p w:rsidR="00996311" w:rsidRPr="002429C5" w:rsidRDefault="00996311" w:rsidP="000C77D1">
      <w:pPr>
        <w:spacing w:after="120"/>
      </w:pPr>
      <w:r w:rsidRPr="002429C5">
        <w:t>In the period 3 February 2014 to 27 May 2014, DSB identified six incidents involving a breakage of axle bearing boxes in DSB IC4 trains (type MG). In connection with the first incident on 3 February, DSB also found earlier incidents of the same type when scrutinising DSB Safety's archives.</w:t>
      </w:r>
    </w:p>
    <w:p w:rsidR="00996311" w:rsidRPr="002429C5" w:rsidRDefault="00996311" w:rsidP="000C77D1">
      <w:pPr>
        <w:spacing w:after="120"/>
      </w:pPr>
      <w:r w:rsidRPr="002429C5">
        <w:t xml:space="preserve">The first incident was reported by DSB in mid-March 2014, and it became a major task to unravel the problem initiated by DSB. The Agency asked DSB to explain why it felt that it was justifiable from a safety point of view </w:t>
      </w:r>
      <w:r w:rsidRPr="002429C5">
        <w:lastRenderedPageBreak/>
        <w:t>to continue using the IC4 units in question and what barriers</w:t>
      </w:r>
      <w:r w:rsidRPr="002429C5">
        <w:rPr>
          <w:rStyle w:val="FootnoteReference"/>
        </w:rPr>
        <w:footnoteReference w:id="17"/>
      </w:r>
      <w:r w:rsidRPr="002429C5">
        <w:t xml:space="preserve"> had been established to eliminate the problem.</w:t>
      </w:r>
    </w:p>
    <w:p w:rsidR="00996311" w:rsidRPr="002429C5" w:rsidRDefault="00996311" w:rsidP="000C77D1">
      <w:pPr>
        <w:spacing w:after="120"/>
      </w:pPr>
      <w:r w:rsidRPr="002429C5">
        <w:t xml:space="preserve">The Danish Transport Authority inspected an IC4 train in </w:t>
      </w:r>
      <w:proofErr w:type="spellStart"/>
      <w:r w:rsidRPr="002429C5">
        <w:t>Kastrup</w:t>
      </w:r>
      <w:proofErr w:type="spellEnd"/>
      <w:r w:rsidRPr="002429C5">
        <w:t xml:space="preserve"> on 24 March 2014, which led to the Agency asking DSB to carry out a risk assessment of the continued operation of IC4 trains in relation to the identified incidents, and whether it was considered appropriate to install barriers.</w:t>
      </w:r>
    </w:p>
    <w:p w:rsidR="00996311" w:rsidRPr="002429C5" w:rsidRDefault="00996311" w:rsidP="000C77D1">
      <w:pPr>
        <w:spacing w:after="120"/>
      </w:pPr>
      <w:r w:rsidRPr="002429C5">
        <w:t>DSB submitted a risk assessment on 7 April 2014, which concluded that the continued operation of type MGs could be maintained if regular inspections were conducted of axle bearing cases, wheel running surfaces and vibration dampers. The Agency took the risk assessment into account and awaited the final version. The trains therefore continued in normal operation with the requirement that DSB carried out an inspection of all type MGs every seven working days, and that trains with faults were taken out of service.</w:t>
      </w:r>
    </w:p>
    <w:p w:rsidR="00B824CC" w:rsidRPr="002429C5" w:rsidRDefault="00996311" w:rsidP="000C77D1">
      <w:pPr>
        <w:spacing w:after="120"/>
      </w:pPr>
      <w:r w:rsidRPr="002429C5">
        <w:t>On 15 May 2014 the Agency received both the final risk assessment from DSB and the safety assessment report prepared by an assessor (an impartial third party). The assessor found that the safety barriers were implemented satisfactorily, and that it was safe to continue operating the IC4 trains with the existing monitoring set-up. In DSB’s own risk assessment it was also maintained that operation could continue assuming the aforementioned supervision was continued.</w:t>
      </w:r>
    </w:p>
    <w:p w:rsidR="00996311" w:rsidRPr="002429C5" w:rsidRDefault="00996311" w:rsidP="000C77D1">
      <w:pPr>
        <w:spacing w:after="120"/>
      </w:pPr>
      <w:r w:rsidRPr="002429C5">
        <w:t>Based on the report, the Agency found that DSB ensured safety in day-to-day operations with IC4 trains satisfactorily, and that the operation of IC4 trains could continue under the above conditions.</w:t>
      </w:r>
    </w:p>
    <w:p w:rsidR="000C77D1" w:rsidRPr="002429C5" w:rsidRDefault="000C77D1" w:rsidP="000C77D1">
      <w:pPr>
        <w:spacing w:after="0"/>
        <w:rPr>
          <w:rFonts w:ascii="Times New Roman" w:hAnsi="Times New Roman"/>
          <w:sz w:val="24"/>
          <w:szCs w:val="24"/>
        </w:rPr>
      </w:pPr>
    </w:p>
    <w:p w:rsidR="0020757F" w:rsidRPr="002429C5" w:rsidRDefault="0020757F" w:rsidP="00E20F8B">
      <w:pPr>
        <w:sectPr w:rsidR="0020757F" w:rsidRPr="002429C5" w:rsidSect="00356DD7">
          <w:headerReference w:type="first" r:id="rId36"/>
          <w:type w:val="continuous"/>
          <w:pgSz w:w="11906" w:h="16838" w:code="9"/>
          <w:pgMar w:top="1985" w:right="1985" w:bottom="1418" w:left="1985" w:header="709" w:footer="709" w:gutter="0"/>
          <w:cols w:num="2" w:space="709"/>
          <w:titlePg/>
          <w:docGrid w:linePitch="360"/>
        </w:sectPr>
      </w:pPr>
    </w:p>
    <w:p w:rsidR="00724B2F" w:rsidRPr="002429C5" w:rsidRDefault="00724B2F" w:rsidP="00724B2F">
      <w:pPr>
        <w:pStyle w:val="Heading1"/>
      </w:pPr>
      <w:bookmarkStart w:id="19" w:name="_Toc441733526"/>
      <w:r w:rsidRPr="002429C5">
        <w:lastRenderedPageBreak/>
        <w:t>Chapter 3. Supervision of railway safety in 2014</w:t>
      </w:r>
      <w:bookmarkEnd w:id="19"/>
    </w:p>
    <w:p w:rsidR="00724B2F" w:rsidRPr="002429C5" w:rsidRDefault="00724B2F" w:rsidP="00724B2F">
      <w:pPr>
        <w:sectPr w:rsidR="00724B2F" w:rsidRPr="002429C5" w:rsidSect="00356DD7">
          <w:headerReference w:type="first" r:id="rId37"/>
          <w:type w:val="continuous"/>
          <w:pgSz w:w="11906" w:h="16838" w:code="9"/>
          <w:pgMar w:top="1985" w:right="1985" w:bottom="1418" w:left="1985" w:header="709" w:footer="709" w:gutter="0"/>
          <w:cols w:space="709"/>
          <w:titlePg/>
          <w:docGrid w:linePitch="360"/>
        </w:sectPr>
      </w:pPr>
    </w:p>
    <w:p w:rsidR="002042C4" w:rsidRPr="002429C5" w:rsidRDefault="000509CD" w:rsidP="002042C4">
      <w:pPr>
        <w:rPr>
          <w:sz w:val="24"/>
          <w:szCs w:val="24"/>
        </w:rPr>
      </w:pPr>
      <w:r w:rsidRPr="002429C5">
        <w:rPr>
          <w:sz w:val="24"/>
        </w:rPr>
        <w:lastRenderedPageBreak/>
        <w:t>More undertakings are beginning to focus on safety management and its importance and several have thus achieved a better understanding of safety management systems. Generally, undertakings have become better at following up on discrepancies, but they still face challenges, including the system demands regarding railway safety.</w:t>
      </w:r>
    </w:p>
    <w:p w:rsidR="006C3B19" w:rsidRPr="002429C5" w:rsidRDefault="006C3B19" w:rsidP="006C3B19">
      <w:pPr>
        <w:sectPr w:rsidR="006C3B19" w:rsidRPr="002429C5" w:rsidSect="00356DD7">
          <w:type w:val="continuous"/>
          <w:pgSz w:w="11906" w:h="16838" w:code="9"/>
          <w:pgMar w:top="1985" w:right="1985" w:bottom="1418" w:left="1985" w:header="709" w:footer="709" w:gutter="0"/>
          <w:cols w:space="709"/>
          <w:titlePg/>
          <w:docGrid w:linePitch="360"/>
        </w:sectPr>
      </w:pPr>
    </w:p>
    <w:p w:rsidR="00176CA9" w:rsidRPr="002429C5" w:rsidRDefault="00BB70FD" w:rsidP="00176CA9">
      <w:pPr>
        <w:pStyle w:val="Heading2"/>
      </w:pPr>
      <w:bookmarkStart w:id="20" w:name="_Toc441733527"/>
      <w:r w:rsidRPr="002429C5">
        <w:lastRenderedPageBreak/>
        <w:t>The Agency as supervisory authority</w:t>
      </w:r>
      <w:bookmarkEnd w:id="20"/>
    </w:p>
    <w:p w:rsidR="00B824CC" w:rsidRPr="002429C5" w:rsidRDefault="00176CA9" w:rsidP="00176CA9">
      <w:pPr>
        <w:pStyle w:val="Default"/>
        <w:spacing w:before="120" w:after="120"/>
        <w:rPr>
          <w:rFonts w:cs="Times New Roman"/>
          <w:color w:val="auto"/>
          <w:sz w:val="18"/>
          <w:szCs w:val="18"/>
        </w:rPr>
      </w:pPr>
      <w:r w:rsidRPr="002429C5">
        <w:rPr>
          <w:color w:val="auto"/>
          <w:sz w:val="18"/>
        </w:rPr>
        <w:t>The Agency is the supervisory authority for the railways and supervises all actors in the railway industry. A series of executive orders places requirements on the undertakings within such areas as railway safety, preparedness, training and authorisations to place into service</w:t>
      </w:r>
      <w:r w:rsidRPr="002429C5">
        <w:rPr>
          <w:rStyle w:val="FootnoteReference"/>
          <w:color w:val="auto"/>
          <w:sz w:val="18"/>
        </w:rPr>
        <w:footnoteReference w:id="18"/>
      </w:r>
      <w:r w:rsidRPr="002429C5">
        <w:rPr>
          <w:color w:val="auto"/>
          <w:sz w:val="18"/>
        </w:rPr>
        <w:t>.</w:t>
      </w:r>
    </w:p>
    <w:p w:rsidR="00176CA9" w:rsidRPr="002429C5" w:rsidRDefault="00176CA9" w:rsidP="00176CA9">
      <w:pPr>
        <w:spacing w:before="120" w:after="120"/>
      </w:pPr>
      <w:r w:rsidRPr="002429C5">
        <w:t>Through its supervision of the undertakings, the Agency must ensure that they are adhering to the rules on, for example, safety management systems, and that the relevant safety requirements are being met.</w:t>
      </w:r>
    </w:p>
    <w:p w:rsidR="00017959" w:rsidRPr="002429C5" w:rsidRDefault="00176CA9" w:rsidP="00176CA9">
      <w:pPr>
        <w:spacing w:before="120" w:after="120"/>
      </w:pPr>
      <w:r w:rsidRPr="002429C5">
        <w:t>The Agency employs dialogue-based supervision, where there is an opportunity to acquire experience from the undertakings, but where there is also an opportunity for guidance.</w:t>
      </w:r>
    </w:p>
    <w:p w:rsidR="00176CA9" w:rsidRPr="002429C5" w:rsidRDefault="00176CA9" w:rsidP="00176CA9">
      <w:pPr>
        <w:spacing w:before="120" w:after="120"/>
      </w:pPr>
      <w:r w:rsidRPr="002429C5">
        <w:t>Supervision is planned on the basis of a risk-based assessment of the undertakings so that efforts are concentrated where the risks are felt to be greatest.</w:t>
      </w:r>
    </w:p>
    <w:p w:rsidR="006C3B19" w:rsidRPr="002429C5" w:rsidRDefault="00CD3197" w:rsidP="00DE06DD">
      <w:pPr>
        <w:pStyle w:val="Heading2"/>
      </w:pPr>
      <w:bookmarkStart w:id="21" w:name="_Toc441733528"/>
      <w:r w:rsidRPr="002429C5">
        <w:lastRenderedPageBreak/>
        <w:t>The effect of supervision and maturity assessment</w:t>
      </w:r>
      <w:bookmarkEnd w:id="21"/>
    </w:p>
    <w:p w:rsidR="00B824CC" w:rsidRPr="002429C5" w:rsidRDefault="005D1ECD" w:rsidP="006C3B19">
      <w:pPr>
        <w:spacing w:before="120" w:after="120"/>
      </w:pPr>
      <w:r w:rsidRPr="002429C5">
        <w:t>In 2011, the Agency produced a supervision strategy</w:t>
      </w:r>
      <w:r w:rsidRPr="002429C5">
        <w:rPr>
          <w:rStyle w:val="FootnoteReference"/>
        </w:rPr>
        <w:footnoteReference w:id="19"/>
      </w:r>
      <w:r w:rsidRPr="002429C5">
        <w:t>, which describes the criteria used to prioritise supervisory efforts.</w:t>
      </w:r>
    </w:p>
    <w:p w:rsidR="006C3B19" w:rsidRPr="002429C5" w:rsidRDefault="005D1ECD" w:rsidP="006C3B19">
      <w:pPr>
        <w:spacing w:before="120" w:after="120"/>
      </w:pPr>
      <w:r w:rsidRPr="002429C5">
        <w:t>The Agency has defined two objectives for supervision:</w:t>
      </w:r>
    </w:p>
    <w:p w:rsidR="00B824CC" w:rsidRPr="002429C5" w:rsidRDefault="006C3B19" w:rsidP="00C1394E">
      <w:pPr>
        <w:spacing w:before="120" w:after="120"/>
        <w:rPr>
          <w:i/>
        </w:rPr>
      </w:pPr>
      <w:r w:rsidRPr="002429C5">
        <w:rPr>
          <w:i/>
        </w:rPr>
        <w:t>The long-term objective for supervisory activities is that the national safety targets are adhered to.</w:t>
      </w:r>
    </w:p>
    <w:p w:rsidR="00B824CC" w:rsidRPr="002429C5" w:rsidRDefault="006C3B19" w:rsidP="006C3B19">
      <w:pPr>
        <w:spacing w:before="120" w:after="120"/>
      </w:pPr>
      <w:r w:rsidRPr="002429C5">
        <w:t>However, this objective is too broad to be used to prioritise supervisory efforts year on year. The Agency has therefore also identified a short-term endpoint in its supervision strategy:</w:t>
      </w:r>
    </w:p>
    <w:p w:rsidR="006C3B19" w:rsidRPr="002429C5" w:rsidRDefault="006C3B19" w:rsidP="00C1394E">
      <w:pPr>
        <w:spacing w:before="120" w:after="120"/>
        <w:rPr>
          <w:i/>
        </w:rPr>
      </w:pPr>
      <w:r w:rsidRPr="002429C5">
        <w:rPr>
          <w:i/>
        </w:rPr>
        <w:t>The short-term objective for supervisory activities is to maintain and preferably increase the undertakings’ ability to manage their own risks.</w:t>
      </w:r>
    </w:p>
    <w:p w:rsidR="00B824CC" w:rsidRPr="002429C5" w:rsidRDefault="005B3539" w:rsidP="006C3B19">
      <w:pPr>
        <w:spacing w:before="120" w:after="120"/>
      </w:pPr>
      <w:r w:rsidRPr="002429C5">
        <w:t>In 2012 and 2013, the Agency established and developed a method to be able to measure this short-term objective. The Agency took as its starting point the fact that an undertaking’s ability to manage its own risks can be assessed by supervising compliance with regulations and through learning in the undertaking.</w:t>
      </w:r>
    </w:p>
    <w:p w:rsidR="00EC4EEA" w:rsidRPr="002429C5" w:rsidRDefault="006C3B19" w:rsidP="006C3B19">
      <w:pPr>
        <w:spacing w:before="120" w:after="120"/>
      </w:pPr>
      <w:r w:rsidRPr="002429C5">
        <w:t xml:space="preserve">Based on this, the Agency has identified six central areas (indicators) </w:t>
      </w:r>
      <w:r w:rsidRPr="002429C5">
        <w:lastRenderedPageBreak/>
        <w:t>in undertakings’ safety management systems (see also table 3):</w:t>
      </w:r>
    </w:p>
    <w:p w:rsidR="00154683" w:rsidRPr="002429C5" w:rsidRDefault="00154683" w:rsidP="00154683">
      <w:pPr>
        <w:pStyle w:val="ListParagraph"/>
        <w:numPr>
          <w:ilvl w:val="0"/>
          <w:numId w:val="47"/>
        </w:numPr>
        <w:spacing w:before="120" w:after="120"/>
        <w:rPr>
          <w:sz w:val="18"/>
        </w:rPr>
      </w:pPr>
      <w:r w:rsidRPr="002429C5">
        <w:rPr>
          <w:sz w:val="18"/>
        </w:rPr>
        <w:t>Targets and action plans</w:t>
      </w:r>
    </w:p>
    <w:p w:rsidR="00EC4EEA" w:rsidRPr="002429C5" w:rsidRDefault="00EC4EEA" w:rsidP="00EC4EEA">
      <w:pPr>
        <w:pStyle w:val="ListParagraph"/>
        <w:numPr>
          <w:ilvl w:val="0"/>
          <w:numId w:val="47"/>
        </w:numPr>
        <w:spacing w:before="120" w:after="120"/>
        <w:rPr>
          <w:sz w:val="18"/>
        </w:rPr>
      </w:pPr>
      <w:r w:rsidRPr="002429C5">
        <w:rPr>
          <w:sz w:val="18"/>
        </w:rPr>
        <w:t>Implementation of legal requirements</w:t>
      </w:r>
    </w:p>
    <w:p w:rsidR="00EC4EEA" w:rsidRPr="002429C5" w:rsidRDefault="006C3B19" w:rsidP="00EC4EEA">
      <w:pPr>
        <w:pStyle w:val="ListParagraph"/>
        <w:numPr>
          <w:ilvl w:val="0"/>
          <w:numId w:val="47"/>
        </w:numPr>
        <w:spacing w:before="120" w:after="120"/>
        <w:rPr>
          <w:sz w:val="18"/>
        </w:rPr>
      </w:pPr>
      <w:r w:rsidRPr="002429C5">
        <w:rPr>
          <w:sz w:val="18"/>
        </w:rPr>
        <w:t>Recording of incidents</w:t>
      </w:r>
    </w:p>
    <w:p w:rsidR="00EC4EEA" w:rsidRPr="002429C5" w:rsidRDefault="006C3B19" w:rsidP="00EC4EEA">
      <w:pPr>
        <w:pStyle w:val="ListParagraph"/>
        <w:numPr>
          <w:ilvl w:val="0"/>
          <w:numId w:val="47"/>
        </w:numPr>
        <w:spacing w:before="120" w:after="120"/>
        <w:rPr>
          <w:sz w:val="18"/>
        </w:rPr>
      </w:pPr>
      <w:r w:rsidRPr="002429C5">
        <w:rPr>
          <w:sz w:val="18"/>
        </w:rPr>
        <w:t>Management of corrective and preventive actions</w:t>
      </w:r>
    </w:p>
    <w:p w:rsidR="00EC4EEA" w:rsidRPr="002429C5" w:rsidRDefault="006C3B19" w:rsidP="00EC4EEA">
      <w:pPr>
        <w:pStyle w:val="ListParagraph"/>
        <w:numPr>
          <w:ilvl w:val="0"/>
          <w:numId w:val="47"/>
        </w:numPr>
        <w:spacing w:before="120" w:after="120"/>
        <w:rPr>
          <w:sz w:val="18"/>
        </w:rPr>
      </w:pPr>
      <w:r w:rsidRPr="002429C5">
        <w:rPr>
          <w:sz w:val="18"/>
        </w:rPr>
        <w:t>Internal audits</w:t>
      </w:r>
    </w:p>
    <w:p w:rsidR="006C3B19" w:rsidRPr="002429C5" w:rsidRDefault="006C3B19" w:rsidP="00EC4EEA">
      <w:pPr>
        <w:pStyle w:val="ListParagraph"/>
        <w:numPr>
          <w:ilvl w:val="0"/>
          <w:numId w:val="47"/>
        </w:numPr>
        <w:spacing w:before="120" w:after="120"/>
        <w:rPr>
          <w:sz w:val="18"/>
        </w:rPr>
      </w:pPr>
      <w:r w:rsidRPr="002429C5">
        <w:rPr>
          <w:sz w:val="18"/>
        </w:rPr>
        <w:t>Management evaluation</w:t>
      </w:r>
    </w:p>
    <w:p w:rsidR="00B824CC" w:rsidRPr="002429C5" w:rsidRDefault="006C3B19" w:rsidP="006C3B19">
      <w:pPr>
        <w:spacing w:before="120" w:after="120"/>
      </w:pPr>
      <w:r w:rsidRPr="002429C5">
        <w:t>For each area, the Agency has formulated five levels of maturity (level 1 to 5), based on which undertakings are assessed. The lowest level (1) means the undertaking has not implemented safety management.</w:t>
      </w:r>
    </w:p>
    <w:p w:rsidR="00B824CC" w:rsidRPr="002429C5" w:rsidRDefault="006C3B19" w:rsidP="006C3B19">
      <w:pPr>
        <w:spacing w:before="120" w:after="120"/>
      </w:pPr>
      <w:r w:rsidRPr="002429C5">
        <w:t>The middle level (3) means the undertaking has implemented safety management that just meets the Agency’s requirements. A score of at least 3 is therefore the desired level.</w:t>
      </w:r>
    </w:p>
    <w:p w:rsidR="004D698B" w:rsidRPr="002429C5" w:rsidRDefault="006C3B19" w:rsidP="006C3B19">
      <w:pPr>
        <w:spacing w:before="120" w:after="120"/>
      </w:pPr>
      <w:r w:rsidRPr="002429C5">
        <w:t>The highest level (5) means that through its safety management system, the undertaking is proactively improving safety throughout the organisation.</w:t>
      </w:r>
    </w:p>
    <w:p w:rsidR="00112D0A" w:rsidRPr="002429C5" w:rsidRDefault="006C3B19" w:rsidP="005E117C">
      <w:pPr>
        <w:spacing w:before="120" w:after="120"/>
      </w:pPr>
      <w:r w:rsidRPr="002429C5">
        <w:t>Through annual supervision, the Agency has since 2013, when the method was used for the first time, thus assessed trends in undertakings' ability to manage their own risks. The assessment also indicates whether or not the Agency's monitoring activities 'work' and shows undertakings their own development in relation to the industry.</w:t>
      </w:r>
    </w:p>
    <w:p w:rsidR="005E117C" w:rsidRPr="002429C5" w:rsidRDefault="00A41EFC" w:rsidP="00112D0A">
      <w:pPr>
        <w:keepNext/>
        <w:spacing w:before="120" w:after="120"/>
        <w:rPr>
          <w:b/>
        </w:rPr>
      </w:pPr>
      <w:r w:rsidRPr="002429C5">
        <w:rPr>
          <w:b/>
        </w:rPr>
        <w:t>Maturity assessment of undertakings</w:t>
      </w:r>
    </w:p>
    <w:p w:rsidR="00B824CC" w:rsidRPr="002429C5" w:rsidRDefault="00ED5640" w:rsidP="005E117C">
      <w:pPr>
        <w:spacing w:before="120" w:after="120"/>
      </w:pPr>
      <w:r w:rsidRPr="002429C5">
        <w:t>The first maturity assessment of railway undertakings and infrastructure managers was undertaken in 2013, and an assessment was thus made in 2014 of developments between 2013 and 2014 (see table 3 below).</w:t>
      </w:r>
    </w:p>
    <w:p w:rsidR="005E117C" w:rsidRPr="002429C5" w:rsidRDefault="005E117C" w:rsidP="005E117C">
      <w:pPr>
        <w:spacing w:before="120" w:after="120"/>
      </w:pPr>
      <w:r w:rsidRPr="002429C5">
        <w:t>The evaluation was carried out during supervisory visits to the undertakings, either in connection with follow-up or renewal of certificate/approval.</w:t>
      </w:r>
    </w:p>
    <w:p w:rsidR="006B38A7" w:rsidRPr="002429C5" w:rsidRDefault="005E117C" w:rsidP="005E117C">
      <w:pPr>
        <w:spacing w:before="120" w:after="120"/>
      </w:pPr>
      <w:r w:rsidRPr="002429C5">
        <w:lastRenderedPageBreak/>
        <w:t xml:space="preserve">Table 3 below is an overall list of undertakings, where each undertaking is included only once, even if it is both a railway undertaking and an infrastructure manager. In 2013, nine undertakings were included in the maturity assessment, and in 2014 the assessment involved 11 undertakings, since </w:t>
      </w:r>
      <w:proofErr w:type="spellStart"/>
      <w:r w:rsidRPr="002429C5">
        <w:t>Banedanmark</w:t>
      </w:r>
      <w:proofErr w:type="spellEnd"/>
      <w:r w:rsidRPr="002429C5">
        <w:t xml:space="preserve"> and the </w:t>
      </w:r>
      <w:proofErr w:type="spellStart"/>
      <w:r w:rsidRPr="002429C5">
        <w:t>Øresund</w:t>
      </w:r>
      <w:proofErr w:type="spellEnd"/>
      <w:r w:rsidRPr="002429C5">
        <w:t xml:space="preserve"> Bridge were initially assessed in connection with the renewal of their safety approvals in 2014.</w:t>
      </w:r>
    </w:p>
    <w:p w:rsidR="005E117C" w:rsidRPr="002429C5" w:rsidRDefault="005E117C" w:rsidP="005E117C">
      <w:pPr>
        <w:spacing w:before="120" w:after="120"/>
        <w:rPr>
          <w:spacing w:val="-2"/>
        </w:rPr>
      </w:pPr>
      <w:r w:rsidRPr="002429C5">
        <w:t>The overall score for 2014 is largely unchanged (0.1 point lower than in 2013).</w:t>
      </w:r>
    </w:p>
    <w:p w:rsidR="00B824CC" w:rsidRPr="002429C5" w:rsidRDefault="005E117C" w:rsidP="005E117C">
      <w:pPr>
        <w:spacing w:before="120" w:after="120"/>
        <w:rPr>
          <w:spacing w:val="-2"/>
        </w:rPr>
      </w:pPr>
      <w:r w:rsidRPr="002429C5">
        <w:t>The marginal reduction in the overall score is due mainly to a single undertaking scoring a whole point lower than in 2013.</w:t>
      </w:r>
    </w:p>
    <w:p w:rsidR="0015250F" w:rsidRPr="002429C5" w:rsidRDefault="0015250F" w:rsidP="005E117C">
      <w:pPr>
        <w:spacing w:before="120" w:after="120"/>
        <w:rPr>
          <w:spacing w:val="-2"/>
        </w:rPr>
      </w:pPr>
      <w:r w:rsidRPr="002429C5">
        <w:t>This undertaking was one of the first to be rated high maturity at a time when the method was not quite fully developed, while in a follow-up supervision the undertaking did not live up to the expectations that had been placed on the safety management system.</w:t>
      </w:r>
    </w:p>
    <w:p w:rsidR="005E117C" w:rsidRPr="002429C5" w:rsidRDefault="005E117C" w:rsidP="005E117C">
      <w:pPr>
        <w:spacing w:before="120" w:after="120"/>
        <w:rPr>
          <w:spacing w:val="-2"/>
        </w:rPr>
      </w:pPr>
      <w:r w:rsidRPr="002429C5">
        <w:t>In 2014, the Agency also changed its use of the model, so that unlike previously, an undertaking could not go straight from level 4 to level 5 within the same year. Undertakings must now be able to demonstrate that they have been consistently above level 4 for more than one year before being raised to level 5.</w:t>
      </w:r>
    </w:p>
    <w:p w:rsidR="005E117C" w:rsidRPr="002429C5" w:rsidRDefault="005E117C" w:rsidP="005E117C">
      <w:pPr>
        <w:spacing w:before="120" w:after="120"/>
        <w:rPr>
          <w:spacing w:val="-2"/>
        </w:rPr>
      </w:pPr>
      <w:r w:rsidRPr="002429C5">
        <w:t>The Agency has also been working on getting better at assessing undertakings uniformly, so that there are no major variations in the assessments. These are calibrated internally before the results are passed to the undertakings. This may also have meant that assessments have been slightly lower than previously.</w:t>
      </w:r>
    </w:p>
    <w:p w:rsidR="00AC2622" w:rsidRPr="002429C5" w:rsidRDefault="00027A44" w:rsidP="005E117C">
      <w:pPr>
        <w:spacing w:before="120" w:after="120"/>
        <w:rPr>
          <w:spacing w:val="-2"/>
        </w:rPr>
      </w:pPr>
      <w:r w:rsidRPr="002429C5">
        <w:t>Overall it is estimated that the level generally remains unchanged 2014 compared with 2013.</w:t>
      </w:r>
    </w:p>
    <w:p w:rsidR="00A717DB" w:rsidRPr="002429C5" w:rsidRDefault="00A717DB" w:rsidP="005E117C">
      <w:pPr>
        <w:spacing w:before="120" w:after="120"/>
        <w:rPr>
          <w:spacing w:val="-2"/>
        </w:rPr>
      </w:pPr>
    </w:p>
    <w:p w:rsidR="00A717DB" w:rsidRPr="002429C5" w:rsidRDefault="00A717DB" w:rsidP="005E117C">
      <w:pPr>
        <w:tabs>
          <w:tab w:val="left" w:pos="1635"/>
        </w:tabs>
        <w:rPr>
          <w:i/>
          <w:sz w:val="16"/>
        </w:rPr>
        <w:sectPr w:rsidR="00A717DB" w:rsidRPr="002429C5" w:rsidSect="00356DD7">
          <w:type w:val="continuous"/>
          <w:pgSz w:w="11906" w:h="16838" w:code="9"/>
          <w:pgMar w:top="1985" w:right="1985" w:bottom="1418" w:left="1985" w:header="709" w:footer="709" w:gutter="0"/>
          <w:cols w:num="2" w:space="709"/>
          <w:titlePg/>
          <w:docGrid w:linePitch="360"/>
        </w:sectPr>
      </w:pPr>
    </w:p>
    <w:p w:rsidR="00176CA9" w:rsidRPr="002429C5" w:rsidRDefault="00176CA9" w:rsidP="00A717DB">
      <w:pPr>
        <w:tabs>
          <w:tab w:val="left" w:pos="1635"/>
        </w:tabs>
        <w:rPr>
          <w:i/>
          <w:sz w:val="16"/>
        </w:rPr>
      </w:pPr>
    </w:p>
    <w:p w:rsidR="00A717DB" w:rsidRPr="002429C5" w:rsidRDefault="00A717DB" w:rsidP="00112D0A">
      <w:pPr>
        <w:keepNext/>
        <w:tabs>
          <w:tab w:val="left" w:pos="1635"/>
        </w:tabs>
        <w:rPr>
          <w:i/>
          <w:sz w:val="16"/>
        </w:rPr>
      </w:pPr>
      <w:r w:rsidRPr="002429C5">
        <w:rPr>
          <w:i/>
          <w:sz w:val="16"/>
        </w:rPr>
        <w:lastRenderedPageBreak/>
        <w:t>Table 3: Development in maturity assessment – 2013-2014. All undertakings together.</w:t>
      </w:r>
      <w:r w:rsidRPr="002429C5">
        <w:tab/>
      </w:r>
    </w:p>
    <w:p w:rsidR="00A717DB" w:rsidRPr="002429C5" w:rsidRDefault="00176CA9" w:rsidP="00A717DB">
      <w:pPr>
        <w:spacing w:before="120" w:after="120"/>
      </w:pPr>
      <w:r w:rsidRPr="002429C5">
        <w:rPr>
          <w:noProof/>
          <w:lang w:val="fr-LU" w:eastAsia="fr-LU" w:bidi="ar-SA"/>
        </w:rPr>
        <w:drawing>
          <wp:inline distT="0" distB="0" distL="0" distR="0" wp14:anchorId="7A8875A5" wp14:editId="60163D9D">
            <wp:extent cx="5539563" cy="3678865"/>
            <wp:effectExtent l="0" t="0" r="23495" b="17145"/>
            <wp:docPr id="1" name="Diagram 1"/>
            <wp:cNvGraphicFramePr/>
            <a:graphic xmlns:a="http://schemas.openxmlformats.org/drawingml/2006/main">
              <a:graphicData uri="http://schemas.openxmlformats.org/drawingml/2006/chart">
                <c:chart xmlns:c="http://schemas.openxmlformats.org/drawingml/2006/chart" xmlns:r="http://schemas.openxmlformats.org/officeDocument/2006/relationships" r:id="rId38"/>
              </a:graphicData>
            </a:graphic>
          </wp:inline>
        </w:drawing>
      </w:r>
    </w:p>
    <w:p w:rsidR="00A717DB" w:rsidRPr="002429C5" w:rsidRDefault="00A717DB" w:rsidP="00A717DB">
      <w:pPr>
        <w:spacing w:before="120" w:after="120"/>
        <w:sectPr w:rsidR="00A717DB" w:rsidRPr="002429C5" w:rsidSect="00356DD7">
          <w:type w:val="continuous"/>
          <w:pgSz w:w="11906" w:h="16838" w:code="9"/>
          <w:pgMar w:top="1985" w:right="1985" w:bottom="1418" w:left="1985" w:header="709" w:footer="709" w:gutter="0"/>
          <w:cols w:space="709"/>
          <w:titlePg/>
          <w:docGrid w:linePitch="360"/>
        </w:sectPr>
      </w:pPr>
    </w:p>
    <w:tbl>
      <w:tblPr>
        <w:tblStyle w:val="TableGrid"/>
        <w:tblW w:w="0" w:type="auto"/>
        <w:tblLook w:val="04A0" w:firstRow="1" w:lastRow="0" w:firstColumn="1" w:lastColumn="0" w:noHBand="0" w:noVBand="1"/>
      </w:tblPr>
      <w:tblGrid>
        <w:gridCol w:w="4038"/>
        <w:gridCol w:w="4038"/>
      </w:tblGrid>
      <w:tr w:rsidR="00112D0A" w:rsidRPr="002429C5" w:rsidTr="00112D0A">
        <w:tc>
          <w:tcPr>
            <w:tcW w:w="4038" w:type="dxa"/>
          </w:tcPr>
          <w:p w:rsidR="00112D0A" w:rsidRPr="002429C5" w:rsidRDefault="00622B02" w:rsidP="000C77D1">
            <w:pPr>
              <w:pStyle w:val="DoNotTranslateExternal1"/>
            </w:pPr>
            <w:r w:rsidRPr="002429C5">
              <w:lastRenderedPageBreak/>
              <w:t>DA</w:t>
            </w:r>
          </w:p>
        </w:tc>
        <w:tc>
          <w:tcPr>
            <w:tcW w:w="4038" w:type="dxa"/>
          </w:tcPr>
          <w:p w:rsidR="00112D0A" w:rsidRPr="002429C5" w:rsidRDefault="00622B02" w:rsidP="00112D0A">
            <w:pPr>
              <w:tabs>
                <w:tab w:val="left" w:pos="1635"/>
              </w:tabs>
              <w:spacing w:after="0"/>
              <w:rPr>
                <w:sz w:val="16"/>
              </w:rPr>
            </w:pPr>
            <w:r w:rsidRPr="002429C5">
              <w:rPr>
                <w:sz w:val="16"/>
              </w:rPr>
              <w:t>EN</w:t>
            </w:r>
          </w:p>
        </w:tc>
      </w:tr>
      <w:tr w:rsidR="00874FA5" w:rsidRPr="002429C5" w:rsidTr="00112D0A">
        <w:tc>
          <w:tcPr>
            <w:tcW w:w="4038" w:type="dxa"/>
          </w:tcPr>
          <w:p w:rsidR="00874FA5" w:rsidRPr="002429C5" w:rsidRDefault="00874FA5" w:rsidP="000C77D1">
            <w:pPr>
              <w:pStyle w:val="DoNotTranslateExternal1"/>
            </w:pPr>
            <w:proofErr w:type="spellStart"/>
            <w:r w:rsidRPr="002429C5">
              <w:t>Samlet</w:t>
            </w:r>
            <w:proofErr w:type="spellEnd"/>
            <w:r w:rsidRPr="002429C5">
              <w:t xml:space="preserve"> Score (1-5)</w:t>
            </w:r>
          </w:p>
        </w:tc>
        <w:tc>
          <w:tcPr>
            <w:tcW w:w="4038" w:type="dxa"/>
          </w:tcPr>
          <w:p w:rsidR="00874FA5" w:rsidRPr="002429C5" w:rsidRDefault="00874FA5" w:rsidP="00FA5788">
            <w:pPr>
              <w:tabs>
                <w:tab w:val="left" w:pos="1635"/>
              </w:tabs>
              <w:spacing w:after="0"/>
              <w:rPr>
                <w:sz w:val="16"/>
              </w:rPr>
            </w:pPr>
            <w:r w:rsidRPr="002429C5">
              <w:rPr>
                <w:sz w:val="16"/>
              </w:rPr>
              <w:t>Total Score (1-5)</w:t>
            </w:r>
          </w:p>
        </w:tc>
      </w:tr>
      <w:tr w:rsidR="00874FA5" w:rsidRPr="002429C5" w:rsidTr="00112D0A">
        <w:tc>
          <w:tcPr>
            <w:tcW w:w="4038" w:type="dxa"/>
          </w:tcPr>
          <w:p w:rsidR="00874FA5" w:rsidRPr="002429C5" w:rsidRDefault="00874FA5" w:rsidP="000C77D1">
            <w:pPr>
              <w:pStyle w:val="DoNotTranslateExternal1"/>
            </w:pPr>
            <w:proofErr w:type="spellStart"/>
            <w:r w:rsidRPr="002429C5">
              <w:t>Mål</w:t>
            </w:r>
            <w:proofErr w:type="spellEnd"/>
            <w:r w:rsidRPr="002429C5">
              <w:t xml:space="preserve"> </w:t>
            </w:r>
            <w:proofErr w:type="spellStart"/>
            <w:r w:rsidRPr="002429C5">
              <w:t>og</w:t>
            </w:r>
            <w:proofErr w:type="spellEnd"/>
            <w:r w:rsidRPr="002429C5">
              <w:t xml:space="preserve"> </w:t>
            </w:r>
            <w:proofErr w:type="spellStart"/>
            <w:r w:rsidRPr="002429C5">
              <w:t>handlingsplaner</w:t>
            </w:r>
            <w:proofErr w:type="spellEnd"/>
            <w:r w:rsidRPr="002429C5">
              <w:t xml:space="preserve"> (1-5)</w:t>
            </w:r>
          </w:p>
        </w:tc>
        <w:tc>
          <w:tcPr>
            <w:tcW w:w="4038" w:type="dxa"/>
          </w:tcPr>
          <w:p w:rsidR="00874FA5" w:rsidRPr="002429C5" w:rsidRDefault="00874FA5" w:rsidP="00FA5788">
            <w:pPr>
              <w:tabs>
                <w:tab w:val="left" w:pos="1635"/>
              </w:tabs>
              <w:spacing w:after="0"/>
              <w:rPr>
                <w:sz w:val="16"/>
              </w:rPr>
            </w:pPr>
            <w:r w:rsidRPr="002429C5">
              <w:rPr>
                <w:sz w:val="16"/>
              </w:rPr>
              <w:t>Targets and action plans (1-5)</w:t>
            </w:r>
          </w:p>
        </w:tc>
      </w:tr>
      <w:tr w:rsidR="00874FA5" w:rsidRPr="002429C5" w:rsidTr="00112D0A">
        <w:tc>
          <w:tcPr>
            <w:tcW w:w="4038" w:type="dxa"/>
          </w:tcPr>
          <w:p w:rsidR="00874FA5" w:rsidRPr="002429C5" w:rsidRDefault="00874FA5" w:rsidP="000C77D1">
            <w:pPr>
              <w:pStyle w:val="DoNotTranslateExternal1"/>
            </w:pPr>
            <w:proofErr w:type="spellStart"/>
            <w:r w:rsidRPr="002429C5">
              <w:t>Implementering</w:t>
            </w:r>
            <w:proofErr w:type="spellEnd"/>
            <w:r w:rsidRPr="002429C5">
              <w:t xml:space="preserve"> </w:t>
            </w:r>
            <w:proofErr w:type="spellStart"/>
            <w:r w:rsidRPr="002429C5">
              <w:t>af</w:t>
            </w:r>
            <w:proofErr w:type="spellEnd"/>
            <w:r w:rsidRPr="002429C5">
              <w:t xml:space="preserve"> </w:t>
            </w:r>
            <w:proofErr w:type="spellStart"/>
            <w:r w:rsidRPr="002429C5">
              <w:t>lovkrav</w:t>
            </w:r>
            <w:proofErr w:type="spellEnd"/>
            <w:r w:rsidRPr="002429C5">
              <w:t xml:space="preserve"> (1-4)</w:t>
            </w:r>
          </w:p>
        </w:tc>
        <w:tc>
          <w:tcPr>
            <w:tcW w:w="4038" w:type="dxa"/>
          </w:tcPr>
          <w:p w:rsidR="00874FA5" w:rsidRPr="002429C5" w:rsidRDefault="00874FA5" w:rsidP="00FA5788">
            <w:pPr>
              <w:tabs>
                <w:tab w:val="left" w:pos="1635"/>
              </w:tabs>
              <w:spacing w:after="0"/>
              <w:rPr>
                <w:sz w:val="16"/>
              </w:rPr>
            </w:pPr>
            <w:r w:rsidRPr="002429C5">
              <w:rPr>
                <w:sz w:val="16"/>
              </w:rPr>
              <w:t>Implementation of legal requirements (1-4)</w:t>
            </w:r>
          </w:p>
        </w:tc>
      </w:tr>
      <w:tr w:rsidR="00874FA5" w:rsidRPr="002429C5" w:rsidTr="00112D0A">
        <w:tc>
          <w:tcPr>
            <w:tcW w:w="4038" w:type="dxa"/>
          </w:tcPr>
          <w:p w:rsidR="00874FA5" w:rsidRPr="002429C5" w:rsidRDefault="00874FA5" w:rsidP="000C77D1">
            <w:pPr>
              <w:pStyle w:val="DoNotTranslateExternal1"/>
            </w:pPr>
            <w:proofErr w:type="spellStart"/>
            <w:r w:rsidRPr="002429C5">
              <w:t>Hændelsesregistrering</w:t>
            </w:r>
            <w:proofErr w:type="spellEnd"/>
            <w:r w:rsidRPr="002429C5">
              <w:t xml:space="preserve"> (1-5)</w:t>
            </w:r>
          </w:p>
        </w:tc>
        <w:tc>
          <w:tcPr>
            <w:tcW w:w="4038" w:type="dxa"/>
          </w:tcPr>
          <w:p w:rsidR="00874FA5" w:rsidRPr="002429C5" w:rsidRDefault="00874FA5" w:rsidP="00FA5788">
            <w:pPr>
              <w:tabs>
                <w:tab w:val="left" w:pos="1635"/>
              </w:tabs>
              <w:spacing w:after="0"/>
              <w:rPr>
                <w:sz w:val="16"/>
              </w:rPr>
            </w:pPr>
            <w:r w:rsidRPr="002429C5">
              <w:rPr>
                <w:sz w:val="16"/>
              </w:rPr>
              <w:t>Recording of incidents (1-5)</w:t>
            </w:r>
          </w:p>
        </w:tc>
      </w:tr>
      <w:tr w:rsidR="00874FA5" w:rsidRPr="002429C5" w:rsidTr="00112D0A">
        <w:tc>
          <w:tcPr>
            <w:tcW w:w="4038" w:type="dxa"/>
          </w:tcPr>
          <w:p w:rsidR="00874FA5" w:rsidRPr="002429C5" w:rsidRDefault="00874FA5" w:rsidP="000C77D1">
            <w:pPr>
              <w:pStyle w:val="DoNotTranslateExternal1"/>
            </w:pPr>
            <w:proofErr w:type="spellStart"/>
            <w:r w:rsidRPr="002429C5">
              <w:t>Håndtering</w:t>
            </w:r>
            <w:proofErr w:type="spellEnd"/>
            <w:r w:rsidRPr="002429C5">
              <w:t xml:space="preserve"> </w:t>
            </w:r>
            <w:proofErr w:type="spellStart"/>
            <w:r w:rsidRPr="002429C5">
              <w:t>af</w:t>
            </w:r>
            <w:proofErr w:type="spellEnd"/>
            <w:r w:rsidRPr="002429C5">
              <w:t xml:space="preserve"> </w:t>
            </w:r>
            <w:proofErr w:type="spellStart"/>
            <w:r w:rsidRPr="002429C5">
              <w:t>korrigerende</w:t>
            </w:r>
            <w:proofErr w:type="spellEnd"/>
            <w:r w:rsidRPr="002429C5">
              <w:t xml:space="preserve"> </w:t>
            </w:r>
            <w:proofErr w:type="spellStart"/>
            <w:r w:rsidRPr="002429C5">
              <w:t>og</w:t>
            </w:r>
            <w:proofErr w:type="spellEnd"/>
            <w:r w:rsidRPr="002429C5">
              <w:t xml:space="preserve"> </w:t>
            </w:r>
            <w:proofErr w:type="spellStart"/>
            <w:r w:rsidRPr="002429C5">
              <w:t>forebyggende</w:t>
            </w:r>
            <w:proofErr w:type="spellEnd"/>
            <w:r w:rsidRPr="002429C5">
              <w:t xml:space="preserve"> </w:t>
            </w:r>
            <w:proofErr w:type="spellStart"/>
            <w:r w:rsidRPr="002429C5">
              <w:t>handlinger</w:t>
            </w:r>
            <w:proofErr w:type="spellEnd"/>
            <w:r w:rsidRPr="002429C5">
              <w:t xml:space="preserve"> (1-5)</w:t>
            </w:r>
          </w:p>
        </w:tc>
        <w:tc>
          <w:tcPr>
            <w:tcW w:w="4038" w:type="dxa"/>
          </w:tcPr>
          <w:p w:rsidR="00874FA5" w:rsidRPr="002429C5" w:rsidRDefault="00874FA5" w:rsidP="00FA5788">
            <w:pPr>
              <w:tabs>
                <w:tab w:val="left" w:pos="1635"/>
              </w:tabs>
              <w:spacing w:after="0"/>
              <w:rPr>
                <w:sz w:val="16"/>
              </w:rPr>
            </w:pPr>
            <w:r w:rsidRPr="002429C5">
              <w:rPr>
                <w:sz w:val="16"/>
              </w:rPr>
              <w:t>Management of corrective and preventive actions (1-5)</w:t>
            </w:r>
          </w:p>
        </w:tc>
      </w:tr>
      <w:tr w:rsidR="00874FA5" w:rsidRPr="002429C5" w:rsidTr="00112D0A">
        <w:tc>
          <w:tcPr>
            <w:tcW w:w="4038" w:type="dxa"/>
          </w:tcPr>
          <w:p w:rsidR="00874FA5" w:rsidRPr="002429C5" w:rsidRDefault="00874FA5" w:rsidP="000C77D1">
            <w:pPr>
              <w:pStyle w:val="DoNotTranslateExternal1"/>
            </w:pPr>
            <w:r w:rsidRPr="002429C5">
              <w:t>Intern revision (1-5)</w:t>
            </w:r>
          </w:p>
        </w:tc>
        <w:tc>
          <w:tcPr>
            <w:tcW w:w="4038" w:type="dxa"/>
          </w:tcPr>
          <w:p w:rsidR="00874FA5" w:rsidRPr="002429C5" w:rsidRDefault="00874FA5" w:rsidP="00FA5788">
            <w:pPr>
              <w:tabs>
                <w:tab w:val="left" w:pos="1635"/>
              </w:tabs>
              <w:spacing w:after="0"/>
              <w:rPr>
                <w:sz w:val="16"/>
              </w:rPr>
            </w:pPr>
            <w:r w:rsidRPr="002429C5">
              <w:rPr>
                <w:sz w:val="16"/>
              </w:rPr>
              <w:t>Internal audits (1-5)</w:t>
            </w:r>
          </w:p>
        </w:tc>
      </w:tr>
      <w:tr w:rsidR="00874FA5" w:rsidRPr="002429C5" w:rsidTr="00112D0A">
        <w:tc>
          <w:tcPr>
            <w:tcW w:w="4038" w:type="dxa"/>
          </w:tcPr>
          <w:p w:rsidR="00874FA5" w:rsidRPr="002429C5" w:rsidRDefault="00874FA5" w:rsidP="000C77D1">
            <w:pPr>
              <w:pStyle w:val="DoNotTranslateExternal1"/>
            </w:pPr>
            <w:proofErr w:type="spellStart"/>
            <w:r w:rsidRPr="002429C5">
              <w:t>Ledelsens</w:t>
            </w:r>
            <w:proofErr w:type="spellEnd"/>
            <w:r w:rsidRPr="002429C5">
              <w:t xml:space="preserve"> </w:t>
            </w:r>
            <w:proofErr w:type="spellStart"/>
            <w:r w:rsidRPr="002429C5">
              <w:t>evaluering</w:t>
            </w:r>
            <w:proofErr w:type="spellEnd"/>
            <w:r w:rsidRPr="002429C5">
              <w:t xml:space="preserve"> (1-5)</w:t>
            </w:r>
          </w:p>
        </w:tc>
        <w:tc>
          <w:tcPr>
            <w:tcW w:w="4038" w:type="dxa"/>
          </w:tcPr>
          <w:p w:rsidR="00874FA5" w:rsidRPr="002429C5" w:rsidRDefault="00874FA5" w:rsidP="00FA5788">
            <w:pPr>
              <w:tabs>
                <w:tab w:val="left" w:pos="1635"/>
              </w:tabs>
              <w:spacing w:after="0"/>
              <w:rPr>
                <w:sz w:val="16"/>
              </w:rPr>
            </w:pPr>
            <w:r w:rsidRPr="002429C5">
              <w:rPr>
                <w:sz w:val="16"/>
              </w:rPr>
              <w:t>Management evaluation (1-5)</w:t>
            </w:r>
          </w:p>
        </w:tc>
      </w:tr>
      <w:tr w:rsidR="00874FA5" w:rsidRPr="002429C5" w:rsidTr="00112D0A">
        <w:tc>
          <w:tcPr>
            <w:tcW w:w="4038" w:type="dxa"/>
          </w:tcPr>
          <w:p w:rsidR="00874FA5" w:rsidRPr="002429C5" w:rsidRDefault="00874FA5" w:rsidP="000C77D1">
            <w:pPr>
              <w:pStyle w:val="DoNotTranslateExternal1"/>
            </w:pPr>
            <w:r w:rsidRPr="002429C5">
              <w:t>Score 2013/2014</w:t>
            </w:r>
          </w:p>
        </w:tc>
        <w:tc>
          <w:tcPr>
            <w:tcW w:w="4038" w:type="dxa"/>
          </w:tcPr>
          <w:p w:rsidR="00874FA5" w:rsidRPr="002429C5" w:rsidRDefault="00874FA5" w:rsidP="00FA5788">
            <w:pPr>
              <w:tabs>
                <w:tab w:val="left" w:pos="1635"/>
              </w:tabs>
              <w:spacing w:after="0"/>
              <w:rPr>
                <w:sz w:val="16"/>
              </w:rPr>
            </w:pPr>
            <w:r w:rsidRPr="002429C5">
              <w:rPr>
                <w:sz w:val="16"/>
              </w:rPr>
              <w:t>Score 2013/2014</w:t>
            </w:r>
          </w:p>
        </w:tc>
      </w:tr>
    </w:tbl>
    <w:p w:rsidR="005E117C" w:rsidRPr="002429C5" w:rsidRDefault="005E117C" w:rsidP="0030659B">
      <w:pPr>
        <w:tabs>
          <w:tab w:val="left" w:pos="1635"/>
        </w:tabs>
        <w:spacing w:after="0"/>
        <w:rPr>
          <w:i/>
          <w:sz w:val="16"/>
        </w:rPr>
      </w:pPr>
    </w:p>
    <w:p w:rsidR="00112D0A" w:rsidRPr="002429C5" w:rsidRDefault="00112D0A" w:rsidP="005E117C">
      <w:pPr>
        <w:tabs>
          <w:tab w:val="left" w:pos="1635"/>
        </w:tabs>
        <w:rPr>
          <w:i/>
          <w:sz w:val="16"/>
        </w:rPr>
      </w:pPr>
    </w:p>
    <w:p w:rsidR="00112D0A" w:rsidRPr="002429C5" w:rsidRDefault="00112D0A" w:rsidP="005E117C">
      <w:pPr>
        <w:tabs>
          <w:tab w:val="left" w:pos="1635"/>
        </w:tabs>
        <w:rPr>
          <w:i/>
          <w:sz w:val="16"/>
        </w:rPr>
        <w:sectPr w:rsidR="00112D0A" w:rsidRPr="002429C5" w:rsidSect="00356DD7">
          <w:type w:val="continuous"/>
          <w:pgSz w:w="11906" w:h="16838" w:code="9"/>
          <w:pgMar w:top="1985" w:right="1985" w:bottom="1418" w:left="1985" w:header="709" w:footer="709" w:gutter="0"/>
          <w:cols w:space="709"/>
          <w:titlePg/>
          <w:docGrid w:linePitch="360"/>
        </w:sectPr>
      </w:pPr>
    </w:p>
    <w:p w:rsidR="00D842FE" w:rsidRPr="002429C5" w:rsidRDefault="0015250F" w:rsidP="00D842FE">
      <w:pPr>
        <w:rPr>
          <w:b/>
          <w:spacing w:val="-2"/>
        </w:rPr>
      </w:pPr>
      <w:r w:rsidRPr="002429C5">
        <w:rPr>
          <w:b/>
          <w:spacing w:val="-2"/>
        </w:rPr>
        <w:lastRenderedPageBreak/>
        <w:t>Result of maturity assessment for follow-up in 2015</w:t>
      </w:r>
    </w:p>
    <w:p w:rsidR="00D842FE" w:rsidRPr="002429C5" w:rsidRDefault="00D842FE" w:rsidP="00D842FE">
      <w:pPr>
        <w:spacing w:before="120" w:after="120"/>
      </w:pPr>
      <w:r w:rsidRPr="002429C5">
        <w:t>In 2015 the results of the maturity assessment will be used in two ways, as in 2014. There will be further supervision of those areas that represent a general challenge in the industry, as well as those undertakings that are below the average level.</w:t>
      </w:r>
    </w:p>
    <w:p w:rsidR="00D842FE" w:rsidRPr="002429C5" w:rsidRDefault="00D842FE" w:rsidP="00D842FE">
      <w:pPr>
        <w:spacing w:before="120" w:after="120"/>
      </w:pPr>
      <w:r w:rsidRPr="002429C5">
        <w:t>The figures for 2014 show that three indicators remain below the desired score of 3, namely:</w:t>
      </w:r>
    </w:p>
    <w:p w:rsidR="00D842FE" w:rsidRPr="002429C5" w:rsidRDefault="00D842FE" w:rsidP="00874FA5">
      <w:pPr>
        <w:keepNext/>
        <w:numPr>
          <w:ilvl w:val="0"/>
          <w:numId w:val="29"/>
        </w:numPr>
        <w:spacing w:before="120" w:after="120"/>
        <w:contextualSpacing/>
      </w:pPr>
      <w:r w:rsidRPr="002429C5">
        <w:t>Implementation of legal requirements</w:t>
      </w:r>
    </w:p>
    <w:p w:rsidR="00D842FE" w:rsidRPr="002429C5" w:rsidRDefault="00D842FE" w:rsidP="00D842FE">
      <w:pPr>
        <w:numPr>
          <w:ilvl w:val="0"/>
          <w:numId w:val="29"/>
        </w:numPr>
        <w:spacing w:before="120" w:after="120"/>
        <w:contextualSpacing/>
      </w:pPr>
      <w:r w:rsidRPr="002429C5">
        <w:t>Management of corrective and preventive actions</w:t>
      </w:r>
    </w:p>
    <w:p w:rsidR="00D842FE" w:rsidRPr="002429C5" w:rsidRDefault="00D842FE" w:rsidP="00D842FE">
      <w:pPr>
        <w:numPr>
          <w:ilvl w:val="0"/>
          <w:numId w:val="29"/>
        </w:numPr>
        <w:spacing w:before="120" w:after="120"/>
        <w:contextualSpacing/>
      </w:pPr>
      <w:r w:rsidRPr="002429C5">
        <w:t>Internal audits</w:t>
      </w:r>
    </w:p>
    <w:p w:rsidR="00BA54CC" w:rsidRPr="002429C5" w:rsidRDefault="00BA54CC" w:rsidP="00D842FE">
      <w:pPr>
        <w:spacing w:before="120" w:after="120"/>
      </w:pPr>
    </w:p>
    <w:p w:rsidR="00D842FE" w:rsidRPr="002429C5" w:rsidRDefault="00D842FE" w:rsidP="00D842FE">
      <w:pPr>
        <w:spacing w:before="120" w:after="120"/>
        <w:rPr>
          <w:spacing w:val="-2"/>
        </w:rPr>
      </w:pPr>
      <w:r w:rsidRPr="002429C5">
        <w:lastRenderedPageBreak/>
        <w:t>The Agency wants to focus particularly on supporting undertakings' efforts in these three areas in such a way that the level is raised to level 3 or higher.</w:t>
      </w:r>
    </w:p>
    <w:p w:rsidR="005E117C" w:rsidRPr="002429C5" w:rsidRDefault="00D842FE" w:rsidP="00D842FE">
      <w:pPr>
        <w:spacing w:before="120" w:after="120"/>
      </w:pPr>
      <w:r w:rsidRPr="002429C5">
        <w:t>There will also be a focus on those undertakings that are below the average.</w:t>
      </w:r>
    </w:p>
    <w:p w:rsidR="00D37190" w:rsidRPr="002429C5" w:rsidRDefault="00D37190" w:rsidP="00096197">
      <w:pPr>
        <w:pStyle w:val="Heading2"/>
      </w:pPr>
      <w:bookmarkStart w:id="22" w:name="_Toc441733529"/>
      <w:r w:rsidRPr="002429C5">
        <w:t>Supervision planning and prioritisation</w:t>
      </w:r>
      <w:bookmarkEnd w:id="22"/>
    </w:p>
    <w:p w:rsidR="00D37190" w:rsidRPr="002429C5" w:rsidRDefault="005D1ECD" w:rsidP="00D37190">
      <w:pPr>
        <w:spacing w:before="120" w:after="120"/>
      </w:pPr>
      <w:r w:rsidRPr="002429C5">
        <w:t>The Agency has planned audits based on a comprehensive, systematic and transparent risk assessment of undertakings’ circumstances every year since 2010. The method is described in the Agency's supervision strategy.</w:t>
      </w:r>
    </w:p>
    <w:p w:rsidR="00B824CC" w:rsidRPr="002429C5" w:rsidRDefault="00D37190" w:rsidP="00D37190">
      <w:pPr>
        <w:spacing w:before="120" w:after="120"/>
      </w:pPr>
      <w:r w:rsidRPr="002429C5">
        <w:lastRenderedPageBreak/>
        <w:t>The assessments are based on a basic assessment of the nature of the undertakings, as well as the experience gained by the Agency with the undertakings over the year.</w:t>
      </w:r>
    </w:p>
    <w:p w:rsidR="00D37190" w:rsidRPr="002429C5" w:rsidRDefault="00D37190" w:rsidP="00D37190">
      <w:pPr>
        <w:spacing w:before="120" w:after="120"/>
      </w:pPr>
      <w:r w:rsidRPr="002429C5">
        <w:t>The number of audit days for the coming year is determined based on the overall assessment of the individual undertaking. The number may be reduced for undertakings that have both a safety certificate and safety approval, as there is a significant overlap between supervisory areas for these. Likewise, the number of days may be increased in connection with renewals of safety certificates and safety approvals.</w:t>
      </w:r>
    </w:p>
    <w:p w:rsidR="00BB67E8" w:rsidRPr="002429C5" w:rsidRDefault="005D1ECD" w:rsidP="00BB67E8">
      <w:pPr>
        <w:spacing w:before="120" w:after="120"/>
      </w:pPr>
      <w:r w:rsidRPr="002429C5">
        <w:t>The Agency’s supervision schedule for the railways for 2014 was published on 21 January 2014.</w:t>
      </w:r>
    </w:p>
    <w:p w:rsidR="00BB67E8" w:rsidRPr="002429C5" w:rsidRDefault="00BB67E8" w:rsidP="00BB67E8">
      <w:pPr>
        <w:spacing w:before="120" w:after="120"/>
      </w:pPr>
      <w:r w:rsidRPr="002429C5">
        <w:t>The supervision schedule provides an overview of the quarters in which the Agency has planned follow-up supervision during the period of validity of the safety certificate or safety approval, and supervision to be carried out in connection with the renewal of safety certificates or safety approvals.</w:t>
      </w:r>
    </w:p>
    <w:p w:rsidR="00A82ED3" w:rsidRPr="002429C5" w:rsidRDefault="00A82ED3" w:rsidP="00A82ED3">
      <w:pPr>
        <w:spacing w:before="120" w:after="120"/>
      </w:pPr>
      <w:r w:rsidRPr="002429C5">
        <w:t>No major changes were made to the supervision schedule in 2014.</w:t>
      </w:r>
    </w:p>
    <w:p w:rsidR="00A82ED3" w:rsidRPr="002429C5" w:rsidRDefault="00A82ED3" w:rsidP="00A82ED3">
      <w:pPr>
        <w:spacing w:before="120" w:after="120"/>
      </w:pPr>
      <w:r w:rsidRPr="002429C5">
        <w:t>However, in the course of the year there were a number of downward adjustments in the number of supervision days, due to both the undertakings' circumstances and the situation as regards resources.</w:t>
      </w:r>
    </w:p>
    <w:p w:rsidR="00A82ED3" w:rsidRPr="002429C5" w:rsidRDefault="00A82ED3" w:rsidP="00A82ED3">
      <w:pPr>
        <w:spacing w:before="120" w:after="120"/>
      </w:pPr>
      <w:r w:rsidRPr="002429C5">
        <w:t>Some of the supervisions planned at a particular undertaking were replaced by follow-up methods, and each of the planned supervisions has been pushed back to 2015 due to confusion about changes in the undertaking.</w:t>
      </w:r>
    </w:p>
    <w:p w:rsidR="00A82ED3" w:rsidRPr="002429C5" w:rsidRDefault="00A82ED3" w:rsidP="00A82ED3">
      <w:pPr>
        <w:spacing w:before="120" w:after="120"/>
      </w:pPr>
      <w:r w:rsidRPr="002429C5">
        <w:t>In addition, downward adjustments had to be made in the number of supervision days at a series of small undertakings, as one large supervision required more resources for planning and follow-up than expected.</w:t>
      </w:r>
    </w:p>
    <w:p w:rsidR="00A82ED3" w:rsidRPr="002429C5" w:rsidRDefault="00A82ED3" w:rsidP="00A82ED3">
      <w:r w:rsidRPr="002429C5">
        <w:t>Finally, three supervisions were cancelled, because the areas for which these supervisions had been planned were dealt with in other supervisions.</w:t>
      </w:r>
    </w:p>
    <w:p w:rsidR="00B824CC" w:rsidRPr="002429C5" w:rsidRDefault="001D3E54" w:rsidP="001D3E54">
      <w:pPr>
        <w:spacing w:before="120" w:after="120"/>
      </w:pPr>
      <w:r w:rsidRPr="002429C5">
        <w:t xml:space="preserve">Based on the evaluation of the previous year's supervision that was carried out in connection with the annual supervision planning, the following </w:t>
      </w:r>
      <w:r w:rsidRPr="002429C5">
        <w:lastRenderedPageBreak/>
        <w:t>areas were announced as focus areas for 2014 in the Agency's supervision schedule:</w:t>
      </w:r>
    </w:p>
    <w:p w:rsidR="00D37190" w:rsidRPr="002429C5" w:rsidRDefault="003B58C5" w:rsidP="005034D7">
      <w:pPr>
        <w:pStyle w:val="ListParagraph"/>
        <w:numPr>
          <w:ilvl w:val="0"/>
          <w:numId w:val="46"/>
        </w:numPr>
        <w:spacing w:before="120" w:after="120"/>
        <w:rPr>
          <w:sz w:val="18"/>
        </w:rPr>
      </w:pPr>
      <w:r w:rsidRPr="002429C5">
        <w:rPr>
          <w:sz w:val="18"/>
        </w:rPr>
        <w:t>Competence management</w:t>
      </w:r>
    </w:p>
    <w:p w:rsidR="00D37190" w:rsidRPr="002429C5" w:rsidRDefault="00D37190" w:rsidP="005034D7">
      <w:pPr>
        <w:pStyle w:val="ListParagraph"/>
        <w:numPr>
          <w:ilvl w:val="0"/>
          <w:numId w:val="46"/>
        </w:numPr>
        <w:spacing w:before="120" w:after="120"/>
        <w:rPr>
          <w:sz w:val="18"/>
        </w:rPr>
      </w:pPr>
      <w:r w:rsidRPr="002429C5">
        <w:rPr>
          <w:sz w:val="18"/>
        </w:rPr>
        <w:t>Contract management</w:t>
      </w:r>
    </w:p>
    <w:p w:rsidR="005034D7" w:rsidRPr="002429C5" w:rsidRDefault="005034D7" w:rsidP="005034D7">
      <w:pPr>
        <w:pStyle w:val="ListParagraph"/>
        <w:numPr>
          <w:ilvl w:val="0"/>
          <w:numId w:val="46"/>
        </w:numPr>
        <w:spacing w:before="120" w:after="120"/>
        <w:rPr>
          <w:sz w:val="18"/>
        </w:rPr>
      </w:pPr>
      <w:r w:rsidRPr="002429C5">
        <w:rPr>
          <w:sz w:val="18"/>
        </w:rPr>
        <w:t>Presence in drivers' cabs</w:t>
      </w:r>
      <w:r w:rsidRPr="002429C5">
        <w:rPr>
          <w:rStyle w:val="FootnoteReference"/>
          <w:sz w:val="18"/>
        </w:rPr>
        <w:footnoteReference w:id="20"/>
      </w:r>
    </w:p>
    <w:p w:rsidR="00D37190" w:rsidRPr="002429C5" w:rsidRDefault="00D37190" w:rsidP="005034D7">
      <w:pPr>
        <w:pStyle w:val="ListParagraph"/>
        <w:numPr>
          <w:ilvl w:val="0"/>
          <w:numId w:val="46"/>
        </w:numPr>
        <w:spacing w:before="120" w:after="120"/>
        <w:rPr>
          <w:sz w:val="18"/>
        </w:rPr>
      </w:pPr>
      <w:r w:rsidRPr="002429C5">
        <w:rPr>
          <w:sz w:val="18"/>
        </w:rPr>
        <w:t>Handling of changes in infrastructure</w:t>
      </w:r>
    </w:p>
    <w:p w:rsidR="005034D7" w:rsidRPr="002429C5" w:rsidRDefault="005034D7" w:rsidP="005034D7">
      <w:pPr>
        <w:spacing w:before="120" w:after="120"/>
      </w:pPr>
      <w:r w:rsidRPr="002429C5">
        <w:t>These focus areas are the subject of this Safety Report's chapter 4, which is a theme section dealing with supervision of special areas.</w:t>
      </w:r>
    </w:p>
    <w:p w:rsidR="00FA65B6" w:rsidRPr="002429C5" w:rsidRDefault="00FA65B6" w:rsidP="00825466">
      <w:pPr>
        <w:pStyle w:val="Heading2"/>
      </w:pPr>
      <w:bookmarkStart w:id="23" w:name="_Toc441733530"/>
      <w:r w:rsidRPr="002429C5">
        <w:t>Use of resources</w:t>
      </w:r>
      <w:bookmarkEnd w:id="23"/>
    </w:p>
    <w:p w:rsidR="00FA65B6" w:rsidRPr="002429C5" w:rsidRDefault="00FA65B6" w:rsidP="00874FA5">
      <w:pPr>
        <w:keepNext/>
        <w:spacing w:before="120" w:after="120"/>
        <w:rPr>
          <w:b/>
        </w:rPr>
      </w:pPr>
      <w:r w:rsidRPr="002429C5">
        <w:rPr>
          <w:b/>
        </w:rPr>
        <w:t>Time spent on supervision in 2014</w:t>
      </w:r>
    </w:p>
    <w:p w:rsidR="00FA65B6" w:rsidRPr="002429C5" w:rsidRDefault="005D1ECD" w:rsidP="00FA65B6">
      <w:pPr>
        <w:spacing w:before="120" w:after="120"/>
      </w:pPr>
      <w:r w:rsidRPr="002429C5">
        <w:t>In 2014, the Agency performed 96 supervisions/audit days, relating to undertakings’ safety management systems in connection with safety certification and safety authorisation and the follow-up of these.</w:t>
      </w:r>
    </w:p>
    <w:p w:rsidR="00B824CC" w:rsidRPr="002429C5" w:rsidRDefault="00FA65B6" w:rsidP="00FA65B6">
      <w:pPr>
        <w:spacing w:before="120" w:after="120"/>
      </w:pPr>
      <w:r w:rsidRPr="002429C5">
        <w:t>By way of comparison, in 2013 there were 39 supervisions/audit days.</w:t>
      </w:r>
    </w:p>
    <w:p w:rsidR="00E65C0B" w:rsidRPr="002429C5" w:rsidRDefault="00FA65B6" w:rsidP="00E65C0B">
      <w:r w:rsidRPr="002429C5">
        <w:t>Table 4 below shows the hours spent on supervision by the Agency. The number of hours shows a development from 2013 to 2014 and covers both time spent on audit days and time spent on inspections.</w:t>
      </w:r>
    </w:p>
    <w:p w:rsidR="000E4448" w:rsidRPr="002429C5" w:rsidRDefault="000E4448" w:rsidP="00E65C0B">
      <w:r w:rsidRPr="002429C5">
        <w:t xml:space="preserve">The scope of the supervision has increased significantly from 2013 to 2014. This is due, inter alia, to the fact that a large supervision was conducted in 2014 in connection with the renewal of </w:t>
      </w:r>
      <w:proofErr w:type="spellStart"/>
      <w:r w:rsidRPr="002429C5">
        <w:t>Banedanmark's</w:t>
      </w:r>
      <w:proofErr w:type="spellEnd"/>
      <w:r w:rsidRPr="002429C5">
        <w:t xml:space="preserve"> safety approval. This supervision was conducted over a total of nine months with visits in three stages (document review, functional supervision of support processes as well as functional supervision of line processes) and with the participation of all supervisory employees and the use of subject specialists.</w:t>
      </w:r>
    </w:p>
    <w:p w:rsidR="00466D6B" w:rsidRPr="002429C5" w:rsidRDefault="00134398" w:rsidP="00085BB9">
      <w:r w:rsidRPr="002429C5">
        <w:lastRenderedPageBreak/>
        <w:t xml:space="preserve">In 2014, subject specialists were used for around 30 % of system supervisions. Subject specialists were used to a particularly high degree in connection with the renewal supervision carried out at </w:t>
      </w:r>
      <w:proofErr w:type="spellStart"/>
      <w:r w:rsidRPr="002429C5">
        <w:t>Banedanmark</w:t>
      </w:r>
      <w:proofErr w:type="spellEnd"/>
      <w:r w:rsidRPr="002429C5">
        <w:t>. By way of comparison, subject specialists were used in around 50 % of the inspections carried out. The reason for this is that inspections are often a more in-depth evaluation of a particular area, often of a more technical or railway-based nature.</w:t>
      </w:r>
    </w:p>
    <w:p w:rsidR="00466D6B" w:rsidRPr="002429C5" w:rsidRDefault="00592557" w:rsidP="00085BB9">
      <w:r w:rsidRPr="002429C5">
        <w:t xml:space="preserve">It is the Agency's expectation that supervisory efforts will continue to </w:t>
      </w:r>
      <w:r w:rsidRPr="002429C5">
        <w:lastRenderedPageBreak/>
        <w:t xml:space="preserve">increase over the coming years as the number of </w:t>
      </w:r>
      <w:proofErr w:type="gramStart"/>
      <w:r w:rsidRPr="002429C5">
        <w:t>actors</w:t>
      </w:r>
      <w:proofErr w:type="gramEnd"/>
      <w:r w:rsidRPr="002429C5">
        <w:t xml:space="preserve"> increases, as well as further to the restructuring of the division of responsibilities. Undertakings, for example, will have more opportunities to act themselves through significance assessments, where they will no longer need to obtain the approval of the Agency. This means the Agency will have to maintain a certain level of supervision to ensure that undertakings are managing their responsibilities correctly.</w:t>
      </w:r>
    </w:p>
    <w:p w:rsidR="00466D6B" w:rsidRPr="002429C5" w:rsidRDefault="00466D6B" w:rsidP="00085BB9">
      <w:pPr>
        <w:sectPr w:rsidR="00466D6B" w:rsidRPr="002429C5" w:rsidSect="00356DD7">
          <w:type w:val="continuous"/>
          <w:pgSz w:w="11906" w:h="16838" w:code="9"/>
          <w:pgMar w:top="1985" w:right="1985" w:bottom="1418" w:left="1985" w:header="709" w:footer="709" w:gutter="0"/>
          <w:cols w:num="2" w:space="709"/>
          <w:titlePg/>
          <w:docGrid w:linePitch="360"/>
        </w:sectPr>
      </w:pPr>
    </w:p>
    <w:p w:rsidR="00E65C0B" w:rsidRPr="002429C5" w:rsidRDefault="00E65C0B" w:rsidP="00874FA5">
      <w:pPr>
        <w:keepNext/>
        <w:spacing w:before="120" w:after="120"/>
        <w:rPr>
          <w:b/>
          <w:i/>
          <w:sz w:val="16"/>
          <w:szCs w:val="16"/>
        </w:rPr>
      </w:pPr>
      <w:r w:rsidRPr="002429C5">
        <w:rPr>
          <w:i/>
          <w:sz w:val="16"/>
        </w:rPr>
        <w:lastRenderedPageBreak/>
        <w:t>Table 4: Time spent on supervision</w:t>
      </w:r>
    </w:p>
    <w:tbl>
      <w:tblPr>
        <w:tblStyle w:val="LightShading"/>
        <w:tblW w:w="0" w:type="auto"/>
        <w:tblInd w:w="108" w:type="dxa"/>
        <w:tblLook w:val="04A0" w:firstRow="1" w:lastRow="0" w:firstColumn="1" w:lastColumn="0" w:noHBand="0" w:noVBand="1"/>
      </w:tblPr>
      <w:tblGrid>
        <w:gridCol w:w="3119"/>
        <w:gridCol w:w="1984"/>
        <w:gridCol w:w="2835"/>
      </w:tblGrid>
      <w:tr w:rsidR="00E65C0B" w:rsidRPr="002429C5" w:rsidTr="00874FA5">
        <w:trPr>
          <w:cnfStyle w:val="100000000000" w:firstRow="1" w:lastRow="0" w:firstColumn="0" w:lastColumn="0" w:oddVBand="0" w:evenVBand="0" w:oddHBand="0"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3119" w:type="dxa"/>
          </w:tcPr>
          <w:p w:rsidR="00E65C0B" w:rsidRPr="002429C5" w:rsidRDefault="00E65C0B" w:rsidP="00874FA5">
            <w:pPr>
              <w:keepNext/>
              <w:spacing w:before="120" w:after="120"/>
            </w:pPr>
          </w:p>
        </w:tc>
        <w:tc>
          <w:tcPr>
            <w:tcW w:w="1984" w:type="dxa"/>
          </w:tcPr>
          <w:p w:rsidR="00E65C0B" w:rsidRPr="002429C5" w:rsidRDefault="00E65C0B" w:rsidP="00874FA5">
            <w:pPr>
              <w:keepNext/>
              <w:spacing w:before="120" w:after="120"/>
              <w:jc w:val="center"/>
              <w:cnfStyle w:val="100000000000" w:firstRow="1" w:lastRow="0" w:firstColumn="0" w:lastColumn="0" w:oddVBand="0" w:evenVBand="0" w:oddHBand="0" w:evenHBand="0" w:firstRowFirstColumn="0" w:firstRowLastColumn="0" w:lastRowFirstColumn="0" w:lastRowLastColumn="0"/>
              <w:rPr>
                <w:b w:val="0"/>
              </w:rPr>
            </w:pPr>
            <w:r w:rsidRPr="002429C5">
              <w:rPr>
                <w:b w:val="0"/>
              </w:rPr>
              <w:t>2013</w:t>
            </w:r>
          </w:p>
          <w:p w:rsidR="006E56DC" w:rsidRPr="002429C5" w:rsidRDefault="006E56DC" w:rsidP="00874FA5">
            <w:pPr>
              <w:keepNext/>
              <w:spacing w:before="120" w:after="120"/>
              <w:jc w:val="center"/>
              <w:cnfStyle w:val="100000000000" w:firstRow="1" w:lastRow="0" w:firstColumn="0" w:lastColumn="0" w:oddVBand="0" w:evenVBand="0" w:oddHBand="0" w:evenHBand="0" w:firstRowFirstColumn="0" w:firstRowLastColumn="0" w:lastRowFirstColumn="0" w:lastRowLastColumn="0"/>
              <w:rPr>
                <w:b w:val="0"/>
              </w:rPr>
            </w:pPr>
            <w:r w:rsidRPr="002429C5">
              <w:rPr>
                <w:i/>
                <w:sz w:val="16"/>
              </w:rPr>
              <w:t>(hours)</w:t>
            </w:r>
          </w:p>
        </w:tc>
        <w:tc>
          <w:tcPr>
            <w:tcW w:w="2835" w:type="dxa"/>
          </w:tcPr>
          <w:p w:rsidR="00E65C0B" w:rsidRPr="002429C5" w:rsidRDefault="00E65C0B" w:rsidP="00874FA5">
            <w:pPr>
              <w:keepNext/>
              <w:spacing w:before="120" w:after="120"/>
              <w:jc w:val="center"/>
              <w:cnfStyle w:val="100000000000" w:firstRow="1" w:lastRow="0" w:firstColumn="0" w:lastColumn="0" w:oddVBand="0" w:evenVBand="0" w:oddHBand="0" w:evenHBand="0" w:firstRowFirstColumn="0" w:firstRowLastColumn="0" w:lastRowFirstColumn="0" w:lastRowLastColumn="0"/>
              <w:rPr>
                <w:b w:val="0"/>
              </w:rPr>
            </w:pPr>
            <w:r w:rsidRPr="002429C5">
              <w:rPr>
                <w:b w:val="0"/>
              </w:rPr>
              <w:t>2014</w:t>
            </w:r>
          </w:p>
          <w:p w:rsidR="006E56DC" w:rsidRPr="002429C5" w:rsidRDefault="006E56DC" w:rsidP="00874FA5">
            <w:pPr>
              <w:keepNext/>
              <w:spacing w:before="120" w:after="120"/>
              <w:jc w:val="center"/>
              <w:cnfStyle w:val="100000000000" w:firstRow="1" w:lastRow="0" w:firstColumn="0" w:lastColumn="0" w:oddVBand="0" w:evenVBand="0" w:oddHBand="0" w:evenHBand="0" w:firstRowFirstColumn="0" w:firstRowLastColumn="0" w:lastRowFirstColumn="0" w:lastRowLastColumn="0"/>
              <w:rPr>
                <w:i/>
              </w:rPr>
            </w:pPr>
            <w:r w:rsidRPr="002429C5">
              <w:rPr>
                <w:i/>
                <w:sz w:val="16"/>
              </w:rPr>
              <w:t>(hours)</w:t>
            </w:r>
          </w:p>
        </w:tc>
      </w:tr>
      <w:tr w:rsidR="00E65C0B" w:rsidRPr="002429C5" w:rsidTr="00874FA5">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3119" w:type="dxa"/>
          </w:tcPr>
          <w:p w:rsidR="00E65C0B" w:rsidRPr="002429C5" w:rsidRDefault="00DE4788" w:rsidP="00213D83">
            <w:pPr>
              <w:spacing w:before="120" w:after="120"/>
              <w:rPr>
                <w:sz w:val="17"/>
                <w:szCs w:val="17"/>
              </w:rPr>
            </w:pPr>
            <w:r w:rsidRPr="002429C5">
              <w:rPr>
                <w:sz w:val="17"/>
              </w:rPr>
              <w:t>Audits (follow-up)</w:t>
            </w:r>
          </w:p>
        </w:tc>
        <w:tc>
          <w:tcPr>
            <w:tcW w:w="1984" w:type="dxa"/>
          </w:tcPr>
          <w:p w:rsidR="00E65C0B" w:rsidRPr="002429C5" w:rsidRDefault="00E65C0B" w:rsidP="001D1164">
            <w:pPr>
              <w:pStyle w:val="DoNotTranslateInternal3"/>
              <w:cnfStyle w:val="000000100000" w:firstRow="0" w:lastRow="0" w:firstColumn="0" w:lastColumn="0" w:oddVBand="0" w:evenVBand="0" w:oddHBand="1" w:evenHBand="0" w:firstRowFirstColumn="0" w:firstRowLastColumn="0" w:lastRowFirstColumn="0" w:lastRowLastColumn="0"/>
            </w:pPr>
            <w:r w:rsidRPr="002429C5">
              <w:t>968</w:t>
            </w:r>
          </w:p>
        </w:tc>
        <w:tc>
          <w:tcPr>
            <w:tcW w:w="2835" w:type="dxa"/>
          </w:tcPr>
          <w:p w:rsidR="00E65C0B" w:rsidRPr="002429C5" w:rsidRDefault="00E65C0B" w:rsidP="001D1164">
            <w:pPr>
              <w:pStyle w:val="DoNotTranslateInternal3"/>
              <w:cnfStyle w:val="000000100000" w:firstRow="0" w:lastRow="0" w:firstColumn="0" w:lastColumn="0" w:oddVBand="0" w:evenVBand="0" w:oddHBand="1" w:evenHBand="0" w:firstRowFirstColumn="0" w:firstRowLastColumn="0" w:lastRowFirstColumn="0" w:lastRowLastColumn="0"/>
            </w:pPr>
            <w:r w:rsidRPr="002429C5">
              <w:t>1683</w:t>
            </w:r>
          </w:p>
        </w:tc>
      </w:tr>
      <w:tr w:rsidR="00E65C0B" w:rsidRPr="002429C5" w:rsidTr="00874FA5">
        <w:trPr>
          <w:cantSplit/>
        </w:trPr>
        <w:tc>
          <w:tcPr>
            <w:cnfStyle w:val="001000000000" w:firstRow="0" w:lastRow="0" w:firstColumn="1" w:lastColumn="0" w:oddVBand="0" w:evenVBand="0" w:oddHBand="0" w:evenHBand="0" w:firstRowFirstColumn="0" w:firstRowLastColumn="0" w:lastRowFirstColumn="0" w:lastRowLastColumn="0"/>
            <w:tcW w:w="3119" w:type="dxa"/>
          </w:tcPr>
          <w:p w:rsidR="00E65C0B" w:rsidRPr="002429C5" w:rsidRDefault="00471598" w:rsidP="00213D83">
            <w:pPr>
              <w:spacing w:before="120" w:after="120"/>
              <w:rPr>
                <w:sz w:val="17"/>
                <w:szCs w:val="17"/>
              </w:rPr>
            </w:pPr>
            <w:r w:rsidRPr="002429C5">
              <w:rPr>
                <w:sz w:val="17"/>
              </w:rPr>
              <w:t>Inspection</w:t>
            </w:r>
          </w:p>
        </w:tc>
        <w:tc>
          <w:tcPr>
            <w:tcW w:w="1984" w:type="dxa"/>
          </w:tcPr>
          <w:p w:rsidR="00E65C0B" w:rsidRPr="002429C5" w:rsidRDefault="00B916CD" w:rsidP="001D1164">
            <w:pPr>
              <w:pStyle w:val="DoNotTranslateInternal3"/>
              <w:cnfStyle w:val="000000000000" w:firstRow="0" w:lastRow="0" w:firstColumn="0" w:lastColumn="0" w:oddVBand="0" w:evenVBand="0" w:oddHBand="0" w:evenHBand="0" w:firstRowFirstColumn="0" w:firstRowLastColumn="0" w:lastRowFirstColumn="0" w:lastRowLastColumn="0"/>
            </w:pPr>
            <w:r w:rsidRPr="002429C5">
              <w:t>1387</w:t>
            </w:r>
          </w:p>
        </w:tc>
        <w:tc>
          <w:tcPr>
            <w:tcW w:w="2835" w:type="dxa"/>
          </w:tcPr>
          <w:p w:rsidR="00E65C0B" w:rsidRPr="002429C5" w:rsidRDefault="00B916CD" w:rsidP="001D1164">
            <w:pPr>
              <w:pStyle w:val="DoNotTranslateInternal3"/>
              <w:cnfStyle w:val="000000000000" w:firstRow="0" w:lastRow="0" w:firstColumn="0" w:lastColumn="0" w:oddVBand="0" w:evenVBand="0" w:oddHBand="0" w:evenHBand="0" w:firstRowFirstColumn="0" w:firstRowLastColumn="0" w:lastRowFirstColumn="0" w:lastRowLastColumn="0"/>
            </w:pPr>
            <w:r w:rsidRPr="002429C5">
              <w:t>1381</w:t>
            </w:r>
          </w:p>
        </w:tc>
      </w:tr>
      <w:tr w:rsidR="00E65C0B" w:rsidRPr="002429C5" w:rsidTr="00874FA5">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3119" w:type="dxa"/>
          </w:tcPr>
          <w:p w:rsidR="00E65C0B" w:rsidRPr="002429C5" w:rsidRDefault="00B916CD" w:rsidP="00213D83">
            <w:pPr>
              <w:spacing w:before="120" w:after="120"/>
              <w:rPr>
                <w:sz w:val="17"/>
                <w:szCs w:val="17"/>
              </w:rPr>
            </w:pPr>
            <w:r w:rsidRPr="002429C5">
              <w:rPr>
                <w:sz w:val="17"/>
              </w:rPr>
              <w:t>Certification/approval*</w:t>
            </w:r>
          </w:p>
        </w:tc>
        <w:tc>
          <w:tcPr>
            <w:tcW w:w="1984" w:type="dxa"/>
          </w:tcPr>
          <w:p w:rsidR="00E65C0B" w:rsidRPr="002429C5" w:rsidRDefault="00B916CD" w:rsidP="001D1164">
            <w:pPr>
              <w:pStyle w:val="DoNotTranslateInternal3"/>
              <w:cnfStyle w:val="000000100000" w:firstRow="0" w:lastRow="0" w:firstColumn="0" w:lastColumn="0" w:oddVBand="0" w:evenVBand="0" w:oddHBand="1" w:evenHBand="0" w:firstRowFirstColumn="0" w:firstRowLastColumn="0" w:lastRowFirstColumn="0" w:lastRowLastColumn="0"/>
            </w:pPr>
            <w:r w:rsidRPr="002429C5">
              <w:t>1846</w:t>
            </w:r>
          </w:p>
        </w:tc>
        <w:tc>
          <w:tcPr>
            <w:tcW w:w="2835" w:type="dxa"/>
          </w:tcPr>
          <w:p w:rsidR="00E65C0B" w:rsidRPr="002429C5" w:rsidRDefault="00B916CD" w:rsidP="001D1164">
            <w:pPr>
              <w:pStyle w:val="DoNotTranslateInternal3"/>
              <w:cnfStyle w:val="000000100000" w:firstRow="0" w:lastRow="0" w:firstColumn="0" w:lastColumn="0" w:oddVBand="0" w:evenVBand="0" w:oddHBand="1" w:evenHBand="0" w:firstRowFirstColumn="0" w:firstRowLastColumn="0" w:lastRowFirstColumn="0" w:lastRowLastColumn="0"/>
            </w:pPr>
            <w:r w:rsidRPr="002429C5">
              <w:t>3982</w:t>
            </w:r>
          </w:p>
        </w:tc>
      </w:tr>
      <w:tr w:rsidR="00E65C0B" w:rsidRPr="002429C5" w:rsidTr="00874FA5">
        <w:trPr>
          <w:cantSplit/>
        </w:trPr>
        <w:tc>
          <w:tcPr>
            <w:cnfStyle w:val="001000000000" w:firstRow="0" w:lastRow="0" w:firstColumn="1" w:lastColumn="0" w:oddVBand="0" w:evenVBand="0" w:oddHBand="0" w:evenHBand="0" w:firstRowFirstColumn="0" w:firstRowLastColumn="0" w:lastRowFirstColumn="0" w:lastRowLastColumn="0"/>
            <w:tcW w:w="3119" w:type="dxa"/>
          </w:tcPr>
          <w:p w:rsidR="00E65C0B" w:rsidRPr="002429C5" w:rsidRDefault="00E65C0B" w:rsidP="00213D83">
            <w:pPr>
              <w:spacing w:before="120" w:after="120"/>
              <w:rPr>
                <w:sz w:val="17"/>
                <w:szCs w:val="17"/>
              </w:rPr>
            </w:pPr>
            <w:r w:rsidRPr="002429C5">
              <w:rPr>
                <w:sz w:val="17"/>
              </w:rPr>
              <w:t>Total hours spent</w:t>
            </w:r>
          </w:p>
        </w:tc>
        <w:tc>
          <w:tcPr>
            <w:tcW w:w="1984" w:type="dxa"/>
          </w:tcPr>
          <w:p w:rsidR="00E65C0B" w:rsidRPr="002429C5" w:rsidRDefault="00B916CD" w:rsidP="001D1164">
            <w:pPr>
              <w:pStyle w:val="DoNotTranslateInternal3"/>
              <w:cnfStyle w:val="000000000000" w:firstRow="0" w:lastRow="0" w:firstColumn="0" w:lastColumn="0" w:oddVBand="0" w:evenVBand="0" w:oddHBand="0" w:evenHBand="0" w:firstRowFirstColumn="0" w:firstRowLastColumn="0" w:lastRowFirstColumn="0" w:lastRowLastColumn="0"/>
            </w:pPr>
            <w:r w:rsidRPr="002429C5">
              <w:t>4201</w:t>
            </w:r>
          </w:p>
        </w:tc>
        <w:tc>
          <w:tcPr>
            <w:tcW w:w="2835" w:type="dxa"/>
          </w:tcPr>
          <w:p w:rsidR="00E65C0B" w:rsidRPr="002429C5" w:rsidRDefault="00B916CD" w:rsidP="001D1164">
            <w:pPr>
              <w:pStyle w:val="DoNotTranslateInternal3"/>
              <w:cnfStyle w:val="000000000000" w:firstRow="0" w:lastRow="0" w:firstColumn="0" w:lastColumn="0" w:oddVBand="0" w:evenVBand="0" w:oddHBand="0" w:evenHBand="0" w:firstRowFirstColumn="0" w:firstRowLastColumn="0" w:lastRowFirstColumn="0" w:lastRowLastColumn="0"/>
            </w:pPr>
            <w:r w:rsidRPr="002429C5">
              <w:t>7046</w:t>
            </w:r>
          </w:p>
        </w:tc>
      </w:tr>
    </w:tbl>
    <w:p w:rsidR="00E65C0B" w:rsidRPr="002429C5" w:rsidRDefault="00B916CD" w:rsidP="00E65C0B">
      <w:pPr>
        <w:tabs>
          <w:tab w:val="left" w:pos="567"/>
        </w:tabs>
        <w:spacing w:after="0"/>
        <w:rPr>
          <w:i/>
          <w:sz w:val="14"/>
          <w:szCs w:val="14"/>
        </w:rPr>
      </w:pPr>
      <w:r w:rsidRPr="002429C5">
        <w:rPr>
          <w:i/>
          <w:sz w:val="14"/>
        </w:rPr>
        <w:t>* Both renewals and amendments</w:t>
      </w:r>
    </w:p>
    <w:p w:rsidR="00874FA5" w:rsidRPr="002429C5" w:rsidRDefault="00874FA5" w:rsidP="00E65C0B">
      <w:pPr>
        <w:tabs>
          <w:tab w:val="left" w:pos="567"/>
        </w:tabs>
        <w:spacing w:after="0"/>
        <w:rPr>
          <w:i/>
          <w:sz w:val="14"/>
          <w:szCs w:val="14"/>
        </w:rPr>
      </w:pPr>
    </w:p>
    <w:p w:rsidR="00FA5788" w:rsidRPr="002429C5" w:rsidRDefault="00FA5788" w:rsidP="00E65C0B">
      <w:pPr>
        <w:tabs>
          <w:tab w:val="left" w:pos="567"/>
        </w:tabs>
        <w:spacing w:after="0"/>
        <w:rPr>
          <w:i/>
          <w:sz w:val="14"/>
          <w:szCs w:val="14"/>
        </w:rPr>
      </w:pPr>
    </w:p>
    <w:p w:rsidR="00E65C0B" w:rsidRPr="002429C5" w:rsidRDefault="00E65C0B" w:rsidP="00BA07CD">
      <w:pPr>
        <w:pStyle w:val="Heading2"/>
        <w:sectPr w:rsidR="00E65C0B" w:rsidRPr="002429C5" w:rsidSect="00356DD7">
          <w:type w:val="continuous"/>
          <w:pgSz w:w="11906" w:h="16838" w:code="9"/>
          <w:pgMar w:top="1985" w:right="1985" w:bottom="1418" w:left="1985" w:header="709" w:footer="709" w:gutter="0"/>
          <w:cols w:space="709"/>
          <w:titlePg/>
          <w:docGrid w:linePitch="360"/>
        </w:sectPr>
      </w:pPr>
    </w:p>
    <w:p w:rsidR="00112538" w:rsidRPr="002429C5" w:rsidRDefault="00112538" w:rsidP="00FA5788">
      <w:pPr>
        <w:pStyle w:val="Heading2"/>
        <w:spacing w:before="0"/>
      </w:pPr>
      <w:bookmarkStart w:id="24" w:name="_Toc441733531"/>
      <w:r w:rsidRPr="002429C5">
        <w:lastRenderedPageBreak/>
        <w:t>Competence management</w:t>
      </w:r>
      <w:bookmarkEnd w:id="24"/>
    </w:p>
    <w:p w:rsidR="00112538" w:rsidRPr="002429C5" w:rsidRDefault="00112538" w:rsidP="00874FA5">
      <w:pPr>
        <w:keepNext/>
        <w:spacing w:before="120" w:after="120"/>
        <w:rPr>
          <w:b/>
        </w:rPr>
      </w:pPr>
      <w:r w:rsidRPr="002429C5">
        <w:rPr>
          <w:b/>
        </w:rPr>
        <w:t>Staffing</w:t>
      </w:r>
    </w:p>
    <w:p w:rsidR="00112538" w:rsidRPr="002429C5" w:rsidRDefault="005D1ECD" w:rsidP="00112538">
      <w:r w:rsidRPr="002429C5">
        <w:t>As a rule, the Agency's supervision of railway undertakings is carried out by two people with a background in auditing. One acts as lead auditor and the other as assistant auditor (see fact box).</w:t>
      </w:r>
    </w:p>
    <w:p w:rsidR="00CE0128" w:rsidRPr="002429C5" w:rsidRDefault="008A2D04" w:rsidP="00CE0128">
      <w:pPr>
        <w:spacing w:before="120" w:after="120"/>
      </w:pPr>
      <w:r w:rsidRPr="002429C5">
        <w:t xml:space="preserve">Where relevant, railway specialists take part in the context of implementation </w:t>
      </w:r>
      <w:r w:rsidRPr="002429C5">
        <w:lastRenderedPageBreak/>
        <w:t>of supervision.</w:t>
      </w:r>
    </w:p>
    <w:p w:rsidR="00CE0128" w:rsidRPr="002429C5" w:rsidRDefault="00CE0128" w:rsidP="00CE0128">
      <w:pPr>
        <w:spacing w:before="120" w:after="120"/>
      </w:pPr>
      <w:r w:rsidRPr="002429C5">
        <w:t>Supervision is therefore always carried out by at least two people from the Agency.</w:t>
      </w:r>
    </w:p>
    <w:p w:rsidR="005B3539" w:rsidRPr="002429C5" w:rsidRDefault="005B3539" w:rsidP="00CE0128">
      <w:pPr>
        <w:spacing w:before="120" w:after="120"/>
        <w:rPr>
          <w:b/>
        </w:rPr>
      </w:pPr>
    </w:p>
    <w:p w:rsidR="00CE0128" w:rsidRPr="002429C5" w:rsidRDefault="00CE0128" w:rsidP="00FA5788">
      <w:pPr>
        <w:keepNext/>
        <w:spacing w:before="120" w:after="120"/>
        <w:rPr>
          <w:b/>
        </w:rPr>
      </w:pPr>
      <w:r w:rsidRPr="002429C5">
        <w:rPr>
          <w:b/>
        </w:rPr>
        <w:t>Competency requirement</w:t>
      </w:r>
    </w:p>
    <w:p w:rsidR="00CE0128" w:rsidRPr="002429C5" w:rsidRDefault="006C1B57" w:rsidP="00CE0128">
      <w:pPr>
        <w:spacing w:before="120" w:after="120"/>
      </w:pPr>
      <w:r w:rsidRPr="002429C5">
        <w:rPr>
          <w:b/>
          <w:noProof/>
          <w:lang w:val="fr-LU" w:eastAsia="fr-LU" w:bidi="ar-SA"/>
        </w:rPr>
        <mc:AlternateContent>
          <mc:Choice Requires="wps">
            <w:drawing>
              <wp:anchor distT="0" distB="0" distL="114300" distR="114300" simplePos="0" relativeHeight="251658240" behindDoc="0" locked="0" layoutInCell="1" allowOverlap="1" wp14:anchorId="5046A7D8" wp14:editId="41A1F451">
                <wp:simplePos x="0" y="0"/>
                <wp:positionH relativeFrom="column">
                  <wp:posOffset>29210</wp:posOffset>
                </wp:positionH>
                <wp:positionV relativeFrom="paragraph">
                  <wp:posOffset>-1089660</wp:posOffset>
                </wp:positionV>
                <wp:extent cx="5081270" cy="2413000"/>
                <wp:effectExtent l="0" t="0" r="24130" b="10795"/>
                <wp:wrapTopAndBottom/>
                <wp:docPr id="12" name="Rektangel 12"/>
                <wp:cNvGraphicFramePr/>
                <a:graphic xmlns:a="http://schemas.openxmlformats.org/drawingml/2006/main">
                  <a:graphicData uri="http://schemas.microsoft.com/office/word/2010/wordprocessingShape">
                    <wps:wsp>
                      <wps:cNvSpPr/>
                      <wps:spPr>
                        <a:xfrm>
                          <a:off x="0" y="0"/>
                          <a:ext cx="5081270" cy="2413000"/>
                        </a:xfrm>
                        <a:prstGeom prst="rect">
                          <a:avLst/>
                        </a:prstGeom>
                        <a:solidFill>
                          <a:schemeClr val="bg1">
                            <a:lumMod val="85000"/>
                          </a:schemeClr>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2429C5" w:rsidRDefault="002429C5" w:rsidP="006C1B57">
                            <w:pPr>
                              <w:spacing w:before="120" w:after="120"/>
                              <w:rPr>
                                <w:b/>
                              </w:rPr>
                            </w:pPr>
                            <w:r>
                              <w:rPr>
                                <w:b/>
                              </w:rPr>
                              <w:t>FACT BOX</w:t>
                            </w:r>
                          </w:p>
                          <w:p w:rsidR="002429C5" w:rsidRPr="001C4F11" w:rsidRDefault="002429C5" w:rsidP="006C1B57">
                            <w:pPr>
                              <w:spacing w:before="120" w:after="120"/>
                              <w:rPr>
                                <w:b/>
                              </w:rPr>
                            </w:pPr>
                          </w:p>
                          <w:p w:rsidR="002429C5" w:rsidRPr="00107E7A" w:rsidRDefault="002429C5" w:rsidP="006C1B57">
                            <w:pPr>
                              <w:spacing w:before="120" w:after="120"/>
                              <w:rPr>
                                <w:b/>
                                <w:i/>
                              </w:rPr>
                            </w:pPr>
                            <w:r>
                              <w:rPr>
                                <w:b/>
                                <w:i/>
                              </w:rPr>
                              <w:t>Lead auditor</w:t>
                            </w:r>
                          </w:p>
                          <w:p w:rsidR="002429C5" w:rsidRDefault="002429C5" w:rsidP="006C1B57">
                            <w:r>
                              <w:t>The lead auditor is responsible for the preparation, implementation and follow-up of the supervision and is the Agency’s contact person for the undertaking. The lead auditor leads the individual supervision visit and decides on the composition of the supervision team to guarantee the necessary competencies in the team. The lead auditor administers and reviews the necessary documentation and ensures that the objective of the supervision is achieved.</w:t>
                            </w:r>
                          </w:p>
                          <w:p w:rsidR="002429C5" w:rsidRPr="00107E7A" w:rsidRDefault="002429C5" w:rsidP="006C1B57">
                            <w:r>
                              <w:rPr>
                                <w:b/>
                                <w:i/>
                              </w:rPr>
                              <w:t>Assistant auditor</w:t>
                            </w:r>
                          </w:p>
                          <w:p w:rsidR="002429C5" w:rsidRPr="00107E7A" w:rsidRDefault="002429C5" w:rsidP="006C1B57">
                            <w:r>
                              <w:t>It is the assistant auditor’s role to assist the lead auditor in all aspects of supervision. The assistant auditor helps administer and review documentation and assists with notes and supplementary questions.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rect w14:anchorId="5046A7D8" id="Rektangel 12" o:spid="_x0000_s1028" style="position:absolute;margin-left:2.3pt;margin-top:-85.8pt;width:400.1pt;height:190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" fillcolor="#d8d8d8 [2732]" strokecolor="black [3213]" strokeweight=".25pt">
                <v:textbox style="mso-fit-shape-to-text:t">
                  <w:txbxContent>
                    <w:p w:rsidR="002429C5" w:rsidRDefault="002429C5" w:rsidP="006C1B57">
                      <w:pPr>
                        <w:spacing w:before="120" w:after="120"/>
                        <w:rPr>
                          <w:b/>
                        </w:rPr>
                      </w:pPr>
                      <w:r>
                        <w:rPr>
                          <w:b/>
                        </w:rPr>
                        <w:t>FACT BOX</w:t>
                      </w:r>
                    </w:p>
                    <w:p w:rsidR="002429C5" w:rsidRPr="001C4F11" w:rsidRDefault="002429C5" w:rsidP="006C1B57">
                      <w:pPr>
                        <w:spacing w:before="120" w:after="120"/>
                        <w:rPr>
                          <w:b/>
                        </w:rPr>
                      </w:pPr>
                    </w:p>
                    <w:p w:rsidR="002429C5" w:rsidRPr="00107E7A" w:rsidRDefault="002429C5" w:rsidP="006C1B57">
                      <w:pPr>
                        <w:spacing w:before="120" w:after="120"/>
                        <w:rPr>
                          <w:b/>
                          <w:i/>
                        </w:rPr>
                      </w:pPr>
                      <w:r>
                        <w:rPr>
                          <w:b/>
                          <w:i/>
                        </w:rPr>
                        <w:t>Lead auditor</w:t>
                      </w:r>
                    </w:p>
                    <w:p w:rsidR="002429C5" w:rsidRDefault="002429C5" w:rsidP="006C1B57">
                      <w:r>
                        <w:t>The lead auditor is responsible for the preparation, implementation and follow-up of the supervision and is the Agency’s contact person for the undertaking. The lead auditor leads the individual supervision visit and decides on the composition of the supervision team to guarantee the necessary competencies in the team. The lead auditor administers and reviews the necessary documentation and ensures that the objective of the supervision is achieved.</w:t>
                      </w:r>
                    </w:p>
                    <w:p w:rsidR="002429C5" w:rsidRPr="00107E7A" w:rsidRDefault="002429C5" w:rsidP="006C1B57">
                      <w:r>
                        <w:rPr>
                          <w:b/>
                          <w:i/>
                        </w:rPr>
                        <w:t>Assistant auditor</w:t>
                      </w:r>
                    </w:p>
                    <w:p w:rsidR="002429C5" w:rsidRPr="00107E7A" w:rsidRDefault="002429C5" w:rsidP="006C1B57">
                      <w:r>
                        <w:t>It is the assistant auditor’s role to assist the lead auditor in all aspects of supervision. The assistant auditor helps administer and review documentation and assists with notes and supplementary questions.</w:t>
                      </w:r>
                    </w:p>
                  </w:txbxContent>
                </v:textbox>
                <w10:wrap type="topAndBottom"/>
              </v:rect>
            </w:pict>
          </mc:Fallback>
        </mc:AlternateContent>
      </w:r>
      <w:r w:rsidRPr="002429C5">
        <w:t xml:space="preserve">The Agency requires employees who are involved in supervisory activities to have been trained to perform the task. Employees' competencies are assessed </w:t>
      </w:r>
      <w:r w:rsidRPr="002429C5">
        <w:lastRenderedPageBreak/>
        <w:t>annually.</w:t>
      </w:r>
    </w:p>
    <w:p w:rsidR="00CE0128" w:rsidRPr="002429C5" w:rsidRDefault="00CE0128" w:rsidP="00CE0128">
      <w:pPr>
        <w:spacing w:before="120" w:after="120"/>
      </w:pPr>
      <w:r w:rsidRPr="002429C5">
        <w:t>Thus, employees who perform the role of Lead Auditor shall have in-depth knowledge of and experience with management systems and have passed the examination in approved training as a Certified Lead Auditor.</w:t>
      </w:r>
    </w:p>
    <w:p w:rsidR="00CE0128" w:rsidRPr="002429C5" w:rsidRDefault="00CE0128" w:rsidP="00CE0128">
      <w:pPr>
        <w:spacing w:before="120" w:after="120"/>
      </w:pPr>
      <w:r w:rsidRPr="002429C5">
        <w:t>The Agency has also prepared a competence profile designed to ensure that lead auditors have sufficient knowledge of the railways as well as legal knowledge within:</w:t>
      </w:r>
    </w:p>
    <w:p w:rsidR="00CE0128" w:rsidRPr="002429C5" w:rsidRDefault="00CE0128" w:rsidP="00CE0128">
      <w:pPr>
        <w:pStyle w:val="ListParagraph"/>
        <w:numPr>
          <w:ilvl w:val="0"/>
          <w:numId w:val="7"/>
        </w:numPr>
        <w:spacing w:before="120" w:after="120" w:line="240" w:lineRule="auto"/>
        <w:rPr>
          <w:sz w:val="18"/>
        </w:rPr>
      </w:pPr>
      <w:r w:rsidRPr="002429C5">
        <w:rPr>
          <w:sz w:val="18"/>
        </w:rPr>
        <w:t>movement on and by the railways</w:t>
      </w:r>
    </w:p>
    <w:p w:rsidR="00CE0128" w:rsidRPr="002429C5" w:rsidRDefault="00CE0128" w:rsidP="00CE0128">
      <w:pPr>
        <w:pStyle w:val="ListParagraph"/>
        <w:numPr>
          <w:ilvl w:val="0"/>
          <w:numId w:val="7"/>
        </w:numPr>
        <w:spacing w:before="120" w:after="120" w:line="240" w:lineRule="auto"/>
        <w:rPr>
          <w:sz w:val="18"/>
        </w:rPr>
      </w:pPr>
      <w:r w:rsidRPr="002429C5">
        <w:rPr>
          <w:sz w:val="18"/>
        </w:rPr>
        <w:t>standards and safety regulations</w:t>
      </w:r>
    </w:p>
    <w:p w:rsidR="00CE0128" w:rsidRPr="002429C5" w:rsidRDefault="00CE0128" w:rsidP="00CE0128">
      <w:pPr>
        <w:pStyle w:val="ListParagraph"/>
        <w:numPr>
          <w:ilvl w:val="0"/>
          <w:numId w:val="7"/>
        </w:numPr>
        <w:spacing w:before="120" w:after="120" w:line="240" w:lineRule="auto"/>
        <w:rPr>
          <w:sz w:val="18"/>
        </w:rPr>
      </w:pPr>
      <w:r w:rsidRPr="002429C5">
        <w:rPr>
          <w:sz w:val="18"/>
        </w:rPr>
        <w:t>basic infrastructure knowledge</w:t>
      </w:r>
    </w:p>
    <w:p w:rsidR="00CE0128" w:rsidRPr="002429C5" w:rsidRDefault="00CE0128" w:rsidP="00CE0128">
      <w:pPr>
        <w:pStyle w:val="ListParagraph"/>
        <w:numPr>
          <w:ilvl w:val="0"/>
          <w:numId w:val="7"/>
        </w:numPr>
        <w:spacing w:before="120" w:after="120" w:line="240" w:lineRule="auto"/>
        <w:rPr>
          <w:sz w:val="18"/>
        </w:rPr>
      </w:pPr>
      <w:r w:rsidRPr="002429C5">
        <w:rPr>
          <w:sz w:val="18"/>
        </w:rPr>
        <w:t>risk assessment</w:t>
      </w:r>
    </w:p>
    <w:p w:rsidR="00CE0128" w:rsidRPr="002429C5" w:rsidRDefault="00CE0128" w:rsidP="00CE0128">
      <w:pPr>
        <w:pStyle w:val="ListParagraph"/>
        <w:numPr>
          <w:ilvl w:val="0"/>
          <w:numId w:val="7"/>
        </w:numPr>
        <w:spacing w:before="120" w:after="120" w:line="240" w:lineRule="auto"/>
        <w:rPr>
          <w:sz w:val="18"/>
        </w:rPr>
      </w:pPr>
      <w:r w:rsidRPr="002429C5">
        <w:rPr>
          <w:sz w:val="18"/>
        </w:rPr>
        <w:t>administrative law and legislation</w:t>
      </w:r>
    </w:p>
    <w:p w:rsidR="00443D95" w:rsidRPr="002429C5" w:rsidRDefault="00443D95" w:rsidP="00443D95">
      <w:pPr>
        <w:spacing w:before="120" w:after="120"/>
      </w:pPr>
    </w:p>
    <w:p w:rsidR="00CE0128" w:rsidRPr="002429C5" w:rsidRDefault="00CE0128" w:rsidP="00FA5788">
      <w:pPr>
        <w:keepNext/>
        <w:spacing w:before="120" w:after="120"/>
        <w:rPr>
          <w:b/>
        </w:rPr>
      </w:pPr>
      <w:r w:rsidRPr="002429C5">
        <w:rPr>
          <w:b/>
        </w:rPr>
        <w:t>Decision on the issue of safety certificates and safety approvals</w:t>
      </w:r>
    </w:p>
    <w:p w:rsidR="00B824CC" w:rsidRPr="002429C5" w:rsidRDefault="00CE0128" w:rsidP="0021647E">
      <w:pPr>
        <w:spacing w:before="120" w:after="120"/>
      </w:pPr>
      <w:r w:rsidRPr="002429C5">
        <w:t>Decisions on the new issue, renewal or amendment of a safety certificate or safety approval are taken by an internal certification committee based on a recommendation drawn up by the lead auditor.</w:t>
      </w:r>
    </w:p>
    <w:p w:rsidR="00B824CC" w:rsidRPr="002429C5" w:rsidRDefault="00CE0128" w:rsidP="0021647E">
      <w:pPr>
        <w:spacing w:before="120" w:after="120"/>
      </w:pPr>
      <w:r w:rsidRPr="002429C5">
        <w:t>In the recommendation the lead auditor must document that the audit has with sufficient certainty established consistency between all the requirements placed on a safety management system and the undertaking's system.</w:t>
      </w:r>
    </w:p>
    <w:p w:rsidR="00B824CC" w:rsidRPr="002429C5" w:rsidRDefault="00CE0128" w:rsidP="0021647E">
      <w:pPr>
        <w:spacing w:before="120" w:after="120"/>
      </w:pPr>
      <w:r w:rsidRPr="002429C5">
        <w:t>The certification committee is constituted on an ad hoc basis and consists of the head of unit responsible for supervision and at least one supervisory employee who did not participate in the supervision team during the relevant certification supervision.</w:t>
      </w:r>
    </w:p>
    <w:p w:rsidR="00B824CC" w:rsidRPr="002429C5" w:rsidRDefault="00CE0128" w:rsidP="0021647E">
      <w:pPr>
        <w:pStyle w:val="Default"/>
        <w:spacing w:after="120"/>
        <w:rPr>
          <w:rFonts w:cs="Times New Roman"/>
          <w:color w:val="auto"/>
          <w:sz w:val="18"/>
          <w:szCs w:val="18"/>
        </w:rPr>
      </w:pPr>
      <w:r w:rsidRPr="002429C5">
        <w:rPr>
          <w:color w:val="auto"/>
          <w:sz w:val="18"/>
        </w:rPr>
        <w:t>Based on the certification committee's review of the documentation submitted and any clarification meeting, the certification committee makes a decision on whether the proposal can be accepted and whether to attach special conditions to the approval.</w:t>
      </w:r>
    </w:p>
    <w:p w:rsidR="00CE0128" w:rsidRPr="002429C5" w:rsidRDefault="00CE0128" w:rsidP="00CE0128">
      <w:pPr>
        <w:spacing w:before="120" w:after="120"/>
      </w:pPr>
      <w:r w:rsidRPr="002429C5">
        <w:t>The certification committee thus ensures quality and consistency in the proceedings and decisions.</w:t>
      </w:r>
    </w:p>
    <w:p w:rsidR="00531602" w:rsidRPr="002429C5" w:rsidRDefault="00531602" w:rsidP="006C1B57">
      <w:pPr>
        <w:pStyle w:val="Heading2"/>
      </w:pPr>
      <w:bookmarkStart w:id="25" w:name="_Toc441733532"/>
      <w:r w:rsidRPr="002429C5">
        <w:lastRenderedPageBreak/>
        <w:t>Cooperation with other countries' authorities in relation to supervisory activities</w:t>
      </w:r>
      <w:bookmarkEnd w:id="25"/>
    </w:p>
    <w:p w:rsidR="00531602" w:rsidRPr="002429C5" w:rsidRDefault="00531602" w:rsidP="00531602">
      <w:pPr>
        <w:spacing w:before="120" w:after="120"/>
      </w:pPr>
      <w:r w:rsidRPr="002429C5">
        <w:t>Denmark has not signed formal written agreements with national safety authorities in other countries in relation to supervisory activities in the rail sector, but exchanges experiences with the authorities in Sweden and Norway, as well as mutual information being provided in connection with any problems with common operators.</w:t>
      </w:r>
    </w:p>
    <w:p w:rsidR="00531602" w:rsidRPr="002429C5" w:rsidRDefault="00531602" w:rsidP="00531602">
      <w:pPr>
        <w:spacing w:before="120" w:after="120"/>
      </w:pPr>
      <w:r w:rsidRPr="002429C5">
        <w:t>Denmark also participated annually in meetings with the authorities in Sweden and Norway. The purpose of these meetings is to exchange information on current issues relating, for example, to rail operators, new legislation as well as to achieve a common understanding and interpretation of EU legislation.</w:t>
      </w:r>
    </w:p>
    <w:p w:rsidR="00B824CC" w:rsidRPr="002429C5" w:rsidRDefault="00531602" w:rsidP="00531602">
      <w:pPr>
        <w:spacing w:after="0"/>
      </w:pPr>
      <w:r w:rsidRPr="002429C5">
        <w:t>The topics discussed at the meeting in 2014 were the issue of certificates to undertakings that do not have railway undertaking as their main activity, as well as how changes to safety approvals and safety certificates are handled in the three countries.</w:t>
      </w:r>
    </w:p>
    <w:p w:rsidR="00B824CC" w:rsidRPr="002429C5" w:rsidRDefault="00531602" w:rsidP="00083221">
      <w:pPr>
        <w:spacing w:before="120" w:after="120"/>
      </w:pPr>
      <w:r w:rsidRPr="002429C5">
        <w:t>Furthermore, it was agreed that the countries should inform each other on an ongoing basis about supervisory activities at undertakings that operate across national borders.</w:t>
      </w:r>
    </w:p>
    <w:p w:rsidR="003852C8" w:rsidRPr="002429C5" w:rsidRDefault="003852C8" w:rsidP="00332903">
      <w:pPr>
        <w:pStyle w:val="Heading2"/>
      </w:pPr>
      <w:bookmarkStart w:id="26" w:name="_Toc441733533"/>
      <w:r w:rsidRPr="002429C5">
        <w:t>Other results from the supervision</w:t>
      </w:r>
      <w:bookmarkEnd w:id="26"/>
    </w:p>
    <w:p w:rsidR="003852C8" w:rsidRPr="002429C5" w:rsidRDefault="003852C8" w:rsidP="003852C8">
      <w:pPr>
        <w:spacing w:before="120" w:after="120"/>
      </w:pPr>
      <w:r w:rsidRPr="002429C5">
        <w:t>In general, the Agency feels that the undertakings are good at the 'old railway virtues'. This involves, for example, training drivers, documenting safety rules, traffic management, recording incidents, as well as using the right skills for maintenance.</w:t>
      </w:r>
    </w:p>
    <w:p w:rsidR="003852C8" w:rsidRPr="002429C5" w:rsidRDefault="005D1ECD" w:rsidP="003852C8">
      <w:pPr>
        <w:spacing w:before="120" w:after="120"/>
      </w:pPr>
      <w:r w:rsidRPr="002429C5">
        <w:t>The Agency also believes that the undertakings continue to face challenges with the systemic requirements relating to rail safety. This relates to:</w:t>
      </w:r>
    </w:p>
    <w:p w:rsidR="003852C8" w:rsidRPr="002429C5" w:rsidRDefault="003852C8" w:rsidP="003852C8">
      <w:pPr>
        <w:pStyle w:val="ListParagraph"/>
        <w:numPr>
          <w:ilvl w:val="0"/>
          <w:numId w:val="31"/>
        </w:numPr>
        <w:spacing w:before="120" w:after="120" w:line="240" w:lineRule="auto"/>
        <w:rPr>
          <w:sz w:val="18"/>
        </w:rPr>
      </w:pPr>
      <w:r w:rsidRPr="002429C5">
        <w:rPr>
          <w:sz w:val="18"/>
        </w:rPr>
        <w:t>Building up a risk profile, and using that risk profile as a starting point and focal point for the safety management system</w:t>
      </w:r>
    </w:p>
    <w:p w:rsidR="003852C8" w:rsidRPr="002429C5" w:rsidRDefault="003852C8" w:rsidP="003852C8">
      <w:pPr>
        <w:pStyle w:val="ListParagraph"/>
        <w:numPr>
          <w:ilvl w:val="0"/>
          <w:numId w:val="31"/>
        </w:numPr>
        <w:spacing w:before="120" w:after="120" w:line="240" w:lineRule="auto"/>
        <w:rPr>
          <w:sz w:val="18"/>
        </w:rPr>
      </w:pPr>
      <w:r w:rsidRPr="002429C5">
        <w:rPr>
          <w:sz w:val="18"/>
        </w:rPr>
        <w:lastRenderedPageBreak/>
        <w:t>Documenting the safety management system at an appropriate level in such a way that it is used naturally in the undertaking</w:t>
      </w:r>
    </w:p>
    <w:p w:rsidR="003852C8" w:rsidRPr="002429C5" w:rsidRDefault="003852C8" w:rsidP="003852C8">
      <w:pPr>
        <w:pStyle w:val="ListParagraph"/>
        <w:numPr>
          <w:ilvl w:val="0"/>
          <w:numId w:val="31"/>
        </w:numPr>
        <w:spacing w:before="120" w:after="120" w:line="240" w:lineRule="auto"/>
        <w:rPr>
          <w:sz w:val="18"/>
        </w:rPr>
      </w:pPr>
      <w:r w:rsidRPr="002429C5">
        <w:rPr>
          <w:sz w:val="18"/>
        </w:rPr>
        <w:t>Documenting requirements placed on the functions that perform safety-related tasks, and documenting that these requirements have been met</w:t>
      </w:r>
    </w:p>
    <w:p w:rsidR="003852C8" w:rsidRPr="002429C5" w:rsidRDefault="003852C8" w:rsidP="003852C8">
      <w:pPr>
        <w:pStyle w:val="ListParagraph"/>
        <w:numPr>
          <w:ilvl w:val="0"/>
          <w:numId w:val="31"/>
        </w:numPr>
        <w:spacing w:before="120" w:after="120" w:line="240" w:lineRule="auto"/>
        <w:rPr>
          <w:sz w:val="18"/>
        </w:rPr>
      </w:pPr>
      <w:r w:rsidRPr="002429C5">
        <w:rPr>
          <w:sz w:val="18"/>
        </w:rPr>
        <w:t>Internal audits</w:t>
      </w:r>
    </w:p>
    <w:p w:rsidR="003852C8" w:rsidRPr="002429C5" w:rsidRDefault="003852C8" w:rsidP="003852C8">
      <w:pPr>
        <w:pStyle w:val="ListParagraph"/>
        <w:numPr>
          <w:ilvl w:val="0"/>
          <w:numId w:val="31"/>
        </w:numPr>
        <w:spacing w:before="120" w:after="120" w:line="240" w:lineRule="auto"/>
        <w:rPr>
          <w:sz w:val="18"/>
        </w:rPr>
      </w:pPr>
      <w:r w:rsidRPr="002429C5">
        <w:rPr>
          <w:sz w:val="18"/>
        </w:rPr>
        <w:t>Root cause analysis of safety conditions and establishment of corrective actions</w:t>
      </w:r>
    </w:p>
    <w:p w:rsidR="003852C8" w:rsidRPr="002429C5" w:rsidRDefault="003852C8" w:rsidP="003852C8">
      <w:pPr>
        <w:pStyle w:val="ListParagraph"/>
        <w:numPr>
          <w:ilvl w:val="0"/>
          <w:numId w:val="31"/>
        </w:numPr>
        <w:spacing w:before="120" w:after="120" w:line="240" w:lineRule="auto"/>
        <w:rPr>
          <w:sz w:val="18"/>
        </w:rPr>
      </w:pPr>
      <w:r w:rsidRPr="002429C5">
        <w:rPr>
          <w:sz w:val="18"/>
        </w:rPr>
        <w:t>Use of trend analyses</w:t>
      </w:r>
    </w:p>
    <w:p w:rsidR="003852C8" w:rsidRPr="002429C5" w:rsidRDefault="003852C8" w:rsidP="003852C8">
      <w:pPr>
        <w:pStyle w:val="ListParagraph"/>
        <w:numPr>
          <w:ilvl w:val="0"/>
          <w:numId w:val="31"/>
        </w:numPr>
        <w:spacing w:before="120" w:after="120" w:line="240" w:lineRule="auto"/>
        <w:rPr>
          <w:sz w:val="18"/>
        </w:rPr>
      </w:pPr>
      <w:r w:rsidRPr="002429C5">
        <w:rPr>
          <w:sz w:val="18"/>
        </w:rPr>
        <w:t>Implementation of new and amended legislation</w:t>
      </w:r>
    </w:p>
    <w:p w:rsidR="003852C8" w:rsidRPr="002429C5" w:rsidRDefault="003852C8" w:rsidP="004A5FF0">
      <w:pPr>
        <w:pStyle w:val="ListParagraph"/>
        <w:numPr>
          <w:ilvl w:val="0"/>
          <w:numId w:val="31"/>
        </w:numPr>
        <w:spacing w:before="120" w:after="120" w:line="240" w:lineRule="auto"/>
        <w:rPr>
          <w:sz w:val="18"/>
        </w:rPr>
      </w:pPr>
      <w:r w:rsidRPr="002429C5">
        <w:rPr>
          <w:sz w:val="18"/>
        </w:rPr>
        <w:t>Implementation of change management in relation to CSM-RA (Regulation on the Common Safety Method for Risk Analysis)</w:t>
      </w:r>
    </w:p>
    <w:p w:rsidR="003852C8" w:rsidRPr="002429C5" w:rsidRDefault="003852C8" w:rsidP="003852C8">
      <w:pPr>
        <w:pStyle w:val="ListParagraph"/>
        <w:numPr>
          <w:ilvl w:val="0"/>
          <w:numId w:val="31"/>
        </w:numPr>
        <w:spacing w:before="120" w:after="120" w:line="240" w:lineRule="auto"/>
        <w:rPr>
          <w:sz w:val="18"/>
        </w:rPr>
      </w:pPr>
      <w:r w:rsidRPr="002429C5">
        <w:rPr>
          <w:sz w:val="18"/>
        </w:rPr>
        <w:t>Contract management</w:t>
      </w:r>
    </w:p>
    <w:p w:rsidR="003852C8" w:rsidRPr="002429C5" w:rsidRDefault="003852C8" w:rsidP="003852C8">
      <w:pPr>
        <w:spacing w:before="120" w:after="120"/>
      </w:pPr>
      <w:r w:rsidRPr="002429C5">
        <w:t>In individual undertakings, safety is still largely the remit of individuals with a high degree of competence and considerable experience, with no support from a functioning safety management system.</w:t>
      </w:r>
    </w:p>
    <w:p w:rsidR="008C2CBC" w:rsidRPr="002429C5" w:rsidRDefault="003852C8" w:rsidP="003852C8">
      <w:pPr>
        <w:spacing w:before="120" w:after="120"/>
      </w:pPr>
      <w:r w:rsidRPr="002429C5">
        <w:t>However, it is the Agency's assessment that in recent years a number of undertakings have gained a greater understanding of safety management systems as well as their purpose and use.</w:t>
      </w:r>
    </w:p>
    <w:p w:rsidR="003852C8" w:rsidRPr="002429C5" w:rsidRDefault="008C2CBC" w:rsidP="003852C8">
      <w:pPr>
        <w:spacing w:before="120" w:after="120"/>
      </w:pPr>
      <w:r w:rsidRPr="002429C5">
        <w:t xml:space="preserve">Previously undertakings had problems establishing a clear risk profile, which is absolutely central to a safety management system. But given that several undertakings are in the process of making major changes and improvements to their safety management systems, there are </w:t>
      </w:r>
      <w:r w:rsidRPr="002429C5">
        <w:lastRenderedPageBreak/>
        <w:t>indications that the restructuring of supervision and the increased focus on undertakings' management of their own risks from 2013 has worked.</w:t>
      </w:r>
    </w:p>
    <w:p w:rsidR="00B824CC" w:rsidRPr="002429C5" w:rsidRDefault="003852C8" w:rsidP="003852C8">
      <w:pPr>
        <w:spacing w:before="120" w:after="120"/>
      </w:pPr>
      <w:r w:rsidRPr="002429C5">
        <w:t>It is also the Agency's assessment that in several undertakings the management has also placed more focus on safety management and its importance to safe rail operations.</w:t>
      </w:r>
    </w:p>
    <w:p w:rsidR="00053C40" w:rsidRPr="002429C5" w:rsidRDefault="00357A6B" w:rsidP="00445A0D">
      <w:pPr>
        <w:spacing w:before="120" w:after="120"/>
      </w:pPr>
      <w:r w:rsidRPr="002429C5">
        <w:t>This development cannot yet be traced in the maturity figures (see p. 32). The hope is that the development will be able to be seen in the figures in 2015 and onwards.</w:t>
      </w:r>
    </w:p>
    <w:p w:rsidR="003852C8" w:rsidRPr="002429C5" w:rsidRDefault="003852C8" w:rsidP="00332903">
      <w:pPr>
        <w:pStyle w:val="Heading2"/>
      </w:pPr>
      <w:bookmarkStart w:id="27" w:name="_Toc441733534"/>
      <w:r w:rsidRPr="002429C5">
        <w:t>Corrective actions implemented by the undertakings</w:t>
      </w:r>
      <w:bookmarkEnd w:id="27"/>
    </w:p>
    <w:p w:rsidR="003852C8" w:rsidRPr="002429C5" w:rsidRDefault="003852C8" w:rsidP="003852C8">
      <w:pPr>
        <w:spacing w:before="120" w:after="120"/>
      </w:pPr>
      <w:r w:rsidRPr="002429C5">
        <w:t>Generally, undertakings have become better at following up non-conformities, and several manage these in the same systems as their own non-conformities in relation to internal audits and/or incident management.</w:t>
      </w:r>
    </w:p>
    <w:p w:rsidR="003852C8" w:rsidRPr="002429C5" w:rsidRDefault="003852C8" w:rsidP="003852C8">
      <w:pPr>
        <w:spacing w:before="120" w:after="120"/>
      </w:pPr>
      <w:r w:rsidRPr="002429C5">
        <w:t>Another common feature is that undertakings establish corrective actions to resolve non-conformities, but that the corrective actions are not sufficiently based on a thorough root cause analysis of the problem. This can lead merely to the symptoms being rectified and not the underlying causes of the problems.</w:t>
      </w:r>
    </w:p>
    <w:p w:rsidR="00B824CC" w:rsidRPr="002429C5" w:rsidRDefault="00E741B0" w:rsidP="003852C8">
      <w:pPr>
        <w:spacing w:before="120" w:after="120"/>
      </w:pPr>
      <w:r w:rsidRPr="002429C5">
        <w:t>This situation has therefore been a theme in the dialogue with the undertakings, which has meant that more undertakings are currently implementing concrete methods for root cause analysis.</w:t>
      </w:r>
    </w:p>
    <w:p w:rsidR="003852C8" w:rsidRPr="002429C5" w:rsidRDefault="003852C8" w:rsidP="003852C8">
      <w:pPr>
        <w:spacing w:before="120" w:after="120"/>
        <w:sectPr w:rsidR="003852C8" w:rsidRPr="002429C5" w:rsidSect="00356DD7">
          <w:type w:val="continuous"/>
          <w:pgSz w:w="11906" w:h="16838" w:code="9"/>
          <w:pgMar w:top="1985" w:right="1985" w:bottom="1418" w:left="1985" w:header="709" w:footer="709" w:gutter="0"/>
          <w:cols w:num="2" w:space="709"/>
          <w:titlePg/>
          <w:docGrid w:linePitch="360"/>
        </w:sectPr>
      </w:pPr>
    </w:p>
    <w:p w:rsidR="003E2BB3" w:rsidRPr="002429C5" w:rsidRDefault="0022349E" w:rsidP="00040FFC">
      <w:pPr>
        <w:pStyle w:val="Heading1"/>
      </w:pPr>
      <w:r w:rsidRPr="002429C5">
        <w:lastRenderedPageBreak/>
        <w:br w:type="page"/>
      </w:r>
      <w:bookmarkStart w:id="28" w:name="_Toc441733535"/>
      <w:r w:rsidRPr="002429C5">
        <w:lastRenderedPageBreak/>
        <w:t>Chapter 4. Theme: Supervision of special areas</w:t>
      </w:r>
      <w:bookmarkEnd w:id="28"/>
    </w:p>
    <w:p w:rsidR="00D54F01" w:rsidRPr="002429C5" w:rsidRDefault="002F2DF8" w:rsidP="00E16E53">
      <w:pPr>
        <w:rPr>
          <w:sz w:val="24"/>
        </w:rPr>
        <w:sectPr w:rsidR="00D54F01" w:rsidRPr="002429C5" w:rsidSect="00356DD7">
          <w:type w:val="continuous"/>
          <w:pgSz w:w="11906" w:h="16838" w:code="9"/>
          <w:pgMar w:top="1985" w:right="1985" w:bottom="1418" w:left="1985" w:header="709" w:footer="709" w:gutter="0"/>
          <w:cols w:space="709"/>
          <w:titlePg/>
          <w:docGrid w:linePitch="360"/>
        </w:sectPr>
      </w:pPr>
      <w:r w:rsidRPr="002429C5">
        <w:rPr>
          <w:sz w:val="24"/>
        </w:rPr>
        <w:t>In 2014, the supervision was carried out on four special focus areas, which were selected on the basis of, inter alia, experiences from previous supervisions. These areas are competence management, contract management, presence in drivers' cabs and the management of changes in infrastructure. Common to all four is that the supervision has shown that the undertakings continue to face problems and challenges in these areas.</w:t>
      </w:r>
    </w:p>
    <w:p w:rsidR="00B824CC" w:rsidRPr="002429C5" w:rsidRDefault="00A1667C" w:rsidP="004C4F40">
      <w:r w:rsidRPr="002429C5">
        <w:lastRenderedPageBreak/>
        <w:t>Each year, the Agency selects interdisciplinary focus topics that will be supervised at all undertakings during the year. The focus areas are selected on the basis of the annual risk analysis, experiences from approval processes, general developments and trends in the industry and experiences from supervision during which the Agency finds that undertakings are having problems in these particular areas.</w:t>
      </w:r>
    </w:p>
    <w:p w:rsidR="00D54F01" w:rsidRPr="002429C5" w:rsidRDefault="00B16E65" w:rsidP="00D54F01">
      <w:pPr>
        <w:pStyle w:val="Heading2"/>
        <w:rPr>
          <w:sz w:val="18"/>
          <w:szCs w:val="18"/>
        </w:rPr>
      </w:pPr>
      <w:bookmarkStart w:id="29" w:name="_Toc441733536"/>
      <w:r w:rsidRPr="002429C5">
        <w:rPr>
          <w:sz w:val="20"/>
        </w:rPr>
        <w:t>Competence management</w:t>
      </w:r>
      <w:bookmarkEnd w:id="29"/>
    </w:p>
    <w:p w:rsidR="000B5E72" w:rsidRPr="002429C5" w:rsidRDefault="000B5E72" w:rsidP="000B5E72">
      <w:pPr>
        <w:spacing w:before="120" w:after="120"/>
      </w:pPr>
      <w:r w:rsidRPr="002429C5">
        <w:t>In previous years' supervision the Agency has found that the undertakings have different approaches to defining and documenting the competence requirements to be placed on the safety functions as well as to ensuring that these requirements are met. The Agency therefore wanted to supervise the undertakings' competence management practices, with a view subsequently to utilising this for the mutual learning of the undertakings and the Agency.</w:t>
      </w:r>
    </w:p>
    <w:p w:rsidR="00D54F01" w:rsidRPr="002429C5" w:rsidRDefault="00D54F01" w:rsidP="00D54F01">
      <w:pPr>
        <w:rPr>
          <w:spacing w:val="2"/>
        </w:rPr>
      </w:pPr>
      <w:r w:rsidRPr="002429C5">
        <w:t>The concept of 'competence' can be divided into three facets that together make up a person's ability to perform actions/tasks within a specific area:</w:t>
      </w:r>
    </w:p>
    <w:p w:rsidR="00D54F01" w:rsidRPr="002429C5" w:rsidRDefault="00D54F01" w:rsidP="00E55DA4">
      <w:r w:rsidRPr="002429C5">
        <w:rPr>
          <w:b/>
          <w:i/>
        </w:rPr>
        <w:t>Knowledge</w:t>
      </w:r>
      <w:r w:rsidRPr="002429C5">
        <w:t xml:space="preserve"> (qualifications): consists of theoretical and contextual knowledge within specific disciplines.</w:t>
      </w:r>
    </w:p>
    <w:p w:rsidR="00D54F01" w:rsidRPr="002429C5" w:rsidRDefault="00D54F01" w:rsidP="00E55DA4">
      <w:r w:rsidRPr="002429C5">
        <w:rPr>
          <w:b/>
          <w:i/>
        </w:rPr>
        <w:t>Experience</w:t>
      </w:r>
      <w:r w:rsidRPr="002429C5">
        <w:t xml:space="preserve"> (skills): consists of accumulated practical experience in applying the aforementioned knowledge in work.</w:t>
      </w:r>
    </w:p>
    <w:p w:rsidR="00B824CC" w:rsidRPr="002429C5" w:rsidRDefault="00D54F01" w:rsidP="00E55DA4">
      <w:r w:rsidRPr="002429C5">
        <w:rPr>
          <w:b/>
          <w:i/>
        </w:rPr>
        <w:lastRenderedPageBreak/>
        <w:t>Behaviour</w:t>
      </w:r>
      <w:r w:rsidRPr="002429C5">
        <w:t xml:space="preserve"> (attitudes): personal qualities that are crucial to how the knowledge and experience are applied to tasks.</w:t>
      </w:r>
    </w:p>
    <w:p w:rsidR="00D54F01" w:rsidRPr="002429C5" w:rsidRDefault="00D54F01" w:rsidP="00E55DA4">
      <w:pPr>
        <w:rPr>
          <w:spacing w:val="-2"/>
        </w:rPr>
      </w:pPr>
      <w:r w:rsidRPr="002429C5">
        <w:t xml:space="preserve">Supervision of the undertakings' competence management is based on the following elements, all of which are described </w:t>
      </w:r>
      <w:r w:rsidRPr="002429C5">
        <w:br/>
        <w:t xml:space="preserve">in the Agency's </w:t>
      </w:r>
      <w:hyperlink r:id="rId39">
        <w:r w:rsidRPr="002429C5">
          <w:rPr>
            <w:rStyle w:val="Hyperlink"/>
            <w:spacing w:val="-2"/>
          </w:rPr>
          <w:t>'</w:t>
        </w:r>
        <w:proofErr w:type="spellStart"/>
        <w:r w:rsidRPr="002429C5">
          <w:rPr>
            <w:rStyle w:val="Hyperlink"/>
            <w:spacing w:val="-2"/>
          </w:rPr>
          <w:t>Vejledning</w:t>
        </w:r>
        <w:proofErr w:type="spellEnd"/>
        <w:r w:rsidRPr="002429C5">
          <w:rPr>
            <w:rStyle w:val="Hyperlink"/>
            <w:spacing w:val="-2"/>
          </w:rPr>
          <w:t xml:space="preserve"> </w:t>
        </w:r>
        <w:proofErr w:type="spellStart"/>
        <w:r w:rsidRPr="002429C5">
          <w:rPr>
            <w:rStyle w:val="Hyperlink"/>
            <w:spacing w:val="-2"/>
          </w:rPr>
          <w:t>i</w:t>
        </w:r>
        <w:proofErr w:type="spellEnd"/>
        <w:r w:rsidRPr="002429C5">
          <w:rPr>
            <w:rStyle w:val="Hyperlink"/>
            <w:spacing w:val="-2"/>
          </w:rPr>
          <w:t xml:space="preserve"> </w:t>
        </w:r>
        <w:proofErr w:type="spellStart"/>
        <w:r w:rsidRPr="002429C5">
          <w:rPr>
            <w:rStyle w:val="Hyperlink"/>
            <w:spacing w:val="-2"/>
          </w:rPr>
          <w:t>Sikkerhedsledelse</w:t>
        </w:r>
        <w:proofErr w:type="spellEnd"/>
        <w:r w:rsidRPr="002429C5">
          <w:rPr>
            <w:rStyle w:val="Hyperlink"/>
            <w:spacing w:val="-2"/>
          </w:rPr>
          <w:t>' [Guide to Safety Management] (07.10.2013)</w:t>
        </w:r>
      </w:hyperlink>
      <w:r w:rsidRPr="002429C5">
        <w:t>:</w:t>
      </w:r>
    </w:p>
    <w:p w:rsidR="00D54F01" w:rsidRPr="002429C5" w:rsidRDefault="00D54F01" w:rsidP="00E55DA4">
      <w:pPr>
        <w:pStyle w:val="ListParagraph"/>
        <w:numPr>
          <w:ilvl w:val="0"/>
          <w:numId w:val="32"/>
        </w:numPr>
        <w:spacing w:line="240" w:lineRule="auto"/>
        <w:rPr>
          <w:spacing w:val="-2"/>
          <w:sz w:val="18"/>
        </w:rPr>
      </w:pPr>
      <w:r w:rsidRPr="002429C5">
        <w:rPr>
          <w:spacing w:val="-2"/>
          <w:sz w:val="18"/>
        </w:rPr>
        <w:t>That the undertaking has prepared functional descriptions (or equivalent) for roles and functions responsible for tasks related to railway safety.</w:t>
      </w:r>
    </w:p>
    <w:p w:rsidR="00D54F01" w:rsidRPr="002429C5" w:rsidRDefault="00D54F01" w:rsidP="00E55DA4">
      <w:pPr>
        <w:pStyle w:val="ListParagraph"/>
        <w:numPr>
          <w:ilvl w:val="0"/>
          <w:numId w:val="32"/>
        </w:numPr>
        <w:spacing w:line="240" w:lineRule="auto"/>
        <w:rPr>
          <w:sz w:val="18"/>
        </w:rPr>
      </w:pPr>
      <w:r w:rsidRPr="002429C5">
        <w:rPr>
          <w:sz w:val="18"/>
        </w:rPr>
        <w:t>That the functional descriptions contain responsibilities, powers and the competences required to perform the function.</w:t>
      </w:r>
    </w:p>
    <w:p w:rsidR="00D54F01" w:rsidRPr="002429C5" w:rsidRDefault="00D54F01" w:rsidP="00E55DA4">
      <w:pPr>
        <w:pStyle w:val="ListParagraph"/>
        <w:numPr>
          <w:ilvl w:val="0"/>
          <w:numId w:val="32"/>
        </w:numPr>
        <w:spacing w:line="240" w:lineRule="auto"/>
        <w:rPr>
          <w:spacing w:val="2"/>
          <w:sz w:val="18"/>
        </w:rPr>
      </w:pPr>
      <w:r w:rsidRPr="002429C5">
        <w:rPr>
          <w:spacing w:val="2"/>
          <w:sz w:val="18"/>
        </w:rPr>
        <w:t>That the competence level of employees who perform the functions in question is assessed, and that an in-service training plan is implemented if a lack of competences is identified.</w:t>
      </w:r>
    </w:p>
    <w:p w:rsidR="00D54F01" w:rsidRPr="002429C5" w:rsidRDefault="00D54F01" w:rsidP="00E55DA4">
      <w:pPr>
        <w:pStyle w:val="ListParagraph"/>
        <w:numPr>
          <w:ilvl w:val="0"/>
          <w:numId w:val="32"/>
        </w:numPr>
        <w:spacing w:line="240" w:lineRule="auto"/>
        <w:rPr>
          <w:sz w:val="18"/>
        </w:rPr>
      </w:pPr>
      <w:r w:rsidRPr="002429C5">
        <w:rPr>
          <w:sz w:val="18"/>
        </w:rPr>
        <w:t>That the undertakings continually follow up on whether there are sufficient competences in place for the required tasks.</w:t>
      </w:r>
    </w:p>
    <w:p w:rsidR="00D54F01" w:rsidRPr="002429C5" w:rsidRDefault="005D1ECD" w:rsidP="00E55DA4">
      <w:r w:rsidRPr="002429C5">
        <w:t>In 2014 the Agency supervised 'competence management' as a focus area in all 14 undertakings visited.</w:t>
      </w:r>
    </w:p>
    <w:p w:rsidR="00D54F01" w:rsidRPr="002429C5" w:rsidRDefault="00D54F01" w:rsidP="00D54F01">
      <w:r w:rsidRPr="002429C5">
        <w:t xml:space="preserve">All the undertakings visited have produced functional descriptions (or equivalent) for roles and functions within and related to safety organisation. At some undertakings, </w:t>
      </w:r>
      <w:r w:rsidRPr="002429C5">
        <w:lastRenderedPageBreak/>
        <w:t>one or more functional descriptions were found to be missing.</w:t>
      </w:r>
    </w:p>
    <w:p w:rsidR="00D54F01" w:rsidRPr="002429C5" w:rsidRDefault="00B16E65" w:rsidP="00D54F01">
      <w:r w:rsidRPr="002429C5">
        <w:t>In up to half the undertakings it was found that the required competences to carry out given roles for all functions with a safety-related content have not been identified or clarified.</w:t>
      </w:r>
    </w:p>
    <w:p w:rsidR="00B824CC" w:rsidRPr="002429C5" w:rsidRDefault="00C00DD3" w:rsidP="008F6EEE">
      <w:r w:rsidRPr="002429C5">
        <w:t>Several undertakings have based their functional descriptions on the competences of the person currently responsible for the function in question in safety organisation instead of the competences the function itself requires.</w:t>
      </w:r>
    </w:p>
    <w:p w:rsidR="00D54F01" w:rsidRPr="002429C5" w:rsidRDefault="00D54F01" w:rsidP="00E55DA4">
      <w:r w:rsidRPr="002429C5">
        <w:t>In connection with the supervision carried out, a small number of undertakings indicated that they are engaged in an audit of their competence management system, which affects one or more of the supervisory elements in question.</w:t>
      </w:r>
    </w:p>
    <w:p w:rsidR="00D54F01" w:rsidRPr="002429C5" w:rsidRDefault="00146A92" w:rsidP="00E55DA4">
      <w:r w:rsidRPr="002429C5">
        <w:t>Based on the supervision carried out it may be concluded that a number of undertakings are facing challenges:</w:t>
      </w:r>
    </w:p>
    <w:p w:rsidR="00D54F01" w:rsidRPr="002429C5" w:rsidRDefault="000A69EA" w:rsidP="00E55DA4">
      <w:pPr>
        <w:pStyle w:val="ListParagraph"/>
        <w:numPr>
          <w:ilvl w:val="0"/>
          <w:numId w:val="32"/>
        </w:numPr>
        <w:spacing w:line="240" w:lineRule="auto"/>
        <w:rPr>
          <w:spacing w:val="-2"/>
          <w:sz w:val="18"/>
        </w:rPr>
      </w:pPr>
      <w:r w:rsidRPr="002429C5">
        <w:rPr>
          <w:spacing w:val="-2"/>
          <w:sz w:val="18"/>
        </w:rPr>
        <w:t>Establishing relevant competence requirements for defined roles and functions in railway safety organisation and in relation to other tasks related to railway safety.</w:t>
      </w:r>
    </w:p>
    <w:p w:rsidR="00DD2D82" w:rsidRPr="002429C5" w:rsidRDefault="00D54F01" w:rsidP="00E55DA4">
      <w:pPr>
        <w:pStyle w:val="ListParagraph"/>
        <w:numPr>
          <w:ilvl w:val="0"/>
          <w:numId w:val="32"/>
        </w:numPr>
        <w:spacing w:line="240" w:lineRule="auto"/>
        <w:rPr>
          <w:spacing w:val="-2"/>
          <w:sz w:val="18"/>
        </w:rPr>
      </w:pPr>
      <w:r w:rsidRPr="002429C5">
        <w:rPr>
          <w:spacing w:val="-2"/>
          <w:sz w:val="18"/>
        </w:rPr>
        <w:t>Documenting how people's competences (knowledge, experience and behaviour) are assessed against the established competence requirements.</w:t>
      </w:r>
    </w:p>
    <w:p w:rsidR="00D54F01" w:rsidRPr="002429C5" w:rsidRDefault="00D54F01" w:rsidP="00E55DA4">
      <w:pPr>
        <w:pStyle w:val="ListParagraph"/>
        <w:numPr>
          <w:ilvl w:val="0"/>
          <w:numId w:val="32"/>
        </w:numPr>
        <w:spacing w:line="240" w:lineRule="auto"/>
        <w:rPr>
          <w:spacing w:val="-2"/>
          <w:sz w:val="16"/>
        </w:rPr>
      </w:pPr>
      <w:r w:rsidRPr="002429C5">
        <w:rPr>
          <w:spacing w:val="-2"/>
          <w:sz w:val="18"/>
        </w:rPr>
        <w:t>Documenting how it can be continually ensured that the right competences are acquired and remain in place in the undertaking.</w:t>
      </w:r>
    </w:p>
    <w:p w:rsidR="00375BCC" w:rsidRPr="002429C5" w:rsidRDefault="00375BCC" w:rsidP="00375BCC">
      <w:pPr>
        <w:rPr>
          <w:spacing w:val="-2"/>
        </w:rPr>
      </w:pPr>
      <w:r w:rsidRPr="002429C5">
        <w:t>These challenges will be followed up in 2015 in connection with the supervision of the undertakings.</w:t>
      </w:r>
    </w:p>
    <w:p w:rsidR="00D54F01" w:rsidRPr="002429C5" w:rsidRDefault="00340B6A" w:rsidP="00E55DA4">
      <w:pPr>
        <w:pStyle w:val="Heading2"/>
        <w:rPr>
          <w:sz w:val="20"/>
          <w:szCs w:val="20"/>
        </w:rPr>
      </w:pPr>
      <w:bookmarkStart w:id="30" w:name="_Toc441733537"/>
      <w:r w:rsidRPr="002429C5">
        <w:rPr>
          <w:sz w:val="20"/>
        </w:rPr>
        <w:t>Contract management</w:t>
      </w:r>
      <w:bookmarkEnd w:id="30"/>
    </w:p>
    <w:p w:rsidR="00D54F01" w:rsidRPr="002429C5" w:rsidRDefault="005D1ECD" w:rsidP="00E55DA4">
      <w:pPr>
        <w:rPr>
          <w:spacing w:val="-2"/>
        </w:rPr>
      </w:pPr>
      <w:r w:rsidRPr="002429C5">
        <w:t>In 2014 the Agency focused on the undertakings' contract management practices in order to get a comprehensive view of the undertakings' way of managing contracts, including requirement specifications and ensuring that suppliers meet the requirements.</w:t>
      </w:r>
    </w:p>
    <w:p w:rsidR="00B824CC" w:rsidRPr="002429C5" w:rsidRDefault="00AD5F15" w:rsidP="00AD5F15">
      <w:pPr>
        <w:spacing w:before="120" w:after="120"/>
      </w:pPr>
      <w:r w:rsidRPr="002429C5">
        <w:lastRenderedPageBreak/>
        <w:t>The reason for this is that the Agency feels that undertakings are today - more than previously - using subcontractors for many types of safety-related tasks, such as e.g. maintenance of components, rolling stock or infrastructure.</w:t>
      </w:r>
    </w:p>
    <w:p w:rsidR="00D54F01" w:rsidRPr="002429C5" w:rsidRDefault="00E77015" w:rsidP="00E55DA4">
      <w:pPr>
        <w:rPr>
          <w:spacing w:val="-2"/>
        </w:rPr>
      </w:pPr>
      <w:r w:rsidRPr="002429C5">
        <w:t>Supervision of undertakings' contracts took as its starting point the fact that the undertakings must have documentation that cooperation and the purchase of services with a safety-related content from a supplier are set down in a written agreement that defines the content of the services and the responsibility for them.</w:t>
      </w:r>
    </w:p>
    <w:p w:rsidR="00D54F01" w:rsidRPr="002429C5" w:rsidRDefault="009C2268" w:rsidP="00E55DA4">
      <w:pPr>
        <w:spacing w:before="120" w:after="120"/>
      </w:pPr>
      <w:r w:rsidRPr="002429C5">
        <w:t>The Agency does not have direct access to supervise such subcontractors. It is therefore the undertakings that must ensure that:</w:t>
      </w:r>
    </w:p>
    <w:p w:rsidR="0016039E" w:rsidRPr="002429C5" w:rsidRDefault="00D54F01" w:rsidP="00E55DA4">
      <w:pPr>
        <w:pStyle w:val="ListParagraph"/>
        <w:numPr>
          <w:ilvl w:val="0"/>
          <w:numId w:val="36"/>
        </w:numPr>
        <w:spacing w:before="120" w:after="120" w:line="240" w:lineRule="auto"/>
        <w:rPr>
          <w:sz w:val="18"/>
        </w:rPr>
      </w:pPr>
      <w:r w:rsidRPr="002429C5">
        <w:rPr>
          <w:sz w:val="18"/>
        </w:rPr>
        <w:t>contractors'/</w:t>
      </w:r>
    </w:p>
    <w:p w:rsidR="00D54F01" w:rsidRPr="002429C5" w:rsidRDefault="0016039E" w:rsidP="0016039E">
      <w:pPr>
        <w:pStyle w:val="ListParagraph"/>
        <w:spacing w:before="120" w:after="120" w:line="240" w:lineRule="auto"/>
        <w:ind w:left="360"/>
        <w:rPr>
          <w:sz w:val="18"/>
        </w:rPr>
      </w:pPr>
      <w:proofErr w:type="gramStart"/>
      <w:r w:rsidRPr="002429C5">
        <w:rPr>
          <w:sz w:val="18"/>
        </w:rPr>
        <w:t>subcontractors</w:t>
      </w:r>
      <w:proofErr w:type="gramEnd"/>
      <w:r w:rsidRPr="002429C5">
        <w:rPr>
          <w:sz w:val="18"/>
        </w:rPr>
        <w:t>' competences are verified by the purchasing undertaking</w:t>
      </w:r>
    </w:p>
    <w:p w:rsidR="00D54F01" w:rsidRPr="002429C5" w:rsidRDefault="00D54F01" w:rsidP="00E55DA4">
      <w:pPr>
        <w:pStyle w:val="ListParagraph"/>
        <w:numPr>
          <w:ilvl w:val="0"/>
          <w:numId w:val="36"/>
        </w:numPr>
        <w:spacing w:before="120" w:after="120" w:line="240" w:lineRule="auto"/>
        <w:rPr>
          <w:sz w:val="18"/>
        </w:rPr>
      </w:pPr>
      <w:r w:rsidRPr="002429C5">
        <w:rPr>
          <w:sz w:val="18"/>
        </w:rPr>
        <w:t>the results of the contracted services and products are verified/checked in order to ensure that the terms of the contract have been fulfilled</w:t>
      </w:r>
    </w:p>
    <w:p w:rsidR="00D54F01" w:rsidRPr="002429C5" w:rsidRDefault="00D54F01" w:rsidP="00E55DA4">
      <w:pPr>
        <w:pStyle w:val="ListParagraph"/>
        <w:numPr>
          <w:ilvl w:val="0"/>
          <w:numId w:val="36"/>
        </w:numPr>
        <w:spacing w:before="120" w:after="120" w:line="240" w:lineRule="auto"/>
        <w:rPr>
          <w:sz w:val="18"/>
        </w:rPr>
      </w:pPr>
      <w:r w:rsidRPr="002429C5">
        <w:rPr>
          <w:sz w:val="18"/>
        </w:rPr>
        <w:t>the division of responsibilities and tasks is clearly defined (clearly established, known and disseminated)</w:t>
      </w:r>
    </w:p>
    <w:p w:rsidR="00D54F01" w:rsidRPr="002429C5" w:rsidRDefault="00D54F01" w:rsidP="00E55DA4">
      <w:pPr>
        <w:pStyle w:val="ListParagraph"/>
        <w:numPr>
          <w:ilvl w:val="0"/>
          <w:numId w:val="36"/>
        </w:numPr>
        <w:spacing w:before="120" w:after="120" w:line="240" w:lineRule="auto"/>
        <w:rPr>
          <w:sz w:val="18"/>
        </w:rPr>
      </w:pPr>
      <w:r w:rsidRPr="002429C5">
        <w:rPr>
          <w:sz w:val="18"/>
        </w:rPr>
        <w:t>the traceability of documents and contracts is ensured</w:t>
      </w:r>
    </w:p>
    <w:p w:rsidR="00D54F01" w:rsidRPr="002429C5" w:rsidRDefault="00D54F01" w:rsidP="00E55DA4">
      <w:pPr>
        <w:pStyle w:val="ListParagraph"/>
        <w:numPr>
          <w:ilvl w:val="0"/>
          <w:numId w:val="36"/>
        </w:numPr>
        <w:spacing w:before="120" w:after="120" w:line="240" w:lineRule="auto"/>
        <w:rPr>
          <w:sz w:val="18"/>
        </w:rPr>
      </w:pPr>
      <w:r w:rsidRPr="002429C5">
        <w:rPr>
          <w:sz w:val="18"/>
        </w:rPr>
        <w:t>the safety tasks, including the exchange of safety-related information, is described with sufficient precision that it is possible to supervise whether they are delivered in compliance with the requirements placed on a safety management system.</w:t>
      </w:r>
    </w:p>
    <w:p w:rsidR="00D54F01" w:rsidRPr="002429C5" w:rsidRDefault="00E77015" w:rsidP="00D54F01">
      <w:r w:rsidRPr="002429C5">
        <w:t>This means that undertakings must decide which parts of a contract are to be handled by the supplier's management system and which parts are to be handled by the undertaking's safety management system.</w:t>
      </w:r>
    </w:p>
    <w:p w:rsidR="00B824CC" w:rsidRPr="002429C5" w:rsidRDefault="00E77015" w:rsidP="00D54F01">
      <w:r w:rsidRPr="002429C5">
        <w:t>Contracts should therefore include a clear definition of responsibilities, interfaces and the procedures to be carried out for supplier supervision.</w:t>
      </w:r>
    </w:p>
    <w:p w:rsidR="001D0F9C" w:rsidRPr="002429C5" w:rsidRDefault="00E77015" w:rsidP="00D54F01">
      <w:r w:rsidRPr="002429C5">
        <w:t xml:space="preserve">In 2014 the topic 'contract management' was supervised in a total </w:t>
      </w:r>
      <w:r w:rsidRPr="002429C5">
        <w:lastRenderedPageBreak/>
        <w:t>of 16 undertakings (all undertakings with one exception).</w:t>
      </w:r>
    </w:p>
    <w:p w:rsidR="00B824CC" w:rsidRPr="002429C5" w:rsidRDefault="00D54F01" w:rsidP="00D54F01">
      <w:r w:rsidRPr="002429C5">
        <w:t>The results of the supervisions have provided a general picture of the undertakings' contract management practices and have also shown that the following areas present a challenge for a number of undertakings.</w:t>
      </w:r>
    </w:p>
    <w:p w:rsidR="00D54F01" w:rsidRPr="002429C5" w:rsidRDefault="00D54F01" w:rsidP="00F7632D">
      <w:pPr>
        <w:spacing w:after="140" w:line="280" w:lineRule="exact"/>
        <w:rPr>
          <w:i/>
        </w:rPr>
      </w:pPr>
      <w:r w:rsidRPr="002429C5">
        <w:rPr>
          <w:i/>
        </w:rPr>
        <w:t>Content of contracts</w:t>
      </w:r>
    </w:p>
    <w:p w:rsidR="00B824CC" w:rsidRPr="002429C5" w:rsidRDefault="00D54F01" w:rsidP="00F7632D">
      <w:r w:rsidRPr="002429C5">
        <w:t>In many cases, services with a safety-related content are not adequately described in contracts with respect to, inter alia, content, division of responsibilities, competences, results of services and products, communication, exchange of information and documentation. Where services are not adequately described, responsibility is not clearly located. Furthermore, it is not possible to supervise the content of the contract.</w:t>
      </w:r>
    </w:p>
    <w:p w:rsidR="00D54F01" w:rsidRPr="002429C5" w:rsidRDefault="00D54F01" w:rsidP="00F7632D">
      <w:pPr>
        <w:spacing w:after="140" w:line="280" w:lineRule="exact"/>
        <w:rPr>
          <w:i/>
        </w:rPr>
      </w:pPr>
      <w:r w:rsidRPr="002429C5">
        <w:rPr>
          <w:i/>
        </w:rPr>
        <w:t>Following up contracts</w:t>
      </w:r>
    </w:p>
    <w:p w:rsidR="00B824CC" w:rsidRPr="002429C5" w:rsidRDefault="00D54F01" w:rsidP="00F7632D">
      <w:r w:rsidRPr="002429C5">
        <w:t>Several undertakings have not adequately supervised contracts with a safety-related content.</w:t>
      </w:r>
    </w:p>
    <w:p w:rsidR="00D54F01" w:rsidRPr="002429C5" w:rsidRDefault="00D54F01" w:rsidP="00F7632D">
      <w:r w:rsidRPr="002429C5">
        <w:t>Several undertakings have stated that they are unsure of how contracts for services with a safety-related content should be audited. This is particularly true when it comes to special services, where the undertaking does not itself possess the competences to assess the content of the services. This underlines the importance of the contracts describing the results of the contracted services and products.</w:t>
      </w:r>
    </w:p>
    <w:p w:rsidR="00D54F01" w:rsidRPr="002429C5" w:rsidRDefault="00D54F01" w:rsidP="00F7632D">
      <w:pPr>
        <w:spacing w:after="140" w:line="280" w:lineRule="exact"/>
        <w:rPr>
          <w:i/>
        </w:rPr>
      </w:pPr>
      <w:r w:rsidRPr="002429C5">
        <w:rPr>
          <w:i/>
        </w:rPr>
        <w:t>Overview of contracts</w:t>
      </w:r>
    </w:p>
    <w:p w:rsidR="00B824CC" w:rsidRPr="002429C5" w:rsidRDefault="00D54F01" w:rsidP="00F7632D">
      <w:r w:rsidRPr="002429C5">
        <w:t>Individual undertakings face challenges keeping track of contracts entered into involving safety-related services as well as ensuring that the contracts are kept up to date and are available to the relevant parties in the undertaking.</w:t>
      </w:r>
    </w:p>
    <w:p w:rsidR="00B824CC" w:rsidRPr="002429C5" w:rsidRDefault="005D1ECD" w:rsidP="00D54F01">
      <w:r w:rsidRPr="002429C5">
        <w:t>Based on the supervision carried out, the Agency feels that there is a need to examine the topic 'contract management' in greater depth in connection with the purchase of safety-related services, which is why contract management is also a focus area in 2015.</w:t>
      </w:r>
    </w:p>
    <w:p w:rsidR="00A44A06" w:rsidRPr="002429C5" w:rsidRDefault="00A44A06" w:rsidP="00A44A06">
      <w:pPr>
        <w:pStyle w:val="Heading2"/>
      </w:pPr>
      <w:bookmarkStart w:id="31" w:name="_Toc441733538"/>
      <w:r w:rsidRPr="002429C5">
        <w:lastRenderedPageBreak/>
        <w:t>Presence in drivers' cabs</w:t>
      </w:r>
      <w:bookmarkEnd w:id="31"/>
    </w:p>
    <w:p w:rsidR="00B824CC" w:rsidRPr="002429C5" w:rsidRDefault="00D634B6" w:rsidP="00A44A06">
      <w:r w:rsidRPr="002429C5">
        <w:t>During a supervision it was found that there were problems with an unauthorised presence in drivers' cabs.</w:t>
      </w:r>
    </w:p>
    <w:p w:rsidR="00B824CC" w:rsidRPr="002429C5" w:rsidRDefault="00BB5D71" w:rsidP="00A44A06">
      <w:r w:rsidRPr="002429C5">
        <w:t xml:space="preserve">It was therefore decided to carry out a series of inspections to investigate whether the railway undertakings that carry passengers are complying with both </w:t>
      </w:r>
      <w:proofErr w:type="spellStart"/>
      <w:r w:rsidRPr="002429C5">
        <w:t>Banedanmark's</w:t>
      </w:r>
      <w:proofErr w:type="spellEnd"/>
      <w:r w:rsidRPr="002429C5">
        <w:t xml:space="preserve"> safety rules and their own safety rules concerning who, in addition to the driver, may be present in the driver's cab.</w:t>
      </w:r>
    </w:p>
    <w:p w:rsidR="00A44A06" w:rsidRPr="002429C5" w:rsidRDefault="00A44A06" w:rsidP="00A44A06">
      <w:pPr>
        <w:spacing w:after="120"/>
      </w:pPr>
      <w:r w:rsidRPr="002429C5">
        <w:t xml:space="preserve">Pursuant to </w:t>
      </w:r>
      <w:proofErr w:type="spellStart"/>
      <w:r w:rsidRPr="002429C5">
        <w:t>Banedanmark's</w:t>
      </w:r>
      <w:proofErr w:type="spellEnd"/>
      <w:r w:rsidRPr="002429C5">
        <w:t xml:space="preserve"> safety rules, the following applies:</w:t>
      </w:r>
    </w:p>
    <w:p w:rsidR="002316F7" w:rsidRPr="002429C5" w:rsidRDefault="00A44A06" w:rsidP="00A61226">
      <w:pPr>
        <w:pStyle w:val="ListParagraph"/>
        <w:numPr>
          <w:ilvl w:val="0"/>
          <w:numId w:val="35"/>
        </w:numPr>
        <w:spacing w:after="120" w:line="240" w:lineRule="auto"/>
        <w:rPr>
          <w:sz w:val="18"/>
        </w:rPr>
      </w:pPr>
      <w:r w:rsidRPr="002429C5">
        <w:rPr>
          <w:sz w:val="18"/>
        </w:rPr>
        <w:t>Other persons trained in safety must review restrictive signals if the stretch in question is not fully monitored by the train control system</w:t>
      </w:r>
    </w:p>
    <w:p w:rsidR="00A44A06" w:rsidRPr="002429C5" w:rsidRDefault="00A44A06" w:rsidP="00A61226">
      <w:pPr>
        <w:pStyle w:val="ListParagraph"/>
        <w:numPr>
          <w:ilvl w:val="0"/>
          <w:numId w:val="35"/>
        </w:numPr>
        <w:spacing w:after="120" w:line="240" w:lineRule="auto"/>
        <w:rPr>
          <w:sz w:val="18"/>
        </w:rPr>
      </w:pPr>
      <w:r w:rsidRPr="002429C5">
        <w:rPr>
          <w:sz w:val="18"/>
        </w:rPr>
        <w:t>Only the driver and persons with safety-related responsibility and/or who represent the infrastructure manager at the condition inspection and persons authorised by the railway undertaking may be present in the driver's cab.</w:t>
      </w:r>
    </w:p>
    <w:p w:rsidR="00A44A06" w:rsidRPr="002429C5" w:rsidRDefault="00A44A06" w:rsidP="00A44A06">
      <w:r w:rsidRPr="002429C5">
        <w:t xml:space="preserve">Besides </w:t>
      </w:r>
      <w:proofErr w:type="spellStart"/>
      <w:r w:rsidRPr="002429C5">
        <w:t>Banedanmark's</w:t>
      </w:r>
      <w:proofErr w:type="spellEnd"/>
      <w:r w:rsidRPr="002429C5">
        <w:t xml:space="preserve"> rules, most railway undertakings have internal rules stating that no one other than the driver may be present in a driver's cab, unless on legitimate business.</w:t>
      </w:r>
    </w:p>
    <w:p w:rsidR="00A44A06" w:rsidRPr="002429C5" w:rsidRDefault="00E65ACC" w:rsidP="00A44A06">
      <w:r w:rsidRPr="002429C5">
        <w:t>A series of inspections was carried out in the autumn of 2014. It was found that in several cases one or more people were observed in drivers' cabs with no professional reason for being there.</w:t>
      </w:r>
    </w:p>
    <w:p w:rsidR="00A44A06" w:rsidRPr="002429C5" w:rsidRDefault="00172E08" w:rsidP="00A44A06">
      <w:r w:rsidRPr="002429C5">
        <w:t>In the ensuing dialogue, the undertakings announced that they would in future make an extra effort to improve the safety culture.</w:t>
      </w:r>
    </w:p>
    <w:p w:rsidR="00A44A06" w:rsidRPr="002429C5" w:rsidRDefault="005D1ECD" w:rsidP="00A44A06">
      <w:r w:rsidRPr="002429C5">
        <w:t>In the coming years the Agency will carry out similar inspections to ensure that the undertakings are taking responsibility for maintaining a good safety culture, including complying with their own rules on presence in drivers' cabs.</w:t>
      </w:r>
    </w:p>
    <w:p w:rsidR="00CC3BD4" w:rsidRPr="002429C5" w:rsidRDefault="00CC3BD4" w:rsidP="00CC3BD4">
      <w:pPr>
        <w:pStyle w:val="Heading2"/>
      </w:pPr>
      <w:bookmarkStart w:id="32" w:name="_Toc441733539"/>
      <w:r w:rsidRPr="002429C5">
        <w:lastRenderedPageBreak/>
        <w:t>Handling of changes in infrastructure</w:t>
      </w:r>
      <w:bookmarkEnd w:id="32"/>
    </w:p>
    <w:p w:rsidR="008F074A" w:rsidRPr="002429C5" w:rsidRDefault="00E7143C" w:rsidP="008F074A">
      <w:pPr>
        <w:rPr>
          <w:spacing w:val="-2"/>
        </w:rPr>
      </w:pPr>
      <w:r w:rsidRPr="002429C5">
        <w:t>In 2014 the Agency focused on the undertakings' 'handling of changes in infrastructure' to follow up on whether the undertakings possess the necessary competences and systems needed to ensure the provisions of CSM-RA</w:t>
      </w:r>
      <w:r w:rsidRPr="002429C5">
        <w:rPr>
          <w:rStyle w:val="FootnoteReference"/>
          <w:spacing w:val="-2"/>
        </w:rPr>
        <w:footnoteReference w:id="21"/>
      </w:r>
      <w:r w:rsidRPr="002429C5">
        <w:t xml:space="preserve"> are observed.</w:t>
      </w:r>
    </w:p>
    <w:p w:rsidR="006C1B57" w:rsidRPr="002429C5" w:rsidRDefault="00CC3BD4" w:rsidP="00CC3BD4">
      <w:pPr>
        <w:rPr>
          <w:spacing w:val="-2"/>
        </w:rPr>
      </w:pPr>
      <w:r w:rsidRPr="002429C5">
        <w:t>From 1 January 2014, undertakings have only had to submit changes in infrastructure to the Agency for approval if the changes are assessed as being significant. This means that all changes assessed by the undertakings as non-significant can be handled in the undertakings' own safety management systems.</w:t>
      </w:r>
    </w:p>
    <w:p w:rsidR="00CC3BD4" w:rsidRPr="002429C5" w:rsidRDefault="00CC3BD4" w:rsidP="00CC3BD4">
      <w:pPr>
        <w:rPr>
          <w:spacing w:val="-2"/>
        </w:rPr>
      </w:pPr>
      <w:r w:rsidRPr="002429C5">
        <w:t>The results of the supervision have given the Agency an overall picture that the undertakings have actually implemented CSM-RA in their procedures and processes. However, the supervision also showed that several of the smaller infrastructure managers have limited experience of using the processes, as several undertakings have not yet made significant changes to their infrastructure. Common to them all was that continued work is needed to improve several features of the processes. A condition was imposed on one infrastructure manager that the undertaking may not carry out significance assessments as regards changes to infrastructure or an altered use of infrastructure without this being submitted to the Agency before the change is implemented.</w:t>
      </w:r>
    </w:p>
    <w:p w:rsidR="00B824CC" w:rsidRPr="002429C5" w:rsidRDefault="00CC3BD4" w:rsidP="00CC3BD4">
      <w:r w:rsidRPr="002429C5">
        <w:t xml:space="preserve">The supervision has also shown that the undertakings have in general themselves identified a need to increase competences among their staff. Several undertakings therefore increased the competences of their staff in 2014, mainly through participation in courses organised by </w:t>
      </w:r>
      <w:proofErr w:type="spellStart"/>
      <w:r w:rsidRPr="002429C5">
        <w:t>Banedanmark</w:t>
      </w:r>
      <w:proofErr w:type="spellEnd"/>
      <w:r w:rsidRPr="002429C5">
        <w:t xml:space="preserve">. However, several smaller undertakings still do not have </w:t>
      </w:r>
      <w:r w:rsidRPr="002429C5">
        <w:lastRenderedPageBreak/>
        <w:t>the required competences and experience to manage changes in infrastructure themselves, making them dependent on consultant skills.</w:t>
      </w:r>
    </w:p>
    <w:p w:rsidR="00CC3BD4" w:rsidRPr="002429C5" w:rsidRDefault="00091200" w:rsidP="00CC3BD4">
      <w:pPr>
        <w:rPr>
          <w:spacing w:val="-2"/>
        </w:rPr>
      </w:pPr>
      <w:r w:rsidRPr="002429C5">
        <w:t>The Agency also found with several undertakings that the definition of a change could certainly be clearer, so that it is more apparent what criteria have to be assessed for the different types of changes (changes in organisation, operation and engineering). The Agency will consider whether this needs to be clarified.</w:t>
      </w:r>
    </w:p>
    <w:p w:rsidR="00CC3BD4" w:rsidRPr="002429C5" w:rsidRDefault="00CC5ECC" w:rsidP="00CC3BD4">
      <w:r w:rsidRPr="002429C5">
        <w:t>The Agency will continue to monitor the infrastructure managers' handling of changes in infrastructure in order to assess whether the undertakings are complying with the provisions of CSM-RA</w:t>
      </w:r>
      <w:r w:rsidRPr="002429C5">
        <w:rPr>
          <w:rStyle w:val="FootnoteReference"/>
          <w:spacing w:val="-2"/>
        </w:rPr>
        <w:footnoteReference w:id="22"/>
      </w:r>
      <w:r w:rsidRPr="002429C5">
        <w:t>.</w:t>
      </w:r>
    </w:p>
    <w:p w:rsidR="00107E7A" w:rsidRPr="002429C5" w:rsidRDefault="00107E7A" w:rsidP="00107E7A">
      <w:pPr>
        <w:pStyle w:val="Heading2"/>
      </w:pPr>
      <w:bookmarkStart w:id="33" w:name="_Toc441733540"/>
      <w:r w:rsidRPr="002429C5">
        <w:t>Focus areas for supervision in 2015</w:t>
      </w:r>
      <w:bookmarkEnd w:id="33"/>
    </w:p>
    <w:p w:rsidR="00B824CC" w:rsidRPr="002429C5" w:rsidRDefault="006625E7" w:rsidP="00107E7A">
      <w:pPr>
        <w:spacing w:before="120" w:after="120"/>
      </w:pPr>
      <w:r w:rsidRPr="002429C5">
        <w:t>Besides a general follow-up of the special focus areas described above, the Agency's supervision will focus in particular on the following in 2015:</w:t>
      </w:r>
    </w:p>
    <w:p w:rsidR="00107E7A" w:rsidRPr="002429C5" w:rsidRDefault="00107E7A" w:rsidP="00107E7A">
      <w:pPr>
        <w:pStyle w:val="ListParagraph"/>
        <w:numPr>
          <w:ilvl w:val="0"/>
          <w:numId w:val="11"/>
        </w:numPr>
        <w:spacing w:before="120" w:after="120" w:line="240" w:lineRule="auto"/>
        <w:rPr>
          <w:sz w:val="18"/>
        </w:rPr>
      </w:pPr>
      <w:r w:rsidRPr="002429C5">
        <w:rPr>
          <w:sz w:val="18"/>
        </w:rPr>
        <w:t>Risk profile, including how this will be the focal point of the safety management system</w:t>
      </w:r>
    </w:p>
    <w:p w:rsidR="00107E7A" w:rsidRPr="002429C5" w:rsidRDefault="00107E7A" w:rsidP="00107E7A">
      <w:pPr>
        <w:pStyle w:val="ListParagraph"/>
        <w:numPr>
          <w:ilvl w:val="0"/>
          <w:numId w:val="11"/>
        </w:numPr>
        <w:spacing w:before="120" w:after="120" w:line="240" w:lineRule="auto"/>
        <w:rPr>
          <w:sz w:val="18"/>
        </w:rPr>
      </w:pPr>
      <w:r w:rsidRPr="002429C5">
        <w:rPr>
          <w:sz w:val="18"/>
        </w:rPr>
        <w:t>Contract management</w:t>
      </w:r>
    </w:p>
    <w:p w:rsidR="00107E7A" w:rsidRPr="002429C5" w:rsidRDefault="00107E7A" w:rsidP="00107E7A">
      <w:pPr>
        <w:pStyle w:val="ListParagraph"/>
        <w:numPr>
          <w:ilvl w:val="0"/>
          <w:numId w:val="11"/>
        </w:numPr>
        <w:spacing w:before="120" w:after="120" w:line="240" w:lineRule="auto"/>
        <w:rPr>
          <w:sz w:val="18"/>
        </w:rPr>
      </w:pPr>
      <w:r w:rsidRPr="002429C5">
        <w:rPr>
          <w:sz w:val="18"/>
        </w:rPr>
        <w:t>Evaluation of undertakings' maturity</w:t>
      </w:r>
    </w:p>
    <w:p w:rsidR="00D54F01" w:rsidRPr="002429C5" w:rsidRDefault="00107E7A" w:rsidP="00D54F01">
      <w:pPr>
        <w:rPr>
          <w:sz w:val="20"/>
        </w:rPr>
      </w:pPr>
      <w:r w:rsidRPr="002429C5">
        <w:t>Furthermore, the Agency will focus on the design of train drivers' licences, since new rules came into force in this area in 2013, which supervision in 2014 revealed not to have been observed in a number of cases.</w:t>
      </w:r>
    </w:p>
    <w:p w:rsidR="00D54F01" w:rsidRPr="002429C5" w:rsidRDefault="00D54F01" w:rsidP="00D54F01">
      <w:pPr>
        <w:rPr>
          <w:spacing w:val="-2"/>
        </w:rPr>
        <w:sectPr w:rsidR="00D54F01" w:rsidRPr="002429C5" w:rsidSect="00356DD7">
          <w:type w:val="continuous"/>
          <w:pgSz w:w="11906" w:h="16838" w:code="9"/>
          <w:pgMar w:top="1985" w:right="1985" w:bottom="1418" w:left="1985" w:header="709" w:footer="709" w:gutter="0"/>
          <w:cols w:num="2" w:space="709"/>
          <w:titlePg/>
          <w:docGrid w:linePitch="360"/>
        </w:sectPr>
      </w:pPr>
    </w:p>
    <w:p w:rsidR="00040FFC" w:rsidRPr="002429C5" w:rsidRDefault="004F065E" w:rsidP="00040FFC">
      <w:pPr>
        <w:pStyle w:val="Heading1"/>
      </w:pPr>
      <w:bookmarkStart w:id="34" w:name="_Toc441733541"/>
      <w:r w:rsidRPr="002429C5">
        <w:lastRenderedPageBreak/>
        <w:t>Chapter 5. Safety certificates and safety approvals</w:t>
      </w:r>
      <w:bookmarkEnd w:id="34"/>
    </w:p>
    <w:p w:rsidR="00924A67" w:rsidRPr="002429C5" w:rsidRDefault="00924A67" w:rsidP="001A1044">
      <w:pPr>
        <w:pStyle w:val="Indledning"/>
      </w:pPr>
      <w:r w:rsidRPr="002429C5">
        <w:t>In 2008 and 2009, a number of railway undertakings and infrastructure managers in Denmark were safety-certified or safety-approved. A safety certificate/safety approval is normally valid for 5 years and so 2014 was also characterised by renewals, particularly of safety approvals.</w:t>
      </w:r>
    </w:p>
    <w:p w:rsidR="006C1B57" w:rsidRPr="002429C5" w:rsidRDefault="006C1B57" w:rsidP="006C1B57">
      <w:pPr>
        <w:pStyle w:val="Heading2"/>
        <w:sectPr w:rsidR="006C1B57" w:rsidRPr="002429C5" w:rsidSect="00356DD7">
          <w:headerReference w:type="first" r:id="rId40"/>
          <w:type w:val="continuous"/>
          <w:pgSz w:w="11906" w:h="16838" w:code="9"/>
          <w:pgMar w:top="1985" w:right="1985" w:bottom="1418" w:left="1985" w:header="709" w:footer="709" w:gutter="0"/>
          <w:cols w:space="709"/>
          <w:titlePg/>
          <w:docGrid w:linePitch="360"/>
        </w:sectPr>
      </w:pPr>
    </w:p>
    <w:p w:rsidR="001808C1" w:rsidRPr="002429C5" w:rsidRDefault="005D1ECD" w:rsidP="006C1B57">
      <w:pPr>
        <w:pStyle w:val="Heading2"/>
        <w:spacing w:before="0"/>
      </w:pPr>
      <w:bookmarkStart w:id="35" w:name="_Toc441733542"/>
      <w:r w:rsidRPr="002429C5">
        <w:lastRenderedPageBreak/>
        <w:t>The Agency's guidance of undertakings</w:t>
      </w:r>
      <w:bookmarkEnd w:id="35"/>
    </w:p>
    <w:p w:rsidR="001808C1" w:rsidRPr="002429C5" w:rsidRDefault="005D1ECD" w:rsidP="001808C1">
      <w:pPr>
        <w:spacing w:before="120" w:after="120"/>
      </w:pPr>
      <w:r w:rsidRPr="002429C5">
        <w:t>The Agency emphasises dialogue with undertakings. The Agency believes that dialogue and guidance have a greater positive impact than one-way communication and sanctions.</w:t>
      </w:r>
    </w:p>
    <w:p w:rsidR="001808C1" w:rsidRPr="002429C5" w:rsidRDefault="001808C1" w:rsidP="001808C1">
      <w:pPr>
        <w:spacing w:before="120" w:after="120"/>
      </w:pPr>
      <w:r w:rsidRPr="002429C5">
        <w:t>In 2013 this led to the Agency adjusting the way renewals are handled – among other things, the Agency offered undertakings individual introductory meetings, where the purpose and potential of the safety management system was discussed.</w:t>
      </w:r>
    </w:p>
    <w:p w:rsidR="001808C1" w:rsidRPr="002429C5" w:rsidRDefault="001808C1" w:rsidP="001808C1">
      <w:pPr>
        <w:spacing w:before="120" w:after="120"/>
        <w:rPr>
          <w:b/>
        </w:rPr>
      </w:pPr>
    </w:p>
    <w:p w:rsidR="001808C1" w:rsidRPr="002429C5" w:rsidRDefault="001808C1" w:rsidP="001808C1">
      <w:pPr>
        <w:spacing w:before="120" w:after="120"/>
        <w:rPr>
          <w:b/>
        </w:rPr>
      </w:pPr>
      <w:r w:rsidRPr="002429C5">
        <w:rPr>
          <w:b/>
        </w:rPr>
        <w:t>Written guidance</w:t>
      </w:r>
    </w:p>
    <w:p w:rsidR="001808C1" w:rsidRPr="002429C5" w:rsidRDefault="00AF3E84" w:rsidP="001808C1">
      <w:pPr>
        <w:spacing w:before="120" w:after="120"/>
      </w:pPr>
      <w:r w:rsidRPr="002429C5">
        <w:t>The Agency's website includes the conditions and procedure for obtaining a safety certificate and safety approval.</w:t>
      </w:r>
    </w:p>
    <w:p w:rsidR="001808C1" w:rsidRPr="002429C5" w:rsidRDefault="001808C1" w:rsidP="001808C1">
      <w:pPr>
        <w:spacing w:before="120" w:after="120"/>
      </w:pPr>
      <w:r w:rsidRPr="002429C5">
        <w:t>Here, undertakings can find forms with associated guidelines for applying for safety certificates and safety approval. The same form is used for new issues, renewals and amendments of safety certificates or approvals.</w:t>
      </w:r>
    </w:p>
    <w:p w:rsidR="001808C1" w:rsidRPr="002429C5" w:rsidRDefault="001808C1" w:rsidP="000E61FC">
      <w:pPr>
        <w:spacing w:before="120" w:after="120"/>
      </w:pPr>
      <w:r w:rsidRPr="002429C5">
        <w:t>'</w:t>
      </w:r>
      <w:proofErr w:type="spellStart"/>
      <w:r w:rsidRPr="002429C5">
        <w:t>Vejledning</w:t>
      </w:r>
      <w:proofErr w:type="spellEnd"/>
      <w:r w:rsidRPr="002429C5">
        <w:t xml:space="preserve"> </w:t>
      </w:r>
      <w:proofErr w:type="spellStart"/>
      <w:r w:rsidRPr="002429C5">
        <w:t>i</w:t>
      </w:r>
      <w:proofErr w:type="spellEnd"/>
      <w:r w:rsidRPr="002429C5">
        <w:t xml:space="preserve"> </w:t>
      </w:r>
      <w:proofErr w:type="spellStart"/>
      <w:r w:rsidRPr="002429C5">
        <w:t>Sikkerhedsledelse</w:t>
      </w:r>
      <w:proofErr w:type="spellEnd"/>
      <w:r w:rsidRPr="002429C5">
        <w:t xml:space="preserve"> [Guide to Safety Management] in accordance with Executive Orders 13 and 14 of 4 January 2007 and Commission Regulation (EU) No 1078/2012' can also be found on the Agency's website.</w:t>
      </w:r>
    </w:p>
    <w:p w:rsidR="001808C1" w:rsidRPr="002429C5" w:rsidRDefault="001808C1" w:rsidP="001808C1">
      <w:pPr>
        <w:spacing w:before="120" w:after="120"/>
      </w:pPr>
    </w:p>
    <w:p w:rsidR="001808C1" w:rsidRPr="002429C5" w:rsidRDefault="001B1327" w:rsidP="001808C1">
      <w:pPr>
        <w:spacing w:before="120" w:after="120"/>
        <w:rPr>
          <w:b/>
        </w:rPr>
      </w:pPr>
      <w:r w:rsidRPr="002429C5">
        <w:rPr>
          <w:b/>
        </w:rPr>
        <w:t>Meetings</w:t>
      </w:r>
    </w:p>
    <w:p w:rsidR="001808C1" w:rsidRPr="002429C5" w:rsidRDefault="005D1ECD" w:rsidP="001808C1">
      <w:pPr>
        <w:spacing w:before="120" w:after="120"/>
      </w:pPr>
      <w:r w:rsidRPr="002429C5">
        <w:t>In 2013, the Agency held a series of one-day sessions aimed at all undertakings with a safety certificate A and/or a safety approval in Denmark.</w:t>
      </w:r>
    </w:p>
    <w:p w:rsidR="001808C1" w:rsidRPr="002429C5" w:rsidRDefault="001808C1" w:rsidP="001808C1">
      <w:pPr>
        <w:spacing w:before="120" w:after="120"/>
      </w:pPr>
      <w:r w:rsidRPr="002429C5">
        <w:t xml:space="preserve">The purpose of these meetings was to reconcile expectations of the </w:t>
      </w:r>
      <w:r w:rsidRPr="002429C5">
        <w:lastRenderedPageBreak/>
        <w:t>undertakings' safety management systems.</w:t>
      </w:r>
    </w:p>
    <w:p w:rsidR="00B824CC" w:rsidRPr="002429C5" w:rsidRDefault="001808C1" w:rsidP="001808C1">
      <w:pPr>
        <w:spacing w:before="120" w:after="120"/>
      </w:pPr>
      <w:r w:rsidRPr="002429C5">
        <w:t>In 2014 a similar session was held for all undertakings in Denmark that have only a B certificate.</w:t>
      </w:r>
    </w:p>
    <w:p w:rsidR="00B824CC" w:rsidRPr="002429C5" w:rsidRDefault="00AF3E84" w:rsidP="001808C1">
      <w:pPr>
        <w:spacing w:before="120" w:after="120"/>
      </w:pPr>
      <w:r w:rsidRPr="002429C5">
        <w:t>The purpose of the meeting was to highlight how to construct a safety management system based on the undertaking's activities and risk profile.</w:t>
      </w:r>
    </w:p>
    <w:p w:rsidR="001808C1" w:rsidRPr="002429C5" w:rsidRDefault="001808C1" w:rsidP="001808C1">
      <w:pPr>
        <w:spacing w:before="120" w:after="120"/>
      </w:pPr>
      <w:r w:rsidRPr="002429C5">
        <w:t>There was a particular focus on the following areas:</w:t>
      </w:r>
    </w:p>
    <w:p w:rsidR="001808C1" w:rsidRPr="002429C5" w:rsidRDefault="001808C1" w:rsidP="001808C1">
      <w:pPr>
        <w:pStyle w:val="ListParagraph"/>
        <w:numPr>
          <w:ilvl w:val="0"/>
          <w:numId w:val="38"/>
        </w:numPr>
        <w:spacing w:before="120" w:after="120" w:line="240" w:lineRule="auto"/>
        <w:ind w:left="567"/>
        <w:rPr>
          <w:sz w:val="18"/>
        </w:rPr>
      </w:pPr>
      <w:r w:rsidRPr="002429C5">
        <w:rPr>
          <w:sz w:val="18"/>
        </w:rPr>
        <w:t>Structure/content of the safety management system</w:t>
      </w:r>
    </w:p>
    <w:p w:rsidR="001808C1" w:rsidRPr="002429C5" w:rsidRDefault="001808C1" w:rsidP="001808C1">
      <w:pPr>
        <w:pStyle w:val="ListParagraph"/>
        <w:numPr>
          <w:ilvl w:val="0"/>
          <w:numId w:val="38"/>
        </w:numPr>
        <w:spacing w:before="120" w:after="120" w:line="240" w:lineRule="auto"/>
        <w:ind w:left="567"/>
        <w:rPr>
          <w:sz w:val="18"/>
        </w:rPr>
      </w:pPr>
      <w:r w:rsidRPr="002429C5">
        <w:rPr>
          <w:sz w:val="18"/>
        </w:rPr>
        <w:t>The safety management system's documentation</w:t>
      </w:r>
    </w:p>
    <w:p w:rsidR="001808C1" w:rsidRPr="002429C5" w:rsidRDefault="001808C1" w:rsidP="001808C1">
      <w:pPr>
        <w:pStyle w:val="ListParagraph"/>
        <w:numPr>
          <w:ilvl w:val="0"/>
          <w:numId w:val="38"/>
        </w:numPr>
        <w:spacing w:before="120" w:after="120" w:line="240" w:lineRule="auto"/>
        <w:ind w:left="567"/>
        <w:rPr>
          <w:sz w:val="18"/>
        </w:rPr>
      </w:pPr>
      <w:r w:rsidRPr="002429C5">
        <w:rPr>
          <w:sz w:val="18"/>
        </w:rPr>
        <w:t>System definition and Risk profile</w:t>
      </w:r>
    </w:p>
    <w:p w:rsidR="001808C1" w:rsidRPr="002429C5" w:rsidRDefault="001808C1" w:rsidP="001808C1">
      <w:pPr>
        <w:pStyle w:val="ListParagraph"/>
        <w:numPr>
          <w:ilvl w:val="0"/>
          <w:numId w:val="38"/>
        </w:numPr>
        <w:spacing w:before="120" w:after="120" w:line="240" w:lineRule="auto"/>
        <w:ind w:left="567"/>
        <w:rPr>
          <w:sz w:val="18"/>
        </w:rPr>
      </w:pPr>
      <w:r w:rsidRPr="002429C5">
        <w:rPr>
          <w:sz w:val="18"/>
        </w:rPr>
        <w:t>Safety target</w:t>
      </w:r>
    </w:p>
    <w:p w:rsidR="001808C1" w:rsidRPr="002429C5" w:rsidRDefault="001808C1" w:rsidP="001808C1">
      <w:pPr>
        <w:pStyle w:val="ListParagraph"/>
        <w:numPr>
          <w:ilvl w:val="0"/>
          <w:numId w:val="38"/>
        </w:numPr>
        <w:spacing w:before="120" w:after="120" w:line="240" w:lineRule="auto"/>
        <w:ind w:left="567"/>
        <w:rPr>
          <w:sz w:val="18"/>
        </w:rPr>
      </w:pPr>
      <w:r w:rsidRPr="002429C5">
        <w:rPr>
          <w:sz w:val="18"/>
        </w:rPr>
        <w:t>Monitoring and corrective actions, including internal audits</w:t>
      </w:r>
    </w:p>
    <w:p w:rsidR="001808C1" w:rsidRPr="002429C5" w:rsidRDefault="001808C1" w:rsidP="001808C1">
      <w:pPr>
        <w:pStyle w:val="ListParagraph"/>
        <w:numPr>
          <w:ilvl w:val="0"/>
          <w:numId w:val="38"/>
        </w:numPr>
        <w:spacing w:before="120" w:after="120" w:line="240" w:lineRule="auto"/>
        <w:ind w:left="567"/>
        <w:rPr>
          <w:sz w:val="18"/>
        </w:rPr>
      </w:pPr>
      <w:r w:rsidRPr="002429C5">
        <w:rPr>
          <w:sz w:val="18"/>
        </w:rPr>
        <w:t>Management evaluation</w:t>
      </w:r>
    </w:p>
    <w:p w:rsidR="001808C1" w:rsidRPr="002429C5" w:rsidRDefault="00AF3E84" w:rsidP="001808C1">
      <w:pPr>
        <w:spacing w:before="120" w:after="120"/>
      </w:pPr>
      <w:r w:rsidRPr="002429C5">
        <w:t>If a new undertaking is considering applying for a safety certificate or safety approval, the Agency offers to hold a preliminary meeting with the undertaking.</w:t>
      </w:r>
    </w:p>
    <w:p w:rsidR="001808C1" w:rsidRPr="002429C5" w:rsidRDefault="001808C1" w:rsidP="001808C1">
      <w:pPr>
        <w:spacing w:before="120" w:after="120"/>
      </w:pPr>
      <w:r w:rsidRPr="002429C5">
        <w:t>At the meeting, the undertaking is informed of the requirements concerning documentation for the safety management system and documentation for compliance with the other safety requirements.</w:t>
      </w:r>
    </w:p>
    <w:p w:rsidR="001808C1" w:rsidRPr="002429C5" w:rsidRDefault="001808C1" w:rsidP="001808C1">
      <w:pPr>
        <w:spacing w:before="120" w:after="120"/>
      </w:pPr>
      <w:r w:rsidRPr="002429C5">
        <w:t>It is also informed about the impending certification process, including the extent of the supervision and due dates for submission of documentation.</w:t>
      </w:r>
    </w:p>
    <w:p w:rsidR="00B824CC" w:rsidRPr="002429C5" w:rsidRDefault="001808C1" w:rsidP="001808C1">
      <w:pPr>
        <w:spacing w:before="120" w:after="120"/>
      </w:pPr>
      <w:r w:rsidRPr="002429C5">
        <w:t>Once the undertaking has taken the decision to apply for a safety certificate or safety approval, it will also be offered an undertaking-oriented session as mentioned above.</w:t>
      </w:r>
    </w:p>
    <w:p w:rsidR="001808C1" w:rsidRPr="002429C5" w:rsidRDefault="001808C1" w:rsidP="001808C1">
      <w:pPr>
        <w:spacing w:before="120" w:after="120"/>
        <w:rPr>
          <w:b/>
        </w:rPr>
      </w:pPr>
    </w:p>
    <w:p w:rsidR="001808C1" w:rsidRPr="002429C5" w:rsidRDefault="00372B98" w:rsidP="001808C1">
      <w:pPr>
        <w:spacing w:before="120" w:after="120"/>
        <w:rPr>
          <w:b/>
        </w:rPr>
      </w:pPr>
      <w:r w:rsidRPr="002429C5">
        <w:rPr>
          <w:b/>
        </w:rPr>
        <w:lastRenderedPageBreak/>
        <w:t>CSM-RA: Risk assessment in connection with changes in the basis for safety certificates/approvals</w:t>
      </w:r>
    </w:p>
    <w:p w:rsidR="001808C1" w:rsidRPr="002429C5" w:rsidRDefault="001808C1" w:rsidP="001808C1">
      <w:pPr>
        <w:spacing w:before="120" w:after="120"/>
      </w:pPr>
      <w:r w:rsidRPr="002429C5">
        <w:t>Since July 2012 there has been a requirement that CSM-RA also be used in connection with changes within operation and organisation. This could, for example, involve changes to the routes covered by the undertaking, or changes in the organisation’s size or composition.</w:t>
      </w:r>
    </w:p>
    <w:p w:rsidR="001808C1" w:rsidRPr="002429C5" w:rsidRDefault="001808C1" w:rsidP="001808C1">
      <w:pPr>
        <w:spacing w:before="120" w:after="120"/>
      </w:pPr>
      <w:r w:rsidRPr="002429C5">
        <w:t xml:space="preserve">In 2012 and 2013 there was a series of discussions concerning the extent to which the undertakings should use CSM-RA in connection with changes in operation and </w:t>
      </w:r>
      <w:proofErr w:type="gramStart"/>
      <w:r w:rsidRPr="002429C5">
        <w:t>organisation.</w:t>
      </w:r>
      <w:proofErr w:type="gramEnd"/>
    </w:p>
    <w:p w:rsidR="001808C1" w:rsidRPr="002429C5" w:rsidRDefault="001808C1" w:rsidP="001808C1">
      <w:pPr>
        <w:spacing w:before="120" w:after="120"/>
      </w:pPr>
      <w:r w:rsidRPr="002429C5">
        <w:t>The conclusion is that undertakings should use CSM-RA for all changes, i.e. including changes in the basis for safety certificates or safety approval.</w:t>
      </w:r>
    </w:p>
    <w:p w:rsidR="001808C1" w:rsidRPr="002429C5" w:rsidRDefault="001808C1" w:rsidP="001808C1">
      <w:pPr>
        <w:spacing w:before="120" w:after="120"/>
      </w:pPr>
    </w:p>
    <w:p w:rsidR="001808C1" w:rsidRPr="002429C5" w:rsidRDefault="001808C1" w:rsidP="001808C1">
      <w:pPr>
        <w:spacing w:before="120" w:after="120"/>
        <w:rPr>
          <w:b/>
        </w:rPr>
      </w:pPr>
      <w:r w:rsidRPr="002429C5">
        <w:rPr>
          <w:b/>
        </w:rPr>
        <w:t>Documentation of supervisory processes</w:t>
      </w:r>
    </w:p>
    <w:p w:rsidR="001808C1" w:rsidRPr="002429C5" w:rsidRDefault="001808C1" w:rsidP="001808C1">
      <w:pPr>
        <w:spacing w:before="120" w:after="120"/>
      </w:pPr>
      <w:r w:rsidRPr="002429C5">
        <w:t>In 2014, the documented processes used by the Agency's Railways Centre to implement supervision were revised and integrated into an IT-based case management system.</w:t>
      </w:r>
    </w:p>
    <w:p w:rsidR="001808C1" w:rsidRPr="002429C5" w:rsidRDefault="001808C1" w:rsidP="001808C1">
      <w:pPr>
        <w:spacing w:before="120" w:after="120"/>
      </w:pPr>
      <w:r w:rsidRPr="002429C5">
        <w:t>From 2015, the case management system must ensure that all steps associated with a supervision are implemented through the automatic generation and filing of the documentation to be used for a supervision.</w:t>
      </w:r>
    </w:p>
    <w:p w:rsidR="001808C1" w:rsidRPr="002429C5" w:rsidRDefault="002779BF" w:rsidP="00924A67">
      <w:pPr>
        <w:pStyle w:val="Heading2"/>
      </w:pPr>
      <w:bookmarkStart w:id="36" w:name="_Toc441733543"/>
      <w:r w:rsidRPr="002429C5">
        <w:t>Complaints</w:t>
      </w:r>
      <w:bookmarkEnd w:id="36"/>
    </w:p>
    <w:p w:rsidR="0059495B" w:rsidRPr="002429C5" w:rsidRDefault="0059495B" w:rsidP="0059495B">
      <w:r w:rsidRPr="002429C5">
        <w:t>Until 10 July 2015, undertakings that wanted to appeal against a decision concerning railway safety could lodge this directly with the Agency or with the Railways Board. Decisions of the Railways Board have been final, i.e. they cannot be appealed to other administrative authorities. If one is dissatisfied with a decision of the Railways Board, it has been possible to institute legal proceedings against the Board before the courts.</w:t>
      </w:r>
    </w:p>
    <w:p w:rsidR="00B824CC" w:rsidRPr="002429C5" w:rsidRDefault="0059495B" w:rsidP="0059495B">
      <w:pPr>
        <w:spacing w:before="120" w:after="120"/>
      </w:pPr>
      <w:r w:rsidRPr="002429C5">
        <w:t>In 2014, the Agency received one written complaint in connection with an undertaking that had applied for a safety certificate.</w:t>
      </w:r>
    </w:p>
    <w:p w:rsidR="0059495B" w:rsidRPr="002429C5" w:rsidRDefault="0059495B" w:rsidP="0059495B">
      <w:pPr>
        <w:spacing w:before="120" w:after="120"/>
        <w:rPr>
          <w:bCs/>
        </w:rPr>
      </w:pPr>
      <w:r w:rsidRPr="002429C5">
        <w:lastRenderedPageBreak/>
        <w:t>In 2014, the Railways Board did not receive any complaints from undertakings in relation to safety certification or safety approval.</w:t>
      </w:r>
    </w:p>
    <w:p w:rsidR="00B824CC" w:rsidRPr="002429C5" w:rsidRDefault="0059495B" w:rsidP="0059495B">
      <w:pPr>
        <w:spacing w:before="120" w:after="120"/>
        <w:rPr>
          <w:bCs/>
        </w:rPr>
      </w:pPr>
      <w:r w:rsidRPr="002429C5">
        <w:t>As a result of the new Railways Act</w:t>
      </w:r>
      <w:r w:rsidRPr="002429C5">
        <w:rPr>
          <w:rStyle w:val="FootnoteReference"/>
        </w:rPr>
        <w:footnoteReference w:customMarkFollows="1" w:id="23"/>
        <w:t>[1]</w:t>
      </w:r>
      <w:r w:rsidRPr="002429C5">
        <w:t>, the right of appeal against the Railways Board has been abolished. The right of appeal was abolished by an amendment to the Safety Approval and Safety Certificate Executive Order. The new rules came into force on 10 July 2015.</w:t>
      </w:r>
    </w:p>
    <w:p w:rsidR="00B824CC" w:rsidRPr="002429C5" w:rsidRDefault="0059495B" w:rsidP="0059495B">
      <w:pPr>
        <w:spacing w:before="120" w:after="120"/>
        <w:rPr>
          <w:bCs/>
        </w:rPr>
      </w:pPr>
      <w:r w:rsidRPr="002429C5">
        <w:t>Decisions concerning safety certificates and safety approvals may therefore not be appealed to the Ministry of Transport and Building or another administrative authority.</w:t>
      </w:r>
    </w:p>
    <w:p w:rsidR="0059495B" w:rsidRPr="002429C5" w:rsidRDefault="0059495B" w:rsidP="0059495B">
      <w:pPr>
        <w:rPr>
          <w:bCs/>
        </w:rPr>
      </w:pPr>
      <w:r w:rsidRPr="002429C5">
        <w:t>With regard to the refusal of an application for a safety certificate or safety approval or applications that are only partially allowed, for example by the imposition of conditions, there is scope for a new assessment. The applicant must ask the Agency to undertake a new assessment of the case within 4 weeks of receiving the decision. The Agency will confirm or amend its decision within two months. This decision cannot be appealed to the Ministry of Transport and Building or another administrative authority.</w:t>
      </w:r>
    </w:p>
    <w:p w:rsidR="001808C1" w:rsidRPr="002429C5" w:rsidRDefault="0059495B" w:rsidP="0059495B">
      <w:pPr>
        <w:spacing w:before="120" w:after="120"/>
        <w:rPr>
          <w:bCs/>
        </w:rPr>
      </w:pPr>
      <w:r w:rsidRPr="002429C5">
        <w:t>Finally, if one is dissatisfied with a decision, this can always be challenged before the courts, cf. § 63 of the Constitution. However, a review of a decision under § 115 of the Railways Act must be referred to the courts within 8 weeks of the decision being received by the complainant, and a decision cannot be brought before the courts before any administrative remedy has been exercised. If a decision is not referred to the courts within the deadline, the decision is final.</w:t>
      </w:r>
    </w:p>
    <w:p w:rsidR="00386628" w:rsidRPr="002429C5" w:rsidRDefault="00386628" w:rsidP="001808C1">
      <w:pPr>
        <w:spacing w:after="0"/>
      </w:pPr>
    </w:p>
    <w:p w:rsidR="00386628" w:rsidRPr="002429C5" w:rsidRDefault="00386628" w:rsidP="001808C1">
      <w:pPr>
        <w:spacing w:after="0"/>
        <w:sectPr w:rsidR="00386628" w:rsidRPr="002429C5" w:rsidSect="00356DD7">
          <w:type w:val="continuous"/>
          <w:pgSz w:w="11906" w:h="16838" w:code="9"/>
          <w:pgMar w:top="1985" w:right="1985" w:bottom="1418" w:left="1985" w:header="709" w:footer="709" w:gutter="0"/>
          <w:cols w:num="2" w:space="709"/>
          <w:titlePg/>
          <w:docGrid w:linePitch="360"/>
        </w:sectPr>
      </w:pPr>
    </w:p>
    <w:p w:rsidR="009147A6" w:rsidRPr="002429C5" w:rsidRDefault="009147A6" w:rsidP="006C1B57">
      <w:pPr>
        <w:spacing w:after="0"/>
      </w:pPr>
    </w:p>
    <w:tbl>
      <w:tblPr>
        <w:tblStyle w:val="TableGrid"/>
        <w:tblW w:w="0" w:type="auto"/>
        <w:shd w:val="clear" w:color="auto" w:fill="D9D9D9"/>
        <w:tblLook w:val="04A0" w:firstRow="1" w:lastRow="0" w:firstColumn="1" w:lastColumn="0" w:noHBand="0" w:noVBand="1"/>
      </w:tblPr>
      <w:tblGrid>
        <w:gridCol w:w="8076"/>
      </w:tblGrid>
      <w:tr w:rsidR="006C1B57" w:rsidRPr="002429C5" w:rsidTr="006C1B57">
        <w:tc>
          <w:tcPr>
            <w:tcW w:w="8076" w:type="dxa"/>
            <w:shd w:val="clear" w:color="auto" w:fill="D9D9D9"/>
          </w:tcPr>
          <w:p w:rsidR="006C1B57" w:rsidRPr="002429C5" w:rsidRDefault="006C1B57" w:rsidP="006C1B57">
            <w:pPr>
              <w:spacing w:before="120" w:after="120"/>
              <w:rPr>
                <w:b/>
              </w:rPr>
            </w:pPr>
            <w:r w:rsidRPr="002429C5">
              <w:rPr>
                <w:b/>
              </w:rPr>
              <w:t>FACT BOX:</w:t>
            </w:r>
          </w:p>
          <w:p w:rsidR="006C1B57" w:rsidRPr="002429C5" w:rsidRDefault="006C1B57" w:rsidP="006C1B57">
            <w:pPr>
              <w:spacing w:after="0"/>
              <w:rPr>
                <w:b/>
              </w:rPr>
            </w:pPr>
          </w:p>
          <w:p w:rsidR="006C1B57" w:rsidRPr="002429C5" w:rsidRDefault="006C1B57" w:rsidP="006C1B57">
            <w:pPr>
              <w:spacing w:after="120"/>
              <w:rPr>
                <w:b/>
              </w:rPr>
            </w:pPr>
            <w:r w:rsidRPr="002429C5">
              <w:rPr>
                <w:b/>
              </w:rPr>
              <w:t>Response options in the event of inconsistency with criteria</w:t>
            </w:r>
          </w:p>
          <w:p w:rsidR="006C1B57" w:rsidRPr="002429C5" w:rsidRDefault="006C1B57" w:rsidP="006C1B57">
            <w:pPr>
              <w:spacing w:before="120" w:after="120"/>
              <w:rPr>
                <w:sz w:val="17"/>
                <w:szCs w:val="17"/>
              </w:rPr>
            </w:pPr>
            <w:r w:rsidRPr="002429C5">
              <w:rPr>
                <w:sz w:val="17"/>
              </w:rPr>
              <w:t>If the Agency determines that an undertaking does not meet the requirements of applicable laws and regulations, etc., it has various response options, which depend on the nature and extent of the issue. Among other things, the response depends on whether the issue could have repercussions for railway safety.</w:t>
            </w:r>
          </w:p>
          <w:p w:rsidR="006C1B57" w:rsidRPr="002429C5" w:rsidRDefault="006C1B57" w:rsidP="006C1B57">
            <w:pPr>
              <w:spacing w:after="0"/>
              <w:rPr>
                <w:b/>
                <w:i/>
              </w:rPr>
            </w:pPr>
          </w:p>
          <w:p w:rsidR="006C1B57" w:rsidRPr="002429C5" w:rsidRDefault="006C1B57" w:rsidP="006C1B57">
            <w:pPr>
              <w:spacing w:after="120"/>
              <w:rPr>
                <w:b/>
                <w:i/>
              </w:rPr>
            </w:pPr>
            <w:r w:rsidRPr="002429C5">
              <w:rPr>
                <w:b/>
                <w:i/>
              </w:rPr>
              <w:t>Non-conformities</w:t>
            </w:r>
          </w:p>
          <w:p w:rsidR="006C1B57" w:rsidRPr="002429C5" w:rsidRDefault="006C1B57" w:rsidP="006C1B57">
            <w:pPr>
              <w:spacing w:before="120" w:after="120"/>
              <w:rPr>
                <w:sz w:val="17"/>
                <w:szCs w:val="17"/>
              </w:rPr>
            </w:pPr>
            <w:r w:rsidRPr="002429C5">
              <w:rPr>
                <w:sz w:val="17"/>
              </w:rPr>
              <w:t>The Agency uses non-conformities when it finds that the undertaking is not complying either with its own procedures or applicable regulations and requirements.</w:t>
            </w:r>
          </w:p>
          <w:p w:rsidR="006C1B57" w:rsidRPr="002429C5" w:rsidRDefault="006C1B57" w:rsidP="006C1B57">
            <w:pPr>
              <w:spacing w:before="120" w:after="120"/>
              <w:rPr>
                <w:sz w:val="17"/>
                <w:szCs w:val="17"/>
              </w:rPr>
            </w:pPr>
            <w:r w:rsidRPr="002429C5">
              <w:rPr>
                <w:sz w:val="17"/>
              </w:rPr>
              <w:t>Non-conformities are used when safety is not directly threatened. The supervisory team (lead auditor, assistant auditor and any subject specialist) may decide on the individual non-conformities.</w:t>
            </w:r>
          </w:p>
          <w:p w:rsidR="006C1B57" w:rsidRPr="002429C5" w:rsidRDefault="006C1B57" w:rsidP="006C1B57">
            <w:pPr>
              <w:spacing w:before="120" w:after="120"/>
              <w:rPr>
                <w:sz w:val="17"/>
                <w:szCs w:val="17"/>
              </w:rPr>
            </w:pPr>
            <w:r w:rsidRPr="002429C5">
              <w:rPr>
                <w:sz w:val="17"/>
              </w:rPr>
              <w:t>Non-conformities are a dialogue tool where, within a given period, the undertaking must demonstrate to the Agency that the situation has been rectified, as well as how the undertaking has ensured that a similar non-conformity does not occur in the future.</w:t>
            </w:r>
          </w:p>
          <w:p w:rsidR="006C1B57" w:rsidRPr="002429C5" w:rsidRDefault="006C1B57" w:rsidP="006C1B57">
            <w:pPr>
              <w:spacing w:before="120" w:after="120"/>
              <w:rPr>
                <w:sz w:val="17"/>
                <w:szCs w:val="17"/>
              </w:rPr>
            </w:pPr>
            <w:r w:rsidRPr="002429C5">
              <w:rPr>
                <w:sz w:val="17"/>
              </w:rPr>
              <w:t>Non-conformities are not a decision of the authorities but a procedural step to guarantee that the undertaking has a safety management system that ensures that applicable regulations and provisions are followed.</w:t>
            </w:r>
          </w:p>
          <w:p w:rsidR="006C1B57" w:rsidRPr="002429C5" w:rsidRDefault="006C1B57" w:rsidP="006C1B57">
            <w:pPr>
              <w:spacing w:after="0"/>
              <w:rPr>
                <w:b/>
                <w:i/>
              </w:rPr>
            </w:pPr>
          </w:p>
          <w:p w:rsidR="006C1B57" w:rsidRPr="002429C5" w:rsidRDefault="006C1B57" w:rsidP="006C1B57">
            <w:pPr>
              <w:spacing w:after="120"/>
            </w:pPr>
            <w:r w:rsidRPr="002429C5">
              <w:rPr>
                <w:b/>
                <w:i/>
              </w:rPr>
              <w:t>Injunctions and bans</w:t>
            </w:r>
          </w:p>
          <w:p w:rsidR="006C1B57" w:rsidRPr="002429C5" w:rsidRDefault="006C1B57" w:rsidP="006C1B57">
            <w:pPr>
              <w:spacing w:before="120" w:after="120"/>
              <w:rPr>
                <w:sz w:val="17"/>
                <w:szCs w:val="17"/>
              </w:rPr>
            </w:pPr>
            <w:r w:rsidRPr="002429C5">
              <w:rPr>
                <w:sz w:val="17"/>
              </w:rPr>
              <w:t>If the non-conformity could have repercussions for railway safety, the Agency has the power to issue injunctions or bans.</w:t>
            </w:r>
          </w:p>
          <w:p w:rsidR="006C1B57" w:rsidRPr="002429C5" w:rsidRDefault="006C1B57" w:rsidP="006C1B57">
            <w:pPr>
              <w:spacing w:before="120" w:after="120"/>
              <w:rPr>
                <w:sz w:val="17"/>
                <w:szCs w:val="17"/>
              </w:rPr>
            </w:pPr>
            <w:r w:rsidRPr="002429C5">
              <w:rPr>
                <w:sz w:val="17"/>
              </w:rPr>
              <w:t>The Agency can, for example, issue an injunction ordering an undertaking to take the necessary measures, immediately or within a set time limit, so that it complies with the applicable safety requirements. The Agency can ban operation on a specific route or ban operation with specified rolling stock.</w:t>
            </w:r>
          </w:p>
          <w:p w:rsidR="006C1B57" w:rsidRPr="002429C5" w:rsidRDefault="006C1B57" w:rsidP="006C1B57">
            <w:pPr>
              <w:spacing w:after="0"/>
              <w:rPr>
                <w:sz w:val="17"/>
                <w:szCs w:val="17"/>
              </w:rPr>
            </w:pPr>
            <w:r w:rsidRPr="002429C5">
              <w:rPr>
                <w:sz w:val="17"/>
              </w:rPr>
              <w:t>Additionally, the lack of a ban or injunction can lead to the withdrawal of a safety certificate or safety approval or police report.</w:t>
            </w:r>
          </w:p>
          <w:p w:rsidR="006C1B57" w:rsidRPr="002429C5" w:rsidRDefault="006C1B57" w:rsidP="006C1B57">
            <w:pPr>
              <w:spacing w:after="0"/>
            </w:pPr>
          </w:p>
        </w:tc>
      </w:tr>
    </w:tbl>
    <w:p w:rsidR="006C1B57" w:rsidRPr="002429C5" w:rsidRDefault="006C1B57" w:rsidP="006C1B57">
      <w:pPr>
        <w:spacing w:after="0"/>
      </w:pPr>
    </w:p>
    <w:p w:rsidR="006C1B57" w:rsidRPr="002429C5" w:rsidRDefault="006C1B57" w:rsidP="006C1B57">
      <w:pPr>
        <w:spacing w:after="0"/>
      </w:pPr>
    </w:p>
    <w:p w:rsidR="009147A6" w:rsidRPr="002429C5" w:rsidRDefault="009147A6" w:rsidP="009147A6">
      <w:pPr>
        <w:pStyle w:val="Heading2"/>
        <w:sectPr w:rsidR="009147A6" w:rsidRPr="002429C5" w:rsidSect="00356DD7">
          <w:type w:val="continuous"/>
          <w:pgSz w:w="11906" w:h="16838" w:code="9"/>
          <w:pgMar w:top="1985" w:right="1985" w:bottom="1418" w:left="1985" w:header="709" w:footer="709" w:gutter="0"/>
          <w:cols w:space="709"/>
          <w:titlePg/>
          <w:docGrid w:linePitch="360"/>
        </w:sectPr>
      </w:pPr>
    </w:p>
    <w:p w:rsidR="009147A6" w:rsidRPr="002429C5" w:rsidRDefault="009147A6" w:rsidP="009147A6">
      <w:pPr>
        <w:pStyle w:val="Heading2"/>
      </w:pPr>
      <w:bookmarkStart w:id="37" w:name="_Toc441733544"/>
      <w:r w:rsidRPr="002429C5">
        <w:lastRenderedPageBreak/>
        <w:t>Significant safety measures</w:t>
      </w:r>
      <w:bookmarkEnd w:id="37"/>
    </w:p>
    <w:p w:rsidR="009147A6" w:rsidRPr="002429C5" w:rsidRDefault="009147A6" w:rsidP="009147A6">
      <w:pPr>
        <w:spacing w:after="140" w:line="280" w:lineRule="exact"/>
        <w:rPr>
          <w:b/>
          <w:sz w:val="20"/>
        </w:rPr>
      </w:pPr>
      <w:r w:rsidRPr="002429C5">
        <w:rPr>
          <w:b/>
        </w:rPr>
        <w:t>Nordic cooperation</w:t>
      </w:r>
    </w:p>
    <w:p w:rsidR="009147A6" w:rsidRPr="002429C5" w:rsidRDefault="009147A6" w:rsidP="009147A6">
      <w:r w:rsidRPr="002429C5">
        <w:t>The Agency has strengthened cooperation together with its sister authorities in Sweden and Norway. This was done in part to take advantage generally of the experiences gained in the other countries, in part specifically to strengthen cooperation in relation to those undertakings that operate in more than one of the three countries. Cooperation is implemented through meetings and dialogue between the individual case managers.</w:t>
      </w:r>
    </w:p>
    <w:p w:rsidR="009147A6" w:rsidRPr="002429C5" w:rsidRDefault="009147A6" w:rsidP="005B404F">
      <w:pPr>
        <w:rPr>
          <w:b/>
          <w:sz w:val="20"/>
        </w:rPr>
      </w:pPr>
      <w:r w:rsidRPr="002429C5">
        <w:rPr>
          <w:b/>
        </w:rPr>
        <w:t xml:space="preserve">Relaxation of cross-border traffic in </w:t>
      </w:r>
      <w:proofErr w:type="spellStart"/>
      <w:r w:rsidRPr="002429C5">
        <w:rPr>
          <w:b/>
        </w:rPr>
        <w:t>Padborg</w:t>
      </w:r>
      <w:proofErr w:type="spellEnd"/>
    </w:p>
    <w:p w:rsidR="009147A6" w:rsidRPr="002429C5" w:rsidRDefault="009147A6" w:rsidP="009147A6">
      <w:r w:rsidRPr="002429C5">
        <w:lastRenderedPageBreak/>
        <w:t xml:space="preserve">To make crossing the border at </w:t>
      </w:r>
      <w:proofErr w:type="spellStart"/>
      <w:r w:rsidRPr="002429C5">
        <w:t>Padborg</w:t>
      </w:r>
      <w:proofErr w:type="spellEnd"/>
      <w:r w:rsidRPr="002429C5">
        <w:t xml:space="preserve"> smoother, it was decided that locomotives that are entered in a national vehicle register do not need a Danish authorisation to place into service to operate through </w:t>
      </w:r>
      <w:proofErr w:type="spellStart"/>
      <w:r w:rsidRPr="002429C5">
        <w:t>Padborg</w:t>
      </w:r>
      <w:proofErr w:type="spellEnd"/>
      <w:r w:rsidRPr="002429C5">
        <w:t xml:space="preserve"> station if Danish traction current is not used.</w:t>
      </w:r>
    </w:p>
    <w:p w:rsidR="009147A6" w:rsidRPr="002429C5" w:rsidRDefault="009147A6" w:rsidP="009147A6">
      <w:r w:rsidRPr="002429C5">
        <w:t xml:space="preserve">Similarly, the requirements placed on drivers have been eased, with no Danish language requirement. The driver must nevertheless still have a licence from an undertaking with a Danish safety certificate or safety approval and route knowledge to </w:t>
      </w:r>
      <w:proofErr w:type="spellStart"/>
      <w:r w:rsidRPr="002429C5">
        <w:t>Padborg</w:t>
      </w:r>
      <w:proofErr w:type="spellEnd"/>
      <w:r w:rsidRPr="002429C5">
        <w:t xml:space="preserve"> station.</w:t>
      </w:r>
    </w:p>
    <w:p w:rsidR="009147A6" w:rsidRPr="002429C5" w:rsidRDefault="009147A6" w:rsidP="009147A6">
      <w:pPr>
        <w:sectPr w:rsidR="009147A6" w:rsidRPr="002429C5" w:rsidSect="00356DD7">
          <w:type w:val="continuous"/>
          <w:pgSz w:w="11906" w:h="16838" w:code="9"/>
          <w:pgMar w:top="1985" w:right="1985" w:bottom="1418" w:left="1985" w:header="709" w:footer="709" w:gutter="0"/>
          <w:cols w:num="2" w:space="709"/>
          <w:titlePg/>
          <w:docGrid w:linePitch="360"/>
        </w:sectPr>
      </w:pPr>
    </w:p>
    <w:p w:rsidR="00AF4E56" w:rsidRPr="002429C5" w:rsidRDefault="009E1874" w:rsidP="009E1874">
      <w:pPr>
        <w:pStyle w:val="Heading1"/>
      </w:pPr>
      <w:r w:rsidRPr="002429C5">
        <w:lastRenderedPageBreak/>
        <w:br w:type="page"/>
      </w:r>
      <w:bookmarkStart w:id="38" w:name="_Toc441733545"/>
      <w:r w:rsidRPr="002429C5">
        <w:lastRenderedPageBreak/>
        <w:t>Chapter 6. Implementation of the Railway Safety Directive and amendments to national laws and regulations on railway safety</w:t>
      </w:r>
      <w:bookmarkEnd w:id="38"/>
    </w:p>
    <w:p w:rsidR="00B824CC" w:rsidRPr="002429C5" w:rsidRDefault="00AF4E56" w:rsidP="00AF4E56">
      <w:pPr>
        <w:pStyle w:val="Indledning"/>
      </w:pPr>
      <w:r w:rsidRPr="002429C5">
        <w:t>The Railway Safety Directive is the European legislation that provides a framework for the harmonisation of safety regulations in Europe. In 2014, the Agency continued its work to ensure the correct application of the new requirements after the new CSM</w:t>
      </w:r>
      <w:r w:rsidRPr="002429C5">
        <w:noBreakHyphen/>
        <w:t>RA Regulation came into force in 2013.</w:t>
      </w:r>
    </w:p>
    <w:p w:rsidR="00AF4E56" w:rsidRPr="002429C5" w:rsidRDefault="00AF4E56" w:rsidP="00AF4E56">
      <w:pPr>
        <w:sectPr w:rsidR="00AF4E56" w:rsidRPr="002429C5" w:rsidSect="00356DD7">
          <w:headerReference w:type="default" r:id="rId41"/>
          <w:type w:val="continuous"/>
          <w:pgSz w:w="11906" w:h="16838" w:code="9"/>
          <w:pgMar w:top="1985" w:right="1985" w:bottom="1418" w:left="1985" w:header="709" w:footer="709" w:gutter="0"/>
          <w:cols w:space="709"/>
          <w:titlePg/>
          <w:docGrid w:linePitch="360"/>
        </w:sectPr>
      </w:pPr>
    </w:p>
    <w:p w:rsidR="000E02C2" w:rsidRPr="002429C5" w:rsidRDefault="000E02C2" w:rsidP="000E02C2">
      <w:pPr>
        <w:pStyle w:val="Heading2"/>
      </w:pPr>
      <w:bookmarkStart w:id="39" w:name="_Toc441733546"/>
      <w:r w:rsidRPr="002429C5">
        <w:lastRenderedPageBreak/>
        <w:t>Harmonisation of regulations</w:t>
      </w:r>
      <w:bookmarkEnd w:id="39"/>
    </w:p>
    <w:p w:rsidR="00B824CC" w:rsidRPr="002429C5" w:rsidRDefault="00AF4E56" w:rsidP="00AF4E56">
      <w:r w:rsidRPr="002429C5">
        <w:t>The purpose of the Railway Safety Directive</w:t>
      </w:r>
      <w:r w:rsidRPr="002429C5">
        <w:rPr>
          <w:rStyle w:val="FootnoteReference"/>
        </w:rPr>
        <w:footnoteReference w:id="24"/>
      </w:r>
      <w:r w:rsidRPr="002429C5">
        <w:t>, which was adopted in 2004, is to ensure that railway safety in the EU is maintained, and that access to the market is improved. The Safety Directive provides a framework for the harmonisation of national safety regulations, safety certificates for railway undertakings, tasks and roles for the national safety authority and the national investigation authority.</w:t>
      </w:r>
    </w:p>
    <w:p w:rsidR="00AF4E56" w:rsidRPr="002429C5" w:rsidRDefault="009763C4" w:rsidP="00AF4E56">
      <w:r w:rsidRPr="002429C5">
        <w:t>The purpose of harmonising these regulations is to alleviate the administrative burden for undertakings and make it easier and cheaper to travel across Europe by train.</w:t>
      </w:r>
    </w:p>
    <w:p w:rsidR="00B824CC" w:rsidRPr="002429C5" w:rsidRDefault="00AF4E56" w:rsidP="00AF4E56">
      <w:r w:rsidRPr="002429C5">
        <w:t>The following legal instruments from 2014 implement or supplement the Safety Directive or underlying legal instruments such as e.g. Regulation No 402/2013 on risk assessment (CSM-RA):</w:t>
      </w:r>
    </w:p>
    <w:p w:rsidR="00AF4E56" w:rsidRPr="002429C5" w:rsidRDefault="00AF4E56" w:rsidP="00AF4E56">
      <w:pPr>
        <w:numPr>
          <w:ilvl w:val="0"/>
          <w:numId w:val="13"/>
        </w:numPr>
      </w:pPr>
      <w:r w:rsidRPr="002429C5">
        <w:t>Executive Order No 408 of 25 April 2014 on the safety certification of undertakings in the rail sector that perform tasks for railway undertakings.</w:t>
      </w:r>
    </w:p>
    <w:p w:rsidR="00AF4E56" w:rsidRPr="002429C5" w:rsidRDefault="00AF4E56" w:rsidP="00AF4E56">
      <w:pPr>
        <w:numPr>
          <w:ilvl w:val="0"/>
          <w:numId w:val="13"/>
        </w:numPr>
      </w:pPr>
      <w:r w:rsidRPr="002429C5">
        <w:lastRenderedPageBreak/>
        <w:t>Executive Order No 359 of 8 April 2014 on requirements for the accreditation of assessors in the rail sector</w:t>
      </w:r>
    </w:p>
    <w:p w:rsidR="00AF4E56" w:rsidRPr="002429C5" w:rsidRDefault="00CE6307" w:rsidP="00CE6307">
      <w:pPr>
        <w:pStyle w:val="Heading2"/>
      </w:pPr>
      <w:bookmarkStart w:id="40" w:name="_Toc441733547"/>
      <w:r w:rsidRPr="002429C5">
        <w:t>Executive Order on the safety certification of undertakings in the rail sector that perform tasks for railway undertakings</w:t>
      </w:r>
      <w:bookmarkEnd w:id="40"/>
    </w:p>
    <w:p w:rsidR="00B824CC" w:rsidRPr="002429C5" w:rsidRDefault="00AF4E56" w:rsidP="007D1851">
      <w:r w:rsidRPr="002429C5">
        <w:t>Executive Order No 408 makes it possible for undertakings that perform tasks for railway undertakings to obtain a safety certificate to use the rail network.</w:t>
      </w:r>
    </w:p>
    <w:p w:rsidR="00B824CC" w:rsidRPr="002429C5" w:rsidRDefault="00AF4E56" w:rsidP="006C1B57">
      <w:pPr>
        <w:pStyle w:val="StyleDefault9ptAfter11pt"/>
      </w:pPr>
      <w:r w:rsidRPr="002429C5">
        <w:t>Undertakings that want to be able to travel on the rail network themselves in connection with the performance of work for railway undertakings are defined as railway undertakings pursuant to the Railway Safety Directive, which means they must have a safety certificate to be able to travel on the rail network.</w:t>
      </w:r>
    </w:p>
    <w:p w:rsidR="00B824CC" w:rsidRPr="002429C5" w:rsidRDefault="00AF4E56" w:rsidP="007D1851">
      <w:pPr>
        <w:spacing w:after="120"/>
        <w:rPr>
          <w:rFonts w:eastAsiaTheme="minorHAnsi" w:cs="Verdana"/>
        </w:rPr>
      </w:pPr>
      <w:r w:rsidRPr="002429C5">
        <w:t>The EU system uses two different definitions of railway undertakings.</w:t>
      </w:r>
    </w:p>
    <w:p w:rsidR="00B824CC" w:rsidRPr="002429C5" w:rsidRDefault="00AF4E56" w:rsidP="00386628">
      <w:pPr>
        <w:pStyle w:val="Default"/>
        <w:numPr>
          <w:ilvl w:val="0"/>
          <w:numId w:val="44"/>
        </w:numPr>
        <w:rPr>
          <w:sz w:val="18"/>
          <w:szCs w:val="18"/>
        </w:rPr>
      </w:pPr>
      <w:r w:rsidRPr="002429C5">
        <w:rPr>
          <w:sz w:val="18"/>
        </w:rPr>
        <w:t>The so-called classic railway undertakings, which carry passengers or freight</w:t>
      </w:r>
    </w:p>
    <w:p w:rsidR="000E61FC" w:rsidRPr="002429C5" w:rsidRDefault="000E61FC" w:rsidP="00D43322">
      <w:pPr>
        <w:keepLines/>
        <w:numPr>
          <w:ilvl w:val="0"/>
          <w:numId w:val="44"/>
        </w:numPr>
        <w:ind w:left="714" w:hanging="357"/>
      </w:pPr>
      <w:r w:rsidRPr="002429C5">
        <w:t>Undertakings that only perform tasks for other railway undertakings, e.g. shunting</w:t>
      </w:r>
    </w:p>
    <w:p w:rsidR="00B824CC" w:rsidRPr="002429C5" w:rsidRDefault="00AF4E56" w:rsidP="0011194B">
      <w:r w:rsidRPr="002429C5">
        <w:t xml:space="preserve">The types of undertaking covered by this new Executive Order belong to group 2 and are maintenance </w:t>
      </w:r>
      <w:r w:rsidRPr="002429C5">
        <w:lastRenderedPageBreak/>
        <w:t>undertakings, shunting undertakings, workshops, undertakings that perform test runs, etc.</w:t>
      </w:r>
    </w:p>
    <w:p w:rsidR="00B824CC" w:rsidRPr="002429C5" w:rsidRDefault="001D05C2" w:rsidP="0011194B">
      <w:r w:rsidRPr="002429C5">
        <w:t>The Railway Act makes a distinction and provides that these undertakings must be regulated separately and also provides that they are not required to demonstrate financial capacity and good character.</w:t>
      </w:r>
    </w:p>
    <w:p w:rsidR="00AF4E56" w:rsidRPr="002429C5" w:rsidRDefault="00AF4E56" w:rsidP="00AF4E56">
      <w:r w:rsidRPr="002429C5">
        <w:t>The Executive Order on the safety certification of undertakings in the rail sector that perform tasks for railway undertakings came into force on 1 May 2014.</w:t>
      </w:r>
    </w:p>
    <w:p w:rsidR="00AF4E56" w:rsidRPr="002429C5" w:rsidRDefault="00AF4E56" w:rsidP="00CE6307">
      <w:pPr>
        <w:pStyle w:val="Heading2"/>
      </w:pPr>
      <w:bookmarkStart w:id="41" w:name="_Toc441733548"/>
      <w:r w:rsidRPr="002429C5">
        <w:t>Executive Order on requirements for the accreditation of assessors in the rail sector</w:t>
      </w:r>
      <w:bookmarkEnd w:id="41"/>
    </w:p>
    <w:p w:rsidR="00AF4E56" w:rsidRPr="002429C5" w:rsidRDefault="0011194B" w:rsidP="00AF4E56">
      <w:r w:rsidRPr="002429C5">
        <w:t>CSM-RA replaces Regulation No 352/2009, which was issued by the Commission in 2009.</w:t>
      </w:r>
    </w:p>
    <w:p w:rsidR="00AF4E56" w:rsidRPr="002429C5" w:rsidRDefault="00AF4E56" w:rsidP="00AF4E56">
      <w:r w:rsidRPr="002429C5">
        <w:t>The new regulation came into force on 23 May 2013. The regulation will apply from 21 May 2015.</w:t>
      </w:r>
    </w:p>
    <w:p w:rsidR="00AF4E56" w:rsidRPr="002429C5" w:rsidRDefault="00AF4E56" w:rsidP="00AF4E56">
      <w:r w:rsidRPr="002429C5">
        <w:t>The regulation is directed at railway undertakings and infrastructure managers, as well as entities in charge of maintenance (ECM). The regulation provides undertakings with common guidelines for making changes, which may be of a technical, operational or organisational nature. As regards organisational changes, only changes that could have an impact on operating conditions are taken into consideration.</w:t>
      </w:r>
    </w:p>
    <w:p w:rsidR="00AF4E56" w:rsidRPr="002429C5" w:rsidRDefault="00AF4E56" w:rsidP="00AF4E56">
      <w:r w:rsidRPr="002429C5">
        <w:lastRenderedPageBreak/>
        <w:t>The main changes in the regulation are:</w:t>
      </w:r>
    </w:p>
    <w:p w:rsidR="00AF4E56" w:rsidRPr="002429C5" w:rsidRDefault="00AF4E56" w:rsidP="00707994">
      <w:pPr>
        <w:pStyle w:val="ListParagraph"/>
        <w:numPr>
          <w:ilvl w:val="0"/>
          <w:numId w:val="43"/>
        </w:numPr>
        <w:spacing w:line="240" w:lineRule="auto"/>
        <w:rPr>
          <w:sz w:val="18"/>
        </w:rPr>
      </w:pPr>
      <w:r w:rsidRPr="002429C5">
        <w:rPr>
          <w:sz w:val="18"/>
        </w:rPr>
        <w:t xml:space="preserve">New requirement that assessors must be either accredited or recognised </w:t>
      </w:r>
      <w:r w:rsidRPr="002429C5">
        <w:rPr>
          <w:b/>
          <w:sz w:val="18"/>
        </w:rPr>
        <w:t>(Art. 7)</w:t>
      </w:r>
    </w:p>
    <w:p w:rsidR="00AF4E56" w:rsidRPr="002429C5" w:rsidRDefault="00AF4E56" w:rsidP="00707994">
      <w:pPr>
        <w:pStyle w:val="ListParagraph"/>
        <w:numPr>
          <w:ilvl w:val="0"/>
          <w:numId w:val="43"/>
        </w:numPr>
        <w:spacing w:line="240" w:lineRule="auto"/>
        <w:rPr>
          <w:sz w:val="18"/>
        </w:rPr>
      </w:pPr>
      <w:r w:rsidRPr="002429C5">
        <w:rPr>
          <w:sz w:val="18"/>
        </w:rPr>
        <w:t xml:space="preserve">New requirement for what should be included in the assessor’s safety assessment report </w:t>
      </w:r>
      <w:r w:rsidRPr="002429C5">
        <w:rPr>
          <w:b/>
          <w:sz w:val="18"/>
        </w:rPr>
        <w:t>(Art. 15)</w:t>
      </w:r>
    </w:p>
    <w:p w:rsidR="00AF4E56" w:rsidRPr="002429C5" w:rsidRDefault="00AF4E56" w:rsidP="00707994">
      <w:pPr>
        <w:pStyle w:val="ListParagraph"/>
        <w:numPr>
          <w:ilvl w:val="0"/>
          <w:numId w:val="43"/>
        </w:numPr>
        <w:spacing w:line="240" w:lineRule="auto"/>
        <w:rPr>
          <w:sz w:val="18"/>
        </w:rPr>
      </w:pPr>
      <w:r w:rsidRPr="002429C5">
        <w:rPr>
          <w:sz w:val="18"/>
        </w:rPr>
        <w:t xml:space="preserve">An expansion of the existing requirements on an assessor’s competencies </w:t>
      </w:r>
      <w:r w:rsidRPr="002429C5">
        <w:rPr>
          <w:b/>
          <w:sz w:val="18"/>
        </w:rPr>
        <w:t>(Annex II)</w:t>
      </w:r>
    </w:p>
    <w:p w:rsidR="00AF4E56" w:rsidRPr="002429C5" w:rsidRDefault="00AF4E56" w:rsidP="00AF4E56">
      <w:r w:rsidRPr="002429C5">
        <w:t>In 2014, the Agency continued the work from 2013 on the new requirement that assessors must be either accredited or recognised, including which scheme should apply in Denmark. At the same time, the Agency addressed the issue of which national approval system of non-accredited assessors should be applied after 21 May 2015, as well as the appropriate requirements for assessors in this system.</w:t>
      </w:r>
    </w:p>
    <w:p w:rsidR="00707994" w:rsidRPr="002429C5" w:rsidRDefault="005D1ECD" w:rsidP="00761363">
      <w:r w:rsidRPr="002429C5">
        <w:t>The Agency issued Executive Order No 359 of 8 April 2014 on requirements for the accreditation of assessors in the rail sector with a date of entry into force of 21 May 2014. This Executive Order stipulates that assessors based in Denmark must be accredited. The Executive Order concerns how an undertaking can obtain accreditation as an assessor in Denmark, as well as what requirements assessors must satisfy to remain accredited as assessors.</w:t>
      </w:r>
    </w:p>
    <w:p w:rsidR="00761363" w:rsidRPr="002429C5" w:rsidRDefault="00761363" w:rsidP="00761363">
      <w:pPr>
        <w:pStyle w:val="Heading2"/>
      </w:pPr>
    </w:p>
    <w:p w:rsidR="00761363" w:rsidRPr="002429C5" w:rsidRDefault="00761363" w:rsidP="00761363">
      <w:pPr>
        <w:sectPr w:rsidR="00761363" w:rsidRPr="002429C5" w:rsidSect="00356DD7">
          <w:type w:val="continuous"/>
          <w:pgSz w:w="11906" w:h="16838" w:code="9"/>
          <w:pgMar w:top="1985" w:right="1985" w:bottom="1418" w:left="1985" w:header="709" w:footer="709" w:gutter="0"/>
          <w:cols w:num="2" w:space="709"/>
          <w:titlePg/>
          <w:docGrid w:linePitch="360"/>
        </w:sectPr>
      </w:pPr>
    </w:p>
    <w:p w:rsidR="000E02C2" w:rsidRPr="002429C5" w:rsidRDefault="000E02C2" w:rsidP="00761363"/>
    <w:p w:rsidR="00386628" w:rsidRPr="002429C5" w:rsidRDefault="00386628" w:rsidP="009E1874">
      <w:pPr>
        <w:pStyle w:val="Heading1"/>
      </w:pPr>
      <w:r w:rsidRPr="002429C5">
        <w:br w:type="page"/>
      </w:r>
    </w:p>
    <w:p w:rsidR="007334C9" w:rsidRPr="002429C5" w:rsidRDefault="00A15CDC" w:rsidP="009E1874">
      <w:pPr>
        <w:pStyle w:val="Heading1"/>
      </w:pPr>
      <w:bookmarkStart w:id="42" w:name="_Toc441733549"/>
      <w:r w:rsidRPr="002429C5">
        <w:lastRenderedPageBreak/>
        <w:t>Chapter 7. Experiences with the Risk Assessment Regulation (CSM-RA)</w:t>
      </w:r>
      <w:bookmarkEnd w:id="42"/>
    </w:p>
    <w:p w:rsidR="007334C9" w:rsidRPr="002429C5" w:rsidRDefault="00D77C12" w:rsidP="007334C9">
      <w:pPr>
        <w:rPr>
          <w:sz w:val="24"/>
          <w:szCs w:val="24"/>
        </w:rPr>
      </w:pPr>
      <w:r w:rsidRPr="002429C5">
        <w:rPr>
          <w:sz w:val="24"/>
        </w:rPr>
        <w:t>There are differences in how much experience the individual undertakings have of risk assessment. This is due to major differences in the size and extent of undertakings’ change activities. In 2014, the Agency provided guidance depending on the undertakings’ needs. Both railway undertakings and infrastructure managers have generally become better at applying the methods in the Risk Assessment Regulation (CSM</w:t>
      </w:r>
      <w:r w:rsidRPr="002429C5">
        <w:noBreakHyphen/>
      </w:r>
      <w:r w:rsidRPr="002429C5">
        <w:rPr>
          <w:sz w:val="24"/>
        </w:rPr>
        <w:t>RA). However, in 2014 there proved to be a continued need for dialogue between the Agency and the various parties, and several undertakings sent assessments of changes to the Agency, which they themselves did not have the resources to handle.</w:t>
      </w:r>
    </w:p>
    <w:p w:rsidR="00FA5788" w:rsidRPr="002429C5" w:rsidRDefault="00FA5788" w:rsidP="007334C9">
      <w:pPr>
        <w:rPr>
          <w:i/>
          <w:sz w:val="24"/>
          <w:szCs w:val="24"/>
        </w:rPr>
      </w:pPr>
    </w:p>
    <w:p w:rsidR="007334C9" w:rsidRPr="002429C5" w:rsidRDefault="007334C9" w:rsidP="007334C9">
      <w:pPr>
        <w:pStyle w:val="Heading2"/>
        <w:rPr>
          <w:sz w:val="20"/>
          <w:szCs w:val="20"/>
        </w:rPr>
        <w:sectPr w:rsidR="007334C9" w:rsidRPr="002429C5" w:rsidSect="00356DD7">
          <w:type w:val="continuous"/>
          <w:pgSz w:w="11906" w:h="16838" w:code="9"/>
          <w:pgMar w:top="1985" w:right="1985" w:bottom="1418" w:left="1985" w:header="709" w:footer="709" w:gutter="0"/>
          <w:cols w:space="709"/>
          <w:titlePg/>
          <w:docGrid w:linePitch="360"/>
        </w:sectPr>
      </w:pPr>
    </w:p>
    <w:p w:rsidR="007334C9" w:rsidRPr="002429C5" w:rsidRDefault="007334C9" w:rsidP="00FA5788">
      <w:pPr>
        <w:pStyle w:val="Heading2"/>
        <w:spacing w:before="0"/>
        <w:rPr>
          <w:sz w:val="20"/>
          <w:szCs w:val="20"/>
        </w:rPr>
      </w:pPr>
      <w:bookmarkStart w:id="43" w:name="_Toc441733550"/>
      <w:r w:rsidRPr="002429C5">
        <w:lastRenderedPageBreak/>
        <w:t>Experiences in the area of infrastructure</w:t>
      </w:r>
      <w:bookmarkEnd w:id="43"/>
    </w:p>
    <w:p w:rsidR="007334C9" w:rsidRPr="002429C5" w:rsidRDefault="007334C9" w:rsidP="00633B96">
      <w:pPr>
        <w:rPr>
          <w:b/>
        </w:rPr>
      </w:pPr>
      <w:r w:rsidRPr="002429C5">
        <w:rPr>
          <w:b/>
        </w:rPr>
        <w:t>Significance assessments</w:t>
      </w:r>
    </w:p>
    <w:p w:rsidR="007334C9" w:rsidRPr="002429C5" w:rsidRDefault="007334C9" w:rsidP="007334C9">
      <w:r w:rsidRPr="002429C5">
        <w:t>2013 was the last year in which the Agency received all significance assessments from the infrastructure managers for assessment. Based on an assessment that the significance assessments were generally of an acceptable level, in 2014 there were instead individual ad hoc supervisions of assessments of significance. The supervision shows that the infrastructure managers' own assessments of significance are generally good, but also that there is still a need for dialogue and guidance from the Agency's side in relation to whether a change is significant or not.</w:t>
      </w:r>
    </w:p>
    <w:p w:rsidR="00B824CC" w:rsidRPr="002429C5" w:rsidRDefault="007334C9" w:rsidP="007334C9">
      <w:r w:rsidRPr="002429C5">
        <w:t xml:space="preserve">In particular, the Agency noted that the project definition of changes altered in the course of 2014. In other words, changes that would previously have been seen as one significant change now instead appear as several separate changes that individually can be significant or non-significant. Such an approach places heavy demands on the management of interfaces between projects, as regards both the project and the assessor. In addition there is a rule about 'accumulation', i.e. several </w:t>
      </w:r>
      <w:r w:rsidRPr="002429C5">
        <w:lastRenderedPageBreak/>
        <w:t xml:space="preserve">small non-significant projects together may prove to be a significant project. </w:t>
      </w:r>
    </w:p>
    <w:p w:rsidR="007334C9" w:rsidRPr="002429C5" w:rsidRDefault="007334C9" w:rsidP="007334C9">
      <w:r w:rsidRPr="002429C5">
        <w:t xml:space="preserve">At the end of the year, the Agency opened a separate dialogue on this phenomenon with </w:t>
      </w:r>
      <w:proofErr w:type="spellStart"/>
      <w:r w:rsidRPr="002429C5">
        <w:t>Banedanmark</w:t>
      </w:r>
      <w:proofErr w:type="spellEnd"/>
      <w:r w:rsidRPr="002429C5">
        <w:t>.</w:t>
      </w:r>
    </w:p>
    <w:p w:rsidR="007334C9" w:rsidRPr="002429C5" w:rsidRDefault="007334C9" w:rsidP="007334C9">
      <w:r w:rsidRPr="002429C5">
        <w:t>Regarding the very large construction projects that run over several years, the Agency has been in dialogue with the projects about how particular repetitive changes or changes with little impact on safety in the construction phase can be handled. There has been a concern that these changes could be assessed as non-significant and therefore escape the assessor's assessment. For a significant project, the final solution was that in the construction phase the project can treat individual specific changes as non-significant, but that the changes must be included in the final application for authorisation to place into service for the entire stretch and therefore appear as significant in the final commissioning.</w:t>
      </w:r>
    </w:p>
    <w:p w:rsidR="007334C9" w:rsidRPr="002429C5" w:rsidRDefault="007334C9" w:rsidP="00FA5788">
      <w:pPr>
        <w:keepNext/>
        <w:rPr>
          <w:b/>
        </w:rPr>
      </w:pPr>
      <w:r w:rsidRPr="002429C5">
        <w:rPr>
          <w:b/>
        </w:rPr>
        <w:t>Introduction of Appendix 1 and 2</w:t>
      </w:r>
    </w:p>
    <w:p w:rsidR="00B824CC" w:rsidRPr="002429C5" w:rsidRDefault="005D1ECD" w:rsidP="007334C9">
      <w:r w:rsidRPr="002429C5">
        <w:t xml:space="preserve">At the beginning of the year the Agency introduced a new work flow in relation to authorisations to place into service for infrastructure. Since 1 March 2014, all projects that receive </w:t>
      </w:r>
      <w:r w:rsidRPr="002429C5">
        <w:lastRenderedPageBreak/>
        <w:t>an authorisation to place into service must, within four weeks of commissioning, submit a so-called assessed ’Appendix 1’ on the safe export and integration of the change and, within six months of commissioning, submit an assessed ’Appendix 2’ with final documentation to the Agency.</w:t>
      </w:r>
    </w:p>
    <w:p w:rsidR="00B824CC" w:rsidRPr="002429C5" w:rsidRDefault="007334C9" w:rsidP="007334C9">
      <w:r w:rsidRPr="002429C5">
        <w:t>The purpose of the introduction of Appendix 1 and Appendix 2 is to tighten up on the submission of final documentation for the change to the Agency, since in the past this documentation was often delayed, and the Agency therefore genuinely had no proof of the safe export and integration of the changed infrastructure.</w:t>
      </w:r>
    </w:p>
    <w:p w:rsidR="007334C9" w:rsidRPr="002429C5" w:rsidRDefault="007334C9" w:rsidP="007334C9">
      <w:pPr>
        <w:rPr>
          <w:sz w:val="20"/>
        </w:rPr>
      </w:pPr>
      <w:r w:rsidRPr="002429C5">
        <w:t>There is no doubt that it has been a challenge for the projects having to comply with the new deadlines. There has been ongoing follow-up, which shows that the projects generally meet the deadlines to a satisfactory level, although there is still a need for follow-up and dialogue on compliance with deadlines. There have, for example, been problems with compliance with deadlines in connection with the organisation of holidays or the replacement of key people. Ultimately, the absence of an appendix submitted on time can lead to the authorisation to place into service being cancelled for the change in question.</w:t>
      </w:r>
    </w:p>
    <w:p w:rsidR="007334C9" w:rsidRPr="002429C5" w:rsidRDefault="007334C9" w:rsidP="00FA5788">
      <w:pPr>
        <w:keepNext/>
        <w:rPr>
          <w:b/>
        </w:rPr>
      </w:pPr>
      <w:r w:rsidRPr="002429C5">
        <w:rPr>
          <w:b/>
        </w:rPr>
        <w:t>Approval and use of assessors</w:t>
      </w:r>
    </w:p>
    <w:p w:rsidR="00B824CC" w:rsidRPr="002429C5" w:rsidRDefault="007334C9" w:rsidP="007334C9">
      <w:r w:rsidRPr="002429C5">
        <w:t>2014 was characterised by a continued maturation of the assessor market in Denmark. The market includes large international and medium-sized undertakings and sole traders. Typically, sole traders will be included in the assessor teams at the other undertakings. This year, the market has continued to change. On the one hand, new European undertakings have come to Denmark in connection with major infrastructure projects in Denmark (</w:t>
      </w:r>
      <w:proofErr w:type="spellStart"/>
      <w:r w:rsidRPr="002429C5">
        <w:t>Femern</w:t>
      </w:r>
      <w:proofErr w:type="spellEnd"/>
      <w:r w:rsidRPr="002429C5">
        <w:t xml:space="preserve"> </w:t>
      </w:r>
      <w:proofErr w:type="spellStart"/>
      <w:r w:rsidRPr="002429C5">
        <w:t>kyst-kyst</w:t>
      </w:r>
      <w:proofErr w:type="spellEnd"/>
      <w:r w:rsidRPr="002429C5">
        <w:t xml:space="preserve">, </w:t>
      </w:r>
      <w:proofErr w:type="spellStart"/>
      <w:r w:rsidRPr="002429C5">
        <w:t>Signalprogrammet</w:t>
      </w:r>
      <w:proofErr w:type="spellEnd"/>
      <w:r w:rsidRPr="002429C5">
        <w:t xml:space="preserve">, Metro </w:t>
      </w:r>
      <w:proofErr w:type="spellStart"/>
      <w:r w:rsidRPr="002429C5">
        <w:t>Cityringen</w:t>
      </w:r>
      <w:proofErr w:type="spellEnd"/>
      <w:r w:rsidRPr="002429C5">
        <w:t>, etc.), while on the other hand the new CSM-RA Regulation has led to questions from the industry about the extent to which there will be a requirement for assessors to be accredited.</w:t>
      </w:r>
    </w:p>
    <w:p w:rsidR="007334C9" w:rsidRPr="002429C5" w:rsidRDefault="005D1ECD" w:rsidP="007334C9">
      <w:r w:rsidRPr="002429C5">
        <w:lastRenderedPageBreak/>
        <w:t>For the major projects in particular, the Agency is engaged in ongoing supervision/dialogue with the assessors, and supervision of assessors can be organised in smaller projects.</w:t>
      </w:r>
    </w:p>
    <w:p w:rsidR="007334C9" w:rsidRPr="002429C5" w:rsidRDefault="005D1ECD" w:rsidP="00F51F5E">
      <w:r w:rsidRPr="002429C5">
        <w:t>In recent years the Agency has organised an Assessor Forum, where regular meetings are held between assessors and the Agency to discuss current problems and clarify issues. Support for the Assessor Forum is generally high.</w:t>
      </w:r>
    </w:p>
    <w:p w:rsidR="00411603" w:rsidRPr="002429C5" w:rsidRDefault="00F720BE" w:rsidP="00D87719">
      <w:pPr>
        <w:pStyle w:val="Heading2"/>
      </w:pPr>
      <w:bookmarkStart w:id="44" w:name="_Toc441733551"/>
      <w:r w:rsidRPr="002429C5">
        <w:t>Experiences in the area of vehicles</w:t>
      </w:r>
      <w:bookmarkEnd w:id="44"/>
    </w:p>
    <w:p w:rsidR="00F720BE" w:rsidRPr="002429C5" w:rsidRDefault="00F720BE" w:rsidP="00F720BE">
      <w:r w:rsidRPr="002429C5">
        <w:t>In 2014, the Agency primarily familiarised itself with the undertakings' interim system definitions and significance assessments in major projects. The interim system definitions varied considerably in quality. The assessment is that it depends a lot on the person who designed them, despite the fact that the undertakings have prepared templates to ensure both a consistent approach and better quality. The main problem for the undertakings has been to design system definitions so that they could actually be used for the purpose in relation to CSM, i.e. to identify hazards and risk aspects.</w:t>
      </w:r>
    </w:p>
    <w:p w:rsidR="00B824CC" w:rsidRPr="002429C5" w:rsidRDefault="00F720BE" w:rsidP="00F720BE">
      <w:r w:rsidRPr="002429C5">
        <w:t>Similarly, the undertakings' significance assessments varied considerably in quality. Here, too, much depended on the person who designed them. In the case of expert assessments in particular, these clearly appear to have been developed by individuals in the undertaking and not an expert assessment team. In addition, undertakings are still having major problems preparing significance assessments due to a lack of understanding of the significance criteria and thus the use of the six assessment criteria.</w:t>
      </w:r>
    </w:p>
    <w:p w:rsidR="00F720BE" w:rsidRPr="002429C5" w:rsidRDefault="00F720BE" w:rsidP="00FA5788">
      <w:pPr>
        <w:keepLines/>
      </w:pPr>
      <w:r w:rsidRPr="002429C5">
        <w:t>Based on the above, in the summer of 2014 the Agency entered into dialogue with some of the major players to understand the assessment criteria and review 'classic' errors when assessing significance.</w:t>
      </w:r>
    </w:p>
    <w:p w:rsidR="00F720BE" w:rsidRPr="002429C5" w:rsidRDefault="00F720BE" w:rsidP="00F720BE">
      <w:r w:rsidRPr="002429C5">
        <w:lastRenderedPageBreak/>
        <w:t>In 2014 the Agency required several railway undertakings to submit all changes intended for the undertakings' vehicles to the Agency, and not just the significant changes. The Agency's overall assessment is that the undertakings' interim system definitions and significance assessments have been characterised by individuals and that the quality has varied considerably. There has been room for improvement among significance assessments in particular. Several changes to significance assessments seem to be characterised by a fear of making significant changes and there have therefore not been any convincing arguments for not being significant. It is thus the Agency's assessment that there is still some way to go before the desired level of quality for significance assessments is achieved.</w:t>
      </w:r>
    </w:p>
    <w:p w:rsidR="00F720BE" w:rsidRPr="002429C5" w:rsidRDefault="00F720BE" w:rsidP="00F720BE">
      <w:pPr>
        <w:rPr>
          <w:b/>
        </w:rPr>
      </w:pPr>
      <w:r w:rsidRPr="002429C5">
        <w:rPr>
          <w:b/>
        </w:rPr>
        <w:t>Approval and use of assessors</w:t>
      </w:r>
    </w:p>
    <w:p w:rsidR="00F720BE" w:rsidRPr="002429C5" w:rsidRDefault="00F720BE" w:rsidP="00F720BE">
      <w:r w:rsidRPr="002429C5">
        <w:t>In connection with the approval and use of assessors, it is felt that the approved assessors' competences have been good, but the quality of assessor reports has depended on who and which undertakings were behind them. It has been especially difficult for assessors to communicate through their safety report when the following has been challenging for the authority:</w:t>
      </w:r>
    </w:p>
    <w:p w:rsidR="00F720BE" w:rsidRPr="002429C5" w:rsidRDefault="00F720BE" w:rsidP="00C106BB">
      <w:pPr>
        <w:pStyle w:val="ListParagraph"/>
        <w:numPr>
          <w:ilvl w:val="0"/>
          <w:numId w:val="45"/>
        </w:numPr>
        <w:spacing w:after="200" w:line="240" w:lineRule="auto"/>
        <w:rPr>
          <w:sz w:val="18"/>
        </w:rPr>
      </w:pPr>
      <w:r w:rsidRPr="002429C5">
        <w:rPr>
          <w:sz w:val="18"/>
        </w:rPr>
        <w:t>Critical issues are not always clearly formulated</w:t>
      </w:r>
    </w:p>
    <w:p w:rsidR="00F720BE" w:rsidRPr="002429C5" w:rsidRDefault="00F720BE" w:rsidP="00C106BB">
      <w:pPr>
        <w:pStyle w:val="ListParagraph"/>
        <w:numPr>
          <w:ilvl w:val="0"/>
          <w:numId w:val="45"/>
        </w:numPr>
        <w:spacing w:after="200" w:line="240" w:lineRule="auto"/>
        <w:rPr>
          <w:sz w:val="18"/>
        </w:rPr>
      </w:pPr>
      <w:r w:rsidRPr="002429C5">
        <w:rPr>
          <w:sz w:val="18"/>
        </w:rPr>
        <w:t>The reports generally have a lot of text and repetition, which can mean that important information is not readily apparent</w:t>
      </w:r>
    </w:p>
    <w:p w:rsidR="00B824CC" w:rsidRPr="002429C5" w:rsidRDefault="00F720BE" w:rsidP="00D87719">
      <w:pPr>
        <w:pStyle w:val="ListParagraph"/>
        <w:numPr>
          <w:ilvl w:val="0"/>
          <w:numId w:val="45"/>
        </w:numPr>
        <w:spacing w:after="200" w:line="240" w:lineRule="auto"/>
        <w:rPr>
          <w:sz w:val="18"/>
        </w:rPr>
      </w:pPr>
      <w:r w:rsidRPr="002429C5">
        <w:rPr>
          <w:sz w:val="18"/>
        </w:rPr>
        <w:t>There is no uniform structure in the reports on railway safety, and it can therefore be difficult to draw conclusions.</w:t>
      </w:r>
    </w:p>
    <w:p w:rsidR="004273DB" w:rsidRPr="002429C5" w:rsidRDefault="004273DB" w:rsidP="004273DB">
      <w:pPr>
        <w:spacing w:after="200"/>
      </w:pPr>
      <w:r w:rsidRPr="002429C5">
        <w:t>The Agency will look at whether the requirements currently imposed in the revised regulation on the assessor's report have sufficiently remedied this problem or whether, for example, there is a need to establish a standard format in which this situation can be clarified.</w:t>
      </w:r>
    </w:p>
    <w:p w:rsidR="00B824CC" w:rsidRPr="002429C5" w:rsidRDefault="00BC7BED" w:rsidP="00D87719">
      <w:pPr>
        <w:pStyle w:val="Heading2"/>
      </w:pPr>
      <w:bookmarkStart w:id="45" w:name="_Toc441733552"/>
      <w:r w:rsidRPr="002429C5">
        <w:lastRenderedPageBreak/>
        <w:t>Experiences from the undertakings</w:t>
      </w:r>
      <w:bookmarkEnd w:id="45"/>
    </w:p>
    <w:p w:rsidR="007334C9" w:rsidRPr="002429C5" w:rsidRDefault="007334C9" w:rsidP="007334C9">
      <w:pPr>
        <w:spacing w:before="120" w:after="120"/>
      </w:pPr>
      <w:r w:rsidRPr="002429C5">
        <w:t>All railway undertakings and infrastructure managers submit annual safety reports to the Agency. Among other things, the safety reports include the undertakings’ thoughts on applying the methods in CSM-RA.</w:t>
      </w:r>
    </w:p>
    <w:p w:rsidR="007334C9" w:rsidRPr="002429C5" w:rsidRDefault="005D1ECD" w:rsidP="007334C9">
      <w:pPr>
        <w:spacing w:before="120" w:after="120"/>
      </w:pPr>
      <w:r w:rsidRPr="002429C5">
        <w:t>The Agency processed 16 safety reports for 2014. Most undertakings believe they gained experience of the Regulation during the year.</w:t>
      </w:r>
    </w:p>
    <w:p w:rsidR="007334C9" w:rsidRPr="002429C5" w:rsidRDefault="007334C9" w:rsidP="007334C9">
      <w:pPr>
        <w:spacing w:before="120" w:after="120"/>
      </w:pPr>
      <w:r w:rsidRPr="002429C5">
        <w:t>During 2014, 15 undertakings used the methods and gained a greater understanding of the process through dialogue with the Agency and/or the assessor. Several say they have improved their processes in this connection.</w:t>
      </w:r>
    </w:p>
    <w:p w:rsidR="007334C9" w:rsidRPr="002429C5" w:rsidRDefault="007334C9" w:rsidP="007334C9">
      <w:pPr>
        <w:spacing w:before="120" w:after="120"/>
      </w:pPr>
      <w:r w:rsidRPr="002429C5">
        <w:t>However, a number of undertakings say that they are still facing challenges applying the process. Several also found that the Agency did not agree with the significance assessments submitted by them, and one felt that different assessors have different expectations of the process.</w:t>
      </w:r>
    </w:p>
    <w:p w:rsidR="007334C9" w:rsidRPr="002429C5" w:rsidRDefault="00B57FF1" w:rsidP="007334C9">
      <w:pPr>
        <w:spacing w:before="120" w:after="120"/>
      </w:pPr>
      <w:r w:rsidRPr="002429C5">
        <w:t>Some of the undertakings are still experiencing the process as cumbersome to implement and document. One undertaking is concerned about the increased costs associated with the application of CSM</w:t>
      </w:r>
      <w:r w:rsidRPr="002429C5">
        <w:noBreakHyphen/>
        <w:t>RA, including both internal costs associated with regulatory procedures and costs associated with the assessor's work.</w:t>
      </w:r>
    </w:p>
    <w:p w:rsidR="007334C9" w:rsidRPr="002429C5" w:rsidRDefault="007334C9" w:rsidP="007334C9">
      <w:pPr>
        <w:spacing w:before="120" w:after="120"/>
      </w:pPr>
      <w:r w:rsidRPr="002429C5">
        <w:t>Three undertakings are still using outside assistance in connection with the management of changes.</w:t>
      </w:r>
    </w:p>
    <w:p w:rsidR="00B824CC" w:rsidRPr="002429C5" w:rsidRDefault="00B57FF1" w:rsidP="007334C9">
      <w:pPr>
        <w:spacing w:before="120" w:after="120"/>
      </w:pPr>
      <w:r w:rsidRPr="002429C5">
        <w:t>Five undertakings specifically mention that they are focusing on training staff in the use of the methods.</w:t>
      </w:r>
    </w:p>
    <w:p w:rsidR="007334C9" w:rsidRPr="002429C5" w:rsidRDefault="007334C9" w:rsidP="007334C9">
      <w:pPr>
        <w:spacing w:before="120" w:after="120"/>
      </w:pPr>
      <w:r w:rsidRPr="002429C5">
        <w:t xml:space="preserve">In the context of supervision it was felt that three undertakings still do not possess the necessary competencies to manage changes themselves. Two of these undertakings are making a few changes and have therefore chosen to submit all changes for assessment to the Agency instead of training their staff themselves. The undertakings have described this procedure in their safety management system. The third undertaking is using consultants to </w:t>
      </w:r>
      <w:r w:rsidRPr="002429C5">
        <w:lastRenderedPageBreak/>
        <w:t>manage changes and sends all changes to the Agency for assessment.</w:t>
      </w:r>
    </w:p>
    <w:p w:rsidR="00D43322" w:rsidRPr="002429C5" w:rsidRDefault="005D1ECD" w:rsidP="007334C9">
      <w:pPr>
        <w:spacing w:before="120" w:after="120"/>
      </w:pPr>
      <w:r w:rsidRPr="002429C5">
        <w:t xml:space="preserve">In 2015 the Agency will continue its work guiding undertakings in the use of the Risk Assessment Regulation. Guidance will be provided partly in the </w:t>
      </w:r>
      <w:r w:rsidRPr="002429C5">
        <w:lastRenderedPageBreak/>
        <w:t>context of supervision of the undertakings' safety management systems and partly in the context of supervision of assessors.</w:t>
      </w:r>
    </w:p>
    <w:p w:rsidR="000A0609" w:rsidRPr="002429C5" w:rsidRDefault="000A0609" w:rsidP="007334C9">
      <w:pPr>
        <w:spacing w:before="120" w:after="120"/>
      </w:pPr>
      <w:r w:rsidRPr="002429C5">
        <w:br w:type="page"/>
      </w:r>
    </w:p>
    <w:p w:rsidR="000A0609" w:rsidRPr="002429C5" w:rsidRDefault="000A0609" w:rsidP="000A0609">
      <w:pPr>
        <w:pStyle w:val="Heading1"/>
        <w:sectPr w:rsidR="000A0609" w:rsidRPr="002429C5" w:rsidSect="00356DD7">
          <w:type w:val="continuous"/>
          <w:pgSz w:w="11906" w:h="16838" w:code="9"/>
          <w:pgMar w:top="1985" w:right="1985" w:bottom="1418" w:left="1985" w:header="709" w:footer="709" w:gutter="0"/>
          <w:cols w:num="2" w:space="709"/>
          <w:titlePg/>
          <w:docGrid w:linePitch="360"/>
        </w:sectPr>
      </w:pPr>
    </w:p>
    <w:p w:rsidR="000A0609" w:rsidRPr="002429C5" w:rsidRDefault="000A0609" w:rsidP="000A0609">
      <w:pPr>
        <w:pStyle w:val="Heading1"/>
      </w:pPr>
      <w:bookmarkStart w:id="46" w:name="_Toc441733553"/>
      <w:r w:rsidRPr="002429C5">
        <w:lastRenderedPageBreak/>
        <w:t>Annex A: The railways in figures</w:t>
      </w:r>
      <w:bookmarkEnd w:id="46"/>
    </w:p>
    <w:p w:rsidR="000A0609" w:rsidRPr="002429C5" w:rsidRDefault="000A0609" w:rsidP="000A0609">
      <w:pPr>
        <w:pStyle w:val="Tabeltitel"/>
        <w:numPr>
          <w:ilvl w:val="0"/>
          <w:numId w:val="0"/>
        </w:numPr>
        <w:ind w:left="142"/>
      </w:pPr>
      <w:r w:rsidRPr="002429C5">
        <w:t>Table 5. Information on railway infrastructure</w:t>
      </w:r>
    </w:p>
    <w:tbl>
      <w:tblPr>
        <w:tblW w:w="8647" w:type="dxa"/>
        <w:tblInd w:w="42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top w:w="85" w:type="dxa"/>
          <w:left w:w="425" w:type="dxa"/>
          <w:bottom w:w="85" w:type="dxa"/>
          <w:right w:w="0" w:type="dxa"/>
        </w:tblCellMar>
        <w:tblLook w:val="01E0" w:firstRow="1" w:lastRow="1" w:firstColumn="1" w:lastColumn="1" w:noHBand="0" w:noVBand="0"/>
      </w:tblPr>
      <w:tblGrid>
        <w:gridCol w:w="7230"/>
        <w:gridCol w:w="1417"/>
      </w:tblGrid>
      <w:tr w:rsidR="000A0609" w:rsidRPr="002429C5" w:rsidTr="00FA5788">
        <w:trPr>
          <w:cantSplit/>
          <w:tblHeader/>
        </w:trPr>
        <w:tc>
          <w:tcPr>
            <w:tcW w:w="7230" w:type="dxa"/>
            <w:tcBorders>
              <w:top w:val="single" w:sz="4" w:space="0" w:color="808080"/>
              <w:left w:val="single" w:sz="4" w:space="0" w:color="808080"/>
              <w:bottom w:val="single" w:sz="4" w:space="0" w:color="808080"/>
              <w:right w:val="single" w:sz="4" w:space="0" w:color="808080"/>
            </w:tcBorders>
            <w:shd w:val="clear" w:color="auto" w:fill="CCCCCC"/>
            <w:tcMar>
              <w:top w:w="170" w:type="dxa"/>
              <w:left w:w="425" w:type="dxa"/>
              <w:bottom w:w="170" w:type="dxa"/>
              <w:right w:w="0" w:type="dxa"/>
            </w:tcMar>
            <w:hideMark/>
          </w:tcPr>
          <w:p w:rsidR="000A0609" w:rsidRPr="002429C5" w:rsidRDefault="000A0609" w:rsidP="00FA5788">
            <w:pPr>
              <w:pStyle w:val="Tabeltekst"/>
              <w:keepNext/>
              <w:spacing w:line="276" w:lineRule="auto"/>
              <w:rPr>
                <w:b/>
              </w:rPr>
            </w:pPr>
            <w:r w:rsidRPr="002429C5">
              <w:rPr>
                <w:b/>
              </w:rPr>
              <w:t>Railway infrastructure</w:t>
            </w:r>
          </w:p>
        </w:tc>
        <w:tc>
          <w:tcPr>
            <w:tcW w:w="1417" w:type="dxa"/>
            <w:tcBorders>
              <w:top w:val="single" w:sz="4" w:space="0" w:color="808080"/>
              <w:left w:val="single" w:sz="4" w:space="0" w:color="808080"/>
              <w:bottom w:val="single" w:sz="4" w:space="0" w:color="808080"/>
              <w:right w:val="single" w:sz="4" w:space="0" w:color="808080"/>
            </w:tcBorders>
            <w:shd w:val="clear" w:color="auto" w:fill="CCCCCC"/>
            <w:hideMark/>
          </w:tcPr>
          <w:p w:rsidR="000A0609" w:rsidRPr="002429C5" w:rsidRDefault="000A0609" w:rsidP="00FA5788">
            <w:pPr>
              <w:pStyle w:val="Tabeltekst"/>
              <w:keepNext/>
              <w:spacing w:line="276" w:lineRule="auto"/>
              <w:rPr>
                <w:b/>
                <w:highlight w:val="yellow"/>
              </w:rPr>
            </w:pPr>
            <w:r w:rsidRPr="002429C5">
              <w:rPr>
                <w:b/>
              </w:rPr>
              <w:t>2014</w:t>
            </w:r>
          </w:p>
        </w:tc>
      </w:tr>
      <w:tr w:rsidR="000A0609" w:rsidRPr="002429C5" w:rsidTr="00FA5788">
        <w:trPr>
          <w:cantSplit/>
        </w:trPr>
        <w:tc>
          <w:tcPr>
            <w:tcW w:w="7230" w:type="dxa"/>
            <w:tcBorders>
              <w:top w:val="single" w:sz="4" w:space="0" w:color="808080"/>
              <w:left w:val="single" w:sz="4" w:space="0" w:color="808080"/>
              <w:bottom w:val="single" w:sz="4" w:space="0" w:color="808080"/>
              <w:right w:val="single" w:sz="4" w:space="0" w:color="808080"/>
            </w:tcBorders>
            <w:hideMark/>
          </w:tcPr>
          <w:p w:rsidR="000A0609" w:rsidRPr="002429C5" w:rsidRDefault="000A0609" w:rsidP="00AE3ED4">
            <w:pPr>
              <w:pStyle w:val="Tabeltekst"/>
              <w:spacing w:line="276" w:lineRule="auto"/>
            </w:pPr>
            <w:r w:rsidRPr="002429C5">
              <w:t>Number of infrastructure managers</w:t>
            </w:r>
          </w:p>
        </w:tc>
        <w:tc>
          <w:tcPr>
            <w:tcW w:w="1417" w:type="dxa"/>
            <w:tcBorders>
              <w:top w:val="single" w:sz="4" w:space="0" w:color="808080"/>
              <w:left w:val="single" w:sz="4" w:space="0" w:color="808080"/>
              <w:bottom w:val="single" w:sz="4" w:space="0" w:color="808080"/>
              <w:right w:val="single" w:sz="4" w:space="0" w:color="808080"/>
            </w:tcBorders>
          </w:tcPr>
          <w:p w:rsidR="000A0609" w:rsidRPr="002429C5" w:rsidRDefault="000A0609" w:rsidP="00042526">
            <w:pPr>
              <w:pStyle w:val="DoNotTranslateInternal1"/>
            </w:pPr>
            <w:r w:rsidRPr="002429C5">
              <w:t>9</w:t>
            </w:r>
          </w:p>
        </w:tc>
      </w:tr>
      <w:tr w:rsidR="000A0609" w:rsidRPr="002429C5" w:rsidTr="00FA5788">
        <w:trPr>
          <w:cantSplit/>
        </w:trPr>
        <w:tc>
          <w:tcPr>
            <w:tcW w:w="7230" w:type="dxa"/>
            <w:tcBorders>
              <w:top w:val="single" w:sz="4" w:space="0" w:color="808080"/>
              <w:left w:val="single" w:sz="4" w:space="0" w:color="808080"/>
              <w:bottom w:val="single" w:sz="4" w:space="0" w:color="808080"/>
              <w:right w:val="single" w:sz="4" w:space="0" w:color="808080"/>
            </w:tcBorders>
            <w:hideMark/>
          </w:tcPr>
          <w:p w:rsidR="000A0609" w:rsidRPr="002429C5" w:rsidRDefault="000A0609" w:rsidP="00AE3ED4">
            <w:pPr>
              <w:pStyle w:val="Tabeltekst"/>
              <w:spacing w:line="276" w:lineRule="auto"/>
            </w:pPr>
            <w:r w:rsidRPr="002429C5">
              <w:t>Total length of lines (km)*</w:t>
            </w:r>
          </w:p>
        </w:tc>
        <w:tc>
          <w:tcPr>
            <w:tcW w:w="1417" w:type="dxa"/>
            <w:tcBorders>
              <w:top w:val="single" w:sz="4" w:space="0" w:color="808080"/>
              <w:left w:val="single" w:sz="4" w:space="0" w:color="808080"/>
              <w:bottom w:val="single" w:sz="4" w:space="0" w:color="808080"/>
              <w:right w:val="single" w:sz="4" w:space="0" w:color="808080"/>
            </w:tcBorders>
          </w:tcPr>
          <w:p w:rsidR="000A0609" w:rsidRPr="002429C5" w:rsidRDefault="000A0609" w:rsidP="00042526">
            <w:pPr>
              <w:pStyle w:val="DoNotTranslateInternal1"/>
            </w:pPr>
            <w:r w:rsidRPr="002429C5">
              <w:t>2636</w:t>
            </w:r>
          </w:p>
        </w:tc>
      </w:tr>
      <w:tr w:rsidR="000A0609" w:rsidRPr="002429C5" w:rsidTr="00FA5788">
        <w:trPr>
          <w:cantSplit/>
        </w:trPr>
        <w:tc>
          <w:tcPr>
            <w:tcW w:w="7230" w:type="dxa"/>
            <w:tcBorders>
              <w:top w:val="single" w:sz="4" w:space="0" w:color="808080"/>
              <w:left w:val="single" w:sz="4" w:space="0" w:color="808080"/>
              <w:bottom w:val="single" w:sz="4" w:space="0" w:color="808080"/>
              <w:right w:val="single" w:sz="4" w:space="0" w:color="808080"/>
            </w:tcBorders>
            <w:hideMark/>
          </w:tcPr>
          <w:p w:rsidR="000A0609" w:rsidRPr="002429C5" w:rsidRDefault="000A0609" w:rsidP="00AE3ED4">
            <w:pPr>
              <w:pStyle w:val="Tabeltekst"/>
              <w:spacing w:line="276" w:lineRule="auto"/>
            </w:pPr>
            <w:r w:rsidRPr="002429C5">
              <w:t xml:space="preserve">Total length of track (km) </w:t>
            </w:r>
          </w:p>
        </w:tc>
        <w:tc>
          <w:tcPr>
            <w:tcW w:w="1417" w:type="dxa"/>
            <w:tcBorders>
              <w:top w:val="single" w:sz="4" w:space="0" w:color="808080"/>
              <w:left w:val="single" w:sz="4" w:space="0" w:color="808080"/>
              <w:bottom w:val="single" w:sz="4" w:space="0" w:color="808080"/>
              <w:right w:val="single" w:sz="4" w:space="0" w:color="808080"/>
            </w:tcBorders>
          </w:tcPr>
          <w:p w:rsidR="000A0609" w:rsidRPr="002429C5" w:rsidRDefault="000A0609" w:rsidP="00042526">
            <w:pPr>
              <w:pStyle w:val="DoNotTranslateInternal1"/>
            </w:pPr>
            <w:r w:rsidRPr="002429C5">
              <w:t>4070</w:t>
            </w:r>
          </w:p>
        </w:tc>
      </w:tr>
      <w:tr w:rsidR="000A0609" w:rsidRPr="002429C5" w:rsidTr="00FA5788">
        <w:trPr>
          <w:cantSplit/>
        </w:trPr>
        <w:tc>
          <w:tcPr>
            <w:tcW w:w="7230" w:type="dxa"/>
            <w:tcBorders>
              <w:top w:val="single" w:sz="4" w:space="0" w:color="808080"/>
              <w:left w:val="single" w:sz="4" w:space="0" w:color="808080"/>
              <w:bottom w:val="single" w:sz="4" w:space="0" w:color="808080"/>
              <w:right w:val="single" w:sz="4" w:space="0" w:color="808080"/>
            </w:tcBorders>
            <w:hideMark/>
          </w:tcPr>
          <w:p w:rsidR="000A0609" w:rsidRPr="002429C5" w:rsidRDefault="000A0609" w:rsidP="00AE3ED4">
            <w:pPr>
              <w:pStyle w:val="Tabeltekst"/>
              <w:spacing w:line="276" w:lineRule="auto"/>
            </w:pPr>
            <w:r w:rsidRPr="002429C5">
              <w:t>Length of electrified lines (km)*</w:t>
            </w:r>
          </w:p>
        </w:tc>
        <w:tc>
          <w:tcPr>
            <w:tcW w:w="1417" w:type="dxa"/>
            <w:tcBorders>
              <w:top w:val="single" w:sz="4" w:space="0" w:color="808080"/>
              <w:left w:val="single" w:sz="4" w:space="0" w:color="808080"/>
              <w:bottom w:val="single" w:sz="4" w:space="0" w:color="808080"/>
              <w:right w:val="single" w:sz="4" w:space="0" w:color="808080"/>
            </w:tcBorders>
          </w:tcPr>
          <w:p w:rsidR="000A0609" w:rsidRPr="002429C5" w:rsidRDefault="000A0609" w:rsidP="00042526">
            <w:pPr>
              <w:pStyle w:val="DoNotTranslateInternal1"/>
            </w:pPr>
            <w:r w:rsidRPr="002429C5">
              <w:t>642</w:t>
            </w:r>
          </w:p>
        </w:tc>
      </w:tr>
      <w:tr w:rsidR="000A0609" w:rsidRPr="002429C5" w:rsidTr="00FA5788">
        <w:trPr>
          <w:cantSplit/>
        </w:trPr>
        <w:tc>
          <w:tcPr>
            <w:tcW w:w="7230" w:type="dxa"/>
            <w:tcBorders>
              <w:top w:val="single" w:sz="4" w:space="0" w:color="808080"/>
              <w:left w:val="single" w:sz="4" w:space="0" w:color="808080"/>
              <w:bottom w:val="single" w:sz="4" w:space="0" w:color="808080"/>
              <w:right w:val="single" w:sz="4" w:space="0" w:color="808080"/>
            </w:tcBorders>
            <w:hideMark/>
          </w:tcPr>
          <w:p w:rsidR="000A0609" w:rsidRPr="002429C5" w:rsidRDefault="00145C9E" w:rsidP="00AE3ED4">
            <w:pPr>
              <w:pStyle w:val="Tabeltekst"/>
              <w:spacing w:line="276" w:lineRule="auto"/>
            </w:pPr>
            <w:r w:rsidRPr="002429C5">
              <w:t>Lines with ATC, ATC train stopping/ACT equipment (km)</w:t>
            </w:r>
          </w:p>
        </w:tc>
        <w:tc>
          <w:tcPr>
            <w:tcW w:w="1417" w:type="dxa"/>
            <w:tcBorders>
              <w:top w:val="single" w:sz="4" w:space="0" w:color="808080"/>
              <w:left w:val="single" w:sz="4" w:space="0" w:color="808080"/>
              <w:bottom w:val="single" w:sz="4" w:space="0" w:color="808080"/>
              <w:right w:val="single" w:sz="4" w:space="0" w:color="808080"/>
            </w:tcBorders>
          </w:tcPr>
          <w:p w:rsidR="000A0609" w:rsidRPr="002429C5" w:rsidRDefault="000A0609" w:rsidP="00042526">
            <w:pPr>
              <w:pStyle w:val="DoNotTranslateInternal1"/>
            </w:pPr>
            <w:r w:rsidRPr="002429C5">
              <w:t>1438</w:t>
            </w:r>
          </w:p>
        </w:tc>
      </w:tr>
      <w:tr w:rsidR="000A0609" w:rsidRPr="002429C5" w:rsidTr="00FA5788">
        <w:trPr>
          <w:cantSplit/>
        </w:trPr>
        <w:tc>
          <w:tcPr>
            <w:tcW w:w="7230" w:type="dxa"/>
            <w:tcBorders>
              <w:top w:val="single" w:sz="4" w:space="0" w:color="808080"/>
              <w:left w:val="single" w:sz="4" w:space="0" w:color="808080"/>
              <w:bottom w:val="single" w:sz="4" w:space="0" w:color="808080"/>
              <w:right w:val="single" w:sz="4" w:space="0" w:color="808080"/>
            </w:tcBorders>
            <w:hideMark/>
          </w:tcPr>
          <w:p w:rsidR="000A0609" w:rsidRPr="002429C5" w:rsidRDefault="000A0609" w:rsidP="00AE3ED4">
            <w:pPr>
              <w:pStyle w:val="Tabeltekst"/>
              <w:spacing w:line="276" w:lineRule="auto"/>
            </w:pPr>
            <w:r w:rsidRPr="002429C5">
              <w:t>Total number of level crossings</w:t>
            </w:r>
          </w:p>
        </w:tc>
        <w:tc>
          <w:tcPr>
            <w:tcW w:w="1417" w:type="dxa"/>
            <w:tcBorders>
              <w:top w:val="single" w:sz="4" w:space="0" w:color="808080"/>
              <w:left w:val="single" w:sz="4" w:space="0" w:color="808080"/>
              <w:bottom w:val="single" w:sz="4" w:space="0" w:color="808080"/>
              <w:right w:val="single" w:sz="4" w:space="0" w:color="808080"/>
            </w:tcBorders>
          </w:tcPr>
          <w:p w:rsidR="000A0609" w:rsidRPr="002429C5" w:rsidRDefault="000A0609" w:rsidP="00042526">
            <w:pPr>
              <w:pStyle w:val="DoNotTranslateInternal1"/>
            </w:pPr>
            <w:r w:rsidRPr="002429C5">
              <w:t>1338</w:t>
            </w:r>
          </w:p>
        </w:tc>
      </w:tr>
      <w:tr w:rsidR="000A0609" w:rsidRPr="002429C5" w:rsidTr="00FA5788">
        <w:trPr>
          <w:cantSplit/>
        </w:trPr>
        <w:tc>
          <w:tcPr>
            <w:tcW w:w="7230" w:type="dxa"/>
            <w:tcBorders>
              <w:top w:val="single" w:sz="4" w:space="0" w:color="808080"/>
              <w:left w:val="single" w:sz="4" w:space="0" w:color="808080"/>
              <w:bottom w:val="single" w:sz="4" w:space="0" w:color="808080"/>
              <w:right w:val="single" w:sz="4" w:space="0" w:color="808080"/>
            </w:tcBorders>
          </w:tcPr>
          <w:p w:rsidR="000A0609" w:rsidRPr="002429C5" w:rsidRDefault="000A0609" w:rsidP="000A0609">
            <w:pPr>
              <w:pStyle w:val="Tabeltekst"/>
              <w:numPr>
                <w:ilvl w:val="0"/>
                <w:numId w:val="22"/>
              </w:numPr>
              <w:spacing w:line="276" w:lineRule="auto"/>
            </w:pPr>
            <w:r w:rsidRPr="002429C5">
              <w:t>Automatic level crossing with warning signal system, half or full barriers and track-side protection in the form of detection in the road or similar</w:t>
            </w:r>
          </w:p>
        </w:tc>
        <w:tc>
          <w:tcPr>
            <w:tcW w:w="1417" w:type="dxa"/>
            <w:tcBorders>
              <w:top w:val="single" w:sz="4" w:space="0" w:color="808080"/>
              <w:left w:val="single" w:sz="4" w:space="0" w:color="808080"/>
              <w:bottom w:val="single" w:sz="4" w:space="0" w:color="808080"/>
              <w:right w:val="single" w:sz="4" w:space="0" w:color="808080"/>
            </w:tcBorders>
            <w:shd w:val="clear" w:color="auto" w:fill="auto"/>
          </w:tcPr>
          <w:p w:rsidR="000A0609" w:rsidRPr="002429C5" w:rsidRDefault="000A0609" w:rsidP="00042526">
            <w:pPr>
              <w:pStyle w:val="DoNotTranslateInternal1"/>
            </w:pPr>
            <w:r w:rsidRPr="002429C5">
              <w:t>96</w:t>
            </w:r>
          </w:p>
        </w:tc>
      </w:tr>
      <w:tr w:rsidR="000A0609" w:rsidRPr="002429C5" w:rsidTr="00FA5788">
        <w:trPr>
          <w:cantSplit/>
        </w:trPr>
        <w:tc>
          <w:tcPr>
            <w:tcW w:w="7230" w:type="dxa"/>
            <w:tcBorders>
              <w:top w:val="single" w:sz="4" w:space="0" w:color="808080"/>
              <w:left w:val="single" w:sz="4" w:space="0" w:color="808080"/>
              <w:bottom w:val="single" w:sz="4" w:space="0" w:color="808080"/>
              <w:right w:val="single" w:sz="4" w:space="0" w:color="808080"/>
            </w:tcBorders>
          </w:tcPr>
          <w:p w:rsidR="000A0609" w:rsidRPr="002429C5" w:rsidRDefault="000A0609" w:rsidP="000A0609">
            <w:pPr>
              <w:pStyle w:val="Tabeltekst"/>
              <w:numPr>
                <w:ilvl w:val="0"/>
                <w:numId w:val="22"/>
              </w:numPr>
              <w:spacing w:line="276" w:lineRule="auto"/>
            </w:pPr>
            <w:r w:rsidRPr="002429C5">
              <w:t>Automatic level crossing with warning signal system and half or full barriers</w:t>
            </w:r>
          </w:p>
        </w:tc>
        <w:tc>
          <w:tcPr>
            <w:tcW w:w="1417" w:type="dxa"/>
            <w:tcBorders>
              <w:top w:val="single" w:sz="4" w:space="0" w:color="808080"/>
              <w:left w:val="single" w:sz="4" w:space="0" w:color="808080"/>
              <w:bottom w:val="single" w:sz="4" w:space="0" w:color="808080"/>
              <w:right w:val="single" w:sz="4" w:space="0" w:color="808080"/>
            </w:tcBorders>
            <w:shd w:val="clear" w:color="auto" w:fill="auto"/>
          </w:tcPr>
          <w:p w:rsidR="000A0609" w:rsidRPr="002429C5" w:rsidRDefault="000A0609" w:rsidP="00042526">
            <w:pPr>
              <w:pStyle w:val="DoNotTranslateInternal1"/>
            </w:pPr>
            <w:r w:rsidRPr="002429C5">
              <w:t>652</w:t>
            </w:r>
          </w:p>
        </w:tc>
      </w:tr>
      <w:tr w:rsidR="000A0609" w:rsidRPr="002429C5" w:rsidTr="00FA5788">
        <w:trPr>
          <w:cantSplit/>
        </w:trPr>
        <w:tc>
          <w:tcPr>
            <w:tcW w:w="7230" w:type="dxa"/>
            <w:tcBorders>
              <w:top w:val="single" w:sz="4" w:space="0" w:color="808080"/>
              <w:left w:val="single" w:sz="4" w:space="0" w:color="808080"/>
              <w:bottom w:val="single" w:sz="4" w:space="0" w:color="808080"/>
              <w:right w:val="single" w:sz="4" w:space="0" w:color="808080"/>
            </w:tcBorders>
          </w:tcPr>
          <w:p w:rsidR="000A0609" w:rsidRPr="002429C5" w:rsidRDefault="000A0609" w:rsidP="000A0609">
            <w:pPr>
              <w:pStyle w:val="Tabeltekst"/>
              <w:numPr>
                <w:ilvl w:val="0"/>
                <w:numId w:val="22"/>
              </w:numPr>
              <w:spacing w:line="276" w:lineRule="auto"/>
            </w:pPr>
            <w:r w:rsidRPr="002429C5">
              <w:t>Automatic level crossing with warning signal system</w:t>
            </w:r>
          </w:p>
        </w:tc>
        <w:tc>
          <w:tcPr>
            <w:tcW w:w="1417" w:type="dxa"/>
            <w:tcBorders>
              <w:top w:val="single" w:sz="4" w:space="0" w:color="808080"/>
              <w:left w:val="single" w:sz="4" w:space="0" w:color="808080"/>
              <w:bottom w:val="single" w:sz="4" w:space="0" w:color="808080"/>
              <w:right w:val="single" w:sz="4" w:space="0" w:color="808080"/>
            </w:tcBorders>
            <w:shd w:val="clear" w:color="auto" w:fill="auto"/>
          </w:tcPr>
          <w:p w:rsidR="000A0609" w:rsidRPr="002429C5" w:rsidRDefault="000A0609" w:rsidP="00042526">
            <w:pPr>
              <w:pStyle w:val="DoNotTranslateInternal1"/>
            </w:pPr>
            <w:r w:rsidRPr="002429C5">
              <w:t>162</w:t>
            </w:r>
          </w:p>
        </w:tc>
      </w:tr>
      <w:tr w:rsidR="000A0609" w:rsidRPr="002429C5" w:rsidTr="00FA5788">
        <w:trPr>
          <w:cantSplit/>
        </w:trPr>
        <w:tc>
          <w:tcPr>
            <w:tcW w:w="7230" w:type="dxa"/>
            <w:tcBorders>
              <w:top w:val="single" w:sz="4" w:space="0" w:color="808080"/>
              <w:left w:val="single" w:sz="4" w:space="0" w:color="808080"/>
              <w:bottom w:val="single" w:sz="4" w:space="0" w:color="808080"/>
              <w:right w:val="single" w:sz="4" w:space="0" w:color="808080"/>
            </w:tcBorders>
          </w:tcPr>
          <w:p w:rsidR="000A0609" w:rsidRPr="002429C5" w:rsidRDefault="000A0609" w:rsidP="000A0609">
            <w:pPr>
              <w:pStyle w:val="Tabeltekst"/>
              <w:numPr>
                <w:ilvl w:val="0"/>
                <w:numId w:val="22"/>
              </w:numPr>
              <w:spacing w:line="276" w:lineRule="auto"/>
            </w:pPr>
            <w:r w:rsidRPr="002429C5">
              <w:t>Manually operated level crossing with warning signal system</w:t>
            </w:r>
          </w:p>
        </w:tc>
        <w:tc>
          <w:tcPr>
            <w:tcW w:w="1417" w:type="dxa"/>
            <w:tcBorders>
              <w:top w:val="single" w:sz="4" w:space="0" w:color="808080"/>
              <w:left w:val="single" w:sz="4" w:space="0" w:color="808080"/>
              <w:bottom w:val="single" w:sz="4" w:space="0" w:color="808080"/>
              <w:right w:val="single" w:sz="4" w:space="0" w:color="808080"/>
            </w:tcBorders>
            <w:shd w:val="clear" w:color="auto" w:fill="auto"/>
          </w:tcPr>
          <w:p w:rsidR="000A0609" w:rsidRPr="002429C5" w:rsidRDefault="000A0609" w:rsidP="00042526">
            <w:pPr>
              <w:pStyle w:val="DoNotTranslateInternal1"/>
            </w:pPr>
            <w:r w:rsidRPr="002429C5">
              <w:t>3</w:t>
            </w:r>
          </w:p>
        </w:tc>
      </w:tr>
      <w:tr w:rsidR="000A0609" w:rsidRPr="002429C5" w:rsidTr="00FA5788">
        <w:trPr>
          <w:cantSplit/>
        </w:trPr>
        <w:tc>
          <w:tcPr>
            <w:tcW w:w="7230" w:type="dxa"/>
            <w:tcBorders>
              <w:top w:val="single" w:sz="4" w:space="0" w:color="808080"/>
              <w:left w:val="single" w:sz="4" w:space="0" w:color="808080"/>
              <w:bottom w:val="single" w:sz="4" w:space="0" w:color="808080"/>
              <w:right w:val="single" w:sz="4" w:space="0" w:color="808080"/>
            </w:tcBorders>
          </w:tcPr>
          <w:p w:rsidR="000A0609" w:rsidRPr="002429C5" w:rsidRDefault="000A0609" w:rsidP="000A0609">
            <w:pPr>
              <w:pStyle w:val="Tabeltekst"/>
              <w:numPr>
                <w:ilvl w:val="0"/>
                <w:numId w:val="22"/>
              </w:numPr>
              <w:spacing w:line="276" w:lineRule="auto"/>
            </w:pPr>
            <w:r w:rsidRPr="002429C5">
              <w:t>Manually operated level crossing with barrier system</w:t>
            </w:r>
          </w:p>
        </w:tc>
        <w:tc>
          <w:tcPr>
            <w:tcW w:w="1417" w:type="dxa"/>
            <w:tcBorders>
              <w:top w:val="single" w:sz="4" w:space="0" w:color="808080"/>
              <w:left w:val="single" w:sz="4" w:space="0" w:color="808080"/>
              <w:bottom w:val="single" w:sz="4" w:space="0" w:color="808080"/>
              <w:right w:val="single" w:sz="4" w:space="0" w:color="808080"/>
            </w:tcBorders>
            <w:shd w:val="clear" w:color="auto" w:fill="auto"/>
          </w:tcPr>
          <w:p w:rsidR="000A0609" w:rsidRPr="002429C5" w:rsidRDefault="000A0609" w:rsidP="00042526">
            <w:pPr>
              <w:pStyle w:val="DoNotTranslateInternal1"/>
            </w:pPr>
            <w:r w:rsidRPr="002429C5">
              <w:t>11</w:t>
            </w:r>
          </w:p>
        </w:tc>
      </w:tr>
      <w:tr w:rsidR="000A0609" w:rsidRPr="002429C5" w:rsidTr="00FA5788">
        <w:trPr>
          <w:cantSplit/>
        </w:trPr>
        <w:tc>
          <w:tcPr>
            <w:tcW w:w="7230" w:type="dxa"/>
            <w:tcBorders>
              <w:top w:val="single" w:sz="4" w:space="0" w:color="808080"/>
              <w:left w:val="single" w:sz="4" w:space="0" w:color="808080"/>
              <w:bottom w:val="single" w:sz="4" w:space="0" w:color="808080"/>
              <w:right w:val="single" w:sz="4" w:space="0" w:color="808080"/>
            </w:tcBorders>
          </w:tcPr>
          <w:p w:rsidR="000A0609" w:rsidRPr="002429C5" w:rsidRDefault="000A0609" w:rsidP="000A0609">
            <w:pPr>
              <w:pStyle w:val="Tabeltekst"/>
              <w:numPr>
                <w:ilvl w:val="0"/>
                <w:numId w:val="22"/>
              </w:numPr>
              <w:spacing w:line="276" w:lineRule="auto"/>
            </w:pPr>
            <w:r w:rsidRPr="002429C5">
              <w:t>Level crossing without protection</w:t>
            </w:r>
          </w:p>
        </w:tc>
        <w:tc>
          <w:tcPr>
            <w:tcW w:w="1417" w:type="dxa"/>
            <w:tcBorders>
              <w:top w:val="single" w:sz="4" w:space="0" w:color="808080"/>
              <w:left w:val="single" w:sz="4" w:space="0" w:color="808080"/>
              <w:bottom w:val="single" w:sz="4" w:space="0" w:color="808080"/>
              <w:right w:val="single" w:sz="4" w:space="0" w:color="808080"/>
            </w:tcBorders>
            <w:shd w:val="clear" w:color="auto" w:fill="auto"/>
          </w:tcPr>
          <w:p w:rsidR="000A0609" w:rsidRPr="002429C5" w:rsidRDefault="000A0609" w:rsidP="00042526">
            <w:pPr>
              <w:pStyle w:val="DoNotTranslateInternal1"/>
            </w:pPr>
            <w:r w:rsidRPr="002429C5">
              <w:t>414</w:t>
            </w:r>
          </w:p>
        </w:tc>
      </w:tr>
    </w:tbl>
    <w:p w:rsidR="000A0609" w:rsidRPr="002429C5" w:rsidRDefault="000A0609" w:rsidP="000A0609">
      <w:pPr>
        <w:rPr>
          <w:i/>
          <w:iCs/>
          <w:sz w:val="14"/>
          <w:szCs w:val="14"/>
        </w:rPr>
      </w:pPr>
      <w:r w:rsidRPr="002429C5">
        <w:rPr>
          <w:i/>
          <w:sz w:val="14"/>
        </w:rPr>
        <w:t xml:space="preserve">Figures from railway infrastructure managers. Source: infrastructure managers' safety reports for 2014. </w:t>
      </w:r>
      <w:r w:rsidRPr="002429C5">
        <w:rPr>
          <w:i/>
          <w:iCs/>
          <w:sz w:val="14"/>
          <w:szCs w:val="14"/>
        </w:rPr>
        <w:br/>
      </w:r>
      <w:r w:rsidRPr="002429C5">
        <w:rPr>
          <w:i/>
          <w:sz w:val="14"/>
        </w:rPr>
        <w:t>However, data marked * are from table BANE41 from Statistics Denmark.</w:t>
      </w:r>
    </w:p>
    <w:p w:rsidR="00FA5788" w:rsidRPr="002429C5" w:rsidRDefault="00FA5788" w:rsidP="00FA5788"/>
    <w:p w:rsidR="000A0609" w:rsidRPr="002429C5" w:rsidRDefault="000A0609" w:rsidP="000A0609">
      <w:pPr>
        <w:pStyle w:val="Tabeltitel"/>
        <w:numPr>
          <w:ilvl w:val="0"/>
          <w:numId w:val="0"/>
        </w:numPr>
        <w:ind w:left="142"/>
      </w:pPr>
      <w:r w:rsidRPr="002429C5">
        <w:t>Table 6. Information on railway undertakings</w:t>
      </w:r>
    </w:p>
    <w:tbl>
      <w:tblPr>
        <w:tblW w:w="8647" w:type="dxa"/>
        <w:tblInd w:w="42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top w:w="85" w:type="dxa"/>
          <w:left w:w="425" w:type="dxa"/>
          <w:bottom w:w="85" w:type="dxa"/>
          <w:right w:w="0" w:type="dxa"/>
        </w:tblCellMar>
        <w:tblLook w:val="01E0" w:firstRow="1" w:lastRow="1" w:firstColumn="1" w:lastColumn="1" w:noHBand="0" w:noVBand="0"/>
      </w:tblPr>
      <w:tblGrid>
        <w:gridCol w:w="7230"/>
        <w:gridCol w:w="1417"/>
      </w:tblGrid>
      <w:tr w:rsidR="000A0609" w:rsidRPr="002429C5" w:rsidTr="00FA5788">
        <w:trPr>
          <w:cantSplit/>
          <w:tblHeader/>
        </w:trPr>
        <w:tc>
          <w:tcPr>
            <w:tcW w:w="7230" w:type="dxa"/>
            <w:tcBorders>
              <w:top w:val="single" w:sz="4" w:space="0" w:color="808080"/>
              <w:left w:val="single" w:sz="4" w:space="0" w:color="808080"/>
              <w:bottom w:val="single" w:sz="4" w:space="0" w:color="808080"/>
              <w:right w:val="single" w:sz="4" w:space="0" w:color="808080"/>
            </w:tcBorders>
            <w:shd w:val="clear" w:color="auto" w:fill="BFBFBF" w:themeFill="background1" w:themeFillShade="BF"/>
            <w:tcMar>
              <w:top w:w="170" w:type="dxa"/>
              <w:left w:w="425" w:type="dxa"/>
              <w:bottom w:w="170" w:type="dxa"/>
              <w:right w:w="0" w:type="dxa"/>
            </w:tcMar>
            <w:hideMark/>
          </w:tcPr>
          <w:p w:rsidR="000A0609" w:rsidRPr="002429C5" w:rsidRDefault="000A0609" w:rsidP="00FA5788">
            <w:pPr>
              <w:pStyle w:val="Tabeltekst"/>
              <w:keepNext/>
              <w:spacing w:line="276" w:lineRule="auto"/>
              <w:rPr>
                <w:b/>
              </w:rPr>
            </w:pPr>
            <w:r w:rsidRPr="002429C5">
              <w:rPr>
                <w:b/>
              </w:rPr>
              <w:t>Railway undertaking</w:t>
            </w:r>
          </w:p>
        </w:tc>
        <w:tc>
          <w:tcPr>
            <w:tcW w:w="1417" w:type="dxa"/>
            <w:tcBorders>
              <w:top w:val="single" w:sz="4" w:space="0" w:color="808080"/>
              <w:left w:val="single" w:sz="4" w:space="0" w:color="808080"/>
              <w:bottom w:val="single" w:sz="4" w:space="0" w:color="808080"/>
              <w:right w:val="single" w:sz="4" w:space="0" w:color="808080"/>
            </w:tcBorders>
            <w:shd w:val="clear" w:color="auto" w:fill="BFBFBF" w:themeFill="background1" w:themeFillShade="BF"/>
          </w:tcPr>
          <w:p w:rsidR="000A0609" w:rsidRPr="002429C5" w:rsidRDefault="000A0609" w:rsidP="00FA5788">
            <w:pPr>
              <w:pStyle w:val="Tabeltekst"/>
              <w:keepNext/>
              <w:spacing w:line="276" w:lineRule="auto"/>
              <w:rPr>
                <w:b/>
              </w:rPr>
            </w:pPr>
            <w:r w:rsidRPr="002429C5">
              <w:rPr>
                <w:b/>
              </w:rPr>
              <w:t>2014</w:t>
            </w:r>
          </w:p>
        </w:tc>
      </w:tr>
      <w:tr w:rsidR="000A0609" w:rsidRPr="002429C5" w:rsidTr="00FA5788">
        <w:trPr>
          <w:cantSplit/>
        </w:trPr>
        <w:tc>
          <w:tcPr>
            <w:tcW w:w="7230" w:type="dxa"/>
            <w:tcBorders>
              <w:top w:val="single" w:sz="4" w:space="0" w:color="808080"/>
              <w:left w:val="single" w:sz="4" w:space="0" w:color="808080"/>
              <w:bottom w:val="single" w:sz="4" w:space="0" w:color="808080"/>
              <w:right w:val="single" w:sz="4" w:space="0" w:color="808080"/>
            </w:tcBorders>
            <w:shd w:val="clear" w:color="auto" w:fill="auto"/>
            <w:hideMark/>
          </w:tcPr>
          <w:p w:rsidR="000A0609" w:rsidRPr="002429C5" w:rsidRDefault="000A0609" w:rsidP="00AE3ED4">
            <w:pPr>
              <w:pStyle w:val="Tabeltekst"/>
              <w:spacing w:line="276" w:lineRule="auto"/>
            </w:pPr>
            <w:r w:rsidRPr="002429C5">
              <w:t>Number of railway undertakings</w:t>
            </w:r>
          </w:p>
        </w:tc>
        <w:tc>
          <w:tcPr>
            <w:tcW w:w="1417" w:type="dxa"/>
            <w:tcBorders>
              <w:top w:val="single" w:sz="4" w:space="0" w:color="808080"/>
              <w:left w:val="single" w:sz="4" w:space="0" w:color="808080"/>
              <w:bottom w:val="single" w:sz="4" w:space="0" w:color="808080"/>
              <w:right w:val="single" w:sz="4" w:space="0" w:color="808080"/>
            </w:tcBorders>
            <w:shd w:val="clear" w:color="auto" w:fill="auto"/>
          </w:tcPr>
          <w:p w:rsidR="000A0609" w:rsidRPr="002429C5" w:rsidRDefault="000A0609" w:rsidP="00042526">
            <w:pPr>
              <w:pStyle w:val="DoNotTranslateInternal1"/>
            </w:pPr>
            <w:r w:rsidRPr="002429C5">
              <w:t>15</w:t>
            </w:r>
          </w:p>
        </w:tc>
      </w:tr>
      <w:tr w:rsidR="000A0609" w:rsidRPr="002429C5" w:rsidTr="00FA5788">
        <w:trPr>
          <w:cantSplit/>
        </w:trPr>
        <w:tc>
          <w:tcPr>
            <w:tcW w:w="7230" w:type="dxa"/>
            <w:tcBorders>
              <w:top w:val="single" w:sz="4" w:space="0" w:color="808080"/>
              <w:left w:val="single" w:sz="4" w:space="0" w:color="808080"/>
              <w:bottom w:val="single" w:sz="4" w:space="0" w:color="808080"/>
              <w:right w:val="single" w:sz="4" w:space="0" w:color="808080"/>
            </w:tcBorders>
            <w:shd w:val="clear" w:color="auto" w:fill="auto"/>
            <w:hideMark/>
          </w:tcPr>
          <w:p w:rsidR="000A0609" w:rsidRPr="002429C5" w:rsidRDefault="000A0609" w:rsidP="00AE3ED4">
            <w:pPr>
              <w:pStyle w:val="Tabeltekst"/>
              <w:spacing w:line="276" w:lineRule="auto"/>
            </w:pPr>
            <w:r w:rsidRPr="002429C5">
              <w:t xml:space="preserve">Number of locomotives </w:t>
            </w:r>
          </w:p>
        </w:tc>
        <w:tc>
          <w:tcPr>
            <w:tcW w:w="1417" w:type="dxa"/>
            <w:tcBorders>
              <w:top w:val="single" w:sz="4" w:space="0" w:color="808080"/>
              <w:left w:val="single" w:sz="4" w:space="0" w:color="808080"/>
              <w:bottom w:val="single" w:sz="4" w:space="0" w:color="808080"/>
              <w:right w:val="single" w:sz="4" w:space="0" w:color="808080"/>
            </w:tcBorders>
            <w:shd w:val="clear" w:color="auto" w:fill="auto"/>
          </w:tcPr>
          <w:p w:rsidR="000A0609" w:rsidRPr="002429C5" w:rsidRDefault="000A0609" w:rsidP="00042526">
            <w:pPr>
              <w:pStyle w:val="DoNotTranslateInternal1"/>
            </w:pPr>
            <w:r w:rsidRPr="002429C5">
              <w:t>129</w:t>
            </w:r>
          </w:p>
        </w:tc>
      </w:tr>
      <w:tr w:rsidR="000A0609" w:rsidRPr="002429C5" w:rsidTr="00FA5788">
        <w:trPr>
          <w:cantSplit/>
        </w:trPr>
        <w:tc>
          <w:tcPr>
            <w:tcW w:w="7230" w:type="dxa"/>
            <w:tcBorders>
              <w:top w:val="single" w:sz="4" w:space="0" w:color="808080"/>
              <w:left w:val="single" w:sz="4" w:space="0" w:color="808080"/>
              <w:bottom w:val="single" w:sz="4" w:space="0" w:color="808080"/>
              <w:right w:val="single" w:sz="4" w:space="0" w:color="808080"/>
            </w:tcBorders>
            <w:shd w:val="clear" w:color="auto" w:fill="auto"/>
            <w:hideMark/>
          </w:tcPr>
          <w:p w:rsidR="000A0609" w:rsidRPr="002429C5" w:rsidRDefault="000A0609" w:rsidP="00AE3ED4">
            <w:pPr>
              <w:pStyle w:val="Tabeltekst"/>
              <w:spacing w:line="276" w:lineRule="auto"/>
            </w:pPr>
            <w:r w:rsidRPr="002429C5">
              <w:t>Number of units (passenger transport)*</w:t>
            </w:r>
          </w:p>
        </w:tc>
        <w:tc>
          <w:tcPr>
            <w:tcW w:w="1417" w:type="dxa"/>
            <w:tcBorders>
              <w:top w:val="single" w:sz="4" w:space="0" w:color="808080"/>
              <w:left w:val="single" w:sz="4" w:space="0" w:color="808080"/>
              <w:bottom w:val="single" w:sz="4" w:space="0" w:color="808080"/>
              <w:right w:val="single" w:sz="4" w:space="0" w:color="808080"/>
            </w:tcBorders>
            <w:shd w:val="clear" w:color="auto" w:fill="auto"/>
          </w:tcPr>
          <w:p w:rsidR="000A0609" w:rsidRPr="002429C5" w:rsidRDefault="000A0609" w:rsidP="00042526">
            <w:pPr>
              <w:pStyle w:val="DoNotTranslateInternal1"/>
            </w:pPr>
            <w:r w:rsidRPr="002429C5">
              <w:t>736</w:t>
            </w:r>
          </w:p>
        </w:tc>
      </w:tr>
      <w:tr w:rsidR="000A0609" w:rsidRPr="002429C5" w:rsidTr="00FA5788">
        <w:trPr>
          <w:cantSplit/>
        </w:trPr>
        <w:tc>
          <w:tcPr>
            <w:tcW w:w="7230" w:type="dxa"/>
            <w:tcBorders>
              <w:top w:val="single" w:sz="4" w:space="0" w:color="808080"/>
              <w:left w:val="single" w:sz="4" w:space="0" w:color="808080"/>
              <w:bottom w:val="single" w:sz="4" w:space="0" w:color="808080"/>
              <w:right w:val="single" w:sz="4" w:space="0" w:color="808080"/>
            </w:tcBorders>
            <w:shd w:val="clear" w:color="auto" w:fill="auto"/>
            <w:hideMark/>
          </w:tcPr>
          <w:p w:rsidR="000A0609" w:rsidRPr="002429C5" w:rsidRDefault="000A0609" w:rsidP="00AE3ED4">
            <w:pPr>
              <w:pStyle w:val="Tabeltekst"/>
              <w:spacing w:line="276" w:lineRule="auto"/>
            </w:pPr>
            <w:r w:rsidRPr="002429C5">
              <w:t>Number of train drivers</w:t>
            </w:r>
          </w:p>
        </w:tc>
        <w:tc>
          <w:tcPr>
            <w:tcW w:w="1417" w:type="dxa"/>
            <w:tcBorders>
              <w:top w:val="single" w:sz="4" w:space="0" w:color="808080"/>
              <w:left w:val="single" w:sz="4" w:space="0" w:color="808080"/>
              <w:bottom w:val="single" w:sz="4" w:space="0" w:color="808080"/>
              <w:right w:val="single" w:sz="4" w:space="0" w:color="808080"/>
            </w:tcBorders>
            <w:shd w:val="clear" w:color="auto" w:fill="auto"/>
          </w:tcPr>
          <w:p w:rsidR="000A0609" w:rsidRPr="002429C5" w:rsidRDefault="000A0609" w:rsidP="00042526">
            <w:pPr>
              <w:pStyle w:val="DoNotTranslateInternal1"/>
            </w:pPr>
            <w:r w:rsidRPr="002429C5">
              <w:t>2353</w:t>
            </w:r>
          </w:p>
        </w:tc>
      </w:tr>
      <w:tr w:rsidR="000A0609" w:rsidRPr="002429C5" w:rsidTr="00FA5788">
        <w:trPr>
          <w:cantSplit/>
        </w:trPr>
        <w:tc>
          <w:tcPr>
            <w:tcW w:w="7230" w:type="dxa"/>
            <w:tcBorders>
              <w:top w:val="single" w:sz="4" w:space="0" w:color="808080"/>
              <w:left w:val="single" w:sz="4" w:space="0" w:color="808080"/>
              <w:bottom w:val="single" w:sz="4" w:space="0" w:color="808080"/>
              <w:right w:val="single" w:sz="4" w:space="0" w:color="808080"/>
            </w:tcBorders>
            <w:shd w:val="clear" w:color="auto" w:fill="auto"/>
            <w:hideMark/>
          </w:tcPr>
          <w:p w:rsidR="000A0609" w:rsidRPr="002429C5" w:rsidRDefault="000A0609" w:rsidP="00AE3ED4">
            <w:pPr>
              <w:pStyle w:val="Tabeltekst"/>
              <w:spacing w:line="276" w:lineRule="auto"/>
            </w:pPr>
            <w:r w:rsidRPr="002429C5">
              <w:t>Volume of passenger transport (million passenger-km.)*</w:t>
            </w:r>
          </w:p>
        </w:tc>
        <w:tc>
          <w:tcPr>
            <w:tcW w:w="1417" w:type="dxa"/>
            <w:tcBorders>
              <w:top w:val="single" w:sz="4" w:space="0" w:color="808080"/>
              <w:left w:val="single" w:sz="4" w:space="0" w:color="808080"/>
              <w:bottom w:val="single" w:sz="4" w:space="0" w:color="808080"/>
              <w:right w:val="single" w:sz="4" w:space="0" w:color="808080"/>
            </w:tcBorders>
            <w:shd w:val="clear" w:color="auto" w:fill="auto"/>
          </w:tcPr>
          <w:p w:rsidR="000A0609" w:rsidRPr="002429C5" w:rsidRDefault="000A0609" w:rsidP="00042526">
            <w:pPr>
              <w:pStyle w:val="DoNotTranslateInternal1"/>
            </w:pPr>
            <w:r w:rsidRPr="002429C5">
              <w:t>7098</w:t>
            </w:r>
          </w:p>
        </w:tc>
      </w:tr>
      <w:tr w:rsidR="000A0609" w:rsidRPr="002429C5" w:rsidTr="00FA5788">
        <w:trPr>
          <w:cantSplit/>
        </w:trPr>
        <w:tc>
          <w:tcPr>
            <w:tcW w:w="7230" w:type="dxa"/>
            <w:tcBorders>
              <w:top w:val="single" w:sz="4" w:space="0" w:color="808080"/>
              <w:left w:val="single" w:sz="4" w:space="0" w:color="808080"/>
              <w:bottom w:val="single" w:sz="4" w:space="0" w:color="808080"/>
              <w:right w:val="single" w:sz="4" w:space="0" w:color="808080"/>
            </w:tcBorders>
            <w:shd w:val="clear" w:color="auto" w:fill="auto"/>
            <w:hideMark/>
          </w:tcPr>
          <w:p w:rsidR="000A0609" w:rsidRPr="002429C5" w:rsidRDefault="000A0609" w:rsidP="00AE3ED4">
            <w:pPr>
              <w:pStyle w:val="Tabeltekst"/>
              <w:spacing w:line="276" w:lineRule="auto"/>
            </w:pPr>
            <w:r w:rsidRPr="002429C5">
              <w:t>Volume of freight transport (million tonne-km.)*</w:t>
            </w:r>
          </w:p>
        </w:tc>
        <w:tc>
          <w:tcPr>
            <w:tcW w:w="1417" w:type="dxa"/>
            <w:tcBorders>
              <w:top w:val="single" w:sz="4" w:space="0" w:color="808080"/>
              <w:left w:val="single" w:sz="4" w:space="0" w:color="808080"/>
              <w:bottom w:val="single" w:sz="4" w:space="0" w:color="808080"/>
              <w:right w:val="single" w:sz="4" w:space="0" w:color="808080"/>
            </w:tcBorders>
            <w:shd w:val="clear" w:color="auto" w:fill="auto"/>
          </w:tcPr>
          <w:p w:rsidR="000A0609" w:rsidRPr="002429C5" w:rsidRDefault="000A0609" w:rsidP="00042526">
            <w:pPr>
              <w:pStyle w:val="DoNotTranslateInternal1"/>
            </w:pPr>
            <w:r w:rsidRPr="002429C5">
              <w:t>2453</w:t>
            </w:r>
          </w:p>
        </w:tc>
      </w:tr>
      <w:tr w:rsidR="000A0609" w:rsidRPr="002429C5" w:rsidTr="00FA5788">
        <w:trPr>
          <w:cantSplit/>
        </w:trPr>
        <w:tc>
          <w:tcPr>
            <w:tcW w:w="7230" w:type="dxa"/>
            <w:tcBorders>
              <w:top w:val="single" w:sz="4" w:space="0" w:color="808080"/>
              <w:left w:val="single" w:sz="4" w:space="0" w:color="808080"/>
              <w:bottom w:val="single" w:sz="4" w:space="0" w:color="808080"/>
              <w:right w:val="single" w:sz="4" w:space="0" w:color="808080"/>
            </w:tcBorders>
            <w:shd w:val="clear" w:color="auto" w:fill="auto"/>
          </w:tcPr>
          <w:p w:rsidR="000A0609" w:rsidRPr="002429C5" w:rsidRDefault="000A0609" w:rsidP="00AE3ED4">
            <w:pPr>
              <w:pStyle w:val="Tabeltekst"/>
              <w:spacing w:line="276" w:lineRule="auto"/>
            </w:pPr>
            <w:r w:rsidRPr="002429C5">
              <w:t>Volume of passenger transport (million passenger-train-km.)*</w:t>
            </w:r>
          </w:p>
        </w:tc>
        <w:tc>
          <w:tcPr>
            <w:tcW w:w="1417" w:type="dxa"/>
            <w:tcBorders>
              <w:top w:val="single" w:sz="4" w:space="0" w:color="808080"/>
              <w:left w:val="single" w:sz="4" w:space="0" w:color="808080"/>
              <w:bottom w:val="single" w:sz="4" w:space="0" w:color="808080"/>
              <w:right w:val="single" w:sz="4" w:space="0" w:color="808080"/>
            </w:tcBorders>
            <w:shd w:val="clear" w:color="auto" w:fill="auto"/>
          </w:tcPr>
          <w:p w:rsidR="000A0609" w:rsidRPr="002429C5" w:rsidRDefault="000A0609" w:rsidP="00042526">
            <w:pPr>
              <w:pStyle w:val="DoNotTranslateInternal1"/>
            </w:pPr>
            <w:r w:rsidRPr="002429C5">
              <w:t>80,6</w:t>
            </w:r>
          </w:p>
        </w:tc>
      </w:tr>
      <w:tr w:rsidR="000A0609" w:rsidRPr="002429C5" w:rsidTr="00FA5788">
        <w:trPr>
          <w:cantSplit/>
        </w:trPr>
        <w:tc>
          <w:tcPr>
            <w:tcW w:w="7230" w:type="dxa"/>
            <w:tcBorders>
              <w:top w:val="single" w:sz="4" w:space="0" w:color="808080"/>
              <w:left w:val="single" w:sz="4" w:space="0" w:color="808080"/>
              <w:bottom w:val="single" w:sz="4" w:space="0" w:color="808080"/>
              <w:right w:val="single" w:sz="4" w:space="0" w:color="808080"/>
            </w:tcBorders>
            <w:shd w:val="clear" w:color="auto" w:fill="auto"/>
          </w:tcPr>
          <w:p w:rsidR="000A0609" w:rsidRPr="002429C5" w:rsidRDefault="000A0609" w:rsidP="00AE3ED4">
            <w:pPr>
              <w:pStyle w:val="Tabeltekst"/>
              <w:spacing w:line="276" w:lineRule="auto"/>
            </w:pPr>
            <w:r w:rsidRPr="002429C5">
              <w:t>Volume of freight transport (million tonne-train-km.)*</w:t>
            </w:r>
          </w:p>
        </w:tc>
        <w:tc>
          <w:tcPr>
            <w:tcW w:w="1417" w:type="dxa"/>
            <w:tcBorders>
              <w:top w:val="single" w:sz="4" w:space="0" w:color="808080"/>
              <w:left w:val="single" w:sz="4" w:space="0" w:color="808080"/>
              <w:bottom w:val="single" w:sz="4" w:space="0" w:color="808080"/>
              <w:right w:val="single" w:sz="4" w:space="0" w:color="808080"/>
            </w:tcBorders>
            <w:shd w:val="clear" w:color="auto" w:fill="auto"/>
          </w:tcPr>
          <w:p w:rsidR="000A0609" w:rsidRPr="002429C5" w:rsidRDefault="000A0609" w:rsidP="00042526">
            <w:pPr>
              <w:pStyle w:val="DoNotTranslateInternal1"/>
            </w:pPr>
            <w:r w:rsidRPr="002429C5">
              <w:t>3,4</w:t>
            </w:r>
          </w:p>
        </w:tc>
      </w:tr>
      <w:tr w:rsidR="000A0609" w:rsidRPr="002429C5" w:rsidTr="00FA5788">
        <w:trPr>
          <w:cantSplit/>
        </w:trPr>
        <w:tc>
          <w:tcPr>
            <w:tcW w:w="7230" w:type="dxa"/>
            <w:tcBorders>
              <w:top w:val="single" w:sz="4" w:space="0" w:color="808080"/>
              <w:left w:val="single" w:sz="4" w:space="0" w:color="808080"/>
              <w:bottom w:val="single" w:sz="4" w:space="0" w:color="808080"/>
              <w:right w:val="single" w:sz="4" w:space="0" w:color="808080"/>
            </w:tcBorders>
            <w:shd w:val="clear" w:color="auto" w:fill="auto"/>
            <w:hideMark/>
          </w:tcPr>
          <w:p w:rsidR="000A0609" w:rsidRPr="002429C5" w:rsidRDefault="000A0609" w:rsidP="00AE3ED4">
            <w:pPr>
              <w:pStyle w:val="Tabeltekst"/>
              <w:spacing w:line="276" w:lineRule="auto"/>
            </w:pPr>
            <w:r w:rsidRPr="002429C5">
              <w:t>Total number of kilometres travelled (million train-km.)*</w:t>
            </w:r>
          </w:p>
        </w:tc>
        <w:tc>
          <w:tcPr>
            <w:tcW w:w="1417" w:type="dxa"/>
            <w:tcBorders>
              <w:top w:val="single" w:sz="4" w:space="0" w:color="808080"/>
              <w:left w:val="single" w:sz="4" w:space="0" w:color="808080"/>
              <w:bottom w:val="single" w:sz="4" w:space="0" w:color="808080"/>
              <w:right w:val="single" w:sz="4" w:space="0" w:color="808080"/>
            </w:tcBorders>
            <w:shd w:val="clear" w:color="auto" w:fill="auto"/>
          </w:tcPr>
          <w:p w:rsidR="000A0609" w:rsidRPr="002429C5" w:rsidRDefault="000A0609" w:rsidP="00042526">
            <w:pPr>
              <w:pStyle w:val="DoNotTranslateInternal1"/>
            </w:pPr>
            <w:r w:rsidRPr="002429C5">
              <w:t>84,0</w:t>
            </w:r>
          </w:p>
        </w:tc>
      </w:tr>
    </w:tbl>
    <w:p w:rsidR="000A0609" w:rsidRPr="002429C5" w:rsidRDefault="000A0609" w:rsidP="000A0609">
      <w:pPr>
        <w:pStyle w:val="Tabeltekst"/>
        <w:rPr>
          <w:i/>
        </w:rPr>
      </w:pPr>
      <w:r w:rsidRPr="002429C5">
        <w:rPr>
          <w:i/>
        </w:rPr>
        <w:t xml:space="preserve">Figures from railway undertakings. Source: railway undertakings' safety reports for 2013 and 2014. </w:t>
      </w:r>
      <w:r w:rsidRPr="002429C5">
        <w:rPr>
          <w:i/>
        </w:rPr>
        <w:br/>
        <w:t>However, data marked * are from Statistics Denmark.</w:t>
      </w:r>
    </w:p>
    <w:p w:rsidR="00042526" w:rsidRPr="002429C5" w:rsidRDefault="00042526" w:rsidP="00042526"/>
    <w:p w:rsidR="000A0609" w:rsidRPr="002429C5" w:rsidRDefault="000A0609" w:rsidP="000A0609">
      <w:pPr>
        <w:pStyle w:val="Heading1"/>
      </w:pPr>
      <w:bookmarkStart w:id="47" w:name="_Toc441733554"/>
      <w:r w:rsidRPr="002429C5">
        <w:lastRenderedPageBreak/>
        <w:t>Annex B: Safety indicators for 2014</w:t>
      </w:r>
      <w:bookmarkEnd w:id="47"/>
    </w:p>
    <w:p w:rsidR="000A0609" w:rsidRPr="002429C5" w:rsidRDefault="000A0609" w:rsidP="000A0609">
      <w:pPr>
        <w:rPr>
          <w:b/>
        </w:rPr>
      </w:pPr>
      <w:r w:rsidRPr="002429C5">
        <w:rPr>
          <w:b/>
        </w:rPr>
        <w:t>Data</w:t>
      </w:r>
    </w:p>
    <w:p w:rsidR="000A0609" w:rsidRPr="002429C5" w:rsidRDefault="000A0609" w:rsidP="000A0609">
      <w:r w:rsidRPr="002429C5">
        <w:t>The statistical data in the annex were recorded by railway undertakings and railway infrastructure managers in the period 2009-2014. Some of the figures in the report are based on data that go back to 1999, but data for private and local lines is only available to a limited extent before 2003.</w:t>
      </w:r>
    </w:p>
    <w:p w:rsidR="000A0609" w:rsidRPr="002429C5" w:rsidRDefault="000A0609" w:rsidP="000A0609">
      <w:r w:rsidRPr="002429C5">
        <w:t>Data are reported in accordance with the Reporting Executive Order</w:t>
      </w:r>
      <w:r w:rsidRPr="002429C5">
        <w:rPr>
          <w:rStyle w:val="FootnoteReference"/>
        </w:rPr>
        <w:footnoteReference w:id="25"/>
      </w:r>
      <w:r w:rsidRPr="002429C5">
        <w:t>. The definitions used can be found in annex C and are described in greater detail in the guidelines on the reporting of accidents, precursors to accidents and safety irregularities that can be found on the Danish Transport Authority’s website.</w:t>
      </w:r>
    </w:p>
    <w:p w:rsidR="00B824CC" w:rsidRPr="002429C5" w:rsidRDefault="000A0609" w:rsidP="000A0609">
      <w:r w:rsidRPr="002429C5">
        <w:t>Some categories of data contain relatively small quantities of data, and can give rise to big fluctuations in the statistics from year to year. This is why 5-year cumulative averages are calculated for comparison with annual figures.</w:t>
      </w:r>
    </w:p>
    <w:p w:rsidR="000A0609" w:rsidRPr="002429C5" w:rsidRDefault="000A0609" w:rsidP="00FA5788">
      <w:pPr>
        <w:keepNext/>
        <w:rPr>
          <w:b/>
        </w:rPr>
      </w:pPr>
      <w:r w:rsidRPr="002429C5">
        <w:rPr>
          <w:b/>
        </w:rPr>
        <w:t>Overview of national safety indicators</w:t>
      </w:r>
    </w:p>
    <w:p w:rsidR="000A0609" w:rsidRPr="002429C5" w:rsidRDefault="000A0609" w:rsidP="00FA5788">
      <w:pPr>
        <w:keepNext/>
        <w:rPr>
          <w:i/>
          <w:sz w:val="16"/>
          <w:szCs w:val="16"/>
        </w:rPr>
      </w:pPr>
      <w:r w:rsidRPr="002429C5">
        <w:rPr>
          <w:i/>
          <w:sz w:val="16"/>
        </w:rPr>
        <w:t>Table 7. Safety indicators for 2014</w:t>
      </w:r>
    </w:p>
    <w:tbl>
      <w:tblPr>
        <w:tblW w:w="0" w:type="auto"/>
        <w:tblInd w:w="42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top w:w="85" w:type="dxa"/>
          <w:left w:w="425" w:type="dxa"/>
          <w:bottom w:w="85" w:type="dxa"/>
          <w:right w:w="0" w:type="dxa"/>
        </w:tblCellMar>
        <w:tblLook w:val="01E0" w:firstRow="1" w:lastRow="1" w:firstColumn="1" w:lastColumn="1" w:noHBand="0" w:noVBand="0"/>
      </w:tblPr>
      <w:tblGrid>
        <w:gridCol w:w="2059"/>
        <w:gridCol w:w="1842"/>
        <w:gridCol w:w="1938"/>
        <w:gridCol w:w="2054"/>
      </w:tblGrid>
      <w:tr w:rsidR="000A0609" w:rsidRPr="002429C5" w:rsidTr="00FA5788">
        <w:trPr>
          <w:cantSplit/>
          <w:tblHeader/>
        </w:trPr>
        <w:tc>
          <w:tcPr>
            <w:tcW w:w="0" w:type="auto"/>
            <w:tcBorders>
              <w:top w:val="single" w:sz="4" w:space="0" w:color="808080"/>
              <w:left w:val="single" w:sz="4" w:space="0" w:color="808080"/>
              <w:bottom w:val="single" w:sz="4" w:space="0" w:color="808080"/>
              <w:right w:val="single" w:sz="4" w:space="0" w:color="808080"/>
            </w:tcBorders>
            <w:shd w:val="clear" w:color="auto" w:fill="CCCCCC"/>
            <w:tcMar>
              <w:top w:w="170" w:type="dxa"/>
              <w:left w:w="425" w:type="dxa"/>
              <w:bottom w:w="170" w:type="dxa"/>
              <w:right w:w="0" w:type="dxa"/>
            </w:tcMar>
            <w:hideMark/>
          </w:tcPr>
          <w:p w:rsidR="000A0609" w:rsidRPr="002429C5" w:rsidRDefault="000A0609" w:rsidP="00AE3ED4">
            <w:pPr>
              <w:pStyle w:val="Tabeltekst"/>
              <w:spacing w:line="276" w:lineRule="auto"/>
              <w:rPr>
                <w:b/>
              </w:rPr>
            </w:pPr>
            <w:r w:rsidRPr="002429C5">
              <w:rPr>
                <w:b/>
              </w:rPr>
              <w:t>Indicators</w:t>
            </w:r>
          </w:p>
        </w:tc>
        <w:tc>
          <w:tcPr>
            <w:tcW w:w="1842" w:type="dxa"/>
            <w:tcBorders>
              <w:top w:val="single" w:sz="4" w:space="0" w:color="808080"/>
              <w:left w:val="single" w:sz="4" w:space="0" w:color="808080"/>
              <w:bottom w:val="single" w:sz="4" w:space="0" w:color="808080"/>
              <w:right w:val="single" w:sz="4" w:space="0" w:color="808080"/>
            </w:tcBorders>
            <w:shd w:val="clear" w:color="auto" w:fill="CCCCCC"/>
            <w:tcMar>
              <w:top w:w="170" w:type="dxa"/>
              <w:left w:w="425" w:type="dxa"/>
              <w:bottom w:w="170" w:type="dxa"/>
              <w:right w:w="0" w:type="dxa"/>
            </w:tcMar>
            <w:hideMark/>
          </w:tcPr>
          <w:p w:rsidR="000A0609" w:rsidRPr="002429C5" w:rsidRDefault="000A0609" w:rsidP="00AE3ED4">
            <w:pPr>
              <w:pStyle w:val="Tabeltekst"/>
              <w:spacing w:line="276" w:lineRule="auto"/>
              <w:rPr>
                <w:b/>
              </w:rPr>
            </w:pPr>
            <w:r w:rsidRPr="002429C5">
              <w:rPr>
                <w:b/>
              </w:rPr>
              <w:t xml:space="preserve">Total in 2014 </w:t>
            </w:r>
          </w:p>
        </w:tc>
        <w:tc>
          <w:tcPr>
            <w:tcW w:w="1938" w:type="dxa"/>
            <w:tcBorders>
              <w:top w:val="single" w:sz="4" w:space="0" w:color="808080"/>
              <w:left w:val="single" w:sz="4" w:space="0" w:color="808080"/>
              <w:bottom w:val="single" w:sz="4" w:space="0" w:color="808080"/>
              <w:right w:val="single" w:sz="4" w:space="0" w:color="808080"/>
            </w:tcBorders>
            <w:shd w:val="clear" w:color="auto" w:fill="CCCCCC"/>
            <w:hideMark/>
          </w:tcPr>
          <w:p w:rsidR="000A0609" w:rsidRPr="002429C5" w:rsidRDefault="000A0609" w:rsidP="00AE3ED4">
            <w:pPr>
              <w:pStyle w:val="Tabeltekst"/>
              <w:spacing w:line="276" w:lineRule="auto"/>
              <w:rPr>
                <w:b/>
              </w:rPr>
            </w:pPr>
            <w:r w:rsidRPr="002429C5">
              <w:rPr>
                <w:b/>
              </w:rPr>
              <w:t>Total in 2014/million train-km</w:t>
            </w:r>
          </w:p>
        </w:tc>
        <w:tc>
          <w:tcPr>
            <w:tcW w:w="2054" w:type="dxa"/>
            <w:tcBorders>
              <w:top w:val="single" w:sz="4" w:space="0" w:color="808080"/>
              <w:left w:val="single" w:sz="4" w:space="0" w:color="808080"/>
              <w:bottom w:val="single" w:sz="4" w:space="0" w:color="808080"/>
              <w:right w:val="single" w:sz="4" w:space="0" w:color="808080"/>
            </w:tcBorders>
            <w:shd w:val="clear" w:color="auto" w:fill="CCCCCC"/>
            <w:tcMar>
              <w:top w:w="170" w:type="dxa"/>
              <w:left w:w="425" w:type="dxa"/>
              <w:bottom w:w="170" w:type="dxa"/>
              <w:right w:w="0" w:type="dxa"/>
            </w:tcMar>
            <w:hideMark/>
          </w:tcPr>
          <w:p w:rsidR="000A0609" w:rsidRPr="002429C5" w:rsidRDefault="000A0609" w:rsidP="00AE3ED4">
            <w:pPr>
              <w:pStyle w:val="Tabeltekst"/>
              <w:spacing w:line="276" w:lineRule="auto"/>
              <w:rPr>
                <w:b/>
              </w:rPr>
            </w:pPr>
            <w:r w:rsidRPr="002429C5">
              <w:rPr>
                <w:b/>
              </w:rPr>
              <w:t>5-year average/million train-km</w:t>
            </w:r>
          </w:p>
        </w:tc>
      </w:tr>
      <w:tr w:rsidR="000A0609" w:rsidRPr="002429C5" w:rsidTr="00FA5788">
        <w:trPr>
          <w:cantSplit/>
        </w:trPr>
        <w:tc>
          <w:tcPr>
            <w:tcW w:w="0" w:type="auto"/>
            <w:tcBorders>
              <w:top w:val="single" w:sz="4" w:space="0" w:color="808080"/>
              <w:left w:val="single" w:sz="4" w:space="0" w:color="808080"/>
              <w:bottom w:val="single" w:sz="4" w:space="0" w:color="808080"/>
              <w:right w:val="single" w:sz="4" w:space="0" w:color="808080"/>
            </w:tcBorders>
            <w:hideMark/>
          </w:tcPr>
          <w:p w:rsidR="000A0609" w:rsidRPr="002429C5" w:rsidRDefault="000A0609" w:rsidP="00AE3ED4">
            <w:pPr>
              <w:pStyle w:val="Tabeltekst"/>
              <w:spacing w:line="276" w:lineRule="auto"/>
            </w:pPr>
            <w:r w:rsidRPr="002429C5">
              <w:t>Significant accidents</w:t>
            </w:r>
          </w:p>
        </w:tc>
        <w:tc>
          <w:tcPr>
            <w:tcW w:w="1842" w:type="dxa"/>
            <w:tcBorders>
              <w:top w:val="single" w:sz="4" w:space="0" w:color="808080"/>
              <w:left w:val="single" w:sz="4" w:space="0" w:color="808080"/>
              <w:bottom w:val="single" w:sz="4" w:space="0" w:color="808080"/>
              <w:right w:val="single" w:sz="4" w:space="0" w:color="808080"/>
            </w:tcBorders>
            <w:vAlign w:val="bottom"/>
          </w:tcPr>
          <w:p w:rsidR="000A0609" w:rsidRPr="002429C5" w:rsidRDefault="000A0609" w:rsidP="00042526">
            <w:pPr>
              <w:pStyle w:val="DoNotTranslateInternal2"/>
            </w:pPr>
            <w:r w:rsidRPr="002429C5">
              <w:t>21</w:t>
            </w:r>
          </w:p>
        </w:tc>
        <w:tc>
          <w:tcPr>
            <w:tcW w:w="1938" w:type="dxa"/>
            <w:tcBorders>
              <w:top w:val="single" w:sz="4" w:space="0" w:color="808080"/>
              <w:left w:val="single" w:sz="4" w:space="0" w:color="808080"/>
              <w:bottom w:val="single" w:sz="4" w:space="0" w:color="808080"/>
              <w:right w:val="single" w:sz="4" w:space="0" w:color="808080"/>
            </w:tcBorders>
            <w:shd w:val="clear" w:color="auto" w:fill="FFFFFF" w:themeFill="background1"/>
            <w:vAlign w:val="bottom"/>
          </w:tcPr>
          <w:p w:rsidR="000A0609" w:rsidRPr="002429C5" w:rsidRDefault="000A0609" w:rsidP="00AE3ED4">
            <w:pPr>
              <w:jc w:val="center"/>
              <w:rPr>
                <w:rFonts w:ascii="Arial" w:hAnsi="Arial" w:cs="Arial"/>
                <w:sz w:val="16"/>
                <w:szCs w:val="16"/>
              </w:rPr>
            </w:pPr>
            <w:r w:rsidRPr="002429C5">
              <w:rPr>
                <w:rFonts w:ascii="Arial" w:hAnsi="Arial"/>
                <w:sz w:val="16"/>
              </w:rPr>
              <w:t>0.25</w:t>
            </w:r>
          </w:p>
        </w:tc>
        <w:tc>
          <w:tcPr>
            <w:tcW w:w="2054" w:type="dxa"/>
            <w:tcBorders>
              <w:top w:val="single" w:sz="4" w:space="0" w:color="808080"/>
              <w:left w:val="single" w:sz="4" w:space="0" w:color="808080"/>
              <w:bottom w:val="single" w:sz="4" w:space="0" w:color="808080"/>
              <w:right w:val="single" w:sz="4" w:space="0" w:color="808080"/>
            </w:tcBorders>
            <w:shd w:val="clear" w:color="auto" w:fill="FFFFFF" w:themeFill="background1"/>
            <w:vAlign w:val="bottom"/>
          </w:tcPr>
          <w:p w:rsidR="000A0609" w:rsidRPr="002429C5" w:rsidRDefault="000A0609" w:rsidP="00AE3ED4">
            <w:pPr>
              <w:jc w:val="center"/>
              <w:rPr>
                <w:rFonts w:ascii="Arial" w:hAnsi="Arial" w:cs="Arial"/>
                <w:sz w:val="16"/>
                <w:szCs w:val="16"/>
              </w:rPr>
            </w:pPr>
            <w:r w:rsidRPr="002429C5">
              <w:rPr>
                <w:rFonts w:ascii="Arial" w:hAnsi="Arial"/>
                <w:sz w:val="16"/>
              </w:rPr>
              <w:t>0.24</w:t>
            </w:r>
          </w:p>
        </w:tc>
      </w:tr>
      <w:tr w:rsidR="000A0609" w:rsidRPr="002429C5" w:rsidTr="00FA5788">
        <w:trPr>
          <w:cantSplit/>
        </w:trPr>
        <w:tc>
          <w:tcPr>
            <w:tcW w:w="0" w:type="auto"/>
            <w:tcBorders>
              <w:top w:val="single" w:sz="4" w:space="0" w:color="808080"/>
              <w:left w:val="single" w:sz="4" w:space="0" w:color="808080"/>
              <w:bottom w:val="single" w:sz="4" w:space="0" w:color="808080"/>
              <w:right w:val="single" w:sz="4" w:space="0" w:color="808080"/>
            </w:tcBorders>
            <w:hideMark/>
          </w:tcPr>
          <w:p w:rsidR="000A0609" w:rsidRPr="002429C5" w:rsidRDefault="000A0609" w:rsidP="00AE3ED4">
            <w:pPr>
              <w:pStyle w:val="Tabeltekst"/>
              <w:spacing w:line="276" w:lineRule="auto"/>
            </w:pPr>
            <w:r w:rsidRPr="002429C5">
              <w:t>Minor accidents</w:t>
            </w:r>
          </w:p>
        </w:tc>
        <w:tc>
          <w:tcPr>
            <w:tcW w:w="1842" w:type="dxa"/>
            <w:tcBorders>
              <w:top w:val="single" w:sz="4" w:space="0" w:color="808080"/>
              <w:left w:val="single" w:sz="4" w:space="0" w:color="808080"/>
              <w:bottom w:val="single" w:sz="4" w:space="0" w:color="808080"/>
              <w:right w:val="single" w:sz="4" w:space="0" w:color="808080"/>
            </w:tcBorders>
            <w:vAlign w:val="bottom"/>
          </w:tcPr>
          <w:p w:rsidR="000A0609" w:rsidRPr="002429C5" w:rsidRDefault="000A0609" w:rsidP="00042526">
            <w:pPr>
              <w:pStyle w:val="DoNotTranslateInternal2"/>
            </w:pPr>
            <w:r w:rsidRPr="002429C5">
              <w:t>325</w:t>
            </w:r>
          </w:p>
        </w:tc>
        <w:tc>
          <w:tcPr>
            <w:tcW w:w="1938" w:type="dxa"/>
            <w:tcBorders>
              <w:top w:val="single" w:sz="4" w:space="0" w:color="808080"/>
              <w:left w:val="single" w:sz="4" w:space="0" w:color="808080"/>
              <w:bottom w:val="single" w:sz="4" w:space="0" w:color="808080"/>
              <w:right w:val="single" w:sz="4" w:space="0" w:color="808080"/>
            </w:tcBorders>
            <w:shd w:val="clear" w:color="auto" w:fill="FFFFFF" w:themeFill="background1"/>
            <w:vAlign w:val="bottom"/>
          </w:tcPr>
          <w:p w:rsidR="000A0609" w:rsidRPr="002429C5" w:rsidRDefault="000A0609" w:rsidP="00AE3ED4">
            <w:pPr>
              <w:jc w:val="center"/>
              <w:rPr>
                <w:rFonts w:ascii="Arial" w:hAnsi="Arial" w:cs="Arial"/>
                <w:sz w:val="16"/>
                <w:szCs w:val="16"/>
              </w:rPr>
            </w:pPr>
            <w:r w:rsidRPr="002429C5">
              <w:rPr>
                <w:rFonts w:ascii="Arial" w:hAnsi="Arial"/>
                <w:sz w:val="16"/>
              </w:rPr>
              <w:t>3.84</w:t>
            </w:r>
          </w:p>
        </w:tc>
        <w:tc>
          <w:tcPr>
            <w:tcW w:w="2054" w:type="dxa"/>
            <w:tcBorders>
              <w:top w:val="single" w:sz="4" w:space="0" w:color="808080"/>
              <w:left w:val="single" w:sz="4" w:space="0" w:color="808080"/>
              <w:bottom w:val="single" w:sz="4" w:space="0" w:color="808080"/>
              <w:right w:val="single" w:sz="4" w:space="0" w:color="808080"/>
            </w:tcBorders>
            <w:shd w:val="clear" w:color="auto" w:fill="FFFFFF" w:themeFill="background1"/>
            <w:vAlign w:val="bottom"/>
          </w:tcPr>
          <w:p w:rsidR="000A0609" w:rsidRPr="002429C5" w:rsidRDefault="000A0609" w:rsidP="00AE3ED4">
            <w:pPr>
              <w:jc w:val="center"/>
              <w:rPr>
                <w:rFonts w:ascii="Arial" w:hAnsi="Arial" w:cs="Arial"/>
                <w:sz w:val="16"/>
                <w:szCs w:val="16"/>
              </w:rPr>
            </w:pPr>
            <w:r w:rsidRPr="002429C5">
              <w:rPr>
                <w:rFonts w:ascii="Arial" w:hAnsi="Arial"/>
                <w:sz w:val="16"/>
              </w:rPr>
              <w:t>4.36</w:t>
            </w:r>
          </w:p>
        </w:tc>
      </w:tr>
      <w:tr w:rsidR="000A0609" w:rsidRPr="002429C5" w:rsidTr="00FA5788">
        <w:trPr>
          <w:cantSplit/>
        </w:trPr>
        <w:tc>
          <w:tcPr>
            <w:tcW w:w="0" w:type="auto"/>
            <w:tcBorders>
              <w:top w:val="single" w:sz="4" w:space="0" w:color="808080"/>
              <w:left w:val="single" w:sz="4" w:space="0" w:color="808080"/>
              <w:bottom w:val="single" w:sz="4" w:space="0" w:color="808080"/>
              <w:right w:val="single" w:sz="4" w:space="0" w:color="808080"/>
            </w:tcBorders>
            <w:hideMark/>
          </w:tcPr>
          <w:p w:rsidR="000A0609" w:rsidRPr="002429C5" w:rsidRDefault="000A0609" w:rsidP="00AE3ED4">
            <w:pPr>
              <w:pStyle w:val="Tabeltekst"/>
              <w:spacing w:line="276" w:lineRule="auto"/>
            </w:pPr>
            <w:r w:rsidRPr="002429C5">
              <w:t>Precursors to accidents</w:t>
            </w:r>
          </w:p>
        </w:tc>
        <w:tc>
          <w:tcPr>
            <w:tcW w:w="1842" w:type="dxa"/>
            <w:tcBorders>
              <w:top w:val="single" w:sz="4" w:space="0" w:color="808080"/>
              <w:left w:val="single" w:sz="4" w:space="0" w:color="808080"/>
              <w:bottom w:val="single" w:sz="4" w:space="0" w:color="808080"/>
              <w:right w:val="single" w:sz="4" w:space="0" w:color="808080"/>
            </w:tcBorders>
            <w:shd w:val="clear" w:color="auto" w:fill="auto"/>
            <w:vAlign w:val="bottom"/>
          </w:tcPr>
          <w:p w:rsidR="000A0609" w:rsidRPr="002429C5" w:rsidRDefault="000A0609" w:rsidP="00042526">
            <w:pPr>
              <w:pStyle w:val="DoNotTranslateInternal2"/>
            </w:pPr>
            <w:r w:rsidRPr="002429C5">
              <w:t>471</w:t>
            </w:r>
          </w:p>
        </w:tc>
        <w:tc>
          <w:tcPr>
            <w:tcW w:w="1938" w:type="dxa"/>
            <w:tcBorders>
              <w:top w:val="single" w:sz="4" w:space="0" w:color="808080"/>
              <w:left w:val="single" w:sz="4" w:space="0" w:color="808080"/>
              <w:bottom w:val="single" w:sz="4" w:space="0" w:color="808080"/>
              <w:right w:val="single" w:sz="4" w:space="0" w:color="808080"/>
            </w:tcBorders>
            <w:shd w:val="clear" w:color="auto" w:fill="FFFFFF" w:themeFill="background1"/>
            <w:vAlign w:val="bottom"/>
          </w:tcPr>
          <w:p w:rsidR="000A0609" w:rsidRPr="002429C5" w:rsidRDefault="000A0609" w:rsidP="00AE3ED4">
            <w:pPr>
              <w:jc w:val="center"/>
              <w:rPr>
                <w:rFonts w:ascii="Arial" w:hAnsi="Arial" w:cs="Arial"/>
                <w:sz w:val="16"/>
                <w:szCs w:val="16"/>
              </w:rPr>
            </w:pPr>
            <w:r w:rsidRPr="002429C5">
              <w:rPr>
                <w:rFonts w:ascii="Arial" w:hAnsi="Arial"/>
                <w:sz w:val="16"/>
              </w:rPr>
              <w:t>5.57</w:t>
            </w:r>
          </w:p>
        </w:tc>
        <w:tc>
          <w:tcPr>
            <w:tcW w:w="2054" w:type="dxa"/>
            <w:tcBorders>
              <w:top w:val="single" w:sz="4" w:space="0" w:color="808080"/>
              <w:left w:val="single" w:sz="4" w:space="0" w:color="808080"/>
              <w:bottom w:val="single" w:sz="4" w:space="0" w:color="808080"/>
              <w:right w:val="single" w:sz="4" w:space="0" w:color="808080"/>
            </w:tcBorders>
            <w:shd w:val="clear" w:color="auto" w:fill="FFFFFF" w:themeFill="background1"/>
            <w:vAlign w:val="bottom"/>
          </w:tcPr>
          <w:p w:rsidR="000A0609" w:rsidRPr="002429C5" w:rsidRDefault="000A0609" w:rsidP="00AE3ED4">
            <w:pPr>
              <w:jc w:val="center"/>
              <w:rPr>
                <w:rFonts w:ascii="Arial" w:hAnsi="Arial" w:cs="Arial"/>
                <w:sz w:val="16"/>
                <w:szCs w:val="16"/>
              </w:rPr>
            </w:pPr>
            <w:r w:rsidRPr="002429C5">
              <w:rPr>
                <w:rFonts w:ascii="Arial" w:hAnsi="Arial"/>
                <w:sz w:val="16"/>
              </w:rPr>
              <w:t>6.67</w:t>
            </w:r>
          </w:p>
        </w:tc>
      </w:tr>
      <w:tr w:rsidR="000A0609" w:rsidRPr="002429C5" w:rsidTr="00FA5788">
        <w:trPr>
          <w:cantSplit/>
        </w:trPr>
        <w:tc>
          <w:tcPr>
            <w:tcW w:w="0" w:type="auto"/>
            <w:tcBorders>
              <w:top w:val="single" w:sz="4" w:space="0" w:color="808080"/>
              <w:left w:val="single" w:sz="4" w:space="0" w:color="808080"/>
              <w:bottom w:val="single" w:sz="4" w:space="0" w:color="808080"/>
              <w:right w:val="single" w:sz="4" w:space="0" w:color="808080"/>
            </w:tcBorders>
            <w:hideMark/>
          </w:tcPr>
          <w:p w:rsidR="000A0609" w:rsidRPr="002429C5" w:rsidRDefault="000A0609" w:rsidP="00AE3ED4">
            <w:pPr>
              <w:pStyle w:val="Tabeltekst"/>
              <w:spacing w:line="276" w:lineRule="auto"/>
            </w:pPr>
            <w:r w:rsidRPr="002429C5">
              <w:t>Safety irregularities</w:t>
            </w:r>
          </w:p>
        </w:tc>
        <w:tc>
          <w:tcPr>
            <w:tcW w:w="1842" w:type="dxa"/>
            <w:tcBorders>
              <w:top w:val="single" w:sz="4" w:space="0" w:color="808080"/>
              <w:left w:val="single" w:sz="4" w:space="0" w:color="808080"/>
              <w:bottom w:val="single" w:sz="4" w:space="0" w:color="808080"/>
              <w:right w:val="single" w:sz="4" w:space="0" w:color="808080"/>
            </w:tcBorders>
            <w:vAlign w:val="bottom"/>
          </w:tcPr>
          <w:p w:rsidR="000A0609" w:rsidRPr="002429C5" w:rsidRDefault="000A0609" w:rsidP="00042526">
            <w:pPr>
              <w:pStyle w:val="DoNotTranslateInternal2"/>
            </w:pPr>
            <w:r w:rsidRPr="002429C5">
              <w:t>2652</w:t>
            </w:r>
          </w:p>
        </w:tc>
        <w:tc>
          <w:tcPr>
            <w:tcW w:w="1938" w:type="dxa"/>
            <w:tcBorders>
              <w:top w:val="single" w:sz="4" w:space="0" w:color="808080"/>
              <w:left w:val="single" w:sz="4" w:space="0" w:color="808080"/>
              <w:bottom w:val="single" w:sz="4" w:space="0" w:color="808080"/>
              <w:right w:val="single" w:sz="4" w:space="0" w:color="808080"/>
            </w:tcBorders>
            <w:shd w:val="clear" w:color="auto" w:fill="FFFFFF" w:themeFill="background1"/>
            <w:vAlign w:val="bottom"/>
          </w:tcPr>
          <w:p w:rsidR="000A0609" w:rsidRPr="002429C5" w:rsidRDefault="000A0609" w:rsidP="00AE3ED4">
            <w:pPr>
              <w:jc w:val="center"/>
              <w:rPr>
                <w:rFonts w:ascii="Arial" w:hAnsi="Arial" w:cs="Arial"/>
                <w:sz w:val="16"/>
                <w:szCs w:val="16"/>
              </w:rPr>
            </w:pPr>
            <w:r w:rsidRPr="002429C5">
              <w:rPr>
                <w:rFonts w:ascii="Arial" w:hAnsi="Arial"/>
                <w:sz w:val="16"/>
              </w:rPr>
              <w:t>31.36</w:t>
            </w:r>
          </w:p>
        </w:tc>
        <w:tc>
          <w:tcPr>
            <w:tcW w:w="2054" w:type="dxa"/>
            <w:tcBorders>
              <w:top w:val="single" w:sz="4" w:space="0" w:color="808080"/>
              <w:left w:val="single" w:sz="4" w:space="0" w:color="808080"/>
              <w:bottom w:val="single" w:sz="4" w:space="0" w:color="808080"/>
              <w:right w:val="single" w:sz="4" w:space="0" w:color="808080"/>
            </w:tcBorders>
            <w:shd w:val="clear" w:color="auto" w:fill="FFFFFF" w:themeFill="background1"/>
            <w:vAlign w:val="bottom"/>
          </w:tcPr>
          <w:p w:rsidR="000A0609" w:rsidRPr="002429C5" w:rsidRDefault="000A0609" w:rsidP="00AE3ED4">
            <w:pPr>
              <w:jc w:val="center"/>
              <w:rPr>
                <w:rFonts w:ascii="Arial" w:hAnsi="Arial" w:cs="Arial"/>
                <w:sz w:val="16"/>
                <w:szCs w:val="16"/>
              </w:rPr>
            </w:pPr>
            <w:r w:rsidRPr="002429C5">
              <w:rPr>
                <w:rFonts w:ascii="Arial" w:hAnsi="Arial"/>
                <w:sz w:val="16"/>
              </w:rPr>
              <w:t>30.39</w:t>
            </w:r>
          </w:p>
        </w:tc>
      </w:tr>
      <w:tr w:rsidR="000A0609" w:rsidRPr="002429C5" w:rsidTr="00FA5788">
        <w:trPr>
          <w:cantSplit/>
        </w:trPr>
        <w:tc>
          <w:tcPr>
            <w:tcW w:w="0" w:type="auto"/>
            <w:tcBorders>
              <w:top w:val="single" w:sz="4" w:space="0" w:color="808080"/>
              <w:left w:val="single" w:sz="4" w:space="0" w:color="808080"/>
              <w:bottom w:val="single" w:sz="4" w:space="0" w:color="808080"/>
              <w:right w:val="single" w:sz="4" w:space="0" w:color="808080"/>
            </w:tcBorders>
            <w:hideMark/>
          </w:tcPr>
          <w:p w:rsidR="000A0609" w:rsidRPr="002429C5" w:rsidRDefault="000A0609" w:rsidP="00AE3ED4">
            <w:pPr>
              <w:pStyle w:val="Tabeltekst"/>
              <w:spacing w:line="276" w:lineRule="auto"/>
            </w:pPr>
            <w:r w:rsidRPr="002429C5">
              <w:t>Persons killed*</w:t>
            </w:r>
          </w:p>
        </w:tc>
        <w:tc>
          <w:tcPr>
            <w:tcW w:w="1842" w:type="dxa"/>
            <w:tcBorders>
              <w:top w:val="single" w:sz="4" w:space="0" w:color="808080"/>
              <w:left w:val="single" w:sz="4" w:space="0" w:color="808080"/>
              <w:bottom w:val="single" w:sz="4" w:space="0" w:color="808080"/>
              <w:right w:val="single" w:sz="4" w:space="0" w:color="808080"/>
            </w:tcBorders>
            <w:vAlign w:val="bottom"/>
          </w:tcPr>
          <w:p w:rsidR="000A0609" w:rsidRPr="002429C5" w:rsidRDefault="000A0609" w:rsidP="00042526">
            <w:pPr>
              <w:pStyle w:val="DoNotTranslateInternal2"/>
            </w:pPr>
            <w:r w:rsidRPr="002429C5">
              <w:t>14</w:t>
            </w:r>
          </w:p>
        </w:tc>
        <w:tc>
          <w:tcPr>
            <w:tcW w:w="1938" w:type="dxa"/>
            <w:tcBorders>
              <w:top w:val="single" w:sz="4" w:space="0" w:color="808080"/>
              <w:left w:val="single" w:sz="4" w:space="0" w:color="808080"/>
              <w:bottom w:val="single" w:sz="4" w:space="0" w:color="808080"/>
              <w:right w:val="single" w:sz="4" w:space="0" w:color="808080"/>
            </w:tcBorders>
            <w:shd w:val="clear" w:color="auto" w:fill="FFFFFF" w:themeFill="background1"/>
            <w:vAlign w:val="bottom"/>
          </w:tcPr>
          <w:p w:rsidR="000A0609" w:rsidRPr="002429C5" w:rsidRDefault="000A0609" w:rsidP="00AE3ED4">
            <w:pPr>
              <w:jc w:val="center"/>
              <w:rPr>
                <w:rFonts w:ascii="Arial" w:hAnsi="Arial" w:cs="Arial"/>
                <w:sz w:val="16"/>
                <w:szCs w:val="16"/>
              </w:rPr>
            </w:pPr>
            <w:r w:rsidRPr="002429C5">
              <w:rPr>
                <w:rFonts w:ascii="Arial" w:hAnsi="Arial"/>
                <w:sz w:val="16"/>
              </w:rPr>
              <w:t>0.17</w:t>
            </w:r>
          </w:p>
        </w:tc>
        <w:tc>
          <w:tcPr>
            <w:tcW w:w="2054" w:type="dxa"/>
            <w:tcBorders>
              <w:top w:val="single" w:sz="4" w:space="0" w:color="808080"/>
              <w:left w:val="single" w:sz="4" w:space="0" w:color="808080"/>
              <w:bottom w:val="single" w:sz="4" w:space="0" w:color="808080"/>
              <w:right w:val="single" w:sz="4" w:space="0" w:color="808080"/>
            </w:tcBorders>
            <w:shd w:val="clear" w:color="auto" w:fill="FFFFFF" w:themeFill="background1"/>
            <w:vAlign w:val="bottom"/>
          </w:tcPr>
          <w:p w:rsidR="000A0609" w:rsidRPr="002429C5" w:rsidRDefault="000A0609" w:rsidP="00AE3ED4">
            <w:pPr>
              <w:jc w:val="center"/>
              <w:rPr>
                <w:rFonts w:ascii="Arial" w:hAnsi="Arial" w:cs="Arial"/>
                <w:sz w:val="16"/>
                <w:szCs w:val="16"/>
              </w:rPr>
            </w:pPr>
            <w:r w:rsidRPr="002429C5">
              <w:rPr>
                <w:rFonts w:ascii="Arial" w:hAnsi="Arial"/>
                <w:sz w:val="16"/>
              </w:rPr>
              <w:t>0.12</w:t>
            </w:r>
          </w:p>
        </w:tc>
      </w:tr>
      <w:tr w:rsidR="000A0609" w:rsidRPr="002429C5" w:rsidTr="00FA5788">
        <w:trPr>
          <w:cantSplit/>
        </w:trPr>
        <w:tc>
          <w:tcPr>
            <w:tcW w:w="0" w:type="auto"/>
            <w:tcBorders>
              <w:top w:val="single" w:sz="4" w:space="0" w:color="808080"/>
              <w:left w:val="single" w:sz="4" w:space="0" w:color="808080"/>
              <w:bottom w:val="single" w:sz="4" w:space="0" w:color="808080"/>
              <w:right w:val="single" w:sz="4" w:space="0" w:color="808080"/>
            </w:tcBorders>
            <w:hideMark/>
          </w:tcPr>
          <w:p w:rsidR="000A0609" w:rsidRPr="002429C5" w:rsidRDefault="000A0609" w:rsidP="00AE3ED4">
            <w:pPr>
              <w:pStyle w:val="Tabeltekst"/>
              <w:spacing w:line="276" w:lineRule="auto"/>
            </w:pPr>
            <w:r w:rsidRPr="002429C5">
              <w:t>Serious injuries</w:t>
            </w:r>
          </w:p>
        </w:tc>
        <w:tc>
          <w:tcPr>
            <w:tcW w:w="1842" w:type="dxa"/>
            <w:tcBorders>
              <w:top w:val="single" w:sz="4" w:space="0" w:color="808080"/>
              <w:left w:val="single" w:sz="4" w:space="0" w:color="808080"/>
              <w:bottom w:val="single" w:sz="4" w:space="0" w:color="808080"/>
              <w:right w:val="single" w:sz="4" w:space="0" w:color="808080"/>
            </w:tcBorders>
            <w:vAlign w:val="bottom"/>
          </w:tcPr>
          <w:p w:rsidR="000A0609" w:rsidRPr="002429C5" w:rsidRDefault="000A0609" w:rsidP="00042526">
            <w:pPr>
              <w:pStyle w:val="DoNotTranslateInternal2"/>
            </w:pPr>
            <w:r w:rsidRPr="002429C5">
              <w:t>7</w:t>
            </w:r>
          </w:p>
        </w:tc>
        <w:tc>
          <w:tcPr>
            <w:tcW w:w="1938" w:type="dxa"/>
            <w:tcBorders>
              <w:top w:val="single" w:sz="4" w:space="0" w:color="808080"/>
              <w:left w:val="single" w:sz="4" w:space="0" w:color="808080"/>
              <w:bottom w:val="single" w:sz="4" w:space="0" w:color="808080"/>
              <w:right w:val="single" w:sz="4" w:space="0" w:color="808080"/>
            </w:tcBorders>
            <w:shd w:val="clear" w:color="auto" w:fill="FFFFFF" w:themeFill="background1"/>
            <w:vAlign w:val="bottom"/>
          </w:tcPr>
          <w:p w:rsidR="000A0609" w:rsidRPr="002429C5" w:rsidRDefault="000A0609" w:rsidP="00AE3ED4">
            <w:pPr>
              <w:jc w:val="center"/>
              <w:rPr>
                <w:rFonts w:ascii="Arial" w:hAnsi="Arial" w:cs="Arial"/>
                <w:sz w:val="16"/>
                <w:szCs w:val="16"/>
              </w:rPr>
            </w:pPr>
            <w:r w:rsidRPr="002429C5">
              <w:rPr>
                <w:rFonts w:ascii="Arial" w:hAnsi="Arial"/>
                <w:sz w:val="16"/>
              </w:rPr>
              <w:t>0.08</w:t>
            </w:r>
          </w:p>
        </w:tc>
        <w:tc>
          <w:tcPr>
            <w:tcW w:w="2054" w:type="dxa"/>
            <w:tcBorders>
              <w:top w:val="single" w:sz="4" w:space="0" w:color="808080"/>
              <w:left w:val="single" w:sz="4" w:space="0" w:color="808080"/>
              <w:bottom w:val="single" w:sz="4" w:space="0" w:color="808080"/>
              <w:right w:val="single" w:sz="4" w:space="0" w:color="808080"/>
            </w:tcBorders>
            <w:shd w:val="clear" w:color="auto" w:fill="FFFFFF" w:themeFill="background1"/>
            <w:vAlign w:val="bottom"/>
          </w:tcPr>
          <w:p w:rsidR="000A0609" w:rsidRPr="002429C5" w:rsidRDefault="000A0609" w:rsidP="00AE3ED4">
            <w:pPr>
              <w:jc w:val="center"/>
              <w:rPr>
                <w:rFonts w:ascii="Arial" w:hAnsi="Arial" w:cs="Arial"/>
                <w:sz w:val="16"/>
                <w:szCs w:val="16"/>
              </w:rPr>
            </w:pPr>
            <w:r w:rsidRPr="002429C5">
              <w:rPr>
                <w:rFonts w:ascii="Arial" w:hAnsi="Arial"/>
                <w:sz w:val="16"/>
              </w:rPr>
              <w:t>0.11</w:t>
            </w:r>
          </w:p>
        </w:tc>
      </w:tr>
      <w:tr w:rsidR="000A0609" w:rsidRPr="002429C5" w:rsidTr="00FA5788">
        <w:trPr>
          <w:cantSplit/>
        </w:trPr>
        <w:tc>
          <w:tcPr>
            <w:tcW w:w="0" w:type="auto"/>
            <w:tcBorders>
              <w:top w:val="single" w:sz="4" w:space="0" w:color="808080"/>
              <w:left w:val="single" w:sz="4" w:space="0" w:color="808080"/>
              <w:bottom w:val="single" w:sz="4" w:space="0" w:color="808080"/>
              <w:right w:val="single" w:sz="4" w:space="0" w:color="808080"/>
            </w:tcBorders>
            <w:hideMark/>
          </w:tcPr>
          <w:p w:rsidR="000A0609" w:rsidRPr="002429C5" w:rsidRDefault="000A0609" w:rsidP="00AE3ED4">
            <w:pPr>
              <w:pStyle w:val="Tabeltekst"/>
              <w:spacing w:line="276" w:lineRule="auto"/>
            </w:pPr>
            <w:r w:rsidRPr="002429C5">
              <w:t>Suicides (deaths)</w:t>
            </w:r>
          </w:p>
        </w:tc>
        <w:tc>
          <w:tcPr>
            <w:tcW w:w="1842" w:type="dxa"/>
            <w:tcBorders>
              <w:top w:val="single" w:sz="4" w:space="0" w:color="808080"/>
              <w:left w:val="single" w:sz="4" w:space="0" w:color="808080"/>
              <w:bottom w:val="single" w:sz="4" w:space="0" w:color="808080"/>
              <w:right w:val="single" w:sz="4" w:space="0" w:color="808080"/>
            </w:tcBorders>
            <w:vAlign w:val="bottom"/>
          </w:tcPr>
          <w:p w:rsidR="000A0609" w:rsidRPr="002429C5" w:rsidRDefault="000A0609" w:rsidP="00042526">
            <w:pPr>
              <w:pStyle w:val="DoNotTranslateInternal2"/>
            </w:pPr>
            <w:r w:rsidRPr="002429C5">
              <w:t>31</w:t>
            </w:r>
          </w:p>
        </w:tc>
        <w:tc>
          <w:tcPr>
            <w:tcW w:w="1938" w:type="dxa"/>
            <w:tcBorders>
              <w:top w:val="single" w:sz="4" w:space="0" w:color="808080"/>
              <w:left w:val="single" w:sz="4" w:space="0" w:color="808080"/>
              <w:bottom w:val="single" w:sz="4" w:space="0" w:color="808080"/>
              <w:right w:val="single" w:sz="4" w:space="0" w:color="808080"/>
            </w:tcBorders>
            <w:shd w:val="clear" w:color="auto" w:fill="FFFFFF" w:themeFill="background1"/>
            <w:vAlign w:val="bottom"/>
          </w:tcPr>
          <w:p w:rsidR="000A0609" w:rsidRPr="002429C5" w:rsidRDefault="000A0609" w:rsidP="00AE3ED4">
            <w:pPr>
              <w:jc w:val="center"/>
              <w:rPr>
                <w:rFonts w:ascii="Arial" w:hAnsi="Arial" w:cs="Arial"/>
                <w:sz w:val="16"/>
                <w:szCs w:val="16"/>
              </w:rPr>
            </w:pPr>
            <w:r w:rsidRPr="002429C5">
              <w:rPr>
                <w:rFonts w:ascii="Arial" w:hAnsi="Arial"/>
                <w:sz w:val="16"/>
              </w:rPr>
              <w:t>0.37</w:t>
            </w:r>
          </w:p>
        </w:tc>
        <w:tc>
          <w:tcPr>
            <w:tcW w:w="2054" w:type="dxa"/>
            <w:tcBorders>
              <w:top w:val="single" w:sz="4" w:space="0" w:color="808080"/>
              <w:left w:val="single" w:sz="4" w:space="0" w:color="808080"/>
              <w:bottom w:val="single" w:sz="4" w:space="0" w:color="808080"/>
              <w:right w:val="single" w:sz="4" w:space="0" w:color="808080"/>
            </w:tcBorders>
            <w:shd w:val="clear" w:color="auto" w:fill="FFFFFF" w:themeFill="background1"/>
            <w:vAlign w:val="bottom"/>
          </w:tcPr>
          <w:p w:rsidR="000A0609" w:rsidRPr="002429C5" w:rsidRDefault="000A0609" w:rsidP="00AE3ED4">
            <w:pPr>
              <w:jc w:val="center"/>
              <w:rPr>
                <w:rFonts w:ascii="Arial" w:hAnsi="Arial" w:cs="Arial"/>
                <w:sz w:val="16"/>
                <w:szCs w:val="16"/>
              </w:rPr>
            </w:pPr>
            <w:r w:rsidRPr="002429C5">
              <w:rPr>
                <w:rFonts w:ascii="Arial" w:hAnsi="Arial"/>
                <w:sz w:val="16"/>
              </w:rPr>
              <w:t>0.36</w:t>
            </w:r>
          </w:p>
        </w:tc>
      </w:tr>
    </w:tbl>
    <w:p w:rsidR="000A0609" w:rsidRPr="002429C5" w:rsidRDefault="000A0609" w:rsidP="000A0609">
      <w:pPr>
        <w:pStyle w:val="Tabeltekst"/>
      </w:pPr>
      <w:r w:rsidRPr="002429C5">
        <w:rPr>
          <w:i/>
        </w:rPr>
        <w:t>Safety indicators for the railways. Significant accidents are accidents involving serious personal injuries, damage in excess of DKK 1.2 million or significant delays to traffic. * The figures for ‘persons killed’ exclude suicides, as these are given separately.</w:t>
      </w:r>
    </w:p>
    <w:p w:rsidR="00FA5788" w:rsidRPr="002429C5" w:rsidRDefault="00FA5788" w:rsidP="000A0609">
      <w:pPr>
        <w:spacing w:after="0"/>
        <w:rPr>
          <w:i/>
          <w:sz w:val="16"/>
          <w:szCs w:val="16"/>
          <w:shd w:val="clear" w:color="auto" w:fill="FFFFFF" w:themeFill="background1"/>
        </w:rPr>
      </w:pPr>
    </w:p>
    <w:p w:rsidR="00FA5788" w:rsidRPr="002429C5" w:rsidRDefault="00FA5788" w:rsidP="000A0609">
      <w:pPr>
        <w:spacing w:after="0"/>
        <w:rPr>
          <w:i/>
          <w:sz w:val="16"/>
          <w:szCs w:val="16"/>
          <w:shd w:val="clear" w:color="auto" w:fill="FFFFFF" w:themeFill="background1"/>
        </w:rPr>
      </w:pPr>
    </w:p>
    <w:p w:rsidR="000A0609" w:rsidRPr="002429C5" w:rsidRDefault="000A0609" w:rsidP="00FA5788">
      <w:pPr>
        <w:keepNext/>
        <w:rPr>
          <w:i/>
          <w:sz w:val="16"/>
          <w:szCs w:val="16"/>
        </w:rPr>
      </w:pPr>
      <w:r w:rsidRPr="002429C5">
        <w:rPr>
          <w:i/>
          <w:sz w:val="16"/>
        </w:rPr>
        <w:lastRenderedPageBreak/>
        <w:t>Table 8. Indicators relating to significant accidents</w:t>
      </w:r>
    </w:p>
    <w:tbl>
      <w:tblPr>
        <w:tblW w:w="0" w:type="auto"/>
        <w:tblInd w:w="42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top w:w="85" w:type="dxa"/>
          <w:left w:w="340" w:type="dxa"/>
          <w:bottom w:w="85" w:type="dxa"/>
          <w:right w:w="0" w:type="dxa"/>
        </w:tblCellMar>
        <w:tblLook w:val="01E0" w:firstRow="1" w:lastRow="1" w:firstColumn="1" w:lastColumn="1" w:noHBand="0" w:noVBand="0"/>
      </w:tblPr>
      <w:tblGrid>
        <w:gridCol w:w="2268"/>
        <w:gridCol w:w="1134"/>
        <w:gridCol w:w="1985"/>
        <w:gridCol w:w="2425"/>
      </w:tblGrid>
      <w:tr w:rsidR="000A0609" w:rsidRPr="002429C5" w:rsidTr="00FA5788">
        <w:trPr>
          <w:cantSplit/>
          <w:tblHeader/>
        </w:trPr>
        <w:tc>
          <w:tcPr>
            <w:tcW w:w="2268" w:type="dxa"/>
            <w:tcBorders>
              <w:top w:val="single" w:sz="4" w:space="0" w:color="808080"/>
              <w:left w:val="single" w:sz="4" w:space="0" w:color="808080"/>
              <w:bottom w:val="single" w:sz="4" w:space="0" w:color="808080"/>
              <w:right w:val="single" w:sz="4" w:space="0" w:color="808080"/>
            </w:tcBorders>
            <w:shd w:val="clear" w:color="auto" w:fill="CCCCCC"/>
            <w:tcMar>
              <w:top w:w="170" w:type="dxa"/>
              <w:left w:w="425" w:type="dxa"/>
              <w:bottom w:w="170" w:type="dxa"/>
              <w:right w:w="0" w:type="dxa"/>
            </w:tcMar>
            <w:hideMark/>
          </w:tcPr>
          <w:p w:rsidR="000A0609" w:rsidRPr="002429C5" w:rsidRDefault="000A0609" w:rsidP="00FA5788">
            <w:pPr>
              <w:pStyle w:val="Tabeltekst"/>
              <w:keepNext/>
              <w:spacing w:line="276" w:lineRule="auto"/>
              <w:rPr>
                <w:b/>
              </w:rPr>
            </w:pPr>
            <w:r w:rsidRPr="002429C5">
              <w:rPr>
                <w:b/>
              </w:rPr>
              <w:t>Significant accidents</w:t>
            </w:r>
          </w:p>
        </w:tc>
        <w:tc>
          <w:tcPr>
            <w:tcW w:w="1134" w:type="dxa"/>
            <w:tcBorders>
              <w:top w:val="single" w:sz="4" w:space="0" w:color="808080"/>
              <w:left w:val="single" w:sz="4" w:space="0" w:color="808080"/>
              <w:bottom w:val="single" w:sz="4" w:space="0" w:color="808080"/>
              <w:right w:val="single" w:sz="4" w:space="0" w:color="808080"/>
            </w:tcBorders>
            <w:shd w:val="clear" w:color="auto" w:fill="CCCCCC"/>
            <w:tcMar>
              <w:top w:w="170" w:type="dxa"/>
              <w:left w:w="425" w:type="dxa"/>
              <w:bottom w:w="170" w:type="dxa"/>
              <w:right w:w="0" w:type="dxa"/>
            </w:tcMar>
            <w:hideMark/>
          </w:tcPr>
          <w:p w:rsidR="000A0609" w:rsidRPr="002429C5" w:rsidRDefault="000A0609" w:rsidP="00FA5788">
            <w:pPr>
              <w:pStyle w:val="Tabeltekst"/>
              <w:keepNext/>
              <w:spacing w:line="276" w:lineRule="auto"/>
              <w:rPr>
                <w:b/>
              </w:rPr>
            </w:pPr>
            <w:r w:rsidRPr="002429C5">
              <w:rPr>
                <w:b/>
              </w:rPr>
              <w:t>Total in 2014</w:t>
            </w:r>
          </w:p>
        </w:tc>
        <w:tc>
          <w:tcPr>
            <w:tcW w:w="1985" w:type="dxa"/>
            <w:tcBorders>
              <w:top w:val="single" w:sz="4" w:space="0" w:color="808080"/>
              <w:left w:val="single" w:sz="4" w:space="0" w:color="808080"/>
              <w:bottom w:val="single" w:sz="4" w:space="0" w:color="808080"/>
              <w:right w:val="single" w:sz="4" w:space="0" w:color="808080"/>
            </w:tcBorders>
            <w:shd w:val="clear" w:color="auto" w:fill="CCCCCC"/>
            <w:hideMark/>
          </w:tcPr>
          <w:p w:rsidR="000A0609" w:rsidRPr="002429C5" w:rsidRDefault="000A0609" w:rsidP="00FA5788">
            <w:pPr>
              <w:pStyle w:val="Tabeltekst"/>
              <w:keepNext/>
              <w:spacing w:line="276" w:lineRule="auto"/>
              <w:rPr>
                <w:b/>
              </w:rPr>
            </w:pPr>
            <w:r w:rsidRPr="002429C5">
              <w:rPr>
                <w:b/>
              </w:rPr>
              <w:t>Total in 2014/million train-km</w:t>
            </w:r>
          </w:p>
        </w:tc>
        <w:tc>
          <w:tcPr>
            <w:tcW w:w="2425" w:type="dxa"/>
            <w:tcBorders>
              <w:top w:val="single" w:sz="4" w:space="0" w:color="808080"/>
              <w:left w:val="single" w:sz="4" w:space="0" w:color="808080"/>
              <w:bottom w:val="single" w:sz="4" w:space="0" w:color="808080"/>
              <w:right w:val="single" w:sz="4" w:space="0" w:color="808080"/>
            </w:tcBorders>
            <w:shd w:val="clear" w:color="auto" w:fill="CCCCCC"/>
            <w:tcMar>
              <w:top w:w="170" w:type="dxa"/>
              <w:left w:w="425" w:type="dxa"/>
              <w:bottom w:w="170" w:type="dxa"/>
              <w:right w:w="0" w:type="dxa"/>
            </w:tcMar>
            <w:hideMark/>
          </w:tcPr>
          <w:p w:rsidR="000A0609" w:rsidRPr="002429C5" w:rsidRDefault="000A0609" w:rsidP="00FA5788">
            <w:pPr>
              <w:pStyle w:val="Tabeltekst"/>
              <w:keepNext/>
              <w:spacing w:line="276" w:lineRule="auto"/>
              <w:rPr>
                <w:b/>
              </w:rPr>
            </w:pPr>
            <w:r w:rsidRPr="002429C5">
              <w:rPr>
                <w:b/>
              </w:rPr>
              <w:t>5-year average/million train-km</w:t>
            </w:r>
          </w:p>
        </w:tc>
      </w:tr>
      <w:tr w:rsidR="000A0609" w:rsidRPr="002429C5" w:rsidTr="00FA5788">
        <w:trPr>
          <w:cantSplit/>
        </w:trPr>
        <w:tc>
          <w:tcPr>
            <w:tcW w:w="2268" w:type="dxa"/>
            <w:tcBorders>
              <w:top w:val="single" w:sz="4" w:space="0" w:color="808080"/>
              <w:left w:val="single" w:sz="4" w:space="0" w:color="808080"/>
              <w:bottom w:val="single" w:sz="4" w:space="0" w:color="808080"/>
              <w:right w:val="single" w:sz="4" w:space="0" w:color="808080"/>
            </w:tcBorders>
            <w:hideMark/>
          </w:tcPr>
          <w:p w:rsidR="000A0609" w:rsidRPr="002429C5" w:rsidRDefault="000A0609" w:rsidP="00AE3ED4">
            <w:pPr>
              <w:pStyle w:val="Tabeltekst"/>
              <w:spacing w:line="276" w:lineRule="auto"/>
            </w:pPr>
            <w:r w:rsidRPr="002429C5">
              <w:t>Collision of trains</w:t>
            </w:r>
          </w:p>
        </w:tc>
        <w:tc>
          <w:tcPr>
            <w:tcW w:w="1134" w:type="dxa"/>
            <w:tcBorders>
              <w:top w:val="single" w:sz="4" w:space="0" w:color="808080"/>
              <w:left w:val="single" w:sz="4" w:space="0" w:color="808080"/>
              <w:bottom w:val="single" w:sz="4" w:space="0" w:color="808080"/>
              <w:right w:val="single" w:sz="4" w:space="0" w:color="808080"/>
            </w:tcBorders>
            <w:vAlign w:val="bottom"/>
          </w:tcPr>
          <w:p w:rsidR="000A0609" w:rsidRPr="002429C5" w:rsidRDefault="000A0609" w:rsidP="00042526">
            <w:pPr>
              <w:pStyle w:val="DoNotTranslateInternal2"/>
            </w:pPr>
            <w:r w:rsidRPr="002429C5">
              <w:t>0</w:t>
            </w:r>
          </w:p>
        </w:tc>
        <w:tc>
          <w:tcPr>
            <w:tcW w:w="1985" w:type="dxa"/>
            <w:tcBorders>
              <w:top w:val="single" w:sz="4" w:space="0" w:color="808080"/>
              <w:left w:val="single" w:sz="4" w:space="0" w:color="808080"/>
              <w:bottom w:val="single" w:sz="4" w:space="0" w:color="808080"/>
              <w:right w:val="single" w:sz="4" w:space="0" w:color="808080"/>
            </w:tcBorders>
            <w:shd w:val="clear" w:color="auto" w:fill="FFFFFF" w:themeFill="background1"/>
            <w:vAlign w:val="bottom"/>
          </w:tcPr>
          <w:p w:rsidR="000A0609" w:rsidRPr="002429C5" w:rsidRDefault="000A0609" w:rsidP="00AE3ED4">
            <w:pPr>
              <w:jc w:val="center"/>
              <w:rPr>
                <w:rFonts w:ascii="Arial" w:hAnsi="Arial" w:cs="Arial"/>
                <w:sz w:val="16"/>
                <w:szCs w:val="16"/>
              </w:rPr>
            </w:pPr>
            <w:r w:rsidRPr="002429C5">
              <w:rPr>
                <w:rFonts w:ascii="Arial" w:hAnsi="Arial"/>
                <w:sz w:val="16"/>
              </w:rPr>
              <w:t>0.00</w:t>
            </w:r>
          </w:p>
        </w:tc>
        <w:tc>
          <w:tcPr>
            <w:tcW w:w="2425" w:type="dxa"/>
            <w:tcBorders>
              <w:top w:val="single" w:sz="4" w:space="0" w:color="808080"/>
              <w:left w:val="single" w:sz="4" w:space="0" w:color="808080"/>
              <w:bottom w:val="single" w:sz="4" w:space="0" w:color="808080"/>
              <w:right w:val="single" w:sz="4" w:space="0" w:color="808080"/>
            </w:tcBorders>
            <w:shd w:val="clear" w:color="auto" w:fill="FFFFFF" w:themeFill="background1"/>
            <w:vAlign w:val="bottom"/>
          </w:tcPr>
          <w:p w:rsidR="000A0609" w:rsidRPr="002429C5" w:rsidRDefault="000A0609" w:rsidP="00AE3ED4">
            <w:pPr>
              <w:jc w:val="center"/>
              <w:rPr>
                <w:rFonts w:ascii="Arial" w:hAnsi="Arial" w:cs="Arial"/>
                <w:sz w:val="16"/>
                <w:szCs w:val="16"/>
              </w:rPr>
            </w:pPr>
            <w:r w:rsidRPr="002429C5">
              <w:rPr>
                <w:rFonts w:ascii="Arial" w:hAnsi="Arial"/>
                <w:sz w:val="16"/>
              </w:rPr>
              <w:t>0.01</w:t>
            </w:r>
          </w:p>
        </w:tc>
      </w:tr>
      <w:tr w:rsidR="000A0609" w:rsidRPr="002429C5" w:rsidTr="00FA5788">
        <w:trPr>
          <w:cantSplit/>
        </w:trPr>
        <w:tc>
          <w:tcPr>
            <w:tcW w:w="2268" w:type="dxa"/>
            <w:tcBorders>
              <w:top w:val="single" w:sz="4" w:space="0" w:color="808080"/>
              <w:left w:val="single" w:sz="4" w:space="0" w:color="808080"/>
              <w:bottom w:val="single" w:sz="4" w:space="0" w:color="808080"/>
              <w:right w:val="single" w:sz="4" w:space="0" w:color="808080"/>
            </w:tcBorders>
            <w:hideMark/>
          </w:tcPr>
          <w:p w:rsidR="000A0609" w:rsidRPr="002429C5" w:rsidRDefault="000A0609" w:rsidP="00AE3ED4">
            <w:pPr>
              <w:pStyle w:val="Tabeltekst"/>
              <w:spacing w:line="276" w:lineRule="auto"/>
            </w:pPr>
            <w:r w:rsidRPr="002429C5">
              <w:t>Derailment</w:t>
            </w:r>
          </w:p>
        </w:tc>
        <w:tc>
          <w:tcPr>
            <w:tcW w:w="1134" w:type="dxa"/>
            <w:tcBorders>
              <w:top w:val="single" w:sz="4" w:space="0" w:color="808080"/>
              <w:left w:val="single" w:sz="4" w:space="0" w:color="808080"/>
              <w:bottom w:val="single" w:sz="4" w:space="0" w:color="808080"/>
              <w:right w:val="single" w:sz="4" w:space="0" w:color="808080"/>
            </w:tcBorders>
            <w:vAlign w:val="bottom"/>
          </w:tcPr>
          <w:p w:rsidR="000A0609" w:rsidRPr="002429C5" w:rsidRDefault="000A0609" w:rsidP="00042526">
            <w:pPr>
              <w:pStyle w:val="DoNotTranslateInternal2"/>
            </w:pPr>
            <w:r w:rsidRPr="002429C5">
              <w:t>1</w:t>
            </w:r>
          </w:p>
        </w:tc>
        <w:tc>
          <w:tcPr>
            <w:tcW w:w="1985" w:type="dxa"/>
            <w:tcBorders>
              <w:top w:val="single" w:sz="4" w:space="0" w:color="808080"/>
              <w:left w:val="single" w:sz="4" w:space="0" w:color="808080"/>
              <w:bottom w:val="single" w:sz="4" w:space="0" w:color="808080"/>
              <w:right w:val="single" w:sz="4" w:space="0" w:color="808080"/>
            </w:tcBorders>
            <w:shd w:val="clear" w:color="auto" w:fill="FFFFFF" w:themeFill="background1"/>
            <w:vAlign w:val="bottom"/>
          </w:tcPr>
          <w:p w:rsidR="000A0609" w:rsidRPr="002429C5" w:rsidRDefault="000A0609" w:rsidP="00AE3ED4">
            <w:pPr>
              <w:jc w:val="center"/>
              <w:rPr>
                <w:rFonts w:ascii="Arial" w:hAnsi="Arial" w:cs="Arial"/>
                <w:sz w:val="16"/>
                <w:szCs w:val="16"/>
              </w:rPr>
            </w:pPr>
            <w:r w:rsidRPr="002429C5">
              <w:rPr>
                <w:rFonts w:ascii="Arial" w:hAnsi="Arial"/>
                <w:sz w:val="16"/>
              </w:rPr>
              <w:t>0.01</w:t>
            </w:r>
          </w:p>
        </w:tc>
        <w:tc>
          <w:tcPr>
            <w:tcW w:w="2425" w:type="dxa"/>
            <w:tcBorders>
              <w:top w:val="single" w:sz="4" w:space="0" w:color="808080"/>
              <w:left w:val="single" w:sz="4" w:space="0" w:color="808080"/>
              <w:bottom w:val="single" w:sz="4" w:space="0" w:color="808080"/>
              <w:right w:val="single" w:sz="4" w:space="0" w:color="808080"/>
            </w:tcBorders>
            <w:shd w:val="clear" w:color="auto" w:fill="FFFFFF" w:themeFill="background1"/>
            <w:vAlign w:val="bottom"/>
          </w:tcPr>
          <w:p w:rsidR="000A0609" w:rsidRPr="002429C5" w:rsidRDefault="000A0609" w:rsidP="00AE3ED4">
            <w:pPr>
              <w:jc w:val="center"/>
              <w:rPr>
                <w:rFonts w:ascii="Arial" w:hAnsi="Arial" w:cs="Arial"/>
                <w:sz w:val="16"/>
                <w:szCs w:val="16"/>
              </w:rPr>
            </w:pPr>
            <w:r w:rsidRPr="002429C5">
              <w:rPr>
                <w:rFonts w:ascii="Arial" w:hAnsi="Arial"/>
                <w:sz w:val="16"/>
              </w:rPr>
              <w:t>0.01</w:t>
            </w:r>
          </w:p>
        </w:tc>
      </w:tr>
      <w:tr w:rsidR="000A0609" w:rsidRPr="002429C5" w:rsidTr="00FA5788">
        <w:trPr>
          <w:cantSplit/>
        </w:trPr>
        <w:tc>
          <w:tcPr>
            <w:tcW w:w="2268" w:type="dxa"/>
            <w:tcBorders>
              <w:top w:val="single" w:sz="4" w:space="0" w:color="808080"/>
              <w:left w:val="single" w:sz="4" w:space="0" w:color="808080"/>
              <w:bottom w:val="single" w:sz="4" w:space="0" w:color="808080"/>
              <w:right w:val="single" w:sz="4" w:space="0" w:color="808080"/>
            </w:tcBorders>
            <w:hideMark/>
          </w:tcPr>
          <w:p w:rsidR="000A0609" w:rsidRPr="002429C5" w:rsidRDefault="000A0609" w:rsidP="00AE3ED4">
            <w:pPr>
              <w:pStyle w:val="Tabeltekst"/>
              <w:spacing w:line="276" w:lineRule="auto"/>
            </w:pPr>
            <w:r w:rsidRPr="002429C5">
              <w:t>Level-crossing accidents</w:t>
            </w:r>
          </w:p>
        </w:tc>
        <w:tc>
          <w:tcPr>
            <w:tcW w:w="1134" w:type="dxa"/>
            <w:tcBorders>
              <w:top w:val="single" w:sz="4" w:space="0" w:color="808080"/>
              <w:left w:val="single" w:sz="4" w:space="0" w:color="808080"/>
              <w:bottom w:val="single" w:sz="4" w:space="0" w:color="808080"/>
              <w:right w:val="single" w:sz="4" w:space="0" w:color="808080"/>
            </w:tcBorders>
            <w:vAlign w:val="bottom"/>
          </w:tcPr>
          <w:p w:rsidR="000A0609" w:rsidRPr="002429C5" w:rsidRDefault="000A0609" w:rsidP="00042526">
            <w:pPr>
              <w:pStyle w:val="DoNotTranslateInternal2"/>
            </w:pPr>
            <w:r w:rsidRPr="002429C5">
              <w:t>5</w:t>
            </w:r>
          </w:p>
        </w:tc>
        <w:tc>
          <w:tcPr>
            <w:tcW w:w="1985" w:type="dxa"/>
            <w:tcBorders>
              <w:top w:val="single" w:sz="4" w:space="0" w:color="808080"/>
              <w:left w:val="single" w:sz="4" w:space="0" w:color="808080"/>
              <w:bottom w:val="single" w:sz="4" w:space="0" w:color="808080"/>
              <w:right w:val="single" w:sz="4" w:space="0" w:color="808080"/>
            </w:tcBorders>
            <w:shd w:val="clear" w:color="auto" w:fill="FFFFFF" w:themeFill="background1"/>
            <w:vAlign w:val="bottom"/>
          </w:tcPr>
          <w:p w:rsidR="000A0609" w:rsidRPr="002429C5" w:rsidRDefault="000A0609" w:rsidP="00AE3ED4">
            <w:pPr>
              <w:jc w:val="center"/>
              <w:rPr>
                <w:rFonts w:ascii="Arial" w:hAnsi="Arial" w:cs="Arial"/>
                <w:sz w:val="16"/>
                <w:szCs w:val="16"/>
              </w:rPr>
            </w:pPr>
            <w:r w:rsidRPr="002429C5">
              <w:rPr>
                <w:rFonts w:ascii="Arial" w:hAnsi="Arial"/>
                <w:sz w:val="16"/>
              </w:rPr>
              <w:t>0.06</w:t>
            </w:r>
          </w:p>
        </w:tc>
        <w:tc>
          <w:tcPr>
            <w:tcW w:w="2425" w:type="dxa"/>
            <w:tcBorders>
              <w:top w:val="single" w:sz="4" w:space="0" w:color="808080"/>
              <w:left w:val="single" w:sz="4" w:space="0" w:color="808080"/>
              <w:bottom w:val="single" w:sz="4" w:space="0" w:color="808080"/>
              <w:right w:val="single" w:sz="4" w:space="0" w:color="808080"/>
            </w:tcBorders>
            <w:shd w:val="clear" w:color="auto" w:fill="FFFFFF" w:themeFill="background1"/>
            <w:vAlign w:val="bottom"/>
          </w:tcPr>
          <w:p w:rsidR="000A0609" w:rsidRPr="002429C5" w:rsidRDefault="000A0609" w:rsidP="00AE3ED4">
            <w:pPr>
              <w:jc w:val="center"/>
              <w:rPr>
                <w:rFonts w:ascii="Arial" w:hAnsi="Arial" w:cs="Arial"/>
                <w:sz w:val="16"/>
                <w:szCs w:val="16"/>
              </w:rPr>
            </w:pPr>
            <w:r w:rsidRPr="002429C5">
              <w:rPr>
                <w:rFonts w:ascii="Arial" w:hAnsi="Arial"/>
                <w:sz w:val="16"/>
              </w:rPr>
              <w:t>0.06</w:t>
            </w:r>
          </w:p>
        </w:tc>
      </w:tr>
      <w:tr w:rsidR="000A0609" w:rsidRPr="002429C5" w:rsidTr="00FA5788">
        <w:trPr>
          <w:cantSplit/>
        </w:trPr>
        <w:tc>
          <w:tcPr>
            <w:tcW w:w="2268" w:type="dxa"/>
            <w:tcBorders>
              <w:top w:val="single" w:sz="4" w:space="0" w:color="808080"/>
              <w:left w:val="single" w:sz="4" w:space="0" w:color="808080"/>
              <w:bottom w:val="single" w:sz="4" w:space="0" w:color="808080"/>
              <w:right w:val="single" w:sz="4" w:space="0" w:color="808080"/>
            </w:tcBorders>
            <w:hideMark/>
          </w:tcPr>
          <w:p w:rsidR="000A0609" w:rsidRPr="002429C5" w:rsidRDefault="000A0609" w:rsidP="00AE3ED4">
            <w:pPr>
              <w:pStyle w:val="Tabeltekst"/>
              <w:spacing w:line="276" w:lineRule="auto"/>
            </w:pPr>
            <w:r w:rsidRPr="002429C5">
              <w:t>Collisions involving persons</w:t>
            </w:r>
          </w:p>
        </w:tc>
        <w:tc>
          <w:tcPr>
            <w:tcW w:w="1134" w:type="dxa"/>
            <w:tcBorders>
              <w:top w:val="single" w:sz="4" w:space="0" w:color="808080"/>
              <w:left w:val="single" w:sz="4" w:space="0" w:color="808080"/>
              <w:bottom w:val="single" w:sz="4" w:space="0" w:color="808080"/>
              <w:right w:val="single" w:sz="4" w:space="0" w:color="808080"/>
            </w:tcBorders>
            <w:vAlign w:val="bottom"/>
          </w:tcPr>
          <w:p w:rsidR="000A0609" w:rsidRPr="002429C5" w:rsidRDefault="000A0609" w:rsidP="00042526">
            <w:pPr>
              <w:pStyle w:val="DoNotTranslateInternal2"/>
            </w:pPr>
            <w:r w:rsidRPr="002429C5">
              <w:t>13</w:t>
            </w:r>
          </w:p>
        </w:tc>
        <w:tc>
          <w:tcPr>
            <w:tcW w:w="1985" w:type="dxa"/>
            <w:tcBorders>
              <w:top w:val="single" w:sz="4" w:space="0" w:color="808080"/>
              <w:left w:val="single" w:sz="4" w:space="0" w:color="808080"/>
              <w:bottom w:val="single" w:sz="4" w:space="0" w:color="808080"/>
              <w:right w:val="single" w:sz="4" w:space="0" w:color="808080"/>
            </w:tcBorders>
            <w:shd w:val="clear" w:color="auto" w:fill="FFFFFF" w:themeFill="background1"/>
            <w:vAlign w:val="bottom"/>
          </w:tcPr>
          <w:p w:rsidR="000A0609" w:rsidRPr="002429C5" w:rsidRDefault="000A0609" w:rsidP="00AE3ED4">
            <w:pPr>
              <w:jc w:val="center"/>
              <w:rPr>
                <w:rFonts w:ascii="Arial" w:hAnsi="Arial" w:cs="Arial"/>
                <w:sz w:val="16"/>
                <w:szCs w:val="16"/>
              </w:rPr>
            </w:pPr>
            <w:r w:rsidRPr="002429C5">
              <w:rPr>
                <w:rFonts w:ascii="Arial" w:hAnsi="Arial"/>
                <w:sz w:val="16"/>
              </w:rPr>
              <w:t>0.15</w:t>
            </w:r>
          </w:p>
        </w:tc>
        <w:tc>
          <w:tcPr>
            <w:tcW w:w="2425" w:type="dxa"/>
            <w:tcBorders>
              <w:top w:val="single" w:sz="4" w:space="0" w:color="808080"/>
              <w:left w:val="single" w:sz="4" w:space="0" w:color="808080"/>
              <w:bottom w:val="single" w:sz="4" w:space="0" w:color="808080"/>
              <w:right w:val="single" w:sz="4" w:space="0" w:color="808080"/>
            </w:tcBorders>
            <w:shd w:val="clear" w:color="auto" w:fill="FFFFFF" w:themeFill="background1"/>
            <w:vAlign w:val="bottom"/>
          </w:tcPr>
          <w:p w:rsidR="000A0609" w:rsidRPr="002429C5" w:rsidRDefault="000A0609" w:rsidP="00AE3ED4">
            <w:pPr>
              <w:jc w:val="center"/>
              <w:rPr>
                <w:rFonts w:ascii="Arial" w:hAnsi="Arial" w:cs="Arial"/>
                <w:sz w:val="16"/>
                <w:szCs w:val="16"/>
              </w:rPr>
            </w:pPr>
            <w:r w:rsidRPr="002429C5">
              <w:rPr>
                <w:rFonts w:ascii="Arial" w:hAnsi="Arial"/>
                <w:sz w:val="16"/>
              </w:rPr>
              <w:t>0.14</w:t>
            </w:r>
          </w:p>
        </w:tc>
      </w:tr>
      <w:tr w:rsidR="000A0609" w:rsidRPr="002429C5" w:rsidTr="00FA5788">
        <w:trPr>
          <w:cantSplit/>
        </w:trPr>
        <w:tc>
          <w:tcPr>
            <w:tcW w:w="2268" w:type="dxa"/>
            <w:tcBorders>
              <w:top w:val="single" w:sz="4" w:space="0" w:color="808080"/>
              <w:left w:val="single" w:sz="4" w:space="0" w:color="808080"/>
              <w:bottom w:val="single" w:sz="4" w:space="0" w:color="808080"/>
              <w:right w:val="single" w:sz="4" w:space="0" w:color="808080"/>
            </w:tcBorders>
            <w:hideMark/>
          </w:tcPr>
          <w:p w:rsidR="000A0609" w:rsidRPr="002429C5" w:rsidRDefault="000A0609" w:rsidP="00AE3ED4">
            <w:pPr>
              <w:pStyle w:val="Tabeltekst"/>
              <w:spacing w:line="276" w:lineRule="auto"/>
            </w:pPr>
            <w:r w:rsidRPr="002429C5">
              <w:t>Fire</w:t>
            </w:r>
          </w:p>
        </w:tc>
        <w:tc>
          <w:tcPr>
            <w:tcW w:w="1134" w:type="dxa"/>
            <w:tcBorders>
              <w:top w:val="single" w:sz="4" w:space="0" w:color="808080"/>
              <w:left w:val="single" w:sz="4" w:space="0" w:color="808080"/>
              <w:bottom w:val="single" w:sz="4" w:space="0" w:color="808080"/>
              <w:right w:val="single" w:sz="4" w:space="0" w:color="808080"/>
            </w:tcBorders>
            <w:vAlign w:val="bottom"/>
          </w:tcPr>
          <w:p w:rsidR="000A0609" w:rsidRPr="002429C5" w:rsidRDefault="000A0609" w:rsidP="00042526">
            <w:pPr>
              <w:pStyle w:val="DoNotTranslateInternal2"/>
            </w:pPr>
            <w:r w:rsidRPr="002429C5">
              <w:t>0</w:t>
            </w:r>
          </w:p>
        </w:tc>
        <w:tc>
          <w:tcPr>
            <w:tcW w:w="1985" w:type="dxa"/>
            <w:tcBorders>
              <w:top w:val="single" w:sz="4" w:space="0" w:color="808080"/>
              <w:left w:val="single" w:sz="4" w:space="0" w:color="808080"/>
              <w:bottom w:val="single" w:sz="4" w:space="0" w:color="808080"/>
              <w:right w:val="single" w:sz="4" w:space="0" w:color="808080"/>
            </w:tcBorders>
            <w:shd w:val="clear" w:color="auto" w:fill="FFFFFF" w:themeFill="background1"/>
            <w:vAlign w:val="bottom"/>
          </w:tcPr>
          <w:p w:rsidR="000A0609" w:rsidRPr="002429C5" w:rsidRDefault="000A0609" w:rsidP="00AE3ED4">
            <w:pPr>
              <w:jc w:val="center"/>
              <w:rPr>
                <w:rFonts w:ascii="Arial" w:hAnsi="Arial" w:cs="Arial"/>
                <w:sz w:val="16"/>
                <w:szCs w:val="16"/>
              </w:rPr>
            </w:pPr>
            <w:r w:rsidRPr="002429C5">
              <w:rPr>
                <w:rFonts w:ascii="Arial" w:hAnsi="Arial"/>
                <w:sz w:val="16"/>
              </w:rPr>
              <w:t>0.00</w:t>
            </w:r>
          </w:p>
        </w:tc>
        <w:tc>
          <w:tcPr>
            <w:tcW w:w="2425" w:type="dxa"/>
            <w:tcBorders>
              <w:top w:val="single" w:sz="4" w:space="0" w:color="808080"/>
              <w:left w:val="single" w:sz="4" w:space="0" w:color="808080"/>
              <w:bottom w:val="single" w:sz="4" w:space="0" w:color="808080"/>
              <w:right w:val="single" w:sz="4" w:space="0" w:color="808080"/>
            </w:tcBorders>
            <w:shd w:val="clear" w:color="auto" w:fill="FFFFFF" w:themeFill="background1"/>
            <w:vAlign w:val="bottom"/>
          </w:tcPr>
          <w:p w:rsidR="000A0609" w:rsidRPr="002429C5" w:rsidRDefault="000A0609" w:rsidP="00AE3ED4">
            <w:pPr>
              <w:jc w:val="center"/>
              <w:rPr>
                <w:rFonts w:ascii="Arial" w:hAnsi="Arial" w:cs="Arial"/>
                <w:sz w:val="16"/>
                <w:szCs w:val="16"/>
              </w:rPr>
            </w:pPr>
            <w:r w:rsidRPr="002429C5">
              <w:rPr>
                <w:rFonts w:ascii="Arial" w:hAnsi="Arial"/>
                <w:sz w:val="16"/>
              </w:rPr>
              <w:t>0.00</w:t>
            </w:r>
          </w:p>
        </w:tc>
      </w:tr>
      <w:tr w:rsidR="000A0609" w:rsidRPr="002429C5" w:rsidTr="00FA5788">
        <w:trPr>
          <w:cantSplit/>
        </w:trPr>
        <w:tc>
          <w:tcPr>
            <w:tcW w:w="2268" w:type="dxa"/>
            <w:tcBorders>
              <w:top w:val="single" w:sz="4" w:space="0" w:color="808080"/>
              <w:left w:val="single" w:sz="4" w:space="0" w:color="808080"/>
              <w:bottom w:val="single" w:sz="4" w:space="0" w:color="808080"/>
              <w:right w:val="single" w:sz="4" w:space="0" w:color="808080"/>
            </w:tcBorders>
            <w:hideMark/>
          </w:tcPr>
          <w:p w:rsidR="000A0609" w:rsidRPr="002429C5" w:rsidRDefault="000A0609" w:rsidP="00AE3ED4">
            <w:pPr>
              <w:pStyle w:val="Tabeltekst"/>
              <w:spacing w:line="276" w:lineRule="auto"/>
            </w:pPr>
            <w:r w:rsidRPr="002429C5">
              <w:t>Other significant accidents</w:t>
            </w:r>
          </w:p>
        </w:tc>
        <w:tc>
          <w:tcPr>
            <w:tcW w:w="1134" w:type="dxa"/>
            <w:tcBorders>
              <w:top w:val="single" w:sz="4" w:space="0" w:color="808080"/>
              <w:left w:val="single" w:sz="4" w:space="0" w:color="808080"/>
              <w:bottom w:val="single" w:sz="4" w:space="0" w:color="808080"/>
              <w:right w:val="single" w:sz="4" w:space="0" w:color="808080"/>
            </w:tcBorders>
            <w:vAlign w:val="bottom"/>
          </w:tcPr>
          <w:p w:rsidR="000A0609" w:rsidRPr="002429C5" w:rsidRDefault="000A0609" w:rsidP="00042526">
            <w:pPr>
              <w:pStyle w:val="DoNotTranslateInternal2"/>
            </w:pPr>
            <w:r w:rsidRPr="002429C5">
              <w:t>2</w:t>
            </w:r>
          </w:p>
        </w:tc>
        <w:tc>
          <w:tcPr>
            <w:tcW w:w="1985" w:type="dxa"/>
            <w:tcBorders>
              <w:top w:val="single" w:sz="4" w:space="0" w:color="808080"/>
              <w:left w:val="single" w:sz="4" w:space="0" w:color="808080"/>
              <w:bottom w:val="single" w:sz="4" w:space="0" w:color="808080"/>
              <w:right w:val="single" w:sz="4" w:space="0" w:color="808080"/>
            </w:tcBorders>
            <w:shd w:val="clear" w:color="auto" w:fill="FFFFFF" w:themeFill="background1"/>
            <w:vAlign w:val="bottom"/>
          </w:tcPr>
          <w:p w:rsidR="000A0609" w:rsidRPr="002429C5" w:rsidRDefault="000A0609" w:rsidP="00AE3ED4">
            <w:pPr>
              <w:jc w:val="center"/>
              <w:rPr>
                <w:rFonts w:ascii="Arial" w:hAnsi="Arial" w:cs="Arial"/>
                <w:sz w:val="16"/>
                <w:szCs w:val="16"/>
              </w:rPr>
            </w:pPr>
            <w:r w:rsidRPr="002429C5">
              <w:rPr>
                <w:rFonts w:ascii="Arial" w:hAnsi="Arial"/>
                <w:sz w:val="16"/>
              </w:rPr>
              <w:t>0.02</w:t>
            </w:r>
          </w:p>
        </w:tc>
        <w:tc>
          <w:tcPr>
            <w:tcW w:w="2425" w:type="dxa"/>
            <w:tcBorders>
              <w:top w:val="single" w:sz="4" w:space="0" w:color="808080"/>
              <w:left w:val="single" w:sz="4" w:space="0" w:color="808080"/>
              <w:bottom w:val="single" w:sz="4" w:space="0" w:color="808080"/>
              <w:right w:val="single" w:sz="4" w:space="0" w:color="808080"/>
            </w:tcBorders>
            <w:shd w:val="clear" w:color="auto" w:fill="FFFFFF" w:themeFill="background1"/>
            <w:vAlign w:val="bottom"/>
          </w:tcPr>
          <w:p w:rsidR="000A0609" w:rsidRPr="002429C5" w:rsidRDefault="000A0609" w:rsidP="00AE3ED4">
            <w:pPr>
              <w:jc w:val="center"/>
              <w:rPr>
                <w:rFonts w:ascii="Arial" w:hAnsi="Arial" w:cs="Arial"/>
                <w:sz w:val="16"/>
                <w:szCs w:val="16"/>
              </w:rPr>
            </w:pPr>
            <w:r w:rsidRPr="002429C5">
              <w:rPr>
                <w:rFonts w:ascii="Arial" w:hAnsi="Arial"/>
                <w:sz w:val="16"/>
              </w:rPr>
              <w:t>0.02</w:t>
            </w:r>
          </w:p>
        </w:tc>
      </w:tr>
      <w:tr w:rsidR="000A0609" w:rsidRPr="002429C5" w:rsidTr="00FA5788">
        <w:trPr>
          <w:cantSplit/>
        </w:trPr>
        <w:tc>
          <w:tcPr>
            <w:tcW w:w="2268" w:type="dxa"/>
            <w:tcBorders>
              <w:top w:val="single" w:sz="4" w:space="0" w:color="808080"/>
              <w:left w:val="single" w:sz="4" w:space="0" w:color="808080"/>
              <w:bottom w:val="single" w:sz="4" w:space="0" w:color="808080"/>
              <w:right w:val="single" w:sz="4" w:space="0" w:color="808080"/>
            </w:tcBorders>
          </w:tcPr>
          <w:p w:rsidR="000A0609" w:rsidRPr="002429C5" w:rsidRDefault="000A0609" w:rsidP="00AE3ED4">
            <w:pPr>
              <w:pStyle w:val="Tabeltekst"/>
              <w:spacing w:line="276" w:lineRule="auto"/>
            </w:pPr>
            <w:r w:rsidRPr="002429C5">
              <w:t>Total significant accidents</w:t>
            </w:r>
          </w:p>
        </w:tc>
        <w:tc>
          <w:tcPr>
            <w:tcW w:w="1134" w:type="dxa"/>
            <w:tcBorders>
              <w:top w:val="single" w:sz="4" w:space="0" w:color="808080"/>
              <w:left w:val="single" w:sz="4" w:space="0" w:color="808080"/>
              <w:bottom w:val="single" w:sz="4" w:space="0" w:color="808080"/>
              <w:right w:val="single" w:sz="4" w:space="0" w:color="808080"/>
            </w:tcBorders>
            <w:vAlign w:val="bottom"/>
          </w:tcPr>
          <w:p w:rsidR="000A0609" w:rsidRPr="002429C5" w:rsidRDefault="000A0609" w:rsidP="00042526">
            <w:pPr>
              <w:pStyle w:val="DoNotTranslateInternal2"/>
            </w:pPr>
            <w:r w:rsidRPr="002429C5">
              <w:t>21</w:t>
            </w:r>
          </w:p>
        </w:tc>
        <w:tc>
          <w:tcPr>
            <w:tcW w:w="1985" w:type="dxa"/>
            <w:tcBorders>
              <w:top w:val="single" w:sz="4" w:space="0" w:color="808080"/>
              <w:left w:val="single" w:sz="4" w:space="0" w:color="808080"/>
              <w:bottom w:val="single" w:sz="4" w:space="0" w:color="808080"/>
              <w:right w:val="single" w:sz="4" w:space="0" w:color="808080"/>
            </w:tcBorders>
            <w:shd w:val="clear" w:color="auto" w:fill="FFFFFF" w:themeFill="background1"/>
            <w:vAlign w:val="bottom"/>
          </w:tcPr>
          <w:p w:rsidR="000A0609" w:rsidRPr="002429C5" w:rsidRDefault="000A0609" w:rsidP="00AE3ED4">
            <w:pPr>
              <w:jc w:val="center"/>
              <w:rPr>
                <w:rFonts w:ascii="Arial" w:hAnsi="Arial" w:cs="Arial"/>
                <w:sz w:val="16"/>
                <w:szCs w:val="16"/>
              </w:rPr>
            </w:pPr>
            <w:r w:rsidRPr="002429C5">
              <w:rPr>
                <w:rFonts w:ascii="Arial" w:hAnsi="Arial"/>
                <w:sz w:val="16"/>
              </w:rPr>
              <w:t>0.24</w:t>
            </w:r>
          </w:p>
        </w:tc>
        <w:tc>
          <w:tcPr>
            <w:tcW w:w="2425" w:type="dxa"/>
            <w:tcBorders>
              <w:top w:val="single" w:sz="4" w:space="0" w:color="808080"/>
              <w:left w:val="single" w:sz="4" w:space="0" w:color="808080"/>
              <w:bottom w:val="single" w:sz="4" w:space="0" w:color="808080"/>
              <w:right w:val="single" w:sz="4" w:space="0" w:color="808080"/>
            </w:tcBorders>
            <w:shd w:val="clear" w:color="auto" w:fill="FFFFFF" w:themeFill="background1"/>
            <w:vAlign w:val="bottom"/>
          </w:tcPr>
          <w:p w:rsidR="000A0609" w:rsidRPr="002429C5" w:rsidRDefault="000A0609" w:rsidP="00AE3ED4">
            <w:pPr>
              <w:jc w:val="center"/>
              <w:rPr>
                <w:rFonts w:ascii="Arial" w:hAnsi="Arial" w:cs="Arial"/>
                <w:sz w:val="16"/>
                <w:szCs w:val="16"/>
              </w:rPr>
            </w:pPr>
            <w:r w:rsidRPr="002429C5">
              <w:rPr>
                <w:rFonts w:ascii="Arial" w:hAnsi="Arial"/>
                <w:sz w:val="16"/>
              </w:rPr>
              <w:t>0.24</w:t>
            </w:r>
          </w:p>
        </w:tc>
      </w:tr>
    </w:tbl>
    <w:p w:rsidR="00B824CC" w:rsidRPr="002429C5" w:rsidRDefault="000A0609" w:rsidP="000A0609">
      <w:pPr>
        <w:pStyle w:val="Tabeltekst"/>
        <w:rPr>
          <w:i/>
          <w:szCs w:val="14"/>
        </w:rPr>
      </w:pPr>
      <w:r w:rsidRPr="002429C5">
        <w:rPr>
          <w:i/>
        </w:rPr>
        <w:t>Significant accidents are accidents involving serious personal injuries, damage in excess of DKK 1.2 million or significant delays to traffic.</w:t>
      </w:r>
    </w:p>
    <w:p w:rsidR="000A0609" w:rsidRPr="002429C5" w:rsidRDefault="000A0609" w:rsidP="00FA5788">
      <w:pPr>
        <w:rPr>
          <w:highlight w:val="yellow"/>
        </w:rPr>
      </w:pPr>
    </w:p>
    <w:p w:rsidR="000A0609" w:rsidRPr="002429C5" w:rsidRDefault="000A0609" w:rsidP="00FA5788">
      <w:pPr>
        <w:keepNext/>
        <w:rPr>
          <w:i/>
          <w:sz w:val="16"/>
          <w:szCs w:val="16"/>
        </w:rPr>
      </w:pPr>
      <w:r w:rsidRPr="002429C5">
        <w:rPr>
          <w:i/>
          <w:sz w:val="16"/>
        </w:rPr>
        <w:t>Table 9. Indicators relating to persons killed</w:t>
      </w:r>
    </w:p>
    <w:tbl>
      <w:tblPr>
        <w:tblW w:w="0" w:type="auto"/>
        <w:tblInd w:w="384"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top w:w="85" w:type="dxa"/>
          <w:left w:w="340" w:type="dxa"/>
          <w:bottom w:w="85" w:type="dxa"/>
          <w:right w:w="0" w:type="dxa"/>
        </w:tblCellMar>
        <w:tblLook w:val="01E0" w:firstRow="1" w:lastRow="1" w:firstColumn="1" w:lastColumn="1" w:noHBand="0" w:noVBand="0"/>
      </w:tblPr>
      <w:tblGrid>
        <w:gridCol w:w="2551"/>
        <w:gridCol w:w="1124"/>
        <w:gridCol w:w="2013"/>
        <w:gridCol w:w="2294"/>
      </w:tblGrid>
      <w:tr w:rsidR="000A0609" w:rsidRPr="002429C5" w:rsidTr="00FA5788">
        <w:trPr>
          <w:cantSplit/>
          <w:tblHeader/>
        </w:trPr>
        <w:tc>
          <w:tcPr>
            <w:tcW w:w="2551" w:type="dxa"/>
            <w:tcBorders>
              <w:top w:val="single" w:sz="4" w:space="0" w:color="808080"/>
              <w:left w:val="single" w:sz="4" w:space="0" w:color="808080"/>
              <w:bottom w:val="single" w:sz="4" w:space="0" w:color="808080"/>
              <w:right w:val="single" w:sz="4" w:space="0" w:color="808080"/>
            </w:tcBorders>
            <w:shd w:val="clear" w:color="auto" w:fill="BFBFBF" w:themeFill="background1" w:themeFillShade="BF"/>
            <w:tcMar>
              <w:top w:w="170" w:type="dxa"/>
              <w:left w:w="425" w:type="dxa"/>
              <w:bottom w:w="170" w:type="dxa"/>
              <w:right w:w="0" w:type="dxa"/>
            </w:tcMar>
            <w:hideMark/>
          </w:tcPr>
          <w:p w:rsidR="000A0609" w:rsidRPr="002429C5" w:rsidRDefault="000A0609" w:rsidP="00FA5788">
            <w:pPr>
              <w:pStyle w:val="Tabeltekst"/>
              <w:keepNext/>
              <w:spacing w:line="276" w:lineRule="auto"/>
              <w:rPr>
                <w:b/>
              </w:rPr>
            </w:pPr>
            <w:r w:rsidRPr="002429C5">
              <w:rPr>
                <w:b/>
              </w:rPr>
              <w:t>Persons killed</w:t>
            </w:r>
          </w:p>
        </w:tc>
        <w:tc>
          <w:tcPr>
            <w:tcW w:w="0" w:type="auto"/>
            <w:tcBorders>
              <w:top w:val="single" w:sz="4" w:space="0" w:color="808080"/>
              <w:left w:val="single" w:sz="4" w:space="0" w:color="808080"/>
              <w:bottom w:val="single" w:sz="4" w:space="0" w:color="808080"/>
              <w:right w:val="single" w:sz="4" w:space="0" w:color="808080"/>
            </w:tcBorders>
            <w:shd w:val="clear" w:color="auto" w:fill="BFBFBF" w:themeFill="background1" w:themeFillShade="BF"/>
            <w:tcMar>
              <w:top w:w="170" w:type="dxa"/>
              <w:left w:w="425" w:type="dxa"/>
              <w:bottom w:w="170" w:type="dxa"/>
              <w:right w:w="0" w:type="dxa"/>
            </w:tcMar>
            <w:hideMark/>
          </w:tcPr>
          <w:p w:rsidR="000A0609" w:rsidRPr="002429C5" w:rsidRDefault="000A0609" w:rsidP="00FA5788">
            <w:pPr>
              <w:pStyle w:val="Tabeltekst"/>
              <w:keepNext/>
              <w:spacing w:line="276" w:lineRule="auto"/>
              <w:rPr>
                <w:b/>
              </w:rPr>
            </w:pPr>
            <w:r w:rsidRPr="002429C5">
              <w:rPr>
                <w:b/>
              </w:rPr>
              <w:t>Total in 2014</w:t>
            </w:r>
          </w:p>
        </w:tc>
        <w:tc>
          <w:tcPr>
            <w:tcW w:w="0" w:type="auto"/>
            <w:tcBorders>
              <w:top w:val="single" w:sz="4" w:space="0" w:color="808080"/>
              <w:left w:val="single" w:sz="4" w:space="0" w:color="808080"/>
              <w:bottom w:val="single" w:sz="4" w:space="0" w:color="808080"/>
              <w:right w:val="single" w:sz="4" w:space="0" w:color="808080"/>
            </w:tcBorders>
            <w:shd w:val="clear" w:color="auto" w:fill="BFBFBF" w:themeFill="background1" w:themeFillShade="BF"/>
            <w:hideMark/>
          </w:tcPr>
          <w:p w:rsidR="000A0609" w:rsidRPr="002429C5" w:rsidRDefault="000A0609" w:rsidP="00FA5788">
            <w:pPr>
              <w:pStyle w:val="Tabeltekst"/>
              <w:keepNext/>
              <w:spacing w:line="276" w:lineRule="auto"/>
              <w:rPr>
                <w:b/>
              </w:rPr>
            </w:pPr>
            <w:r w:rsidRPr="002429C5">
              <w:rPr>
                <w:b/>
              </w:rPr>
              <w:t>Total in 2014/million train-km</w:t>
            </w:r>
          </w:p>
        </w:tc>
        <w:tc>
          <w:tcPr>
            <w:tcW w:w="0" w:type="auto"/>
            <w:tcBorders>
              <w:top w:val="single" w:sz="4" w:space="0" w:color="808080"/>
              <w:left w:val="single" w:sz="4" w:space="0" w:color="808080"/>
              <w:bottom w:val="single" w:sz="4" w:space="0" w:color="808080"/>
              <w:right w:val="single" w:sz="4" w:space="0" w:color="808080"/>
            </w:tcBorders>
            <w:shd w:val="clear" w:color="auto" w:fill="BFBFBF" w:themeFill="background1" w:themeFillShade="BF"/>
            <w:tcMar>
              <w:top w:w="170" w:type="dxa"/>
              <w:left w:w="425" w:type="dxa"/>
              <w:bottom w:w="170" w:type="dxa"/>
              <w:right w:w="0" w:type="dxa"/>
            </w:tcMar>
            <w:hideMark/>
          </w:tcPr>
          <w:p w:rsidR="000A0609" w:rsidRPr="002429C5" w:rsidRDefault="000A0609" w:rsidP="00FA5788">
            <w:pPr>
              <w:pStyle w:val="Tabeltekst"/>
              <w:keepNext/>
              <w:spacing w:line="276" w:lineRule="auto"/>
              <w:rPr>
                <w:b/>
              </w:rPr>
            </w:pPr>
            <w:r w:rsidRPr="002429C5">
              <w:rPr>
                <w:b/>
              </w:rPr>
              <w:t>5-year average/million train-km</w:t>
            </w:r>
          </w:p>
        </w:tc>
      </w:tr>
      <w:tr w:rsidR="000A0609" w:rsidRPr="002429C5" w:rsidTr="00FA5788">
        <w:trPr>
          <w:cantSplit/>
        </w:trPr>
        <w:tc>
          <w:tcPr>
            <w:tcW w:w="2551" w:type="dxa"/>
            <w:tcBorders>
              <w:top w:val="single" w:sz="4" w:space="0" w:color="808080"/>
              <w:left w:val="single" w:sz="4" w:space="0" w:color="808080"/>
              <w:bottom w:val="single" w:sz="4" w:space="0" w:color="808080"/>
              <w:right w:val="single" w:sz="4" w:space="0" w:color="808080"/>
            </w:tcBorders>
            <w:hideMark/>
          </w:tcPr>
          <w:p w:rsidR="000A0609" w:rsidRPr="002429C5" w:rsidRDefault="000A0609" w:rsidP="00AE3ED4">
            <w:pPr>
              <w:pStyle w:val="Tabeltekst"/>
              <w:spacing w:line="276" w:lineRule="auto"/>
            </w:pPr>
            <w:r w:rsidRPr="002429C5">
              <w:t>Passengers</w:t>
            </w:r>
          </w:p>
        </w:tc>
        <w:tc>
          <w:tcPr>
            <w:tcW w:w="0" w:type="auto"/>
            <w:tcBorders>
              <w:top w:val="single" w:sz="4" w:space="0" w:color="808080"/>
              <w:left w:val="single" w:sz="4" w:space="0" w:color="808080"/>
              <w:bottom w:val="single" w:sz="4" w:space="0" w:color="808080"/>
              <w:right w:val="single" w:sz="4" w:space="0" w:color="808080"/>
            </w:tcBorders>
            <w:vAlign w:val="bottom"/>
            <w:hideMark/>
          </w:tcPr>
          <w:p w:rsidR="000A0609" w:rsidRPr="002429C5" w:rsidRDefault="000A0609" w:rsidP="00042526">
            <w:pPr>
              <w:pStyle w:val="DoNotTranslateInternal2"/>
            </w:pPr>
            <w:r w:rsidRPr="002429C5">
              <w:t>0</w:t>
            </w:r>
          </w:p>
        </w:tc>
        <w:tc>
          <w:tcPr>
            <w:tcW w:w="0" w:type="auto"/>
            <w:tcBorders>
              <w:top w:val="single" w:sz="4" w:space="0" w:color="808080"/>
              <w:left w:val="single" w:sz="4" w:space="0" w:color="808080"/>
              <w:bottom w:val="single" w:sz="4" w:space="0" w:color="808080"/>
              <w:right w:val="single" w:sz="4" w:space="0" w:color="808080"/>
            </w:tcBorders>
            <w:shd w:val="clear" w:color="auto" w:fill="FFFFFF" w:themeFill="background1"/>
            <w:vAlign w:val="bottom"/>
            <w:hideMark/>
          </w:tcPr>
          <w:p w:rsidR="000A0609" w:rsidRPr="002429C5" w:rsidRDefault="000A0609" w:rsidP="00AE3ED4">
            <w:pPr>
              <w:jc w:val="center"/>
              <w:rPr>
                <w:rFonts w:ascii="Arial" w:hAnsi="Arial" w:cs="Arial"/>
                <w:sz w:val="16"/>
                <w:szCs w:val="16"/>
              </w:rPr>
            </w:pPr>
            <w:r w:rsidRPr="002429C5">
              <w:rPr>
                <w:rFonts w:ascii="Arial" w:hAnsi="Arial"/>
                <w:sz w:val="16"/>
              </w:rPr>
              <w:t>0.00</w:t>
            </w:r>
          </w:p>
        </w:tc>
        <w:tc>
          <w:tcPr>
            <w:tcW w:w="0" w:type="auto"/>
            <w:tcBorders>
              <w:top w:val="single" w:sz="4" w:space="0" w:color="808080"/>
              <w:left w:val="single" w:sz="4" w:space="0" w:color="808080"/>
              <w:bottom w:val="single" w:sz="4" w:space="0" w:color="808080"/>
              <w:right w:val="single" w:sz="4" w:space="0" w:color="808080"/>
            </w:tcBorders>
            <w:shd w:val="clear" w:color="auto" w:fill="FFFFFF" w:themeFill="background1"/>
            <w:vAlign w:val="bottom"/>
            <w:hideMark/>
          </w:tcPr>
          <w:p w:rsidR="000A0609" w:rsidRPr="002429C5" w:rsidRDefault="000A0609" w:rsidP="00AE3ED4">
            <w:pPr>
              <w:jc w:val="center"/>
              <w:rPr>
                <w:rFonts w:ascii="Arial" w:hAnsi="Arial" w:cs="Arial"/>
                <w:sz w:val="16"/>
                <w:szCs w:val="16"/>
              </w:rPr>
            </w:pPr>
            <w:r w:rsidRPr="002429C5">
              <w:rPr>
                <w:rFonts w:ascii="Arial" w:hAnsi="Arial"/>
                <w:sz w:val="16"/>
              </w:rPr>
              <w:t>0.00</w:t>
            </w:r>
          </w:p>
        </w:tc>
      </w:tr>
      <w:tr w:rsidR="000A0609" w:rsidRPr="002429C5" w:rsidTr="00FA5788">
        <w:trPr>
          <w:cantSplit/>
        </w:trPr>
        <w:tc>
          <w:tcPr>
            <w:tcW w:w="2551" w:type="dxa"/>
            <w:tcBorders>
              <w:top w:val="single" w:sz="4" w:space="0" w:color="808080"/>
              <w:left w:val="single" w:sz="4" w:space="0" w:color="808080"/>
              <w:bottom w:val="single" w:sz="4" w:space="0" w:color="808080"/>
              <w:right w:val="single" w:sz="4" w:space="0" w:color="808080"/>
            </w:tcBorders>
            <w:hideMark/>
          </w:tcPr>
          <w:p w:rsidR="000A0609" w:rsidRPr="002429C5" w:rsidRDefault="000A0609" w:rsidP="00AE3ED4">
            <w:pPr>
              <w:pStyle w:val="Tabeltekst"/>
              <w:spacing w:line="276" w:lineRule="auto"/>
            </w:pPr>
            <w:r w:rsidRPr="002429C5">
              <w:t>Staff</w:t>
            </w:r>
          </w:p>
        </w:tc>
        <w:tc>
          <w:tcPr>
            <w:tcW w:w="0" w:type="auto"/>
            <w:tcBorders>
              <w:top w:val="single" w:sz="4" w:space="0" w:color="808080"/>
              <w:left w:val="single" w:sz="4" w:space="0" w:color="808080"/>
              <w:bottom w:val="single" w:sz="4" w:space="0" w:color="808080"/>
              <w:right w:val="single" w:sz="4" w:space="0" w:color="808080"/>
            </w:tcBorders>
            <w:vAlign w:val="bottom"/>
            <w:hideMark/>
          </w:tcPr>
          <w:p w:rsidR="000A0609" w:rsidRPr="002429C5" w:rsidRDefault="000A0609" w:rsidP="00042526">
            <w:pPr>
              <w:pStyle w:val="DoNotTranslateInternal2"/>
            </w:pPr>
            <w:r w:rsidRPr="002429C5">
              <w:t>0</w:t>
            </w:r>
          </w:p>
        </w:tc>
        <w:tc>
          <w:tcPr>
            <w:tcW w:w="0" w:type="auto"/>
            <w:tcBorders>
              <w:top w:val="single" w:sz="4" w:space="0" w:color="808080"/>
              <w:left w:val="single" w:sz="4" w:space="0" w:color="808080"/>
              <w:bottom w:val="single" w:sz="4" w:space="0" w:color="808080"/>
              <w:right w:val="single" w:sz="4" w:space="0" w:color="808080"/>
            </w:tcBorders>
            <w:shd w:val="clear" w:color="auto" w:fill="FFFFFF" w:themeFill="background1"/>
            <w:vAlign w:val="bottom"/>
            <w:hideMark/>
          </w:tcPr>
          <w:p w:rsidR="000A0609" w:rsidRPr="002429C5" w:rsidRDefault="000A0609" w:rsidP="00AE3ED4">
            <w:pPr>
              <w:jc w:val="center"/>
              <w:rPr>
                <w:rFonts w:ascii="Arial" w:hAnsi="Arial" w:cs="Arial"/>
                <w:sz w:val="16"/>
                <w:szCs w:val="16"/>
              </w:rPr>
            </w:pPr>
            <w:r w:rsidRPr="002429C5">
              <w:rPr>
                <w:rFonts w:ascii="Arial" w:hAnsi="Arial"/>
                <w:sz w:val="16"/>
              </w:rPr>
              <w:t>0.00</w:t>
            </w:r>
          </w:p>
        </w:tc>
        <w:tc>
          <w:tcPr>
            <w:tcW w:w="0" w:type="auto"/>
            <w:tcBorders>
              <w:top w:val="single" w:sz="4" w:space="0" w:color="808080"/>
              <w:left w:val="single" w:sz="4" w:space="0" w:color="808080"/>
              <w:bottom w:val="single" w:sz="4" w:space="0" w:color="808080"/>
              <w:right w:val="single" w:sz="4" w:space="0" w:color="808080"/>
            </w:tcBorders>
            <w:shd w:val="clear" w:color="auto" w:fill="FFFFFF" w:themeFill="background1"/>
            <w:vAlign w:val="bottom"/>
            <w:hideMark/>
          </w:tcPr>
          <w:p w:rsidR="000A0609" w:rsidRPr="002429C5" w:rsidRDefault="000A0609" w:rsidP="00AE3ED4">
            <w:pPr>
              <w:jc w:val="center"/>
              <w:rPr>
                <w:rFonts w:ascii="Arial" w:hAnsi="Arial" w:cs="Arial"/>
                <w:sz w:val="16"/>
                <w:szCs w:val="16"/>
              </w:rPr>
            </w:pPr>
            <w:r w:rsidRPr="002429C5">
              <w:rPr>
                <w:rFonts w:ascii="Arial" w:hAnsi="Arial"/>
                <w:sz w:val="16"/>
              </w:rPr>
              <w:t>0.00</w:t>
            </w:r>
          </w:p>
        </w:tc>
      </w:tr>
      <w:tr w:rsidR="000A0609" w:rsidRPr="002429C5" w:rsidTr="00FA5788">
        <w:trPr>
          <w:cantSplit/>
        </w:trPr>
        <w:tc>
          <w:tcPr>
            <w:tcW w:w="2551" w:type="dxa"/>
            <w:tcBorders>
              <w:top w:val="single" w:sz="4" w:space="0" w:color="808080"/>
              <w:left w:val="single" w:sz="4" w:space="0" w:color="808080"/>
              <w:bottom w:val="single" w:sz="4" w:space="0" w:color="808080"/>
              <w:right w:val="single" w:sz="4" w:space="0" w:color="808080"/>
            </w:tcBorders>
            <w:hideMark/>
          </w:tcPr>
          <w:p w:rsidR="000A0609" w:rsidRPr="002429C5" w:rsidRDefault="000A0609" w:rsidP="00AE3ED4">
            <w:pPr>
              <w:pStyle w:val="Tabeltekst"/>
              <w:spacing w:line="276" w:lineRule="auto"/>
            </w:pPr>
            <w:r w:rsidRPr="002429C5">
              <w:t>Level-crossing users</w:t>
            </w:r>
          </w:p>
        </w:tc>
        <w:tc>
          <w:tcPr>
            <w:tcW w:w="0" w:type="auto"/>
            <w:tcBorders>
              <w:top w:val="single" w:sz="4" w:space="0" w:color="808080"/>
              <w:left w:val="single" w:sz="4" w:space="0" w:color="808080"/>
              <w:bottom w:val="single" w:sz="4" w:space="0" w:color="808080"/>
              <w:right w:val="single" w:sz="4" w:space="0" w:color="808080"/>
            </w:tcBorders>
            <w:vAlign w:val="bottom"/>
            <w:hideMark/>
          </w:tcPr>
          <w:p w:rsidR="000A0609" w:rsidRPr="002429C5" w:rsidRDefault="000A0609" w:rsidP="00042526">
            <w:pPr>
              <w:pStyle w:val="DoNotTranslateInternal2"/>
            </w:pPr>
            <w:r w:rsidRPr="002429C5">
              <w:t>6</w:t>
            </w:r>
          </w:p>
        </w:tc>
        <w:tc>
          <w:tcPr>
            <w:tcW w:w="0" w:type="auto"/>
            <w:tcBorders>
              <w:top w:val="single" w:sz="4" w:space="0" w:color="808080"/>
              <w:left w:val="single" w:sz="4" w:space="0" w:color="808080"/>
              <w:bottom w:val="single" w:sz="4" w:space="0" w:color="808080"/>
              <w:right w:val="single" w:sz="4" w:space="0" w:color="808080"/>
            </w:tcBorders>
            <w:shd w:val="clear" w:color="auto" w:fill="FFFFFF" w:themeFill="background1"/>
            <w:vAlign w:val="bottom"/>
            <w:hideMark/>
          </w:tcPr>
          <w:p w:rsidR="000A0609" w:rsidRPr="002429C5" w:rsidRDefault="000A0609" w:rsidP="00AE3ED4">
            <w:pPr>
              <w:jc w:val="center"/>
              <w:rPr>
                <w:rFonts w:ascii="Arial" w:hAnsi="Arial" w:cs="Arial"/>
                <w:sz w:val="16"/>
                <w:szCs w:val="16"/>
              </w:rPr>
            </w:pPr>
            <w:r w:rsidRPr="002429C5">
              <w:rPr>
                <w:rFonts w:ascii="Arial" w:hAnsi="Arial"/>
                <w:sz w:val="16"/>
              </w:rPr>
              <w:t>0.07</w:t>
            </w:r>
          </w:p>
        </w:tc>
        <w:tc>
          <w:tcPr>
            <w:tcW w:w="0" w:type="auto"/>
            <w:tcBorders>
              <w:top w:val="single" w:sz="4" w:space="0" w:color="808080"/>
              <w:left w:val="single" w:sz="4" w:space="0" w:color="808080"/>
              <w:bottom w:val="single" w:sz="4" w:space="0" w:color="808080"/>
              <w:right w:val="single" w:sz="4" w:space="0" w:color="808080"/>
            </w:tcBorders>
            <w:shd w:val="clear" w:color="auto" w:fill="FFFFFF" w:themeFill="background1"/>
            <w:vAlign w:val="bottom"/>
            <w:hideMark/>
          </w:tcPr>
          <w:p w:rsidR="000A0609" w:rsidRPr="002429C5" w:rsidRDefault="000A0609" w:rsidP="00AE3ED4">
            <w:pPr>
              <w:jc w:val="center"/>
              <w:rPr>
                <w:rFonts w:ascii="Arial" w:hAnsi="Arial" w:cs="Arial"/>
                <w:sz w:val="16"/>
                <w:szCs w:val="16"/>
              </w:rPr>
            </w:pPr>
            <w:r w:rsidRPr="002429C5">
              <w:rPr>
                <w:rFonts w:ascii="Arial" w:hAnsi="Arial"/>
                <w:sz w:val="16"/>
              </w:rPr>
              <w:t>0.04</w:t>
            </w:r>
          </w:p>
        </w:tc>
      </w:tr>
      <w:tr w:rsidR="000A0609" w:rsidRPr="002429C5" w:rsidTr="00FA5788">
        <w:trPr>
          <w:cantSplit/>
        </w:trPr>
        <w:tc>
          <w:tcPr>
            <w:tcW w:w="2551" w:type="dxa"/>
            <w:tcBorders>
              <w:top w:val="single" w:sz="4" w:space="0" w:color="808080"/>
              <w:left w:val="single" w:sz="4" w:space="0" w:color="808080"/>
              <w:bottom w:val="single" w:sz="4" w:space="0" w:color="808080"/>
              <w:right w:val="single" w:sz="4" w:space="0" w:color="808080"/>
            </w:tcBorders>
            <w:hideMark/>
          </w:tcPr>
          <w:p w:rsidR="000A0609" w:rsidRPr="002429C5" w:rsidRDefault="000A0609" w:rsidP="00AE3ED4">
            <w:pPr>
              <w:pStyle w:val="Tabeltekst"/>
              <w:spacing w:line="276" w:lineRule="auto"/>
            </w:pPr>
            <w:r w:rsidRPr="002429C5">
              <w:t xml:space="preserve">Persons on railway property without permission </w:t>
            </w:r>
          </w:p>
        </w:tc>
        <w:tc>
          <w:tcPr>
            <w:tcW w:w="0" w:type="auto"/>
            <w:tcBorders>
              <w:top w:val="single" w:sz="4" w:space="0" w:color="808080"/>
              <w:left w:val="single" w:sz="4" w:space="0" w:color="808080"/>
              <w:bottom w:val="single" w:sz="4" w:space="0" w:color="808080"/>
              <w:right w:val="single" w:sz="4" w:space="0" w:color="808080"/>
            </w:tcBorders>
            <w:vAlign w:val="bottom"/>
            <w:hideMark/>
          </w:tcPr>
          <w:p w:rsidR="000A0609" w:rsidRPr="002429C5" w:rsidRDefault="000A0609" w:rsidP="00042526">
            <w:pPr>
              <w:pStyle w:val="DoNotTranslateInternal2"/>
            </w:pPr>
            <w:r w:rsidRPr="002429C5">
              <w:t>7</w:t>
            </w:r>
          </w:p>
        </w:tc>
        <w:tc>
          <w:tcPr>
            <w:tcW w:w="0" w:type="auto"/>
            <w:tcBorders>
              <w:top w:val="single" w:sz="4" w:space="0" w:color="808080"/>
              <w:left w:val="single" w:sz="4" w:space="0" w:color="808080"/>
              <w:bottom w:val="single" w:sz="4" w:space="0" w:color="808080"/>
              <w:right w:val="single" w:sz="4" w:space="0" w:color="808080"/>
            </w:tcBorders>
            <w:shd w:val="clear" w:color="auto" w:fill="FFFFFF" w:themeFill="background1"/>
            <w:vAlign w:val="bottom"/>
            <w:hideMark/>
          </w:tcPr>
          <w:p w:rsidR="000A0609" w:rsidRPr="002429C5" w:rsidRDefault="000A0609" w:rsidP="00AE3ED4">
            <w:pPr>
              <w:jc w:val="center"/>
              <w:rPr>
                <w:rFonts w:ascii="Arial" w:hAnsi="Arial" w:cs="Arial"/>
                <w:sz w:val="16"/>
                <w:szCs w:val="16"/>
              </w:rPr>
            </w:pPr>
            <w:r w:rsidRPr="002429C5">
              <w:rPr>
                <w:rFonts w:ascii="Arial" w:hAnsi="Arial"/>
                <w:sz w:val="16"/>
              </w:rPr>
              <w:t>0.08</w:t>
            </w:r>
          </w:p>
        </w:tc>
        <w:tc>
          <w:tcPr>
            <w:tcW w:w="0" w:type="auto"/>
            <w:tcBorders>
              <w:top w:val="single" w:sz="4" w:space="0" w:color="808080"/>
              <w:left w:val="single" w:sz="4" w:space="0" w:color="808080"/>
              <w:bottom w:val="single" w:sz="4" w:space="0" w:color="808080"/>
              <w:right w:val="single" w:sz="4" w:space="0" w:color="808080"/>
            </w:tcBorders>
            <w:shd w:val="clear" w:color="auto" w:fill="FFFFFF" w:themeFill="background1"/>
            <w:vAlign w:val="bottom"/>
            <w:hideMark/>
          </w:tcPr>
          <w:p w:rsidR="000A0609" w:rsidRPr="002429C5" w:rsidRDefault="000A0609" w:rsidP="00AE3ED4">
            <w:pPr>
              <w:jc w:val="center"/>
              <w:rPr>
                <w:rFonts w:ascii="Arial" w:hAnsi="Arial" w:cs="Arial"/>
                <w:sz w:val="16"/>
                <w:szCs w:val="16"/>
              </w:rPr>
            </w:pPr>
            <w:r w:rsidRPr="002429C5">
              <w:rPr>
                <w:rFonts w:ascii="Arial" w:hAnsi="Arial"/>
                <w:sz w:val="16"/>
              </w:rPr>
              <w:t>0.07</w:t>
            </w:r>
          </w:p>
        </w:tc>
      </w:tr>
      <w:tr w:rsidR="000A0609" w:rsidRPr="002429C5" w:rsidTr="00FA5788">
        <w:trPr>
          <w:cantSplit/>
        </w:trPr>
        <w:tc>
          <w:tcPr>
            <w:tcW w:w="2551" w:type="dxa"/>
            <w:tcBorders>
              <w:top w:val="single" w:sz="4" w:space="0" w:color="808080"/>
              <w:left w:val="single" w:sz="4" w:space="0" w:color="808080"/>
              <w:bottom w:val="single" w:sz="4" w:space="0" w:color="808080"/>
              <w:right w:val="single" w:sz="4" w:space="0" w:color="808080"/>
            </w:tcBorders>
            <w:hideMark/>
          </w:tcPr>
          <w:p w:rsidR="000A0609" w:rsidRPr="002429C5" w:rsidRDefault="000A0609" w:rsidP="00AE3ED4">
            <w:pPr>
              <w:pStyle w:val="Tabeltekst"/>
              <w:spacing w:line="276" w:lineRule="auto"/>
            </w:pPr>
            <w:r w:rsidRPr="002429C5">
              <w:t>Other</w:t>
            </w:r>
          </w:p>
        </w:tc>
        <w:tc>
          <w:tcPr>
            <w:tcW w:w="0" w:type="auto"/>
            <w:tcBorders>
              <w:top w:val="single" w:sz="4" w:space="0" w:color="808080"/>
              <w:left w:val="single" w:sz="4" w:space="0" w:color="808080"/>
              <w:bottom w:val="single" w:sz="4" w:space="0" w:color="808080"/>
              <w:right w:val="single" w:sz="4" w:space="0" w:color="808080"/>
            </w:tcBorders>
            <w:vAlign w:val="bottom"/>
            <w:hideMark/>
          </w:tcPr>
          <w:p w:rsidR="000A0609" w:rsidRPr="002429C5" w:rsidRDefault="000A0609" w:rsidP="00042526">
            <w:pPr>
              <w:pStyle w:val="DoNotTranslateInternal2"/>
            </w:pPr>
            <w:r w:rsidRPr="002429C5">
              <w:t>1</w:t>
            </w:r>
          </w:p>
        </w:tc>
        <w:tc>
          <w:tcPr>
            <w:tcW w:w="0" w:type="auto"/>
            <w:tcBorders>
              <w:top w:val="single" w:sz="4" w:space="0" w:color="808080"/>
              <w:left w:val="single" w:sz="4" w:space="0" w:color="808080"/>
              <w:bottom w:val="single" w:sz="4" w:space="0" w:color="808080"/>
              <w:right w:val="single" w:sz="4" w:space="0" w:color="808080"/>
            </w:tcBorders>
            <w:shd w:val="clear" w:color="auto" w:fill="FFFFFF" w:themeFill="background1"/>
            <w:vAlign w:val="bottom"/>
            <w:hideMark/>
          </w:tcPr>
          <w:p w:rsidR="000A0609" w:rsidRPr="002429C5" w:rsidRDefault="000A0609" w:rsidP="00AE3ED4">
            <w:pPr>
              <w:jc w:val="center"/>
              <w:rPr>
                <w:rFonts w:ascii="Arial" w:hAnsi="Arial" w:cs="Arial"/>
                <w:sz w:val="16"/>
                <w:szCs w:val="16"/>
              </w:rPr>
            </w:pPr>
            <w:r w:rsidRPr="002429C5">
              <w:rPr>
                <w:rFonts w:ascii="Arial" w:hAnsi="Arial"/>
                <w:sz w:val="16"/>
              </w:rPr>
              <w:t>0.01</w:t>
            </w:r>
          </w:p>
        </w:tc>
        <w:tc>
          <w:tcPr>
            <w:tcW w:w="0" w:type="auto"/>
            <w:tcBorders>
              <w:top w:val="single" w:sz="4" w:space="0" w:color="808080"/>
              <w:left w:val="single" w:sz="4" w:space="0" w:color="808080"/>
              <w:bottom w:val="single" w:sz="4" w:space="0" w:color="808080"/>
              <w:right w:val="single" w:sz="4" w:space="0" w:color="808080"/>
            </w:tcBorders>
            <w:shd w:val="clear" w:color="auto" w:fill="FFFFFF" w:themeFill="background1"/>
            <w:vAlign w:val="bottom"/>
            <w:hideMark/>
          </w:tcPr>
          <w:p w:rsidR="000A0609" w:rsidRPr="002429C5" w:rsidRDefault="000A0609" w:rsidP="00AE3ED4">
            <w:pPr>
              <w:jc w:val="center"/>
              <w:rPr>
                <w:rFonts w:ascii="Arial" w:hAnsi="Arial" w:cs="Arial"/>
                <w:sz w:val="16"/>
                <w:szCs w:val="16"/>
              </w:rPr>
            </w:pPr>
            <w:r w:rsidRPr="002429C5">
              <w:rPr>
                <w:rFonts w:ascii="Arial" w:hAnsi="Arial"/>
                <w:sz w:val="16"/>
              </w:rPr>
              <w:t>0.01</w:t>
            </w:r>
          </w:p>
        </w:tc>
      </w:tr>
      <w:tr w:rsidR="000A0609" w:rsidRPr="002429C5" w:rsidTr="00FA5788">
        <w:trPr>
          <w:cantSplit/>
        </w:trPr>
        <w:tc>
          <w:tcPr>
            <w:tcW w:w="2551" w:type="dxa"/>
            <w:tcBorders>
              <w:top w:val="single" w:sz="4" w:space="0" w:color="808080"/>
              <w:left w:val="single" w:sz="4" w:space="0" w:color="808080"/>
              <w:bottom w:val="single" w:sz="4" w:space="0" w:color="808080"/>
              <w:right w:val="single" w:sz="4" w:space="0" w:color="808080"/>
            </w:tcBorders>
          </w:tcPr>
          <w:p w:rsidR="000A0609" w:rsidRPr="002429C5" w:rsidRDefault="000A0609" w:rsidP="00AE3ED4">
            <w:pPr>
              <w:pStyle w:val="Tabeltekst"/>
              <w:spacing w:line="276" w:lineRule="auto"/>
            </w:pPr>
            <w:r w:rsidRPr="002429C5">
              <w:t>Total persons killed</w:t>
            </w:r>
          </w:p>
        </w:tc>
        <w:tc>
          <w:tcPr>
            <w:tcW w:w="0" w:type="auto"/>
            <w:tcBorders>
              <w:top w:val="single" w:sz="4" w:space="0" w:color="808080"/>
              <w:left w:val="single" w:sz="4" w:space="0" w:color="808080"/>
              <w:bottom w:val="single" w:sz="4" w:space="0" w:color="808080"/>
              <w:right w:val="single" w:sz="4" w:space="0" w:color="808080"/>
            </w:tcBorders>
            <w:vAlign w:val="bottom"/>
          </w:tcPr>
          <w:p w:rsidR="000A0609" w:rsidRPr="002429C5" w:rsidRDefault="000A0609" w:rsidP="00042526">
            <w:pPr>
              <w:pStyle w:val="DoNotTranslateInternal2"/>
            </w:pPr>
            <w:r w:rsidRPr="002429C5">
              <w:t>14</w:t>
            </w:r>
          </w:p>
        </w:tc>
        <w:tc>
          <w:tcPr>
            <w:tcW w:w="0" w:type="auto"/>
            <w:tcBorders>
              <w:top w:val="single" w:sz="4" w:space="0" w:color="808080"/>
              <w:left w:val="single" w:sz="4" w:space="0" w:color="808080"/>
              <w:bottom w:val="single" w:sz="4" w:space="0" w:color="808080"/>
              <w:right w:val="single" w:sz="4" w:space="0" w:color="808080"/>
            </w:tcBorders>
            <w:shd w:val="clear" w:color="auto" w:fill="FFFFFF" w:themeFill="background1"/>
            <w:vAlign w:val="bottom"/>
          </w:tcPr>
          <w:p w:rsidR="000A0609" w:rsidRPr="002429C5" w:rsidRDefault="000A0609" w:rsidP="00AE3ED4">
            <w:pPr>
              <w:jc w:val="center"/>
              <w:rPr>
                <w:rFonts w:ascii="Arial" w:hAnsi="Arial" w:cs="Arial"/>
                <w:sz w:val="16"/>
                <w:szCs w:val="16"/>
              </w:rPr>
            </w:pPr>
            <w:r w:rsidRPr="002429C5">
              <w:rPr>
                <w:rFonts w:ascii="Arial" w:hAnsi="Arial"/>
                <w:sz w:val="16"/>
              </w:rPr>
              <w:t>0.16</w:t>
            </w:r>
          </w:p>
        </w:tc>
        <w:tc>
          <w:tcPr>
            <w:tcW w:w="0" w:type="auto"/>
            <w:tcBorders>
              <w:top w:val="single" w:sz="4" w:space="0" w:color="808080"/>
              <w:left w:val="single" w:sz="4" w:space="0" w:color="808080"/>
              <w:bottom w:val="single" w:sz="4" w:space="0" w:color="808080"/>
              <w:right w:val="single" w:sz="4" w:space="0" w:color="808080"/>
            </w:tcBorders>
            <w:shd w:val="clear" w:color="auto" w:fill="FFFFFF" w:themeFill="background1"/>
            <w:vAlign w:val="bottom"/>
          </w:tcPr>
          <w:p w:rsidR="000A0609" w:rsidRPr="002429C5" w:rsidRDefault="000A0609" w:rsidP="00AE3ED4">
            <w:pPr>
              <w:jc w:val="center"/>
              <w:rPr>
                <w:rFonts w:ascii="Arial" w:hAnsi="Arial" w:cs="Arial"/>
                <w:sz w:val="16"/>
                <w:szCs w:val="16"/>
              </w:rPr>
            </w:pPr>
            <w:r w:rsidRPr="002429C5">
              <w:rPr>
                <w:rFonts w:ascii="Arial" w:hAnsi="Arial"/>
                <w:sz w:val="16"/>
              </w:rPr>
              <w:t>0.12</w:t>
            </w:r>
          </w:p>
        </w:tc>
      </w:tr>
    </w:tbl>
    <w:p w:rsidR="00B824CC" w:rsidRPr="002429C5" w:rsidRDefault="000A0609" w:rsidP="000A0609">
      <w:pPr>
        <w:pStyle w:val="Tabeltekst"/>
        <w:rPr>
          <w:i/>
          <w:szCs w:val="14"/>
        </w:rPr>
      </w:pPr>
      <w:r w:rsidRPr="002429C5">
        <w:rPr>
          <w:i/>
        </w:rPr>
        <w:t>The figures for persons killed do not include suicides. *zero indicates that the 5-year average is extremely small (value &lt; 0.01).</w:t>
      </w:r>
    </w:p>
    <w:p w:rsidR="000A0609" w:rsidRPr="002429C5" w:rsidRDefault="000A0609" w:rsidP="000A0609"/>
    <w:p w:rsidR="000A0609" w:rsidRPr="002429C5" w:rsidRDefault="000A0609" w:rsidP="000A0609">
      <w:pPr>
        <w:spacing w:after="0"/>
        <w:rPr>
          <w:i/>
          <w:sz w:val="16"/>
          <w:szCs w:val="16"/>
        </w:rPr>
      </w:pPr>
      <w:r w:rsidRPr="002429C5">
        <w:br w:type="page"/>
      </w:r>
    </w:p>
    <w:p w:rsidR="000A0609" w:rsidRPr="002429C5" w:rsidRDefault="000A0609" w:rsidP="000A0609">
      <w:pPr>
        <w:rPr>
          <w:i/>
          <w:sz w:val="16"/>
          <w:szCs w:val="16"/>
        </w:rPr>
      </w:pPr>
      <w:r w:rsidRPr="002429C5">
        <w:rPr>
          <w:i/>
          <w:sz w:val="16"/>
        </w:rPr>
        <w:lastRenderedPageBreak/>
        <w:t xml:space="preserve">Table 10. Indicators relating to serious injuries  </w:t>
      </w:r>
    </w:p>
    <w:tbl>
      <w:tblPr>
        <w:tblW w:w="0" w:type="auto"/>
        <w:tblInd w:w="42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top w:w="85" w:type="dxa"/>
          <w:left w:w="340" w:type="dxa"/>
          <w:bottom w:w="85" w:type="dxa"/>
          <w:right w:w="28" w:type="dxa"/>
        </w:tblCellMar>
        <w:tblLook w:val="01E0" w:firstRow="1" w:lastRow="1" w:firstColumn="1" w:lastColumn="1" w:noHBand="0" w:noVBand="0"/>
      </w:tblPr>
      <w:tblGrid>
        <w:gridCol w:w="2414"/>
        <w:gridCol w:w="1137"/>
        <w:gridCol w:w="2069"/>
        <w:gridCol w:w="2321"/>
      </w:tblGrid>
      <w:tr w:rsidR="000A0609" w:rsidRPr="002429C5" w:rsidTr="00FA5788">
        <w:trPr>
          <w:cantSplit/>
          <w:tblHeader/>
        </w:trPr>
        <w:tc>
          <w:tcPr>
            <w:tcW w:w="0" w:type="auto"/>
            <w:tcBorders>
              <w:top w:val="single" w:sz="4" w:space="0" w:color="808080"/>
              <w:left w:val="single" w:sz="4" w:space="0" w:color="808080"/>
              <w:bottom w:val="single" w:sz="4" w:space="0" w:color="808080"/>
              <w:right w:val="single" w:sz="4" w:space="0" w:color="808080"/>
            </w:tcBorders>
            <w:shd w:val="clear" w:color="auto" w:fill="CCCCCC"/>
            <w:tcMar>
              <w:top w:w="170" w:type="dxa"/>
              <w:left w:w="425" w:type="dxa"/>
              <w:bottom w:w="170" w:type="dxa"/>
              <w:right w:w="0" w:type="dxa"/>
            </w:tcMar>
            <w:hideMark/>
          </w:tcPr>
          <w:p w:rsidR="000A0609" w:rsidRPr="002429C5" w:rsidRDefault="000A0609" w:rsidP="00AE3ED4">
            <w:pPr>
              <w:pStyle w:val="Tabeltekst"/>
              <w:spacing w:line="276" w:lineRule="auto"/>
              <w:rPr>
                <w:b/>
              </w:rPr>
            </w:pPr>
            <w:r w:rsidRPr="002429C5">
              <w:rPr>
                <w:b/>
              </w:rPr>
              <w:t>Serious injuries</w:t>
            </w:r>
          </w:p>
        </w:tc>
        <w:tc>
          <w:tcPr>
            <w:tcW w:w="0" w:type="auto"/>
            <w:tcBorders>
              <w:top w:val="single" w:sz="4" w:space="0" w:color="808080"/>
              <w:left w:val="single" w:sz="4" w:space="0" w:color="808080"/>
              <w:bottom w:val="single" w:sz="4" w:space="0" w:color="808080"/>
              <w:right w:val="single" w:sz="4" w:space="0" w:color="808080"/>
            </w:tcBorders>
            <w:shd w:val="clear" w:color="auto" w:fill="CCCCCC"/>
            <w:tcMar>
              <w:top w:w="170" w:type="dxa"/>
              <w:left w:w="425" w:type="dxa"/>
              <w:bottom w:w="170" w:type="dxa"/>
              <w:right w:w="0" w:type="dxa"/>
            </w:tcMar>
            <w:hideMark/>
          </w:tcPr>
          <w:p w:rsidR="000A0609" w:rsidRPr="002429C5" w:rsidRDefault="000A0609" w:rsidP="00AE3ED4">
            <w:pPr>
              <w:pStyle w:val="Tabeltekst"/>
              <w:spacing w:line="276" w:lineRule="auto"/>
              <w:rPr>
                <w:b/>
              </w:rPr>
            </w:pPr>
            <w:r w:rsidRPr="002429C5">
              <w:rPr>
                <w:b/>
              </w:rPr>
              <w:t>Total in 2014</w:t>
            </w:r>
          </w:p>
        </w:tc>
        <w:tc>
          <w:tcPr>
            <w:tcW w:w="0" w:type="auto"/>
            <w:tcBorders>
              <w:top w:val="single" w:sz="4" w:space="0" w:color="808080"/>
              <w:left w:val="single" w:sz="4" w:space="0" w:color="808080"/>
              <w:bottom w:val="single" w:sz="4" w:space="0" w:color="808080"/>
              <w:right w:val="single" w:sz="4" w:space="0" w:color="808080"/>
            </w:tcBorders>
            <w:shd w:val="clear" w:color="auto" w:fill="CCCCCC"/>
            <w:hideMark/>
          </w:tcPr>
          <w:p w:rsidR="000A0609" w:rsidRPr="002429C5" w:rsidRDefault="000A0609" w:rsidP="00AE3ED4">
            <w:pPr>
              <w:pStyle w:val="Tabeltekst"/>
              <w:spacing w:line="276" w:lineRule="auto"/>
              <w:rPr>
                <w:b/>
              </w:rPr>
            </w:pPr>
            <w:r w:rsidRPr="002429C5">
              <w:rPr>
                <w:b/>
              </w:rPr>
              <w:t>Total in 2014/million train-km</w:t>
            </w:r>
          </w:p>
        </w:tc>
        <w:tc>
          <w:tcPr>
            <w:tcW w:w="0" w:type="auto"/>
            <w:tcBorders>
              <w:top w:val="single" w:sz="4" w:space="0" w:color="808080"/>
              <w:left w:val="single" w:sz="4" w:space="0" w:color="808080"/>
              <w:bottom w:val="single" w:sz="4" w:space="0" w:color="808080"/>
              <w:right w:val="single" w:sz="4" w:space="0" w:color="808080"/>
            </w:tcBorders>
            <w:shd w:val="clear" w:color="auto" w:fill="CCCCCC"/>
            <w:tcMar>
              <w:top w:w="170" w:type="dxa"/>
              <w:left w:w="425" w:type="dxa"/>
              <w:bottom w:w="170" w:type="dxa"/>
              <w:right w:w="0" w:type="dxa"/>
            </w:tcMar>
            <w:hideMark/>
          </w:tcPr>
          <w:p w:rsidR="000A0609" w:rsidRPr="002429C5" w:rsidRDefault="000A0609" w:rsidP="00AE3ED4">
            <w:pPr>
              <w:pStyle w:val="Tabeltekst"/>
              <w:spacing w:line="276" w:lineRule="auto"/>
              <w:rPr>
                <w:b/>
              </w:rPr>
            </w:pPr>
            <w:r w:rsidRPr="002429C5">
              <w:rPr>
                <w:b/>
              </w:rPr>
              <w:t>5-year average/million train-km</w:t>
            </w:r>
          </w:p>
        </w:tc>
      </w:tr>
      <w:tr w:rsidR="000A0609" w:rsidRPr="002429C5" w:rsidTr="00FA5788">
        <w:trPr>
          <w:cantSplit/>
        </w:trPr>
        <w:tc>
          <w:tcPr>
            <w:tcW w:w="0" w:type="auto"/>
            <w:tcBorders>
              <w:top w:val="single" w:sz="4" w:space="0" w:color="808080"/>
              <w:left w:val="single" w:sz="4" w:space="0" w:color="808080"/>
              <w:bottom w:val="single" w:sz="4" w:space="0" w:color="808080"/>
              <w:right w:val="single" w:sz="4" w:space="0" w:color="808080"/>
            </w:tcBorders>
            <w:hideMark/>
          </w:tcPr>
          <w:p w:rsidR="000A0609" w:rsidRPr="002429C5" w:rsidRDefault="000A0609" w:rsidP="00AE3ED4">
            <w:pPr>
              <w:pStyle w:val="Tabeltekst"/>
              <w:spacing w:line="276" w:lineRule="auto"/>
            </w:pPr>
            <w:r w:rsidRPr="002429C5">
              <w:t>Passengers</w:t>
            </w:r>
          </w:p>
        </w:tc>
        <w:tc>
          <w:tcPr>
            <w:tcW w:w="0" w:type="auto"/>
            <w:tcBorders>
              <w:top w:val="single" w:sz="4" w:space="0" w:color="808080"/>
              <w:left w:val="single" w:sz="4" w:space="0" w:color="808080"/>
              <w:bottom w:val="single" w:sz="4" w:space="0" w:color="808080"/>
              <w:right w:val="single" w:sz="4" w:space="0" w:color="808080"/>
            </w:tcBorders>
            <w:vAlign w:val="bottom"/>
            <w:hideMark/>
          </w:tcPr>
          <w:p w:rsidR="000A0609" w:rsidRPr="002429C5" w:rsidRDefault="000A0609" w:rsidP="00042526">
            <w:pPr>
              <w:pStyle w:val="DoNotTranslateInternal2"/>
            </w:pPr>
            <w:r w:rsidRPr="002429C5">
              <w:t>1</w:t>
            </w:r>
          </w:p>
        </w:tc>
        <w:tc>
          <w:tcPr>
            <w:tcW w:w="0" w:type="auto"/>
            <w:tcBorders>
              <w:top w:val="single" w:sz="4" w:space="0" w:color="808080"/>
              <w:left w:val="single" w:sz="4" w:space="0" w:color="808080"/>
              <w:bottom w:val="single" w:sz="4" w:space="0" w:color="808080"/>
              <w:right w:val="single" w:sz="4" w:space="0" w:color="808080"/>
            </w:tcBorders>
            <w:shd w:val="clear" w:color="auto" w:fill="FFFFFF" w:themeFill="background1"/>
            <w:vAlign w:val="bottom"/>
            <w:hideMark/>
          </w:tcPr>
          <w:p w:rsidR="000A0609" w:rsidRPr="002429C5" w:rsidRDefault="000A0609" w:rsidP="00AE3ED4">
            <w:pPr>
              <w:jc w:val="center"/>
              <w:rPr>
                <w:rFonts w:ascii="Arial" w:hAnsi="Arial" w:cs="Arial"/>
                <w:sz w:val="16"/>
                <w:szCs w:val="16"/>
              </w:rPr>
            </w:pPr>
            <w:r w:rsidRPr="002429C5">
              <w:rPr>
                <w:rFonts w:ascii="Arial" w:hAnsi="Arial"/>
                <w:sz w:val="16"/>
              </w:rPr>
              <w:t>0.01</w:t>
            </w:r>
          </w:p>
        </w:tc>
        <w:tc>
          <w:tcPr>
            <w:tcW w:w="0" w:type="auto"/>
            <w:tcBorders>
              <w:top w:val="single" w:sz="4" w:space="0" w:color="808080"/>
              <w:left w:val="single" w:sz="4" w:space="0" w:color="808080"/>
              <w:bottom w:val="single" w:sz="4" w:space="0" w:color="808080"/>
              <w:right w:val="single" w:sz="4" w:space="0" w:color="808080"/>
            </w:tcBorders>
            <w:shd w:val="clear" w:color="auto" w:fill="FFFFFF" w:themeFill="background1"/>
            <w:vAlign w:val="bottom"/>
            <w:hideMark/>
          </w:tcPr>
          <w:p w:rsidR="000A0609" w:rsidRPr="002429C5" w:rsidRDefault="000A0609" w:rsidP="00AE3ED4">
            <w:pPr>
              <w:jc w:val="center"/>
              <w:rPr>
                <w:rFonts w:ascii="Arial" w:hAnsi="Arial" w:cs="Arial"/>
                <w:sz w:val="16"/>
                <w:szCs w:val="16"/>
              </w:rPr>
            </w:pPr>
            <w:r w:rsidRPr="002429C5">
              <w:rPr>
                <w:rFonts w:ascii="Arial" w:hAnsi="Arial"/>
                <w:sz w:val="16"/>
              </w:rPr>
              <w:t>0.02</w:t>
            </w:r>
          </w:p>
        </w:tc>
      </w:tr>
      <w:tr w:rsidR="000A0609" w:rsidRPr="002429C5" w:rsidTr="00FA5788">
        <w:trPr>
          <w:cantSplit/>
        </w:trPr>
        <w:tc>
          <w:tcPr>
            <w:tcW w:w="0" w:type="auto"/>
            <w:tcBorders>
              <w:top w:val="single" w:sz="4" w:space="0" w:color="808080"/>
              <w:left w:val="single" w:sz="4" w:space="0" w:color="808080"/>
              <w:bottom w:val="single" w:sz="4" w:space="0" w:color="808080"/>
              <w:right w:val="single" w:sz="4" w:space="0" w:color="808080"/>
            </w:tcBorders>
            <w:hideMark/>
          </w:tcPr>
          <w:p w:rsidR="000A0609" w:rsidRPr="002429C5" w:rsidRDefault="000A0609" w:rsidP="00AE3ED4">
            <w:pPr>
              <w:pStyle w:val="Tabeltekst"/>
              <w:spacing w:line="276" w:lineRule="auto"/>
            </w:pPr>
            <w:r w:rsidRPr="002429C5">
              <w:t>Staff</w:t>
            </w:r>
          </w:p>
        </w:tc>
        <w:tc>
          <w:tcPr>
            <w:tcW w:w="0" w:type="auto"/>
            <w:tcBorders>
              <w:top w:val="single" w:sz="4" w:space="0" w:color="808080"/>
              <w:left w:val="single" w:sz="4" w:space="0" w:color="808080"/>
              <w:bottom w:val="single" w:sz="4" w:space="0" w:color="808080"/>
              <w:right w:val="single" w:sz="4" w:space="0" w:color="808080"/>
            </w:tcBorders>
            <w:vAlign w:val="bottom"/>
            <w:hideMark/>
          </w:tcPr>
          <w:p w:rsidR="000A0609" w:rsidRPr="002429C5" w:rsidRDefault="000A0609" w:rsidP="00042526">
            <w:pPr>
              <w:pStyle w:val="DoNotTranslateInternal2"/>
            </w:pPr>
            <w:r w:rsidRPr="002429C5">
              <w:t>0</w:t>
            </w:r>
          </w:p>
        </w:tc>
        <w:tc>
          <w:tcPr>
            <w:tcW w:w="0" w:type="auto"/>
            <w:tcBorders>
              <w:top w:val="single" w:sz="4" w:space="0" w:color="808080"/>
              <w:left w:val="single" w:sz="4" w:space="0" w:color="808080"/>
              <w:bottom w:val="single" w:sz="4" w:space="0" w:color="808080"/>
              <w:right w:val="single" w:sz="4" w:space="0" w:color="808080"/>
            </w:tcBorders>
            <w:shd w:val="clear" w:color="auto" w:fill="FFFFFF" w:themeFill="background1"/>
            <w:vAlign w:val="bottom"/>
            <w:hideMark/>
          </w:tcPr>
          <w:p w:rsidR="000A0609" w:rsidRPr="002429C5" w:rsidRDefault="000A0609" w:rsidP="00AE3ED4">
            <w:pPr>
              <w:jc w:val="center"/>
              <w:rPr>
                <w:rFonts w:ascii="Arial" w:hAnsi="Arial" w:cs="Arial"/>
                <w:sz w:val="16"/>
                <w:szCs w:val="16"/>
              </w:rPr>
            </w:pPr>
            <w:r w:rsidRPr="002429C5">
              <w:rPr>
                <w:rFonts w:ascii="Arial" w:hAnsi="Arial"/>
                <w:sz w:val="16"/>
              </w:rPr>
              <w:t>0.00</w:t>
            </w:r>
          </w:p>
        </w:tc>
        <w:tc>
          <w:tcPr>
            <w:tcW w:w="0" w:type="auto"/>
            <w:tcBorders>
              <w:top w:val="single" w:sz="4" w:space="0" w:color="808080"/>
              <w:left w:val="single" w:sz="4" w:space="0" w:color="808080"/>
              <w:bottom w:val="single" w:sz="4" w:space="0" w:color="808080"/>
              <w:right w:val="single" w:sz="4" w:space="0" w:color="808080"/>
            </w:tcBorders>
            <w:shd w:val="clear" w:color="auto" w:fill="FFFFFF" w:themeFill="background1"/>
            <w:vAlign w:val="bottom"/>
            <w:hideMark/>
          </w:tcPr>
          <w:p w:rsidR="000A0609" w:rsidRPr="002429C5" w:rsidRDefault="000A0609" w:rsidP="00AE3ED4">
            <w:pPr>
              <w:jc w:val="center"/>
              <w:rPr>
                <w:rFonts w:ascii="Arial" w:hAnsi="Arial" w:cs="Arial"/>
                <w:sz w:val="16"/>
                <w:szCs w:val="16"/>
              </w:rPr>
            </w:pPr>
            <w:r w:rsidRPr="002429C5">
              <w:rPr>
                <w:rFonts w:ascii="Arial" w:hAnsi="Arial"/>
                <w:sz w:val="16"/>
              </w:rPr>
              <w:t>0.01</w:t>
            </w:r>
          </w:p>
        </w:tc>
      </w:tr>
      <w:tr w:rsidR="000A0609" w:rsidRPr="002429C5" w:rsidTr="00FA5788">
        <w:trPr>
          <w:cantSplit/>
        </w:trPr>
        <w:tc>
          <w:tcPr>
            <w:tcW w:w="0" w:type="auto"/>
            <w:tcBorders>
              <w:top w:val="single" w:sz="4" w:space="0" w:color="808080"/>
              <w:left w:val="single" w:sz="4" w:space="0" w:color="808080"/>
              <w:bottom w:val="single" w:sz="4" w:space="0" w:color="808080"/>
              <w:right w:val="single" w:sz="4" w:space="0" w:color="808080"/>
            </w:tcBorders>
            <w:hideMark/>
          </w:tcPr>
          <w:p w:rsidR="000A0609" w:rsidRPr="002429C5" w:rsidRDefault="000A0609" w:rsidP="00AE3ED4">
            <w:pPr>
              <w:pStyle w:val="Tabeltekst"/>
              <w:spacing w:line="276" w:lineRule="auto"/>
            </w:pPr>
            <w:r w:rsidRPr="002429C5">
              <w:t>Level-crossing users</w:t>
            </w:r>
          </w:p>
        </w:tc>
        <w:tc>
          <w:tcPr>
            <w:tcW w:w="0" w:type="auto"/>
            <w:tcBorders>
              <w:top w:val="single" w:sz="4" w:space="0" w:color="808080"/>
              <w:left w:val="single" w:sz="4" w:space="0" w:color="808080"/>
              <w:bottom w:val="single" w:sz="4" w:space="0" w:color="808080"/>
              <w:right w:val="single" w:sz="4" w:space="0" w:color="808080"/>
            </w:tcBorders>
            <w:vAlign w:val="bottom"/>
            <w:hideMark/>
          </w:tcPr>
          <w:p w:rsidR="000A0609" w:rsidRPr="002429C5" w:rsidRDefault="000A0609" w:rsidP="00042526">
            <w:pPr>
              <w:pStyle w:val="DoNotTranslateInternal2"/>
            </w:pPr>
            <w:r w:rsidRPr="002429C5">
              <w:t>0</w:t>
            </w:r>
          </w:p>
        </w:tc>
        <w:tc>
          <w:tcPr>
            <w:tcW w:w="0" w:type="auto"/>
            <w:tcBorders>
              <w:top w:val="single" w:sz="4" w:space="0" w:color="808080"/>
              <w:left w:val="single" w:sz="4" w:space="0" w:color="808080"/>
              <w:bottom w:val="single" w:sz="4" w:space="0" w:color="808080"/>
              <w:right w:val="single" w:sz="4" w:space="0" w:color="808080"/>
            </w:tcBorders>
            <w:shd w:val="clear" w:color="auto" w:fill="FFFFFF" w:themeFill="background1"/>
            <w:vAlign w:val="bottom"/>
            <w:hideMark/>
          </w:tcPr>
          <w:p w:rsidR="000A0609" w:rsidRPr="002429C5" w:rsidRDefault="000A0609" w:rsidP="00AE3ED4">
            <w:pPr>
              <w:jc w:val="center"/>
              <w:rPr>
                <w:rFonts w:ascii="Arial" w:hAnsi="Arial" w:cs="Arial"/>
                <w:sz w:val="16"/>
                <w:szCs w:val="16"/>
              </w:rPr>
            </w:pPr>
            <w:r w:rsidRPr="002429C5">
              <w:rPr>
                <w:rFonts w:ascii="Arial" w:hAnsi="Arial"/>
                <w:sz w:val="16"/>
              </w:rPr>
              <w:t>0.00</w:t>
            </w:r>
          </w:p>
        </w:tc>
        <w:tc>
          <w:tcPr>
            <w:tcW w:w="0" w:type="auto"/>
            <w:tcBorders>
              <w:top w:val="single" w:sz="4" w:space="0" w:color="808080"/>
              <w:left w:val="single" w:sz="4" w:space="0" w:color="808080"/>
              <w:bottom w:val="single" w:sz="4" w:space="0" w:color="808080"/>
              <w:right w:val="single" w:sz="4" w:space="0" w:color="808080"/>
            </w:tcBorders>
            <w:shd w:val="clear" w:color="auto" w:fill="FFFFFF" w:themeFill="background1"/>
            <w:vAlign w:val="bottom"/>
            <w:hideMark/>
          </w:tcPr>
          <w:p w:rsidR="000A0609" w:rsidRPr="002429C5" w:rsidRDefault="000A0609" w:rsidP="00AE3ED4">
            <w:pPr>
              <w:jc w:val="center"/>
              <w:rPr>
                <w:rFonts w:ascii="Arial" w:hAnsi="Arial" w:cs="Arial"/>
                <w:sz w:val="16"/>
                <w:szCs w:val="16"/>
              </w:rPr>
            </w:pPr>
            <w:r w:rsidRPr="002429C5">
              <w:rPr>
                <w:rFonts w:ascii="Arial" w:hAnsi="Arial"/>
                <w:sz w:val="16"/>
              </w:rPr>
              <w:t>0.03</w:t>
            </w:r>
          </w:p>
        </w:tc>
      </w:tr>
      <w:tr w:rsidR="000A0609" w:rsidRPr="002429C5" w:rsidTr="00FA5788">
        <w:trPr>
          <w:cantSplit/>
        </w:trPr>
        <w:tc>
          <w:tcPr>
            <w:tcW w:w="0" w:type="auto"/>
            <w:tcBorders>
              <w:top w:val="single" w:sz="4" w:space="0" w:color="808080"/>
              <w:left w:val="single" w:sz="4" w:space="0" w:color="808080"/>
              <w:bottom w:val="single" w:sz="4" w:space="0" w:color="808080"/>
              <w:right w:val="single" w:sz="4" w:space="0" w:color="808080"/>
            </w:tcBorders>
            <w:hideMark/>
          </w:tcPr>
          <w:p w:rsidR="000A0609" w:rsidRPr="002429C5" w:rsidRDefault="000A0609" w:rsidP="00AE3ED4">
            <w:pPr>
              <w:pStyle w:val="Tabeltekst"/>
              <w:spacing w:line="276" w:lineRule="auto"/>
            </w:pPr>
            <w:r w:rsidRPr="002429C5">
              <w:t xml:space="preserve">Persons on railway property without permission </w:t>
            </w:r>
          </w:p>
        </w:tc>
        <w:tc>
          <w:tcPr>
            <w:tcW w:w="0" w:type="auto"/>
            <w:tcBorders>
              <w:top w:val="single" w:sz="4" w:space="0" w:color="808080"/>
              <w:left w:val="single" w:sz="4" w:space="0" w:color="808080"/>
              <w:bottom w:val="single" w:sz="4" w:space="0" w:color="808080"/>
              <w:right w:val="single" w:sz="4" w:space="0" w:color="808080"/>
            </w:tcBorders>
            <w:vAlign w:val="bottom"/>
            <w:hideMark/>
          </w:tcPr>
          <w:p w:rsidR="000A0609" w:rsidRPr="002429C5" w:rsidRDefault="000A0609" w:rsidP="00042526">
            <w:pPr>
              <w:pStyle w:val="DoNotTranslateInternal2"/>
            </w:pPr>
            <w:r w:rsidRPr="002429C5">
              <w:t>5</w:t>
            </w:r>
          </w:p>
        </w:tc>
        <w:tc>
          <w:tcPr>
            <w:tcW w:w="0" w:type="auto"/>
            <w:tcBorders>
              <w:top w:val="single" w:sz="4" w:space="0" w:color="808080"/>
              <w:left w:val="single" w:sz="4" w:space="0" w:color="808080"/>
              <w:bottom w:val="single" w:sz="4" w:space="0" w:color="808080"/>
              <w:right w:val="single" w:sz="4" w:space="0" w:color="808080"/>
            </w:tcBorders>
            <w:shd w:val="clear" w:color="auto" w:fill="FFFFFF" w:themeFill="background1"/>
            <w:vAlign w:val="bottom"/>
            <w:hideMark/>
          </w:tcPr>
          <w:p w:rsidR="000A0609" w:rsidRPr="002429C5" w:rsidRDefault="000A0609" w:rsidP="00AE3ED4">
            <w:pPr>
              <w:jc w:val="center"/>
              <w:rPr>
                <w:rFonts w:ascii="Arial" w:hAnsi="Arial" w:cs="Arial"/>
                <w:sz w:val="16"/>
                <w:szCs w:val="16"/>
              </w:rPr>
            </w:pPr>
            <w:r w:rsidRPr="002429C5">
              <w:rPr>
                <w:rFonts w:ascii="Arial" w:hAnsi="Arial"/>
                <w:sz w:val="16"/>
              </w:rPr>
              <w:t>0.06</w:t>
            </w:r>
          </w:p>
        </w:tc>
        <w:tc>
          <w:tcPr>
            <w:tcW w:w="0" w:type="auto"/>
            <w:tcBorders>
              <w:top w:val="single" w:sz="4" w:space="0" w:color="808080"/>
              <w:left w:val="single" w:sz="4" w:space="0" w:color="808080"/>
              <w:bottom w:val="single" w:sz="4" w:space="0" w:color="808080"/>
              <w:right w:val="single" w:sz="4" w:space="0" w:color="808080"/>
            </w:tcBorders>
            <w:shd w:val="clear" w:color="auto" w:fill="FFFFFF" w:themeFill="background1"/>
            <w:vAlign w:val="bottom"/>
            <w:hideMark/>
          </w:tcPr>
          <w:p w:rsidR="000A0609" w:rsidRPr="002429C5" w:rsidRDefault="000A0609" w:rsidP="00AE3ED4">
            <w:pPr>
              <w:jc w:val="center"/>
              <w:rPr>
                <w:rFonts w:ascii="Arial" w:hAnsi="Arial" w:cs="Arial"/>
                <w:sz w:val="16"/>
                <w:szCs w:val="16"/>
              </w:rPr>
            </w:pPr>
            <w:r w:rsidRPr="002429C5">
              <w:rPr>
                <w:rFonts w:ascii="Arial" w:hAnsi="Arial"/>
                <w:sz w:val="16"/>
              </w:rPr>
              <w:t>0.04</w:t>
            </w:r>
          </w:p>
        </w:tc>
      </w:tr>
      <w:tr w:rsidR="000A0609" w:rsidRPr="002429C5" w:rsidTr="00FA5788">
        <w:trPr>
          <w:cantSplit/>
        </w:trPr>
        <w:tc>
          <w:tcPr>
            <w:tcW w:w="0" w:type="auto"/>
            <w:tcBorders>
              <w:top w:val="single" w:sz="4" w:space="0" w:color="808080"/>
              <w:left w:val="single" w:sz="4" w:space="0" w:color="808080"/>
              <w:bottom w:val="single" w:sz="4" w:space="0" w:color="808080"/>
              <w:right w:val="single" w:sz="4" w:space="0" w:color="808080"/>
            </w:tcBorders>
            <w:hideMark/>
          </w:tcPr>
          <w:p w:rsidR="000A0609" w:rsidRPr="002429C5" w:rsidRDefault="000A0609" w:rsidP="00AE3ED4">
            <w:pPr>
              <w:pStyle w:val="Tabeltekst"/>
              <w:spacing w:line="276" w:lineRule="auto"/>
            </w:pPr>
            <w:r w:rsidRPr="002429C5">
              <w:t>Other</w:t>
            </w:r>
          </w:p>
        </w:tc>
        <w:tc>
          <w:tcPr>
            <w:tcW w:w="0" w:type="auto"/>
            <w:tcBorders>
              <w:top w:val="single" w:sz="4" w:space="0" w:color="808080"/>
              <w:left w:val="single" w:sz="4" w:space="0" w:color="808080"/>
              <w:bottom w:val="single" w:sz="4" w:space="0" w:color="808080"/>
              <w:right w:val="single" w:sz="4" w:space="0" w:color="808080"/>
            </w:tcBorders>
            <w:vAlign w:val="bottom"/>
            <w:hideMark/>
          </w:tcPr>
          <w:p w:rsidR="000A0609" w:rsidRPr="002429C5" w:rsidRDefault="000A0609" w:rsidP="00042526">
            <w:pPr>
              <w:pStyle w:val="DoNotTranslateInternal2"/>
            </w:pPr>
            <w:r w:rsidRPr="002429C5">
              <w:t>1</w:t>
            </w:r>
          </w:p>
        </w:tc>
        <w:tc>
          <w:tcPr>
            <w:tcW w:w="0" w:type="auto"/>
            <w:tcBorders>
              <w:top w:val="single" w:sz="4" w:space="0" w:color="808080"/>
              <w:left w:val="single" w:sz="4" w:space="0" w:color="808080"/>
              <w:bottom w:val="single" w:sz="4" w:space="0" w:color="808080"/>
              <w:right w:val="single" w:sz="4" w:space="0" w:color="808080"/>
            </w:tcBorders>
            <w:shd w:val="clear" w:color="auto" w:fill="FFFFFF" w:themeFill="background1"/>
            <w:vAlign w:val="bottom"/>
            <w:hideMark/>
          </w:tcPr>
          <w:p w:rsidR="000A0609" w:rsidRPr="002429C5" w:rsidRDefault="000A0609" w:rsidP="00AE3ED4">
            <w:pPr>
              <w:jc w:val="center"/>
              <w:rPr>
                <w:rFonts w:ascii="Arial" w:hAnsi="Arial" w:cs="Arial"/>
                <w:sz w:val="16"/>
                <w:szCs w:val="16"/>
              </w:rPr>
            </w:pPr>
            <w:r w:rsidRPr="002429C5">
              <w:rPr>
                <w:rFonts w:ascii="Arial" w:hAnsi="Arial"/>
                <w:sz w:val="16"/>
              </w:rPr>
              <w:t>0.01</w:t>
            </w:r>
          </w:p>
        </w:tc>
        <w:tc>
          <w:tcPr>
            <w:tcW w:w="0" w:type="auto"/>
            <w:tcBorders>
              <w:top w:val="single" w:sz="4" w:space="0" w:color="808080"/>
              <w:left w:val="single" w:sz="4" w:space="0" w:color="808080"/>
              <w:bottom w:val="single" w:sz="4" w:space="0" w:color="808080"/>
              <w:right w:val="single" w:sz="4" w:space="0" w:color="808080"/>
            </w:tcBorders>
            <w:shd w:val="clear" w:color="auto" w:fill="FFFFFF" w:themeFill="background1"/>
            <w:vAlign w:val="bottom"/>
            <w:hideMark/>
          </w:tcPr>
          <w:p w:rsidR="000A0609" w:rsidRPr="002429C5" w:rsidRDefault="000A0609" w:rsidP="00AE3ED4">
            <w:pPr>
              <w:jc w:val="center"/>
              <w:rPr>
                <w:rFonts w:ascii="Arial" w:hAnsi="Arial" w:cs="Arial"/>
                <w:sz w:val="16"/>
                <w:szCs w:val="16"/>
              </w:rPr>
            </w:pPr>
            <w:r w:rsidRPr="002429C5">
              <w:rPr>
                <w:rFonts w:ascii="Arial" w:hAnsi="Arial"/>
                <w:sz w:val="16"/>
              </w:rPr>
              <w:t>0.01</w:t>
            </w:r>
          </w:p>
        </w:tc>
      </w:tr>
      <w:tr w:rsidR="000A0609" w:rsidRPr="002429C5" w:rsidTr="00FA5788">
        <w:trPr>
          <w:cantSplit/>
        </w:trPr>
        <w:tc>
          <w:tcPr>
            <w:tcW w:w="0" w:type="auto"/>
            <w:tcBorders>
              <w:top w:val="single" w:sz="4" w:space="0" w:color="808080"/>
              <w:left w:val="single" w:sz="4" w:space="0" w:color="808080"/>
              <w:bottom w:val="single" w:sz="4" w:space="0" w:color="808080"/>
              <w:right w:val="single" w:sz="4" w:space="0" w:color="808080"/>
            </w:tcBorders>
          </w:tcPr>
          <w:p w:rsidR="000A0609" w:rsidRPr="002429C5" w:rsidRDefault="000A0609" w:rsidP="00AE3ED4">
            <w:pPr>
              <w:pStyle w:val="Tabeltekst"/>
              <w:spacing w:line="276" w:lineRule="auto"/>
            </w:pPr>
            <w:r w:rsidRPr="002429C5">
              <w:t>Total serious injuries</w:t>
            </w:r>
          </w:p>
        </w:tc>
        <w:tc>
          <w:tcPr>
            <w:tcW w:w="0" w:type="auto"/>
            <w:tcBorders>
              <w:top w:val="single" w:sz="4" w:space="0" w:color="808080"/>
              <w:left w:val="single" w:sz="4" w:space="0" w:color="808080"/>
              <w:bottom w:val="single" w:sz="4" w:space="0" w:color="808080"/>
              <w:right w:val="single" w:sz="4" w:space="0" w:color="808080"/>
            </w:tcBorders>
            <w:vAlign w:val="bottom"/>
          </w:tcPr>
          <w:p w:rsidR="000A0609" w:rsidRPr="002429C5" w:rsidRDefault="000A0609" w:rsidP="00042526">
            <w:pPr>
              <w:pStyle w:val="DoNotTranslateInternal2"/>
            </w:pPr>
            <w:r w:rsidRPr="002429C5">
              <w:t>7</w:t>
            </w:r>
          </w:p>
        </w:tc>
        <w:tc>
          <w:tcPr>
            <w:tcW w:w="0" w:type="auto"/>
            <w:tcBorders>
              <w:top w:val="single" w:sz="4" w:space="0" w:color="808080"/>
              <w:left w:val="single" w:sz="4" w:space="0" w:color="808080"/>
              <w:bottom w:val="single" w:sz="4" w:space="0" w:color="808080"/>
              <w:right w:val="single" w:sz="4" w:space="0" w:color="808080"/>
            </w:tcBorders>
            <w:shd w:val="clear" w:color="auto" w:fill="FFFFFF" w:themeFill="background1"/>
            <w:vAlign w:val="bottom"/>
          </w:tcPr>
          <w:p w:rsidR="000A0609" w:rsidRPr="002429C5" w:rsidRDefault="000A0609" w:rsidP="00AE3ED4">
            <w:pPr>
              <w:jc w:val="center"/>
              <w:rPr>
                <w:rFonts w:ascii="Arial" w:hAnsi="Arial" w:cs="Arial"/>
                <w:sz w:val="16"/>
                <w:szCs w:val="16"/>
              </w:rPr>
            </w:pPr>
            <w:r w:rsidRPr="002429C5">
              <w:rPr>
                <w:rFonts w:ascii="Arial" w:hAnsi="Arial"/>
                <w:sz w:val="16"/>
              </w:rPr>
              <w:t>0.08</w:t>
            </w:r>
          </w:p>
        </w:tc>
        <w:tc>
          <w:tcPr>
            <w:tcW w:w="0" w:type="auto"/>
            <w:tcBorders>
              <w:top w:val="single" w:sz="4" w:space="0" w:color="808080"/>
              <w:left w:val="single" w:sz="4" w:space="0" w:color="808080"/>
              <w:bottom w:val="single" w:sz="4" w:space="0" w:color="808080"/>
              <w:right w:val="single" w:sz="4" w:space="0" w:color="808080"/>
            </w:tcBorders>
            <w:shd w:val="clear" w:color="auto" w:fill="FFFFFF" w:themeFill="background1"/>
            <w:vAlign w:val="bottom"/>
          </w:tcPr>
          <w:p w:rsidR="000A0609" w:rsidRPr="002429C5" w:rsidRDefault="000A0609" w:rsidP="00AE3ED4">
            <w:pPr>
              <w:jc w:val="center"/>
              <w:rPr>
                <w:rFonts w:ascii="Arial" w:hAnsi="Arial" w:cs="Arial"/>
                <w:sz w:val="16"/>
                <w:szCs w:val="16"/>
              </w:rPr>
            </w:pPr>
            <w:r w:rsidRPr="002429C5">
              <w:rPr>
                <w:rFonts w:ascii="Arial" w:hAnsi="Arial"/>
                <w:sz w:val="16"/>
              </w:rPr>
              <w:t>0.11</w:t>
            </w:r>
          </w:p>
        </w:tc>
      </w:tr>
    </w:tbl>
    <w:p w:rsidR="00B824CC" w:rsidRPr="002429C5" w:rsidRDefault="000A0609" w:rsidP="000A0609">
      <w:pPr>
        <w:pStyle w:val="Tabeltekst"/>
        <w:rPr>
          <w:i/>
          <w:szCs w:val="14"/>
        </w:rPr>
      </w:pPr>
      <w:r w:rsidRPr="002429C5">
        <w:rPr>
          <w:i/>
        </w:rPr>
        <w:t>The figures for serious injuries do not include attempted suicides.</w:t>
      </w:r>
    </w:p>
    <w:p w:rsidR="000A0609" w:rsidRPr="002429C5" w:rsidRDefault="000A0609" w:rsidP="000A0609">
      <w:pPr>
        <w:rPr>
          <w:rStyle w:val="Overskrift3Tegn"/>
          <w:b w:val="0"/>
          <w:i/>
          <w:sz w:val="16"/>
          <w:szCs w:val="16"/>
          <w:shd w:val="clear" w:color="auto" w:fill="FFFFFF" w:themeFill="background1"/>
        </w:rPr>
      </w:pPr>
    </w:p>
    <w:p w:rsidR="00A03A9D" w:rsidRPr="002429C5" w:rsidRDefault="00A03A9D" w:rsidP="000A0609">
      <w:pPr>
        <w:rPr>
          <w:rStyle w:val="Overskrift3Tegn"/>
          <w:b w:val="0"/>
          <w:i/>
          <w:sz w:val="16"/>
          <w:szCs w:val="16"/>
          <w:shd w:val="clear" w:color="auto" w:fill="FFFFFF" w:themeFill="background1"/>
        </w:rPr>
      </w:pPr>
    </w:p>
    <w:p w:rsidR="000A0609" w:rsidRPr="002429C5" w:rsidRDefault="000A0609" w:rsidP="001A5F0A">
      <w:pPr>
        <w:keepNext/>
        <w:rPr>
          <w:i/>
          <w:sz w:val="16"/>
        </w:rPr>
      </w:pPr>
      <w:r w:rsidRPr="002429C5">
        <w:rPr>
          <w:i/>
          <w:sz w:val="16"/>
        </w:rPr>
        <w:t>Table 11. Indicators relating to minor accidents</w:t>
      </w:r>
    </w:p>
    <w:tbl>
      <w:tblPr>
        <w:tblW w:w="0" w:type="auto"/>
        <w:tblInd w:w="42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top w:w="85" w:type="dxa"/>
          <w:left w:w="340" w:type="dxa"/>
          <w:bottom w:w="85" w:type="dxa"/>
          <w:right w:w="28" w:type="dxa"/>
        </w:tblCellMar>
        <w:tblLook w:val="01E0" w:firstRow="1" w:lastRow="1" w:firstColumn="1" w:lastColumn="1" w:noHBand="0" w:noVBand="0"/>
      </w:tblPr>
      <w:tblGrid>
        <w:gridCol w:w="1900"/>
        <w:gridCol w:w="1236"/>
        <w:gridCol w:w="2283"/>
        <w:gridCol w:w="2522"/>
      </w:tblGrid>
      <w:tr w:rsidR="000A0609" w:rsidRPr="002429C5" w:rsidTr="00FA5788">
        <w:trPr>
          <w:cantSplit/>
          <w:tblHeader/>
        </w:trPr>
        <w:tc>
          <w:tcPr>
            <w:tcW w:w="0" w:type="auto"/>
            <w:tcBorders>
              <w:top w:val="single" w:sz="4" w:space="0" w:color="808080"/>
              <w:left w:val="single" w:sz="4" w:space="0" w:color="808080"/>
              <w:bottom w:val="single" w:sz="4" w:space="0" w:color="808080"/>
              <w:right w:val="single" w:sz="4" w:space="0" w:color="808080"/>
            </w:tcBorders>
            <w:shd w:val="clear" w:color="auto" w:fill="CCCCCC"/>
            <w:tcMar>
              <w:top w:w="170" w:type="dxa"/>
              <w:left w:w="425" w:type="dxa"/>
              <w:bottom w:w="170" w:type="dxa"/>
              <w:right w:w="0" w:type="dxa"/>
            </w:tcMar>
            <w:hideMark/>
          </w:tcPr>
          <w:p w:rsidR="000A0609" w:rsidRPr="002429C5" w:rsidRDefault="000A0609" w:rsidP="001A5F0A">
            <w:pPr>
              <w:pStyle w:val="Tabeltekst"/>
              <w:keepNext/>
              <w:spacing w:line="276" w:lineRule="auto"/>
              <w:rPr>
                <w:b/>
              </w:rPr>
            </w:pPr>
            <w:r w:rsidRPr="002429C5">
              <w:rPr>
                <w:b/>
              </w:rPr>
              <w:t>Minor accidents</w:t>
            </w:r>
          </w:p>
        </w:tc>
        <w:tc>
          <w:tcPr>
            <w:tcW w:w="0" w:type="auto"/>
            <w:tcBorders>
              <w:top w:val="single" w:sz="4" w:space="0" w:color="808080"/>
              <w:left w:val="single" w:sz="4" w:space="0" w:color="808080"/>
              <w:bottom w:val="single" w:sz="4" w:space="0" w:color="808080"/>
              <w:right w:val="single" w:sz="4" w:space="0" w:color="808080"/>
            </w:tcBorders>
            <w:shd w:val="clear" w:color="auto" w:fill="CCCCCC"/>
            <w:tcMar>
              <w:top w:w="170" w:type="dxa"/>
              <w:left w:w="425" w:type="dxa"/>
              <w:bottom w:w="170" w:type="dxa"/>
              <w:right w:w="0" w:type="dxa"/>
            </w:tcMar>
            <w:hideMark/>
          </w:tcPr>
          <w:p w:rsidR="000A0609" w:rsidRPr="002429C5" w:rsidRDefault="000A0609" w:rsidP="001A5F0A">
            <w:pPr>
              <w:pStyle w:val="Tabeltekst"/>
              <w:keepNext/>
              <w:spacing w:line="276" w:lineRule="auto"/>
              <w:jc w:val="center"/>
              <w:rPr>
                <w:b/>
              </w:rPr>
            </w:pPr>
            <w:r w:rsidRPr="002429C5">
              <w:rPr>
                <w:b/>
              </w:rPr>
              <w:t>Total in 2014</w:t>
            </w:r>
          </w:p>
        </w:tc>
        <w:tc>
          <w:tcPr>
            <w:tcW w:w="0" w:type="auto"/>
            <w:tcBorders>
              <w:top w:val="single" w:sz="4" w:space="0" w:color="808080"/>
              <w:left w:val="single" w:sz="4" w:space="0" w:color="808080"/>
              <w:bottom w:val="single" w:sz="4" w:space="0" w:color="808080"/>
              <w:right w:val="single" w:sz="4" w:space="0" w:color="808080"/>
            </w:tcBorders>
            <w:shd w:val="clear" w:color="auto" w:fill="CCCCCC"/>
            <w:hideMark/>
          </w:tcPr>
          <w:p w:rsidR="000A0609" w:rsidRPr="002429C5" w:rsidRDefault="000A0609" w:rsidP="001A5F0A">
            <w:pPr>
              <w:pStyle w:val="Tabeltekst"/>
              <w:keepNext/>
              <w:spacing w:line="276" w:lineRule="auto"/>
              <w:jc w:val="center"/>
              <w:rPr>
                <w:b/>
              </w:rPr>
            </w:pPr>
            <w:r w:rsidRPr="002429C5">
              <w:rPr>
                <w:b/>
              </w:rPr>
              <w:t>Total in 2014/million train-km</w:t>
            </w:r>
          </w:p>
        </w:tc>
        <w:tc>
          <w:tcPr>
            <w:tcW w:w="0" w:type="auto"/>
            <w:tcBorders>
              <w:top w:val="single" w:sz="4" w:space="0" w:color="808080"/>
              <w:left w:val="single" w:sz="4" w:space="0" w:color="808080"/>
              <w:bottom w:val="single" w:sz="4" w:space="0" w:color="808080"/>
              <w:right w:val="single" w:sz="4" w:space="0" w:color="808080"/>
            </w:tcBorders>
            <w:shd w:val="clear" w:color="auto" w:fill="CCCCCC"/>
            <w:tcMar>
              <w:top w:w="170" w:type="dxa"/>
              <w:left w:w="425" w:type="dxa"/>
              <w:bottom w:w="170" w:type="dxa"/>
              <w:right w:w="0" w:type="dxa"/>
            </w:tcMar>
            <w:hideMark/>
          </w:tcPr>
          <w:p w:rsidR="000A0609" w:rsidRPr="002429C5" w:rsidRDefault="000A0609" w:rsidP="001A5F0A">
            <w:pPr>
              <w:pStyle w:val="Tabeltekst"/>
              <w:keepNext/>
              <w:spacing w:line="276" w:lineRule="auto"/>
              <w:jc w:val="center"/>
              <w:rPr>
                <w:b/>
              </w:rPr>
            </w:pPr>
            <w:r w:rsidRPr="002429C5">
              <w:rPr>
                <w:b/>
              </w:rPr>
              <w:t>5-year average/million train-km</w:t>
            </w:r>
          </w:p>
        </w:tc>
      </w:tr>
      <w:tr w:rsidR="000A0609" w:rsidRPr="002429C5" w:rsidTr="00FA5788">
        <w:trPr>
          <w:cantSplit/>
        </w:trPr>
        <w:tc>
          <w:tcPr>
            <w:tcW w:w="0" w:type="auto"/>
            <w:tcBorders>
              <w:top w:val="single" w:sz="4" w:space="0" w:color="808080"/>
              <w:left w:val="single" w:sz="4" w:space="0" w:color="808080"/>
              <w:bottom w:val="single" w:sz="4" w:space="0" w:color="808080"/>
              <w:right w:val="single" w:sz="4" w:space="0" w:color="808080"/>
            </w:tcBorders>
            <w:hideMark/>
          </w:tcPr>
          <w:p w:rsidR="000A0609" w:rsidRPr="002429C5" w:rsidRDefault="000A0609" w:rsidP="00AE3ED4">
            <w:pPr>
              <w:pStyle w:val="Tabeltekst"/>
            </w:pPr>
            <w:r w:rsidRPr="002429C5">
              <w:t>Collision of trains</w:t>
            </w:r>
          </w:p>
        </w:tc>
        <w:tc>
          <w:tcPr>
            <w:tcW w:w="0" w:type="auto"/>
            <w:tcBorders>
              <w:top w:val="single" w:sz="4" w:space="0" w:color="808080"/>
              <w:left w:val="single" w:sz="4" w:space="0" w:color="808080"/>
              <w:bottom w:val="single" w:sz="4" w:space="0" w:color="808080"/>
              <w:right w:val="single" w:sz="4" w:space="0" w:color="808080"/>
            </w:tcBorders>
            <w:shd w:val="clear" w:color="auto" w:fill="FFFFFF" w:themeFill="background1"/>
            <w:vAlign w:val="bottom"/>
            <w:hideMark/>
          </w:tcPr>
          <w:p w:rsidR="000A0609" w:rsidRPr="002429C5" w:rsidRDefault="000A0609" w:rsidP="00042526">
            <w:pPr>
              <w:pStyle w:val="DoNotTranslateInternal2"/>
            </w:pPr>
            <w:r w:rsidRPr="002429C5">
              <w:t>137</w:t>
            </w:r>
          </w:p>
        </w:tc>
        <w:tc>
          <w:tcPr>
            <w:tcW w:w="0" w:type="auto"/>
            <w:tcBorders>
              <w:top w:val="single" w:sz="4" w:space="0" w:color="808080"/>
              <w:left w:val="single" w:sz="4" w:space="0" w:color="808080"/>
              <w:bottom w:val="single" w:sz="4" w:space="0" w:color="808080"/>
              <w:right w:val="single" w:sz="4" w:space="0" w:color="808080"/>
            </w:tcBorders>
            <w:shd w:val="clear" w:color="auto" w:fill="FFFFFF" w:themeFill="background1"/>
            <w:vAlign w:val="bottom"/>
            <w:hideMark/>
          </w:tcPr>
          <w:p w:rsidR="000A0609" w:rsidRPr="002429C5" w:rsidRDefault="000A0609" w:rsidP="00AE3ED4">
            <w:pPr>
              <w:jc w:val="center"/>
              <w:rPr>
                <w:rFonts w:ascii="Arial" w:hAnsi="Arial" w:cs="Arial"/>
                <w:sz w:val="16"/>
                <w:szCs w:val="16"/>
              </w:rPr>
            </w:pPr>
            <w:r w:rsidRPr="002429C5">
              <w:rPr>
                <w:rFonts w:ascii="Arial" w:hAnsi="Arial"/>
                <w:sz w:val="16"/>
              </w:rPr>
              <w:t>1.62</w:t>
            </w:r>
          </w:p>
        </w:tc>
        <w:tc>
          <w:tcPr>
            <w:tcW w:w="0" w:type="auto"/>
            <w:tcBorders>
              <w:top w:val="single" w:sz="4" w:space="0" w:color="808080"/>
              <w:left w:val="single" w:sz="4" w:space="0" w:color="808080"/>
              <w:bottom w:val="single" w:sz="4" w:space="0" w:color="808080"/>
              <w:right w:val="single" w:sz="4" w:space="0" w:color="808080"/>
            </w:tcBorders>
            <w:shd w:val="clear" w:color="auto" w:fill="FFFFFF" w:themeFill="background1"/>
            <w:vAlign w:val="bottom"/>
            <w:hideMark/>
          </w:tcPr>
          <w:p w:rsidR="000A0609" w:rsidRPr="002429C5" w:rsidRDefault="000A0609" w:rsidP="00AE3ED4">
            <w:pPr>
              <w:jc w:val="center"/>
              <w:rPr>
                <w:rFonts w:ascii="Arial" w:hAnsi="Arial" w:cs="Arial"/>
                <w:sz w:val="16"/>
                <w:szCs w:val="16"/>
              </w:rPr>
            </w:pPr>
            <w:r w:rsidRPr="002429C5">
              <w:rPr>
                <w:rFonts w:ascii="Arial" w:hAnsi="Arial"/>
                <w:sz w:val="16"/>
              </w:rPr>
              <w:t>1.57</w:t>
            </w:r>
          </w:p>
        </w:tc>
      </w:tr>
      <w:tr w:rsidR="000A0609" w:rsidRPr="002429C5" w:rsidTr="00FA5788">
        <w:trPr>
          <w:cantSplit/>
        </w:trPr>
        <w:tc>
          <w:tcPr>
            <w:tcW w:w="0" w:type="auto"/>
            <w:tcBorders>
              <w:top w:val="single" w:sz="4" w:space="0" w:color="808080"/>
              <w:left w:val="single" w:sz="4" w:space="0" w:color="808080"/>
              <w:bottom w:val="single" w:sz="4" w:space="0" w:color="808080"/>
              <w:right w:val="single" w:sz="4" w:space="0" w:color="808080"/>
            </w:tcBorders>
            <w:hideMark/>
          </w:tcPr>
          <w:p w:rsidR="000A0609" w:rsidRPr="002429C5" w:rsidRDefault="000A0609" w:rsidP="00AE3ED4">
            <w:pPr>
              <w:pStyle w:val="Tabeltekst"/>
            </w:pPr>
            <w:r w:rsidRPr="002429C5">
              <w:t>Derailment</w:t>
            </w:r>
          </w:p>
        </w:tc>
        <w:tc>
          <w:tcPr>
            <w:tcW w:w="0" w:type="auto"/>
            <w:tcBorders>
              <w:top w:val="single" w:sz="4" w:space="0" w:color="808080"/>
              <w:left w:val="single" w:sz="4" w:space="0" w:color="808080"/>
              <w:bottom w:val="single" w:sz="4" w:space="0" w:color="808080"/>
              <w:right w:val="single" w:sz="4" w:space="0" w:color="808080"/>
            </w:tcBorders>
            <w:shd w:val="clear" w:color="auto" w:fill="FFFFFF" w:themeFill="background1"/>
            <w:vAlign w:val="bottom"/>
            <w:hideMark/>
          </w:tcPr>
          <w:p w:rsidR="000A0609" w:rsidRPr="002429C5" w:rsidRDefault="000A0609" w:rsidP="00042526">
            <w:pPr>
              <w:pStyle w:val="DoNotTranslateInternal2"/>
            </w:pPr>
            <w:r w:rsidRPr="002429C5">
              <w:t>1</w:t>
            </w:r>
          </w:p>
        </w:tc>
        <w:tc>
          <w:tcPr>
            <w:tcW w:w="0" w:type="auto"/>
            <w:tcBorders>
              <w:top w:val="single" w:sz="4" w:space="0" w:color="808080"/>
              <w:left w:val="single" w:sz="4" w:space="0" w:color="808080"/>
              <w:bottom w:val="single" w:sz="4" w:space="0" w:color="808080"/>
              <w:right w:val="single" w:sz="4" w:space="0" w:color="808080"/>
            </w:tcBorders>
            <w:shd w:val="clear" w:color="auto" w:fill="FFFFFF" w:themeFill="background1"/>
            <w:vAlign w:val="bottom"/>
            <w:hideMark/>
          </w:tcPr>
          <w:p w:rsidR="000A0609" w:rsidRPr="002429C5" w:rsidRDefault="000A0609" w:rsidP="00AE3ED4">
            <w:pPr>
              <w:jc w:val="center"/>
              <w:rPr>
                <w:rFonts w:ascii="Arial" w:hAnsi="Arial" w:cs="Arial"/>
                <w:sz w:val="16"/>
                <w:szCs w:val="16"/>
              </w:rPr>
            </w:pPr>
            <w:r w:rsidRPr="002429C5">
              <w:rPr>
                <w:rFonts w:ascii="Arial" w:hAnsi="Arial"/>
                <w:sz w:val="16"/>
              </w:rPr>
              <w:t>0.01</w:t>
            </w:r>
          </w:p>
        </w:tc>
        <w:tc>
          <w:tcPr>
            <w:tcW w:w="0" w:type="auto"/>
            <w:tcBorders>
              <w:top w:val="single" w:sz="4" w:space="0" w:color="808080"/>
              <w:left w:val="single" w:sz="4" w:space="0" w:color="808080"/>
              <w:bottom w:val="single" w:sz="4" w:space="0" w:color="808080"/>
              <w:right w:val="single" w:sz="4" w:space="0" w:color="808080"/>
            </w:tcBorders>
            <w:shd w:val="clear" w:color="auto" w:fill="FFFFFF" w:themeFill="background1"/>
            <w:vAlign w:val="bottom"/>
            <w:hideMark/>
          </w:tcPr>
          <w:p w:rsidR="000A0609" w:rsidRPr="002429C5" w:rsidRDefault="000A0609" w:rsidP="00AE3ED4">
            <w:pPr>
              <w:jc w:val="center"/>
              <w:rPr>
                <w:rFonts w:ascii="Arial" w:hAnsi="Arial" w:cs="Arial"/>
                <w:sz w:val="16"/>
                <w:szCs w:val="16"/>
              </w:rPr>
            </w:pPr>
            <w:r w:rsidRPr="002429C5">
              <w:rPr>
                <w:rFonts w:ascii="Arial" w:hAnsi="Arial"/>
                <w:sz w:val="16"/>
              </w:rPr>
              <w:t>0.23</w:t>
            </w:r>
          </w:p>
        </w:tc>
      </w:tr>
      <w:tr w:rsidR="000A0609" w:rsidRPr="002429C5" w:rsidTr="00FA5788">
        <w:trPr>
          <w:cantSplit/>
        </w:trPr>
        <w:tc>
          <w:tcPr>
            <w:tcW w:w="0" w:type="auto"/>
            <w:tcBorders>
              <w:top w:val="single" w:sz="4" w:space="0" w:color="808080"/>
              <w:left w:val="single" w:sz="4" w:space="0" w:color="808080"/>
              <w:bottom w:val="single" w:sz="4" w:space="0" w:color="808080"/>
              <w:right w:val="single" w:sz="4" w:space="0" w:color="808080"/>
            </w:tcBorders>
            <w:hideMark/>
          </w:tcPr>
          <w:p w:rsidR="000A0609" w:rsidRPr="002429C5" w:rsidRDefault="000A0609" w:rsidP="00AE3ED4">
            <w:pPr>
              <w:pStyle w:val="Tabeltekst"/>
            </w:pPr>
            <w:r w:rsidRPr="002429C5">
              <w:t>Level-crossing accidents</w:t>
            </w:r>
          </w:p>
        </w:tc>
        <w:tc>
          <w:tcPr>
            <w:tcW w:w="0" w:type="auto"/>
            <w:tcBorders>
              <w:top w:val="single" w:sz="4" w:space="0" w:color="808080"/>
              <w:left w:val="single" w:sz="4" w:space="0" w:color="808080"/>
              <w:bottom w:val="single" w:sz="4" w:space="0" w:color="808080"/>
              <w:right w:val="single" w:sz="4" w:space="0" w:color="808080"/>
            </w:tcBorders>
            <w:shd w:val="clear" w:color="auto" w:fill="FFFFFF" w:themeFill="background1"/>
            <w:vAlign w:val="bottom"/>
            <w:hideMark/>
          </w:tcPr>
          <w:p w:rsidR="000A0609" w:rsidRPr="002429C5" w:rsidRDefault="000A0609" w:rsidP="00042526">
            <w:pPr>
              <w:pStyle w:val="DoNotTranslateInternal2"/>
            </w:pPr>
            <w:r w:rsidRPr="002429C5">
              <w:t>3</w:t>
            </w:r>
          </w:p>
        </w:tc>
        <w:tc>
          <w:tcPr>
            <w:tcW w:w="0" w:type="auto"/>
            <w:tcBorders>
              <w:top w:val="single" w:sz="4" w:space="0" w:color="808080"/>
              <w:left w:val="single" w:sz="4" w:space="0" w:color="808080"/>
              <w:bottom w:val="single" w:sz="4" w:space="0" w:color="808080"/>
              <w:right w:val="single" w:sz="4" w:space="0" w:color="808080"/>
            </w:tcBorders>
            <w:shd w:val="clear" w:color="auto" w:fill="FFFFFF" w:themeFill="background1"/>
            <w:vAlign w:val="bottom"/>
            <w:hideMark/>
          </w:tcPr>
          <w:p w:rsidR="000A0609" w:rsidRPr="002429C5" w:rsidRDefault="000A0609" w:rsidP="00AE3ED4">
            <w:pPr>
              <w:jc w:val="center"/>
              <w:rPr>
                <w:rFonts w:ascii="Arial" w:hAnsi="Arial" w:cs="Arial"/>
                <w:sz w:val="16"/>
                <w:szCs w:val="16"/>
              </w:rPr>
            </w:pPr>
            <w:r w:rsidRPr="002429C5">
              <w:rPr>
                <w:rFonts w:ascii="Arial" w:hAnsi="Arial"/>
                <w:sz w:val="16"/>
              </w:rPr>
              <w:t>0.04</w:t>
            </w:r>
          </w:p>
        </w:tc>
        <w:tc>
          <w:tcPr>
            <w:tcW w:w="0" w:type="auto"/>
            <w:tcBorders>
              <w:top w:val="single" w:sz="4" w:space="0" w:color="808080"/>
              <w:left w:val="single" w:sz="4" w:space="0" w:color="808080"/>
              <w:bottom w:val="single" w:sz="4" w:space="0" w:color="808080"/>
              <w:right w:val="single" w:sz="4" w:space="0" w:color="808080"/>
            </w:tcBorders>
            <w:shd w:val="clear" w:color="auto" w:fill="FFFFFF" w:themeFill="background1"/>
            <w:vAlign w:val="bottom"/>
            <w:hideMark/>
          </w:tcPr>
          <w:p w:rsidR="000A0609" w:rsidRPr="002429C5" w:rsidRDefault="000A0609" w:rsidP="00AE3ED4">
            <w:pPr>
              <w:jc w:val="center"/>
              <w:rPr>
                <w:rFonts w:ascii="Arial" w:hAnsi="Arial" w:cs="Arial"/>
                <w:sz w:val="16"/>
                <w:szCs w:val="16"/>
              </w:rPr>
            </w:pPr>
            <w:r w:rsidRPr="002429C5">
              <w:rPr>
                <w:rFonts w:ascii="Arial" w:hAnsi="Arial"/>
                <w:sz w:val="16"/>
              </w:rPr>
              <w:t>0.10</w:t>
            </w:r>
          </w:p>
        </w:tc>
      </w:tr>
      <w:tr w:rsidR="000A0609" w:rsidRPr="002429C5" w:rsidTr="00FA5788">
        <w:trPr>
          <w:cantSplit/>
        </w:trPr>
        <w:tc>
          <w:tcPr>
            <w:tcW w:w="0" w:type="auto"/>
            <w:tcBorders>
              <w:top w:val="single" w:sz="4" w:space="0" w:color="808080"/>
              <w:left w:val="single" w:sz="4" w:space="0" w:color="808080"/>
              <w:bottom w:val="single" w:sz="4" w:space="0" w:color="808080"/>
              <w:right w:val="single" w:sz="4" w:space="0" w:color="808080"/>
            </w:tcBorders>
            <w:hideMark/>
          </w:tcPr>
          <w:p w:rsidR="000A0609" w:rsidRPr="002429C5" w:rsidRDefault="000A0609" w:rsidP="00AE3ED4">
            <w:pPr>
              <w:pStyle w:val="Tabeltekst"/>
            </w:pPr>
            <w:r w:rsidRPr="002429C5">
              <w:t>Collisions involving persons</w:t>
            </w:r>
          </w:p>
        </w:tc>
        <w:tc>
          <w:tcPr>
            <w:tcW w:w="0" w:type="auto"/>
            <w:tcBorders>
              <w:top w:val="single" w:sz="4" w:space="0" w:color="808080"/>
              <w:left w:val="single" w:sz="4" w:space="0" w:color="808080"/>
              <w:bottom w:val="single" w:sz="4" w:space="0" w:color="808080"/>
              <w:right w:val="single" w:sz="4" w:space="0" w:color="808080"/>
            </w:tcBorders>
            <w:shd w:val="clear" w:color="auto" w:fill="FFFFFF" w:themeFill="background1"/>
            <w:vAlign w:val="bottom"/>
            <w:hideMark/>
          </w:tcPr>
          <w:p w:rsidR="000A0609" w:rsidRPr="002429C5" w:rsidRDefault="000A0609" w:rsidP="00042526">
            <w:pPr>
              <w:pStyle w:val="DoNotTranslateInternal2"/>
            </w:pPr>
            <w:r w:rsidRPr="002429C5">
              <w:t>43</w:t>
            </w:r>
          </w:p>
        </w:tc>
        <w:tc>
          <w:tcPr>
            <w:tcW w:w="0" w:type="auto"/>
            <w:tcBorders>
              <w:top w:val="single" w:sz="4" w:space="0" w:color="808080"/>
              <w:left w:val="single" w:sz="4" w:space="0" w:color="808080"/>
              <w:bottom w:val="single" w:sz="4" w:space="0" w:color="808080"/>
              <w:right w:val="single" w:sz="4" w:space="0" w:color="808080"/>
            </w:tcBorders>
            <w:shd w:val="clear" w:color="auto" w:fill="FFFFFF" w:themeFill="background1"/>
            <w:vAlign w:val="bottom"/>
            <w:hideMark/>
          </w:tcPr>
          <w:p w:rsidR="000A0609" w:rsidRPr="002429C5" w:rsidRDefault="000A0609" w:rsidP="00AE3ED4">
            <w:pPr>
              <w:jc w:val="center"/>
              <w:rPr>
                <w:rFonts w:ascii="Arial" w:hAnsi="Arial" w:cs="Arial"/>
                <w:sz w:val="16"/>
                <w:szCs w:val="16"/>
              </w:rPr>
            </w:pPr>
            <w:r w:rsidRPr="002429C5">
              <w:rPr>
                <w:rFonts w:ascii="Arial" w:hAnsi="Arial"/>
                <w:sz w:val="16"/>
              </w:rPr>
              <w:t>0.51</w:t>
            </w:r>
          </w:p>
        </w:tc>
        <w:tc>
          <w:tcPr>
            <w:tcW w:w="0" w:type="auto"/>
            <w:tcBorders>
              <w:top w:val="single" w:sz="4" w:space="0" w:color="808080"/>
              <w:left w:val="single" w:sz="4" w:space="0" w:color="808080"/>
              <w:bottom w:val="single" w:sz="4" w:space="0" w:color="808080"/>
              <w:right w:val="single" w:sz="4" w:space="0" w:color="808080"/>
            </w:tcBorders>
            <w:shd w:val="clear" w:color="auto" w:fill="FFFFFF" w:themeFill="background1"/>
            <w:vAlign w:val="bottom"/>
            <w:hideMark/>
          </w:tcPr>
          <w:p w:rsidR="000A0609" w:rsidRPr="002429C5" w:rsidRDefault="000A0609" w:rsidP="00AE3ED4">
            <w:pPr>
              <w:jc w:val="center"/>
              <w:rPr>
                <w:rFonts w:ascii="Arial" w:hAnsi="Arial" w:cs="Arial"/>
                <w:sz w:val="16"/>
                <w:szCs w:val="16"/>
              </w:rPr>
            </w:pPr>
            <w:r w:rsidRPr="002429C5">
              <w:rPr>
                <w:rFonts w:ascii="Arial" w:hAnsi="Arial"/>
                <w:sz w:val="16"/>
              </w:rPr>
              <w:t>0.63</w:t>
            </w:r>
          </w:p>
        </w:tc>
      </w:tr>
      <w:tr w:rsidR="000A0609" w:rsidRPr="002429C5" w:rsidTr="00FA5788">
        <w:trPr>
          <w:cantSplit/>
        </w:trPr>
        <w:tc>
          <w:tcPr>
            <w:tcW w:w="0" w:type="auto"/>
            <w:tcBorders>
              <w:top w:val="single" w:sz="4" w:space="0" w:color="808080"/>
              <w:left w:val="single" w:sz="4" w:space="0" w:color="808080"/>
              <w:bottom w:val="single" w:sz="4" w:space="0" w:color="808080"/>
              <w:right w:val="single" w:sz="4" w:space="0" w:color="808080"/>
            </w:tcBorders>
            <w:hideMark/>
          </w:tcPr>
          <w:p w:rsidR="000A0609" w:rsidRPr="002429C5" w:rsidRDefault="000A0609" w:rsidP="00AE3ED4">
            <w:pPr>
              <w:pStyle w:val="Tabeltekst"/>
            </w:pPr>
            <w:r w:rsidRPr="002429C5">
              <w:t>Fire</w:t>
            </w:r>
          </w:p>
        </w:tc>
        <w:tc>
          <w:tcPr>
            <w:tcW w:w="0" w:type="auto"/>
            <w:tcBorders>
              <w:top w:val="single" w:sz="4" w:space="0" w:color="808080"/>
              <w:left w:val="single" w:sz="4" w:space="0" w:color="808080"/>
              <w:bottom w:val="single" w:sz="4" w:space="0" w:color="808080"/>
              <w:right w:val="single" w:sz="4" w:space="0" w:color="808080"/>
            </w:tcBorders>
            <w:shd w:val="clear" w:color="auto" w:fill="FFFFFF" w:themeFill="background1"/>
            <w:vAlign w:val="bottom"/>
            <w:hideMark/>
          </w:tcPr>
          <w:p w:rsidR="000A0609" w:rsidRPr="002429C5" w:rsidRDefault="000A0609" w:rsidP="00042526">
            <w:pPr>
              <w:pStyle w:val="DoNotTranslateInternal2"/>
            </w:pPr>
            <w:r w:rsidRPr="002429C5">
              <w:t>63</w:t>
            </w:r>
          </w:p>
        </w:tc>
        <w:tc>
          <w:tcPr>
            <w:tcW w:w="0" w:type="auto"/>
            <w:tcBorders>
              <w:top w:val="single" w:sz="4" w:space="0" w:color="808080"/>
              <w:left w:val="single" w:sz="4" w:space="0" w:color="808080"/>
              <w:bottom w:val="single" w:sz="4" w:space="0" w:color="808080"/>
              <w:right w:val="single" w:sz="4" w:space="0" w:color="808080"/>
            </w:tcBorders>
            <w:shd w:val="clear" w:color="auto" w:fill="FFFFFF" w:themeFill="background1"/>
            <w:vAlign w:val="bottom"/>
            <w:hideMark/>
          </w:tcPr>
          <w:p w:rsidR="000A0609" w:rsidRPr="002429C5" w:rsidRDefault="000A0609" w:rsidP="00AE3ED4">
            <w:pPr>
              <w:jc w:val="center"/>
              <w:rPr>
                <w:rFonts w:ascii="Arial" w:hAnsi="Arial" w:cs="Arial"/>
                <w:sz w:val="16"/>
                <w:szCs w:val="16"/>
              </w:rPr>
            </w:pPr>
            <w:r w:rsidRPr="002429C5">
              <w:rPr>
                <w:rFonts w:ascii="Arial" w:hAnsi="Arial"/>
                <w:sz w:val="16"/>
              </w:rPr>
              <w:t>0.74</w:t>
            </w:r>
          </w:p>
        </w:tc>
        <w:tc>
          <w:tcPr>
            <w:tcW w:w="0" w:type="auto"/>
            <w:tcBorders>
              <w:top w:val="single" w:sz="4" w:space="0" w:color="808080"/>
              <w:left w:val="single" w:sz="4" w:space="0" w:color="808080"/>
              <w:bottom w:val="single" w:sz="4" w:space="0" w:color="808080"/>
              <w:right w:val="single" w:sz="4" w:space="0" w:color="808080"/>
            </w:tcBorders>
            <w:shd w:val="clear" w:color="auto" w:fill="FFFFFF" w:themeFill="background1"/>
            <w:vAlign w:val="bottom"/>
            <w:hideMark/>
          </w:tcPr>
          <w:p w:rsidR="000A0609" w:rsidRPr="002429C5" w:rsidRDefault="000A0609" w:rsidP="00AE3ED4">
            <w:pPr>
              <w:jc w:val="center"/>
              <w:rPr>
                <w:rFonts w:ascii="Arial" w:hAnsi="Arial" w:cs="Arial"/>
                <w:sz w:val="16"/>
                <w:szCs w:val="16"/>
              </w:rPr>
            </w:pPr>
            <w:r w:rsidRPr="002429C5">
              <w:rPr>
                <w:rFonts w:ascii="Arial" w:hAnsi="Arial"/>
                <w:sz w:val="16"/>
              </w:rPr>
              <w:t>0.95</w:t>
            </w:r>
          </w:p>
        </w:tc>
      </w:tr>
      <w:tr w:rsidR="000A0609" w:rsidRPr="002429C5" w:rsidTr="00FA5788">
        <w:trPr>
          <w:cantSplit/>
        </w:trPr>
        <w:tc>
          <w:tcPr>
            <w:tcW w:w="0" w:type="auto"/>
            <w:tcBorders>
              <w:top w:val="single" w:sz="4" w:space="0" w:color="808080"/>
              <w:left w:val="single" w:sz="4" w:space="0" w:color="808080"/>
              <w:bottom w:val="single" w:sz="4" w:space="0" w:color="808080"/>
              <w:right w:val="single" w:sz="4" w:space="0" w:color="808080"/>
            </w:tcBorders>
            <w:hideMark/>
          </w:tcPr>
          <w:p w:rsidR="000A0609" w:rsidRPr="002429C5" w:rsidRDefault="000A0609" w:rsidP="00AE3ED4">
            <w:pPr>
              <w:pStyle w:val="Tabeltekst"/>
            </w:pPr>
            <w:r w:rsidRPr="002429C5">
              <w:t>Other minor accidents</w:t>
            </w:r>
          </w:p>
        </w:tc>
        <w:tc>
          <w:tcPr>
            <w:tcW w:w="0" w:type="auto"/>
            <w:tcBorders>
              <w:top w:val="single" w:sz="4" w:space="0" w:color="808080"/>
              <w:left w:val="single" w:sz="4" w:space="0" w:color="808080"/>
              <w:bottom w:val="single" w:sz="4" w:space="0" w:color="808080"/>
              <w:right w:val="single" w:sz="4" w:space="0" w:color="808080"/>
            </w:tcBorders>
            <w:shd w:val="clear" w:color="auto" w:fill="FFFFFF" w:themeFill="background1"/>
            <w:vAlign w:val="bottom"/>
            <w:hideMark/>
          </w:tcPr>
          <w:p w:rsidR="000A0609" w:rsidRPr="002429C5" w:rsidRDefault="000A0609" w:rsidP="00042526">
            <w:pPr>
              <w:pStyle w:val="DoNotTranslateInternal2"/>
            </w:pPr>
            <w:r w:rsidRPr="002429C5">
              <w:t>78</w:t>
            </w:r>
          </w:p>
        </w:tc>
        <w:tc>
          <w:tcPr>
            <w:tcW w:w="0" w:type="auto"/>
            <w:tcBorders>
              <w:top w:val="single" w:sz="4" w:space="0" w:color="808080"/>
              <w:left w:val="single" w:sz="4" w:space="0" w:color="808080"/>
              <w:bottom w:val="single" w:sz="4" w:space="0" w:color="808080"/>
              <w:right w:val="single" w:sz="4" w:space="0" w:color="808080"/>
            </w:tcBorders>
            <w:shd w:val="clear" w:color="auto" w:fill="FFFFFF" w:themeFill="background1"/>
            <w:vAlign w:val="bottom"/>
            <w:hideMark/>
          </w:tcPr>
          <w:p w:rsidR="000A0609" w:rsidRPr="002429C5" w:rsidRDefault="000A0609" w:rsidP="00AE3ED4">
            <w:pPr>
              <w:jc w:val="center"/>
              <w:rPr>
                <w:rFonts w:ascii="Arial" w:hAnsi="Arial" w:cs="Arial"/>
                <w:sz w:val="16"/>
                <w:szCs w:val="16"/>
              </w:rPr>
            </w:pPr>
            <w:r w:rsidRPr="002429C5">
              <w:rPr>
                <w:rFonts w:ascii="Arial" w:hAnsi="Arial"/>
                <w:sz w:val="16"/>
              </w:rPr>
              <w:t>0.92</w:t>
            </w:r>
          </w:p>
        </w:tc>
        <w:tc>
          <w:tcPr>
            <w:tcW w:w="0" w:type="auto"/>
            <w:tcBorders>
              <w:top w:val="single" w:sz="4" w:space="0" w:color="808080"/>
              <w:left w:val="single" w:sz="4" w:space="0" w:color="808080"/>
              <w:bottom w:val="single" w:sz="4" w:space="0" w:color="808080"/>
              <w:right w:val="single" w:sz="4" w:space="0" w:color="808080"/>
            </w:tcBorders>
            <w:shd w:val="clear" w:color="auto" w:fill="FFFFFF" w:themeFill="background1"/>
            <w:vAlign w:val="bottom"/>
            <w:hideMark/>
          </w:tcPr>
          <w:p w:rsidR="000A0609" w:rsidRPr="002429C5" w:rsidRDefault="000A0609" w:rsidP="00AE3ED4">
            <w:pPr>
              <w:jc w:val="center"/>
              <w:rPr>
                <w:rFonts w:ascii="Arial" w:hAnsi="Arial" w:cs="Arial"/>
                <w:sz w:val="16"/>
                <w:szCs w:val="16"/>
              </w:rPr>
            </w:pPr>
            <w:r w:rsidRPr="002429C5">
              <w:rPr>
                <w:rFonts w:ascii="Arial" w:hAnsi="Arial"/>
                <w:sz w:val="16"/>
              </w:rPr>
              <w:t>0.88</w:t>
            </w:r>
          </w:p>
        </w:tc>
      </w:tr>
      <w:tr w:rsidR="000A0609" w:rsidRPr="002429C5" w:rsidTr="00FA5788">
        <w:trPr>
          <w:cantSplit/>
        </w:trPr>
        <w:tc>
          <w:tcPr>
            <w:tcW w:w="0" w:type="auto"/>
            <w:tcBorders>
              <w:top w:val="single" w:sz="4" w:space="0" w:color="808080"/>
              <w:left w:val="single" w:sz="4" w:space="0" w:color="808080"/>
              <w:bottom w:val="single" w:sz="4" w:space="0" w:color="808080"/>
              <w:right w:val="single" w:sz="4" w:space="0" w:color="808080"/>
            </w:tcBorders>
          </w:tcPr>
          <w:p w:rsidR="000A0609" w:rsidRPr="002429C5" w:rsidRDefault="000A0609" w:rsidP="00AE3ED4">
            <w:pPr>
              <w:pStyle w:val="Tabeltekst"/>
            </w:pPr>
            <w:r w:rsidRPr="002429C5">
              <w:t>Total minor accidents</w:t>
            </w:r>
          </w:p>
        </w:tc>
        <w:tc>
          <w:tcPr>
            <w:tcW w:w="0" w:type="auto"/>
            <w:tcBorders>
              <w:top w:val="single" w:sz="4" w:space="0" w:color="808080"/>
              <w:left w:val="single" w:sz="4" w:space="0" w:color="808080"/>
              <w:bottom w:val="single" w:sz="4" w:space="0" w:color="808080"/>
              <w:right w:val="single" w:sz="4" w:space="0" w:color="808080"/>
            </w:tcBorders>
            <w:shd w:val="clear" w:color="auto" w:fill="FFFFFF" w:themeFill="background1"/>
            <w:vAlign w:val="bottom"/>
          </w:tcPr>
          <w:p w:rsidR="000A0609" w:rsidRPr="002429C5" w:rsidRDefault="000A0609" w:rsidP="00042526">
            <w:pPr>
              <w:pStyle w:val="DoNotTranslateInternal2"/>
            </w:pPr>
            <w:r w:rsidRPr="002429C5">
              <w:t>325</w:t>
            </w:r>
          </w:p>
        </w:tc>
        <w:tc>
          <w:tcPr>
            <w:tcW w:w="0" w:type="auto"/>
            <w:tcBorders>
              <w:top w:val="single" w:sz="4" w:space="0" w:color="808080"/>
              <w:left w:val="single" w:sz="4" w:space="0" w:color="808080"/>
              <w:bottom w:val="single" w:sz="4" w:space="0" w:color="808080"/>
              <w:right w:val="single" w:sz="4" w:space="0" w:color="808080"/>
            </w:tcBorders>
            <w:shd w:val="clear" w:color="auto" w:fill="FFFFFF" w:themeFill="background1"/>
            <w:vAlign w:val="bottom"/>
          </w:tcPr>
          <w:p w:rsidR="000A0609" w:rsidRPr="002429C5" w:rsidRDefault="000A0609" w:rsidP="00AE3ED4">
            <w:pPr>
              <w:jc w:val="center"/>
              <w:rPr>
                <w:rFonts w:ascii="Arial" w:hAnsi="Arial" w:cs="Arial"/>
                <w:sz w:val="16"/>
                <w:szCs w:val="16"/>
              </w:rPr>
            </w:pPr>
            <w:r w:rsidRPr="002429C5">
              <w:rPr>
                <w:rFonts w:ascii="Arial" w:hAnsi="Arial"/>
                <w:sz w:val="16"/>
              </w:rPr>
              <w:t>3.84</w:t>
            </w:r>
          </w:p>
        </w:tc>
        <w:tc>
          <w:tcPr>
            <w:tcW w:w="0" w:type="auto"/>
            <w:tcBorders>
              <w:top w:val="single" w:sz="4" w:space="0" w:color="808080"/>
              <w:left w:val="single" w:sz="4" w:space="0" w:color="808080"/>
              <w:bottom w:val="single" w:sz="4" w:space="0" w:color="808080"/>
              <w:right w:val="single" w:sz="4" w:space="0" w:color="808080"/>
            </w:tcBorders>
            <w:shd w:val="clear" w:color="auto" w:fill="FFFFFF" w:themeFill="background1"/>
            <w:vAlign w:val="bottom"/>
          </w:tcPr>
          <w:p w:rsidR="000A0609" w:rsidRPr="002429C5" w:rsidRDefault="000A0609" w:rsidP="00AE3ED4">
            <w:pPr>
              <w:jc w:val="center"/>
              <w:rPr>
                <w:rFonts w:ascii="Arial" w:hAnsi="Arial" w:cs="Arial"/>
                <w:sz w:val="16"/>
                <w:szCs w:val="16"/>
              </w:rPr>
            </w:pPr>
            <w:r w:rsidRPr="002429C5">
              <w:rPr>
                <w:rFonts w:ascii="Arial" w:hAnsi="Arial"/>
                <w:sz w:val="16"/>
              </w:rPr>
              <w:t>4.36</w:t>
            </w:r>
          </w:p>
        </w:tc>
      </w:tr>
    </w:tbl>
    <w:p w:rsidR="000A0609" w:rsidRPr="002429C5" w:rsidRDefault="000A0609" w:rsidP="000A0609">
      <w:pPr>
        <w:pStyle w:val="Tabeltekst"/>
        <w:rPr>
          <w:i/>
        </w:rPr>
      </w:pPr>
      <w:r w:rsidRPr="002429C5">
        <w:rPr>
          <w:i/>
        </w:rPr>
        <w:t>Minor accidents are accidents not causing serious injuries or death and where any material damage is below DKK 1.2 million.</w:t>
      </w:r>
    </w:p>
    <w:p w:rsidR="000A0609" w:rsidRPr="002429C5" w:rsidRDefault="000A0609" w:rsidP="000A0609">
      <w:pPr>
        <w:rPr>
          <w:rStyle w:val="Overskrift3Tegn"/>
          <w:b w:val="0"/>
          <w:i/>
          <w:sz w:val="16"/>
          <w:szCs w:val="16"/>
          <w:shd w:val="clear" w:color="auto" w:fill="FFFFFF" w:themeFill="background1"/>
        </w:rPr>
      </w:pPr>
    </w:p>
    <w:p w:rsidR="000A0609" w:rsidRPr="002429C5" w:rsidRDefault="000A0609" w:rsidP="000A0609">
      <w:pPr>
        <w:spacing w:after="0"/>
        <w:rPr>
          <w:rStyle w:val="Overskrift3Tegn"/>
          <w:b w:val="0"/>
          <w:i/>
          <w:sz w:val="16"/>
          <w:szCs w:val="16"/>
          <w:shd w:val="clear" w:color="auto" w:fill="FFFFFF" w:themeFill="background1"/>
        </w:rPr>
      </w:pPr>
      <w:r w:rsidRPr="002429C5">
        <w:br w:type="page"/>
      </w:r>
    </w:p>
    <w:p w:rsidR="000A0609" w:rsidRPr="002429C5" w:rsidRDefault="000A0609" w:rsidP="00FA5788">
      <w:pPr>
        <w:keepNext/>
        <w:rPr>
          <w:i/>
          <w:sz w:val="16"/>
        </w:rPr>
      </w:pPr>
      <w:r w:rsidRPr="002429C5">
        <w:rPr>
          <w:i/>
          <w:sz w:val="16"/>
        </w:rPr>
        <w:lastRenderedPageBreak/>
        <w:t xml:space="preserve">Table 12. Accidents and incidents involving dangerous goods  </w:t>
      </w:r>
    </w:p>
    <w:tbl>
      <w:tblPr>
        <w:tblW w:w="0" w:type="auto"/>
        <w:tblInd w:w="42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top w:w="85" w:type="dxa"/>
          <w:left w:w="340" w:type="dxa"/>
          <w:bottom w:w="85" w:type="dxa"/>
          <w:right w:w="28" w:type="dxa"/>
        </w:tblCellMar>
        <w:tblLook w:val="01E0" w:firstRow="1" w:lastRow="1" w:firstColumn="1" w:lastColumn="1" w:noHBand="0" w:noVBand="0"/>
      </w:tblPr>
      <w:tblGrid>
        <w:gridCol w:w="2619"/>
        <w:gridCol w:w="1097"/>
        <w:gridCol w:w="1984"/>
        <w:gridCol w:w="2241"/>
      </w:tblGrid>
      <w:tr w:rsidR="000A0609" w:rsidRPr="002429C5" w:rsidTr="00FA5788">
        <w:trPr>
          <w:cantSplit/>
          <w:tblHeader/>
        </w:trPr>
        <w:tc>
          <w:tcPr>
            <w:tcW w:w="0" w:type="auto"/>
            <w:tcBorders>
              <w:top w:val="single" w:sz="4" w:space="0" w:color="808080"/>
              <w:left w:val="single" w:sz="4" w:space="0" w:color="808080"/>
              <w:bottom w:val="single" w:sz="4" w:space="0" w:color="808080"/>
              <w:right w:val="single" w:sz="4" w:space="0" w:color="808080"/>
            </w:tcBorders>
            <w:shd w:val="clear" w:color="auto" w:fill="CCCCCC"/>
            <w:tcMar>
              <w:top w:w="170" w:type="dxa"/>
              <w:left w:w="425" w:type="dxa"/>
              <w:bottom w:w="170" w:type="dxa"/>
              <w:right w:w="0" w:type="dxa"/>
            </w:tcMar>
            <w:hideMark/>
          </w:tcPr>
          <w:p w:rsidR="000A0609" w:rsidRPr="002429C5" w:rsidRDefault="000A0609" w:rsidP="00AE3ED4">
            <w:pPr>
              <w:pStyle w:val="Tabeltekst"/>
              <w:spacing w:line="276" w:lineRule="auto"/>
              <w:rPr>
                <w:b/>
              </w:rPr>
            </w:pPr>
            <w:r w:rsidRPr="002429C5">
              <w:rPr>
                <w:b/>
              </w:rPr>
              <w:t>Accidents and incidents involving dangerous goods</w:t>
            </w:r>
          </w:p>
        </w:tc>
        <w:tc>
          <w:tcPr>
            <w:tcW w:w="0" w:type="auto"/>
            <w:tcBorders>
              <w:top w:val="single" w:sz="4" w:space="0" w:color="808080"/>
              <w:left w:val="single" w:sz="4" w:space="0" w:color="808080"/>
              <w:bottom w:val="single" w:sz="4" w:space="0" w:color="808080"/>
              <w:right w:val="single" w:sz="4" w:space="0" w:color="808080"/>
            </w:tcBorders>
            <w:shd w:val="clear" w:color="auto" w:fill="CCCCCC"/>
            <w:tcMar>
              <w:top w:w="170" w:type="dxa"/>
              <w:left w:w="425" w:type="dxa"/>
              <w:bottom w:w="170" w:type="dxa"/>
              <w:right w:w="0" w:type="dxa"/>
            </w:tcMar>
            <w:hideMark/>
          </w:tcPr>
          <w:p w:rsidR="000A0609" w:rsidRPr="002429C5" w:rsidRDefault="000A0609" w:rsidP="00AE3ED4">
            <w:pPr>
              <w:pStyle w:val="Tabeltekst"/>
              <w:spacing w:line="276" w:lineRule="auto"/>
              <w:jc w:val="center"/>
              <w:rPr>
                <w:b/>
              </w:rPr>
            </w:pPr>
            <w:r w:rsidRPr="002429C5">
              <w:rPr>
                <w:b/>
              </w:rPr>
              <w:t>Total in 2013</w:t>
            </w:r>
          </w:p>
        </w:tc>
        <w:tc>
          <w:tcPr>
            <w:tcW w:w="0" w:type="auto"/>
            <w:tcBorders>
              <w:top w:val="single" w:sz="4" w:space="0" w:color="808080"/>
              <w:left w:val="single" w:sz="4" w:space="0" w:color="808080"/>
              <w:bottom w:val="single" w:sz="4" w:space="0" w:color="808080"/>
              <w:right w:val="single" w:sz="4" w:space="0" w:color="808080"/>
            </w:tcBorders>
            <w:shd w:val="clear" w:color="auto" w:fill="CCCCCC"/>
            <w:hideMark/>
          </w:tcPr>
          <w:p w:rsidR="000A0609" w:rsidRPr="002429C5" w:rsidRDefault="000A0609" w:rsidP="00AE3ED4">
            <w:pPr>
              <w:pStyle w:val="Tabeltekst"/>
              <w:spacing w:line="276" w:lineRule="auto"/>
              <w:jc w:val="center"/>
              <w:rPr>
                <w:b/>
              </w:rPr>
            </w:pPr>
            <w:r w:rsidRPr="002429C5">
              <w:rPr>
                <w:b/>
              </w:rPr>
              <w:t>Total in 2013/million train-km</w:t>
            </w:r>
          </w:p>
        </w:tc>
        <w:tc>
          <w:tcPr>
            <w:tcW w:w="0" w:type="auto"/>
            <w:tcBorders>
              <w:top w:val="single" w:sz="4" w:space="0" w:color="808080"/>
              <w:left w:val="single" w:sz="4" w:space="0" w:color="808080"/>
              <w:bottom w:val="single" w:sz="4" w:space="0" w:color="808080"/>
              <w:right w:val="single" w:sz="4" w:space="0" w:color="808080"/>
            </w:tcBorders>
            <w:shd w:val="clear" w:color="auto" w:fill="CCCCCC"/>
            <w:tcMar>
              <w:top w:w="170" w:type="dxa"/>
              <w:left w:w="425" w:type="dxa"/>
              <w:bottom w:w="170" w:type="dxa"/>
              <w:right w:w="0" w:type="dxa"/>
            </w:tcMar>
            <w:hideMark/>
          </w:tcPr>
          <w:p w:rsidR="000A0609" w:rsidRPr="002429C5" w:rsidRDefault="000A0609" w:rsidP="00AE3ED4">
            <w:pPr>
              <w:pStyle w:val="Tabeltekst"/>
              <w:spacing w:line="276" w:lineRule="auto"/>
              <w:jc w:val="center"/>
              <w:rPr>
                <w:b/>
              </w:rPr>
            </w:pPr>
            <w:r w:rsidRPr="002429C5">
              <w:rPr>
                <w:b/>
              </w:rPr>
              <w:t>5-year average/million train-km</w:t>
            </w:r>
          </w:p>
        </w:tc>
      </w:tr>
      <w:tr w:rsidR="000A0609" w:rsidRPr="002429C5" w:rsidTr="00FA5788">
        <w:trPr>
          <w:cantSplit/>
        </w:trPr>
        <w:tc>
          <w:tcPr>
            <w:tcW w:w="0" w:type="auto"/>
            <w:tcBorders>
              <w:top w:val="single" w:sz="4" w:space="0" w:color="808080"/>
              <w:left w:val="single" w:sz="4" w:space="0" w:color="808080"/>
              <w:bottom w:val="single" w:sz="4" w:space="0" w:color="808080"/>
              <w:right w:val="single" w:sz="4" w:space="0" w:color="808080"/>
            </w:tcBorders>
            <w:hideMark/>
          </w:tcPr>
          <w:p w:rsidR="000A0609" w:rsidRPr="002429C5" w:rsidRDefault="000A0609" w:rsidP="00AE3ED4">
            <w:pPr>
              <w:pStyle w:val="Tabeltekst"/>
            </w:pPr>
            <w:r w:rsidRPr="002429C5">
              <w:t>Accidents involving dangerous goods</w:t>
            </w:r>
          </w:p>
        </w:tc>
        <w:tc>
          <w:tcPr>
            <w:tcW w:w="0" w:type="auto"/>
            <w:tcBorders>
              <w:top w:val="single" w:sz="4" w:space="0" w:color="808080"/>
              <w:left w:val="single" w:sz="4" w:space="0" w:color="808080"/>
              <w:bottom w:val="single" w:sz="4" w:space="0" w:color="808080"/>
              <w:right w:val="single" w:sz="4" w:space="0" w:color="808080"/>
            </w:tcBorders>
            <w:vAlign w:val="bottom"/>
          </w:tcPr>
          <w:p w:rsidR="000A0609" w:rsidRPr="002429C5" w:rsidRDefault="000A0609" w:rsidP="00042526">
            <w:pPr>
              <w:pStyle w:val="DoNotTranslateInternal2"/>
            </w:pPr>
            <w:r w:rsidRPr="002429C5">
              <w:t>0</w:t>
            </w:r>
          </w:p>
        </w:tc>
        <w:tc>
          <w:tcPr>
            <w:tcW w:w="0" w:type="auto"/>
            <w:tcBorders>
              <w:top w:val="single" w:sz="4" w:space="0" w:color="808080"/>
              <w:left w:val="single" w:sz="4" w:space="0" w:color="808080"/>
              <w:bottom w:val="single" w:sz="4" w:space="0" w:color="808080"/>
              <w:right w:val="single" w:sz="4" w:space="0" w:color="808080"/>
            </w:tcBorders>
            <w:vAlign w:val="bottom"/>
          </w:tcPr>
          <w:p w:rsidR="000A0609" w:rsidRPr="002429C5" w:rsidRDefault="000A0609" w:rsidP="00AE3ED4">
            <w:pPr>
              <w:jc w:val="right"/>
              <w:rPr>
                <w:rFonts w:ascii="Arial" w:hAnsi="Arial" w:cs="Arial"/>
                <w:sz w:val="16"/>
                <w:szCs w:val="16"/>
              </w:rPr>
            </w:pPr>
            <w:r w:rsidRPr="002429C5">
              <w:rPr>
                <w:rFonts w:ascii="Arial" w:hAnsi="Arial"/>
                <w:sz w:val="16"/>
              </w:rPr>
              <w:t>0.00</w:t>
            </w:r>
          </w:p>
        </w:tc>
        <w:tc>
          <w:tcPr>
            <w:tcW w:w="0" w:type="auto"/>
            <w:tcBorders>
              <w:top w:val="single" w:sz="4" w:space="0" w:color="808080"/>
              <w:left w:val="single" w:sz="4" w:space="0" w:color="808080"/>
              <w:bottom w:val="single" w:sz="4" w:space="0" w:color="808080"/>
              <w:right w:val="single" w:sz="4" w:space="0" w:color="808080"/>
            </w:tcBorders>
            <w:vAlign w:val="bottom"/>
          </w:tcPr>
          <w:p w:rsidR="000A0609" w:rsidRPr="002429C5" w:rsidRDefault="000A0609" w:rsidP="00AE3ED4">
            <w:pPr>
              <w:jc w:val="right"/>
              <w:rPr>
                <w:rFonts w:ascii="Arial" w:hAnsi="Arial" w:cs="Arial"/>
                <w:sz w:val="16"/>
                <w:szCs w:val="16"/>
              </w:rPr>
            </w:pPr>
            <w:r w:rsidRPr="002429C5">
              <w:rPr>
                <w:rFonts w:ascii="Arial" w:hAnsi="Arial"/>
                <w:sz w:val="16"/>
              </w:rPr>
              <w:t>0.02</w:t>
            </w:r>
          </w:p>
        </w:tc>
      </w:tr>
      <w:tr w:rsidR="000A0609" w:rsidRPr="002429C5" w:rsidTr="00FA5788">
        <w:trPr>
          <w:cantSplit/>
        </w:trPr>
        <w:tc>
          <w:tcPr>
            <w:tcW w:w="0" w:type="auto"/>
            <w:tcBorders>
              <w:top w:val="single" w:sz="4" w:space="0" w:color="808080"/>
              <w:left w:val="single" w:sz="4" w:space="0" w:color="808080"/>
              <w:bottom w:val="single" w:sz="4" w:space="0" w:color="808080"/>
              <w:right w:val="single" w:sz="4" w:space="0" w:color="808080"/>
            </w:tcBorders>
            <w:hideMark/>
          </w:tcPr>
          <w:p w:rsidR="000A0609" w:rsidRPr="002429C5" w:rsidRDefault="000A0609" w:rsidP="00AE3ED4">
            <w:pPr>
              <w:pStyle w:val="Tabeltekst"/>
            </w:pPr>
            <w:r w:rsidRPr="002429C5">
              <w:t>Incidents involving dangerous goods</w:t>
            </w:r>
          </w:p>
        </w:tc>
        <w:tc>
          <w:tcPr>
            <w:tcW w:w="0" w:type="auto"/>
            <w:tcBorders>
              <w:top w:val="single" w:sz="4" w:space="0" w:color="808080"/>
              <w:left w:val="single" w:sz="4" w:space="0" w:color="808080"/>
              <w:bottom w:val="single" w:sz="4" w:space="0" w:color="808080"/>
              <w:right w:val="single" w:sz="4" w:space="0" w:color="808080"/>
            </w:tcBorders>
            <w:vAlign w:val="bottom"/>
          </w:tcPr>
          <w:p w:rsidR="000A0609" w:rsidRPr="002429C5" w:rsidRDefault="000A0609" w:rsidP="00042526">
            <w:pPr>
              <w:pStyle w:val="DoNotTranslateInternal2"/>
            </w:pPr>
            <w:r w:rsidRPr="002429C5">
              <w:t>0</w:t>
            </w:r>
          </w:p>
        </w:tc>
        <w:tc>
          <w:tcPr>
            <w:tcW w:w="0" w:type="auto"/>
            <w:tcBorders>
              <w:top w:val="single" w:sz="4" w:space="0" w:color="808080"/>
              <w:left w:val="single" w:sz="4" w:space="0" w:color="808080"/>
              <w:bottom w:val="single" w:sz="4" w:space="0" w:color="808080"/>
              <w:right w:val="single" w:sz="4" w:space="0" w:color="808080"/>
            </w:tcBorders>
            <w:vAlign w:val="bottom"/>
          </w:tcPr>
          <w:p w:rsidR="000A0609" w:rsidRPr="002429C5" w:rsidRDefault="000A0609" w:rsidP="00AE3ED4">
            <w:pPr>
              <w:jc w:val="right"/>
              <w:rPr>
                <w:rFonts w:ascii="Arial" w:hAnsi="Arial" w:cs="Arial"/>
                <w:sz w:val="16"/>
                <w:szCs w:val="16"/>
              </w:rPr>
            </w:pPr>
            <w:r w:rsidRPr="002429C5">
              <w:rPr>
                <w:rFonts w:ascii="Arial" w:hAnsi="Arial"/>
                <w:sz w:val="16"/>
              </w:rPr>
              <w:t>0.00</w:t>
            </w:r>
          </w:p>
        </w:tc>
        <w:tc>
          <w:tcPr>
            <w:tcW w:w="0" w:type="auto"/>
            <w:tcBorders>
              <w:top w:val="single" w:sz="4" w:space="0" w:color="808080"/>
              <w:left w:val="single" w:sz="4" w:space="0" w:color="808080"/>
              <w:bottom w:val="single" w:sz="4" w:space="0" w:color="808080"/>
              <w:right w:val="single" w:sz="4" w:space="0" w:color="808080"/>
            </w:tcBorders>
            <w:shd w:val="clear" w:color="auto" w:fill="auto"/>
            <w:vAlign w:val="bottom"/>
          </w:tcPr>
          <w:p w:rsidR="000A0609" w:rsidRPr="002429C5" w:rsidRDefault="000A0609" w:rsidP="00AE3ED4">
            <w:pPr>
              <w:jc w:val="right"/>
              <w:rPr>
                <w:rFonts w:ascii="Arial" w:hAnsi="Arial" w:cs="Arial"/>
                <w:sz w:val="16"/>
                <w:szCs w:val="16"/>
              </w:rPr>
            </w:pPr>
            <w:r w:rsidRPr="002429C5">
              <w:rPr>
                <w:rFonts w:ascii="Arial" w:hAnsi="Arial"/>
                <w:sz w:val="16"/>
              </w:rPr>
              <w:t xml:space="preserve">0.03  </w:t>
            </w:r>
          </w:p>
        </w:tc>
      </w:tr>
    </w:tbl>
    <w:p w:rsidR="000A0609" w:rsidRPr="002429C5" w:rsidRDefault="000A0609" w:rsidP="000A0609">
      <w:pPr>
        <w:pStyle w:val="Tabeltekst"/>
        <w:rPr>
          <w:i/>
        </w:rPr>
      </w:pPr>
      <w:r w:rsidRPr="002429C5">
        <w:rPr>
          <w:i/>
        </w:rPr>
        <w:t>Here is listed any incident or accident that must be reported in accordance with chapter 1.8.5 of the RID/ADR</w:t>
      </w:r>
    </w:p>
    <w:p w:rsidR="000A0609" w:rsidRPr="002429C5" w:rsidRDefault="000A0609" w:rsidP="000A0609">
      <w:pPr>
        <w:spacing w:after="0"/>
        <w:rPr>
          <w:rStyle w:val="Overskrift3Tegn"/>
          <w:b w:val="0"/>
          <w:i/>
          <w:sz w:val="16"/>
          <w:szCs w:val="16"/>
        </w:rPr>
      </w:pPr>
    </w:p>
    <w:p w:rsidR="000A0609" w:rsidRPr="002429C5" w:rsidRDefault="000A0609" w:rsidP="000A0609">
      <w:pPr>
        <w:spacing w:after="0"/>
        <w:rPr>
          <w:rStyle w:val="Overskrift3Tegn"/>
          <w:b w:val="0"/>
          <w:i/>
          <w:sz w:val="16"/>
          <w:szCs w:val="16"/>
        </w:rPr>
      </w:pPr>
    </w:p>
    <w:p w:rsidR="000A0609" w:rsidRPr="002429C5" w:rsidRDefault="000A0609" w:rsidP="004E33CD">
      <w:pPr>
        <w:keepNext/>
        <w:rPr>
          <w:i/>
          <w:sz w:val="16"/>
        </w:rPr>
      </w:pPr>
      <w:r w:rsidRPr="002429C5">
        <w:rPr>
          <w:i/>
          <w:sz w:val="16"/>
        </w:rPr>
        <w:t xml:space="preserve">Table 13. Indicators relating to precursors to accidents  </w:t>
      </w:r>
    </w:p>
    <w:tbl>
      <w:tblPr>
        <w:tblW w:w="0" w:type="auto"/>
        <w:tblInd w:w="42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top w:w="85" w:type="dxa"/>
          <w:left w:w="340" w:type="dxa"/>
          <w:bottom w:w="85" w:type="dxa"/>
          <w:right w:w="28" w:type="dxa"/>
        </w:tblCellMar>
        <w:tblLook w:val="01E0" w:firstRow="1" w:lastRow="1" w:firstColumn="1" w:lastColumn="1" w:noHBand="0" w:noVBand="0"/>
      </w:tblPr>
      <w:tblGrid>
        <w:gridCol w:w="2732"/>
        <w:gridCol w:w="1075"/>
        <w:gridCol w:w="1937"/>
        <w:gridCol w:w="2197"/>
      </w:tblGrid>
      <w:tr w:rsidR="000A0609" w:rsidRPr="002429C5" w:rsidTr="00FA5788">
        <w:trPr>
          <w:cantSplit/>
          <w:trHeight w:val="154"/>
          <w:tblHeader/>
        </w:trPr>
        <w:tc>
          <w:tcPr>
            <w:tcW w:w="0" w:type="auto"/>
            <w:tcBorders>
              <w:top w:val="single" w:sz="4" w:space="0" w:color="808080"/>
              <w:left w:val="single" w:sz="4" w:space="0" w:color="808080"/>
              <w:bottom w:val="single" w:sz="4" w:space="0" w:color="808080"/>
              <w:right w:val="single" w:sz="4" w:space="0" w:color="808080"/>
            </w:tcBorders>
            <w:shd w:val="clear" w:color="auto" w:fill="CCCCCC"/>
            <w:tcMar>
              <w:top w:w="170" w:type="dxa"/>
              <w:left w:w="425" w:type="dxa"/>
              <w:bottom w:w="170" w:type="dxa"/>
              <w:right w:w="0" w:type="dxa"/>
            </w:tcMar>
            <w:hideMark/>
          </w:tcPr>
          <w:p w:rsidR="000A0609" w:rsidRPr="002429C5" w:rsidRDefault="000A0609" w:rsidP="00FA5788">
            <w:pPr>
              <w:pStyle w:val="Tabeltekst"/>
              <w:keepNext/>
              <w:spacing w:line="276" w:lineRule="auto"/>
              <w:rPr>
                <w:b/>
              </w:rPr>
            </w:pPr>
            <w:r w:rsidRPr="002429C5">
              <w:rPr>
                <w:b/>
              </w:rPr>
              <w:t>Precursors to accidents</w:t>
            </w:r>
          </w:p>
        </w:tc>
        <w:tc>
          <w:tcPr>
            <w:tcW w:w="0" w:type="auto"/>
            <w:tcBorders>
              <w:top w:val="single" w:sz="4" w:space="0" w:color="808080"/>
              <w:left w:val="single" w:sz="4" w:space="0" w:color="808080"/>
              <w:bottom w:val="single" w:sz="4" w:space="0" w:color="808080"/>
              <w:right w:val="single" w:sz="4" w:space="0" w:color="808080"/>
            </w:tcBorders>
            <w:shd w:val="clear" w:color="auto" w:fill="CCCCCC"/>
            <w:tcMar>
              <w:top w:w="170" w:type="dxa"/>
              <w:left w:w="425" w:type="dxa"/>
              <w:bottom w:w="170" w:type="dxa"/>
              <w:right w:w="0" w:type="dxa"/>
            </w:tcMar>
            <w:hideMark/>
          </w:tcPr>
          <w:p w:rsidR="000A0609" w:rsidRPr="002429C5" w:rsidRDefault="000A0609" w:rsidP="00FA5788">
            <w:pPr>
              <w:pStyle w:val="Tabeltekst"/>
              <w:keepNext/>
              <w:spacing w:line="276" w:lineRule="auto"/>
              <w:jc w:val="center"/>
              <w:rPr>
                <w:b/>
              </w:rPr>
            </w:pPr>
            <w:r w:rsidRPr="002429C5">
              <w:rPr>
                <w:b/>
              </w:rPr>
              <w:t>Total in 2014</w:t>
            </w:r>
          </w:p>
        </w:tc>
        <w:tc>
          <w:tcPr>
            <w:tcW w:w="0" w:type="auto"/>
            <w:tcBorders>
              <w:top w:val="single" w:sz="4" w:space="0" w:color="808080"/>
              <w:left w:val="single" w:sz="4" w:space="0" w:color="808080"/>
              <w:bottom w:val="single" w:sz="4" w:space="0" w:color="808080"/>
              <w:right w:val="single" w:sz="4" w:space="0" w:color="808080"/>
            </w:tcBorders>
            <w:shd w:val="clear" w:color="auto" w:fill="CCCCCC"/>
            <w:hideMark/>
          </w:tcPr>
          <w:p w:rsidR="000A0609" w:rsidRPr="002429C5" w:rsidRDefault="000A0609" w:rsidP="00FA5788">
            <w:pPr>
              <w:pStyle w:val="Tabeltekst"/>
              <w:keepNext/>
              <w:spacing w:line="276" w:lineRule="auto"/>
              <w:jc w:val="center"/>
              <w:rPr>
                <w:b/>
              </w:rPr>
            </w:pPr>
            <w:r w:rsidRPr="002429C5">
              <w:rPr>
                <w:b/>
              </w:rPr>
              <w:t>Total in 2014/million train-km</w:t>
            </w:r>
          </w:p>
        </w:tc>
        <w:tc>
          <w:tcPr>
            <w:tcW w:w="0" w:type="auto"/>
            <w:tcBorders>
              <w:top w:val="single" w:sz="4" w:space="0" w:color="808080"/>
              <w:left w:val="single" w:sz="4" w:space="0" w:color="808080"/>
              <w:bottom w:val="single" w:sz="4" w:space="0" w:color="808080"/>
              <w:right w:val="single" w:sz="4" w:space="0" w:color="808080"/>
            </w:tcBorders>
            <w:shd w:val="clear" w:color="auto" w:fill="CCCCCC"/>
            <w:tcMar>
              <w:top w:w="170" w:type="dxa"/>
              <w:left w:w="425" w:type="dxa"/>
              <w:bottom w:w="170" w:type="dxa"/>
              <w:right w:w="0" w:type="dxa"/>
            </w:tcMar>
            <w:hideMark/>
          </w:tcPr>
          <w:p w:rsidR="000A0609" w:rsidRPr="002429C5" w:rsidRDefault="000A0609" w:rsidP="00FA5788">
            <w:pPr>
              <w:pStyle w:val="Tabeltekst"/>
              <w:keepNext/>
              <w:spacing w:line="276" w:lineRule="auto"/>
              <w:jc w:val="center"/>
              <w:rPr>
                <w:b/>
              </w:rPr>
            </w:pPr>
            <w:r w:rsidRPr="002429C5">
              <w:rPr>
                <w:b/>
              </w:rPr>
              <w:t>5-year average/million train-km</w:t>
            </w:r>
          </w:p>
        </w:tc>
      </w:tr>
      <w:tr w:rsidR="000A0609" w:rsidRPr="002429C5" w:rsidTr="00FA5788">
        <w:trPr>
          <w:cantSplit/>
          <w:trHeight w:val="257"/>
        </w:trPr>
        <w:tc>
          <w:tcPr>
            <w:tcW w:w="0" w:type="auto"/>
            <w:tcBorders>
              <w:top w:val="single" w:sz="4" w:space="0" w:color="808080"/>
              <w:left w:val="single" w:sz="4" w:space="0" w:color="808080"/>
              <w:bottom w:val="single" w:sz="4" w:space="0" w:color="808080"/>
              <w:right w:val="single" w:sz="4" w:space="0" w:color="808080"/>
            </w:tcBorders>
            <w:hideMark/>
          </w:tcPr>
          <w:p w:rsidR="000A0609" w:rsidRPr="002429C5" w:rsidRDefault="000A0609" w:rsidP="00AE3ED4">
            <w:pPr>
              <w:pStyle w:val="Tabeltekst"/>
              <w:spacing w:line="276" w:lineRule="auto"/>
            </w:pPr>
            <w:r w:rsidRPr="002429C5">
              <w:t>Broken rails</w:t>
            </w:r>
          </w:p>
        </w:tc>
        <w:tc>
          <w:tcPr>
            <w:tcW w:w="0" w:type="auto"/>
            <w:tcBorders>
              <w:top w:val="single" w:sz="4" w:space="0" w:color="808080"/>
              <w:left w:val="single" w:sz="4" w:space="0" w:color="808080"/>
              <w:bottom w:val="single" w:sz="4" w:space="0" w:color="808080"/>
              <w:right w:val="single" w:sz="4" w:space="0" w:color="808080"/>
            </w:tcBorders>
            <w:vAlign w:val="bottom"/>
            <w:hideMark/>
          </w:tcPr>
          <w:p w:rsidR="000A0609" w:rsidRPr="002429C5" w:rsidRDefault="000A0609" w:rsidP="00042526">
            <w:pPr>
              <w:pStyle w:val="DoNotTranslateInternal2"/>
              <w:jc w:val="right"/>
            </w:pPr>
            <w:r w:rsidRPr="002429C5">
              <w:t>35</w:t>
            </w:r>
          </w:p>
        </w:tc>
        <w:tc>
          <w:tcPr>
            <w:tcW w:w="0" w:type="auto"/>
            <w:tcBorders>
              <w:top w:val="single" w:sz="4" w:space="0" w:color="808080"/>
              <w:left w:val="single" w:sz="4" w:space="0" w:color="808080"/>
              <w:bottom w:val="single" w:sz="4" w:space="0" w:color="808080"/>
              <w:right w:val="single" w:sz="4" w:space="0" w:color="808080"/>
            </w:tcBorders>
            <w:shd w:val="clear" w:color="auto" w:fill="FFFFFF" w:themeFill="background1"/>
            <w:vAlign w:val="bottom"/>
            <w:hideMark/>
          </w:tcPr>
          <w:p w:rsidR="000A0609" w:rsidRPr="002429C5" w:rsidRDefault="000A0609" w:rsidP="00AE3ED4">
            <w:pPr>
              <w:jc w:val="right"/>
              <w:rPr>
                <w:rFonts w:ascii="Arial" w:hAnsi="Arial" w:cs="Arial"/>
                <w:sz w:val="16"/>
                <w:szCs w:val="16"/>
              </w:rPr>
            </w:pPr>
            <w:r w:rsidRPr="002429C5">
              <w:rPr>
                <w:rFonts w:ascii="Arial" w:hAnsi="Arial"/>
                <w:sz w:val="16"/>
              </w:rPr>
              <w:t>0.41</w:t>
            </w:r>
          </w:p>
        </w:tc>
        <w:tc>
          <w:tcPr>
            <w:tcW w:w="0" w:type="auto"/>
            <w:tcBorders>
              <w:top w:val="single" w:sz="4" w:space="0" w:color="808080"/>
              <w:left w:val="single" w:sz="4" w:space="0" w:color="808080"/>
              <w:bottom w:val="single" w:sz="4" w:space="0" w:color="808080"/>
              <w:right w:val="single" w:sz="4" w:space="0" w:color="808080"/>
            </w:tcBorders>
            <w:shd w:val="clear" w:color="auto" w:fill="FFFFFF" w:themeFill="background1"/>
            <w:vAlign w:val="bottom"/>
            <w:hideMark/>
          </w:tcPr>
          <w:p w:rsidR="000A0609" w:rsidRPr="002429C5" w:rsidRDefault="000A0609" w:rsidP="00AE3ED4">
            <w:pPr>
              <w:jc w:val="right"/>
              <w:rPr>
                <w:rFonts w:ascii="Arial" w:hAnsi="Arial" w:cs="Arial"/>
                <w:sz w:val="16"/>
                <w:szCs w:val="16"/>
              </w:rPr>
            </w:pPr>
            <w:r w:rsidRPr="002429C5">
              <w:rPr>
                <w:rFonts w:ascii="Arial" w:hAnsi="Arial"/>
                <w:sz w:val="16"/>
              </w:rPr>
              <w:t>0.49</w:t>
            </w:r>
          </w:p>
        </w:tc>
      </w:tr>
      <w:tr w:rsidR="000A0609" w:rsidRPr="002429C5" w:rsidTr="00FA5788">
        <w:trPr>
          <w:cantSplit/>
          <w:trHeight w:val="273"/>
        </w:trPr>
        <w:tc>
          <w:tcPr>
            <w:tcW w:w="0" w:type="auto"/>
            <w:tcBorders>
              <w:top w:val="single" w:sz="4" w:space="0" w:color="808080"/>
              <w:left w:val="single" w:sz="4" w:space="0" w:color="808080"/>
              <w:bottom w:val="single" w:sz="4" w:space="0" w:color="808080"/>
              <w:right w:val="single" w:sz="4" w:space="0" w:color="808080"/>
            </w:tcBorders>
            <w:hideMark/>
          </w:tcPr>
          <w:p w:rsidR="000A0609" w:rsidRPr="002429C5" w:rsidRDefault="000A0609" w:rsidP="00AE3ED4">
            <w:pPr>
              <w:pStyle w:val="Tabeltekst"/>
              <w:spacing w:line="276" w:lineRule="auto"/>
            </w:pPr>
            <w:r w:rsidRPr="002429C5">
              <w:t>Track buckles and other faults in the relative position of the track</w:t>
            </w:r>
          </w:p>
        </w:tc>
        <w:tc>
          <w:tcPr>
            <w:tcW w:w="0" w:type="auto"/>
            <w:tcBorders>
              <w:top w:val="single" w:sz="4" w:space="0" w:color="808080"/>
              <w:left w:val="single" w:sz="4" w:space="0" w:color="808080"/>
              <w:bottom w:val="single" w:sz="4" w:space="0" w:color="808080"/>
              <w:right w:val="single" w:sz="4" w:space="0" w:color="808080"/>
            </w:tcBorders>
            <w:vAlign w:val="bottom"/>
            <w:hideMark/>
          </w:tcPr>
          <w:p w:rsidR="000A0609" w:rsidRPr="002429C5" w:rsidRDefault="000A0609" w:rsidP="00042526">
            <w:pPr>
              <w:pStyle w:val="DoNotTranslateInternal2"/>
              <w:jc w:val="right"/>
            </w:pPr>
            <w:r w:rsidRPr="002429C5">
              <w:t>3</w:t>
            </w:r>
          </w:p>
        </w:tc>
        <w:tc>
          <w:tcPr>
            <w:tcW w:w="0" w:type="auto"/>
            <w:tcBorders>
              <w:top w:val="single" w:sz="4" w:space="0" w:color="808080"/>
              <w:left w:val="single" w:sz="4" w:space="0" w:color="808080"/>
              <w:bottom w:val="single" w:sz="4" w:space="0" w:color="808080"/>
              <w:right w:val="single" w:sz="4" w:space="0" w:color="808080"/>
            </w:tcBorders>
            <w:shd w:val="clear" w:color="auto" w:fill="FFFFFF" w:themeFill="background1"/>
            <w:vAlign w:val="bottom"/>
            <w:hideMark/>
          </w:tcPr>
          <w:p w:rsidR="000A0609" w:rsidRPr="002429C5" w:rsidRDefault="000A0609" w:rsidP="00AE3ED4">
            <w:pPr>
              <w:jc w:val="right"/>
              <w:rPr>
                <w:rFonts w:ascii="Arial" w:hAnsi="Arial" w:cs="Arial"/>
                <w:sz w:val="16"/>
                <w:szCs w:val="16"/>
              </w:rPr>
            </w:pPr>
            <w:r w:rsidRPr="002429C5">
              <w:rPr>
                <w:rFonts w:ascii="Arial" w:hAnsi="Arial"/>
                <w:sz w:val="16"/>
              </w:rPr>
              <w:t>0.04</w:t>
            </w:r>
          </w:p>
        </w:tc>
        <w:tc>
          <w:tcPr>
            <w:tcW w:w="0" w:type="auto"/>
            <w:tcBorders>
              <w:top w:val="single" w:sz="4" w:space="0" w:color="808080"/>
              <w:left w:val="single" w:sz="4" w:space="0" w:color="808080"/>
              <w:bottom w:val="single" w:sz="4" w:space="0" w:color="808080"/>
              <w:right w:val="single" w:sz="4" w:space="0" w:color="808080"/>
            </w:tcBorders>
            <w:shd w:val="clear" w:color="auto" w:fill="FFFFFF" w:themeFill="background1"/>
            <w:vAlign w:val="bottom"/>
            <w:hideMark/>
          </w:tcPr>
          <w:p w:rsidR="000A0609" w:rsidRPr="002429C5" w:rsidRDefault="000A0609" w:rsidP="00AE3ED4">
            <w:pPr>
              <w:jc w:val="right"/>
              <w:rPr>
                <w:rFonts w:ascii="Arial" w:hAnsi="Arial" w:cs="Arial"/>
                <w:sz w:val="16"/>
                <w:szCs w:val="16"/>
              </w:rPr>
            </w:pPr>
            <w:r w:rsidRPr="002429C5">
              <w:rPr>
                <w:rFonts w:ascii="Arial" w:hAnsi="Arial"/>
                <w:sz w:val="16"/>
              </w:rPr>
              <w:t>0.03</w:t>
            </w:r>
          </w:p>
        </w:tc>
      </w:tr>
      <w:tr w:rsidR="000A0609" w:rsidRPr="002429C5" w:rsidTr="00FA5788">
        <w:trPr>
          <w:cantSplit/>
          <w:trHeight w:val="257"/>
        </w:trPr>
        <w:tc>
          <w:tcPr>
            <w:tcW w:w="0" w:type="auto"/>
            <w:tcBorders>
              <w:top w:val="single" w:sz="4" w:space="0" w:color="808080"/>
              <w:left w:val="single" w:sz="4" w:space="0" w:color="808080"/>
              <w:bottom w:val="single" w:sz="4" w:space="0" w:color="808080"/>
              <w:right w:val="single" w:sz="4" w:space="0" w:color="808080"/>
            </w:tcBorders>
            <w:hideMark/>
          </w:tcPr>
          <w:p w:rsidR="000A0609" w:rsidRPr="002429C5" w:rsidRDefault="000A0609" w:rsidP="00AE3ED4">
            <w:pPr>
              <w:pStyle w:val="Tabeltekst"/>
              <w:spacing w:line="276" w:lineRule="auto"/>
            </w:pPr>
            <w:r w:rsidRPr="002429C5">
              <w:t>Signal failure</w:t>
            </w:r>
          </w:p>
        </w:tc>
        <w:tc>
          <w:tcPr>
            <w:tcW w:w="0" w:type="auto"/>
            <w:tcBorders>
              <w:top w:val="single" w:sz="4" w:space="0" w:color="808080"/>
              <w:left w:val="single" w:sz="4" w:space="0" w:color="808080"/>
              <w:bottom w:val="single" w:sz="4" w:space="0" w:color="808080"/>
              <w:right w:val="single" w:sz="4" w:space="0" w:color="808080"/>
            </w:tcBorders>
            <w:vAlign w:val="bottom"/>
            <w:hideMark/>
          </w:tcPr>
          <w:p w:rsidR="000A0609" w:rsidRPr="002429C5" w:rsidRDefault="000A0609" w:rsidP="00042526">
            <w:pPr>
              <w:pStyle w:val="DoNotTranslateInternal2"/>
              <w:jc w:val="right"/>
            </w:pPr>
            <w:r w:rsidRPr="002429C5">
              <w:t>48</w:t>
            </w:r>
          </w:p>
        </w:tc>
        <w:tc>
          <w:tcPr>
            <w:tcW w:w="0" w:type="auto"/>
            <w:tcBorders>
              <w:top w:val="single" w:sz="4" w:space="0" w:color="808080"/>
              <w:left w:val="single" w:sz="4" w:space="0" w:color="808080"/>
              <w:bottom w:val="single" w:sz="4" w:space="0" w:color="808080"/>
              <w:right w:val="single" w:sz="4" w:space="0" w:color="808080"/>
            </w:tcBorders>
            <w:shd w:val="clear" w:color="auto" w:fill="FFFFFF" w:themeFill="background1"/>
            <w:vAlign w:val="bottom"/>
            <w:hideMark/>
          </w:tcPr>
          <w:p w:rsidR="000A0609" w:rsidRPr="002429C5" w:rsidRDefault="000A0609" w:rsidP="00AE3ED4">
            <w:pPr>
              <w:jc w:val="right"/>
              <w:rPr>
                <w:rFonts w:ascii="Arial" w:hAnsi="Arial" w:cs="Arial"/>
                <w:sz w:val="16"/>
                <w:szCs w:val="16"/>
              </w:rPr>
            </w:pPr>
            <w:r w:rsidRPr="002429C5">
              <w:rPr>
                <w:rFonts w:ascii="Arial" w:hAnsi="Arial"/>
                <w:sz w:val="16"/>
              </w:rPr>
              <w:t>0.57</w:t>
            </w:r>
          </w:p>
        </w:tc>
        <w:tc>
          <w:tcPr>
            <w:tcW w:w="0" w:type="auto"/>
            <w:tcBorders>
              <w:top w:val="single" w:sz="4" w:space="0" w:color="808080"/>
              <w:left w:val="single" w:sz="4" w:space="0" w:color="808080"/>
              <w:bottom w:val="single" w:sz="4" w:space="0" w:color="808080"/>
              <w:right w:val="single" w:sz="4" w:space="0" w:color="808080"/>
            </w:tcBorders>
            <w:shd w:val="clear" w:color="auto" w:fill="FFFFFF" w:themeFill="background1"/>
            <w:vAlign w:val="bottom"/>
            <w:hideMark/>
          </w:tcPr>
          <w:p w:rsidR="000A0609" w:rsidRPr="002429C5" w:rsidRDefault="000A0609" w:rsidP="00AE3ED4">
            <w:pPr>
              <w:jc w:val="right"/>
              <w:rPr>
                <w:rFonts w:ascii="Arial" w:hAnsi="Arial" w:cs="Arial"/>
                <w:sz w:val="16"/>
                <w:szCs w:val="16"/>
              </w:rPr>
            </w:pPr>
            <w:r w:rsidRPr="002429C5">
              <w:rPr>
                <w:rFonts w:ascii="Arial" w:hAnsi="Arial"/>
                <w:sz w:val="16"/>
              </w:rPr>
              <w:t>0.59</w:t>
            </w:r>
          </w:p>
        </w:tc>
      </w:tr>
      <w:tr w:rsidR="000A0609" w:rsidRPr="002429C5" w:rsidTr="00FA5788">
        <w:trPr>
          <w:cantSplit/>
          <w:trHeight w:val="257"/>
        </w:trPr>
        <w:tc>
          <w:tcPr>
            <w:tcW w:w="0" w:type="auto"/>
            <w:tcBorders>
              <w:top w:val="single" w:sz="4" w:space="0" w:color="808080"/>
              <w:left w:val="single" w:sz="4" w:space="0" w:color="808080"/>
              <w:bottom w:val="single" w:sz="4" w:space="0" w:color="808080"/>
              <w:right w:val="single" w:sz="4" w:space="0" w:color="808080"/>
            </w:tcBorders>
            <w:shd w:val="clear" w:color="auto" w:fill="auto"/>
            <w:hideMark/>
          </w:tcPr>
          <w:p w:rsidR="000A0609" w:rsidRPr="002429C5" w:rsidRDefault="000A0609" w:rsidP="00AE3ED4">
            <w:pPr>
              <w:pStyle w:val="Tabeltekst"/>
              <w:spacing w:line="276" w:lineRule="auto"/>
            </w:pPr>
            <w:r w:rsidRPr="002429C5">
              <w:t>Signals passed at danger</w:t>
            </w:r>
          </w:p>
        </w:tc>
        <w:tc>
          <w:tcPr>
            <w:tcW w:w="0" w:type="auto"/>
            <w:tcBorders>
              <w:top w:val="single" w:sz="4" w:space="0" w:color="808080"/>
              <w:left w:val="single" w:sz="4" w:space="0" w:color="808080"/>
              <w:bottom w:val="single" w:sz="4" w:space="0" w:color="808080"/>
              <w:right w:val="single" w:sz="4" w:space="0" w:color="808080"/>
            </w:tcBorders>
            <w:shd w:val="clear" w:color="auto" w:fill="auto"/>
            <w:vAlign w:val="bottom"/>
            <w:hideMark/>
          </w:tcPr>
          <w:p w:rsidR="000A0609" w:rsidRPr="002429C5" w:rsidRDefault="000A0609" w:rsidP="00042526">
            <w:pPr>
              <w:pStyle w:val="DoNotTranslateInternal2"/>
              <w:jc w:val="right"/>
            </w:pPr>
            <w:r w:rsidRPr="002429C5">
              <w:t>142</w:t>
            </w:r>
          </w:p>
        </w:tc>
        <w:tc>
          <w:tcPr>
            <w:tcW w:w="0" w:type="auto"/>
            <w:tcBorders>
              <w:top w:val="single" w:sz="4" w:space="0" w:color="808080"/>
              <w:left w:val="single" w:sz="4" w:space="0" w:color="808080"/>
              <w:bottom w:val="single" w:sz="4" w:space="0" w:color="808080"/>
              <w:right w:val="single" w:sz="4" w:space="0" w:color="808080"/>
            </w:tcBorders>
            <w:shd w:val="clear" w:color="auto" w:fill="FFFFFF" w:themeFill="background1"/>
            <w:vAlign w:val="bottom"/>
            <w:hideMark/>
          </w:tcPr>
          <w:p w:rsidR="000A0609" w:rsidRPr="002429C5" w:rsidRDefault="000A0609" w:rsidP="00AE3ED4">
            <w:pPr>
              <w:jc w:val="right"/>
              <w:rPr>
                <w:rFonts w:ascii="Arial" w:hAnsi="Arial" w:cs="Arial"/>
                <w:sz w:val="16"/>
                <w:szCs w:val="16"/>
              </w:rPr>
            </w:pPr>
            <w:r w:rsidRPr="002429C5">
              <w:rPr>
                <w:rFonts w:ascii="Arial" w:hAnsi="Arial"/>
                <w:sz w:val="16"/>
              </w:rPr>
              <w:t>1.68</w:t>
            </w:r>
          </w:p>
        </w:tc>
        <w:tc>
          <w:tcPr>
            <w:tcW w:w="0" w:type="auto"/>
            <w:tcBorders>
              <w:top w:val="single" w:sz="4" w:space="0" w:color="808080"/>
              <w:left w:val="single" w:sz="4" w:space="0" w:color="808080"/>
              <w:bottom w:val="single" w:sz="4" w:space="0" w:color="808080"/>
              <w:right w:val="single" w:sz="4" w:space="0" w:color="808080"/>
            </w:tcBorders>
            <w:shd w:val="clear" w:color="auto" w:fill="FFFFFF" w:themeFill="background1"/>
            <w:vAlign w:val="bottom"/>
            <w:hideMark/>
          </w:tcPr>
          <w:p w:rsidR="000A0609" w:rsidRPr="002429C5" w:rsidRDefault="000A0609" w:rsidP="00AE3ED4">
            <w:pPr>
              <w:jc w:val="right"/>
              <w:rPr>
                <w:rFonts w:ascii="Arial" w:hAnsi="Arial" w:cs="Arial"/>
                <w:sz w:val="16"/>
                <w:szCs w:val="16"/>
              </w:rPr>
            </w:pPr>
            <w:r w:rsidRPr="002429C5">
              <w:rPr>
                <w:rFonts w:ascii="Arial" w:hAnsi="Arial"/>
                <w:sz w:val="16"/>
              </w:rPr>
              <w:t>2.32</w:t>
            </w:r>
          </w:p>
        </w:tc>
      </w:tr>
      <w:tr w:rsidR="000A0609" w:rsidRPr="002429C5" w:rsidTr="00FA5788">
        <w:trPr>
          <w:cantSplit/>
          <w:trHeight w:val="273"/>
        </w:trPr>
        <w:tc>
          <w:tcPr>
            <w:tcW w:w="0" w:type="auto"/>
            <w:tcBorders>
              <w:top w:val="single" w:sz="4" w:space="0" w:color="808080"/>
              <w:left w:val="single" w:sz="4" w:space="0" w:color="808080"/>
              <w:bottom w:val="single" w:sz="4" w:space="0" w:color="808080"/>
              <w:right w:val="single" w:sz="4" w:space="0" w:color="808080"/>
            </w:tcBorders>
            <w:hideMark/>
          </w:tcPr>
          <w:p w:rsidR="000A0609" w:rsidRPr="002429C5" w:rsidRDefault="000A0609" w:rsidP="00AE3ED4">
            <w:pPr>
              <w:pStyle w:val="Tabeltekst"/>
              <w:spacing w:line="276" w:lineRule="auto"/>
            </w:pPr>
            <w:r w:rsidRPr="002429C5">
              <w:t>Broken wheels and axles</w:t>
            </w:r>
          </w:p>
        </w:tc>
        <w:tc>
          <w:tcPr>
            <w:tcW w:w="0" w:type="auto"/>
            <w:tcBorders>
              <w:top w:val="single" w:sz="4" w:space="0" w:color="808080"/>
              <w:left w:val="single" w:sz="4" w:space="0" w:color="808080"/>
              <w:bottom w:val="single" w:sz="4" w:space="0" w:color="808080"/>
              <w:right w:val="single" w:sz="4" w:space="0" w:color="808080"/>
            </w:tcBorders>
            <w:vAlign w:val="bottom"/>
            <w:hideMark/>
          </w:tcPr>
          <w:p w:rsidR="000A0609" w:rsidRPr="002429C5" w:rsidRDefault="000A0609" w:rsidP="00042526">
            <w:pPr>
              <w:pStyle w:val="DoNotTranslateInternal2"/>
              <w:jc w:val="right"/>
            </w:pPr>
            <w:r w:rsidRPr="002429C5">
              <w:t>5</w:t>
            </w:r>
          </w:p>
        </w:tc>
        <w:tc>
          <w:tcPr>
            <w:tcW w:w="0" w:type="auto"/>
            <w:tcBorders>
              <w:top w:val="single" w:sz="4" w:space="0" w:color="808080"/>
              <w:left w:val="single" w:sz="4" w:space="0" w:color="808080"/>
              <w:bottom w:val="single" w:sz="4" w:space="0" w:color="808080"/>
              <w:right w:val="single" w:sz="4" w:space="0" w:color="808080"/>
            </w:tcBorders>
            <w:shd w:val="clear" w:color="auto" w:fill="FFFFFF" w:themeFill="background1"/>
            <w:vAlign w:val="bottom"/>
            <w:hideMark/>
          </w:tcPr>
          <w:p w:rsidR="000A0609" w:rsidRPr="002429C5" w:rsidRDefault="000A0609" w:rsidP="00AE3ED4">
            <w:pPr>
              <w:jc w:val="right"/>
              <w:rPr>
                <w:rFonts w:ascii="Arial" w:hAnsi="Arial" w:cs="Arial"/>
                <w:sz w:val="16"/>
                <w:szCs w:val="16"/>
              </w:rPr>
            </w:pPr>
            <w:r w:rsidRPr="002429C5">
              <w:rPr>
                <w:rFonts w:ascii="Arial" w:hAnsi="Arial"/>
                <w:sz w:val="16"/>
              </w:rPr>
              <w:t>0.06</w:t>
            </w:r>
          </w:p>
        </w:tc>
        <w:tc>
          <w:tcPr>
            <w:tcW w:w="0" w:type="auto"/>
            <w:tcBorders>
              <w:top w:val="single" w:sz="4" w:space="0" w:color="808080"/>
              <w:left w:val="single" w:sz="4" w:space="0" w:color="808080"/>
              <w:bottom w:val="single" w:sz="4" w:space="0" w:color="808080"/>
              <w:right w:val="single" w:sz="4" w:space="0" w:color="808080"/>
            </w:tcBorders>
            <w:shd w:val="clear" w:color="auto" w:fill="FFFFFF" w:themeFill="background1"/>
            <w:vAlign w:val="bottom"/>
            <w:hideMark/>
          </w:tcPr>
          <w:p w:rsidR="000A0609" w:rsidRPr="002429C5" w:rsidRDefault="000A0609" w:rsidP="00AE3ED4">
            <w:pPr>
              <w:jc w:val="right"/>
              <w:rPr>
                <w:rFonts w:ascii="Arial" w:hAnsi="Arial" w:cs="Arial"/>
                <w:sz w:val="16"/>
                <w:szCs w:val="16"/>
              </w:rPr>
            </w:pPr>
            <w:r w:rsidRPr="002429C5">
              <w:rPr>
                <w:rFonts w:ascii="Arial" w:hAnsi="Arial"/>
                <w:sz w:val="16"/>
              </w:rPr>
              <w:t>0.10</w:t>
            </w:r>
          </w:p>
        </w:tc>
      </w:tr>
      <w:tr w:rsidR="000A0609" w:rsidRPr="002429C5" w:rsidTr="00FA5788">
        <w:trPr>
          <w:cantSplit/>
          <w:trHeight w:val="273"/>
        </w:trPr>
        <w:tc>
          <w:tcPr>
            <w:tcW w:w="0" w:type="auto"/>
            <w:tcBorders>
              <w:top w:val="single" w:sz="4" w:space="0" w:color="808080"/>
              <w:left w:val="single" w:sz="4" w:space="0" w:color="808080"/>
              <w:bottom w:val="single" w:sz="4" w:space="0" w:color="808080"/>
              <w:right w:val="single" w:sz="4" w:space="0" w:color="808080"/>
            </w:tcBorders>
          </w:tcPr>
          <w:p w:rsidR="000A0609" w:rsidRPr="002429C5" w:rsidRDefault="000A0609" w:rsidP="00AE3ED4">
            <w:pPr>
              <w:pStyle w:val="Tabeltekst"/>
              <w:spacing w:line="276" w:lineRule="auto"/>
            </w:pPr>
            <w:r w:rsidRPr="002429C5">
              <w:t>Total precursors to accidents</w:t>
            </w:r>
          </w:p>
        </w:tc>
        <w:tc>
          <w:tcPr>
            <w:tcW w:w="0" w:type="auto"/>
            <w:tcBorders>
              <w:top w:val="single" w:sz="4" w:space="0" w:color="808080"/>
              <w:left w:val="single" w:sz="4" w:space="0" w:color="808080"/>
              <w:bottom w:val="single" w:sz="4" w:space="0" w:color="808080"/>
              <w:right w:val="single" w:sz="4" w:space="0" w:color="808080"/>
            </w:tcBorders>
            <w:shd w:val="clear" w:color="auto" w:fill="FFFFFF" w:themeFill="background1"/>
            <w:vAlign w:val="bottom"/>
          </w:tcPr>
          <w:p w:rsidR="000A0609" w:rsidRPr="002429C5" w:rsidRDefault="000A0609" w:rsidP="00042526">
            <w:pPr>
              <w:pStyle w:val="DoNotTranslateInternal2"/>
              <w:jc w:val="right"/>
            </w:pPr>
            <w:r w:rsidRPr="002429C5">
              <w:t>233</w:t>
            </w:r>
          </w:p>
        </w:tc>
        <w:tc>
          <w:tcPr>
            <w:tcW w:w="0" w:type="auto"/>
            <w:tcBorders>
              <w:top w:val="single" w:sz="4" w:space="0" w:color="808080"/>
              <w:left w:val="single" w:sz="4" w:space="0" w:color="808080"/>
              <w:bottom w:val="single" w:sz="4" w:space="0" w:color="808080"/>
              <w:right w:val="single" w:sz="4" w:space="0" w:color="808080"/>
            </w:tcBorders>
            <w:shd w:val="clear" w:color="auto" w:fill="FFFFFF" w:themeFill="background1"/>
            <w:vAlign w:val="bottom"/>
          </w:tcPr>
          <w:p w:rsidR="000A0609" w:rsidRPr="002429C5" w:rsidRDefault="000A0609" w:rsidP="00AE3ED4">
            <w:pPr>
              <w:jc w:val="right"/>
              <w:rPr>
                <w:rFonts w:ascii="Arial" w:hAnsi="Arial" w:cs="Arial"/>
                <w:sz w:val="16"/>
                <w:szCs w:val="16"/>
              </w:rPr>
            </w:pPr>
            <w:r w:rsidRPr="002429C5">
              <w:rPr>
                <w:rFonts w:ascii="Arial" w:hAnsi="Arial"/>
                <w:sz w:val="16"/>
              </w:rPr>
              <w:t>2.76</w:t>
            </w:r>
          </w:p>
        </w:tc>
        <w:tc>
          <w:tcPr>
            <w:tcW w:w="0" w:type="auto"/>
            <w:tcBorders>
              <w:top w:val="single" w:sz="4" w:space="0" w:color="808080"/>
              <w:left w:val="single" w:sz="4" w:space="0" w:color="808080"/>
              <w:bottom w:val="single" w:sz="4" w:space="0" w:color="808080"/>
              <w:right w:val="single" w:sz="4" w:space="0" w:color="808080"/>
            </w:tcBorders>
            <w:shd w:val="clear" w:color="auto" w:fill="FFFFFF" w:themeFill="background1"/>
            <w:vAlign w:val="bottom"/>
          </w:tcPr>
          <w:p w:rsidR="000A0609" w:rsidRPr="002429C5" w:rsidRDefault="000A0609" w:rsidP="00AE3ED4">
            <w:pPr>
              <w:jc w:val="right"/>
              <w:rPr>
                <w:rFonts w:ascii="Arial" w:hAnsi="Arial" w:cs="Arial"/>
                <w:sz w:val="16"/>
                <w:szCs w:val="16"/>
              </w:rPr>
            </w:pPr>
            <w:r w:rsidRPr="002429C5">
              <w:rPr>
                <w:rFonts w:ascii="Arial" w:hAnsi="Arial"/>
                <w:sz w:val="16"/>
              </w:rPr>
              <w:t>3.53</w:t>
            </w:r>
          </w:p>
        </w:tc>
      </w:tr>
    </w:tbl>
    <w:p w:rsidR="00B824CC" w:rsidRPr="002429C5" w:rsidRDefault="000A0609" w:rsidP="000A0609">
      <w:pPr>
        <w:pStyle w:val="Tabeltekst"/>
        <w:rPr>
          <w:i/>
        </w:rPr>
      </w:pPr>
      <w:r w:rsidRPr="002429C5">
        <w:rPr>
          <w:i/>
        </w:rPr>
        <w:t>Precursors to accidents have no harmful consequences.</w:t>
      </w:r>
    </w:p>
    <w:p w:rsidR="000A0609" w:rsidRPr="002429C5" w:rsidRDefault="000A0609" w:rsidP="00FA5788"/>
    <w:p w:rsidR="000A0609" w:rsidRPr="002429C5" w:rsidRDefault="000A0609" w:rsidP="000A0609">
      <w:pPr>
        <w:spacing w:after="0"/>
        <w:rPr>
          <w:rStyle w:val="Overskrift3Tegn"/>
          <w:b w:val="0"/>
          <w:i/>
          <w:sz w:val="16"/>
          <w:szCs w:val="16"/>
        </w:rPr>
      </w:pPr>
      <w:r w:rsidRPr="002429C5">
        <w:br w:type="page"/>
      </w:r>
    </w:p>
    <w:p w:rsidR="000A0609" w:rsidRPr="002429C5" w:rsidRDefault="000A0609" w:rsidP="00FA5788">
      <w:pPr>
        <w:keepNext/>
        <w:rPr>
          <w:i/>
          <w:sz w:val="16"/>
        </w:rPr>
      </w:pPr>
      <w:r w:rsidRPr="002429C5">
        <w:rPr>
          <w:i/>
          <w:sz w:val="16"/>
        </w:rPr>
        <w:lastRenderedPageBreak/>
        <w:t>Table 14. Indicators relating to safety irregularities</w:t>
      </w:r>
    </w:p>
    <w:tbl>
      <w:tblPr>
        <w:tblW w:w="0" w:type="auto"/>
        <w:tblInd w:w="42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top w:w="85" w:type="dxa"/>
          <w:left w:w="340" w:type="dxa"/>
          <w:bottom w:w="85" w:type="dxa"/>
          <w:right w:w="28" w:type="dxa"/>
        </w:tblCellMar>
        <w:tblLook w:val="01E0" w:firstRow="1" w:lastRow="1" w:firstColumn="1" w:lastColumn="1" w:noHBand="0" w:noVBand="0"/>
      </w:tblPr>
      <w:tblGrid>
        <w:gridCol w:w="2046"/>
        <w:gridCol w:w="1208"/>
        <w:gridCol w:w="2222"/>
        <w:gridCol w:w="2465"/>
      </w:tblGrid>
      <w:tr w:rsidR="000A0609" w:rsidRPr="002429C5" w:rsidTr="00FA5788">
        <w:trPr>
          <w:trHeight w:val="453"/>
          <w:tblHeader/>
        </w:trPr>
        <w:tc>
          <w:tcPr>
            <w:tcW w:w="0" w:type="auto"/>
            <w:tcBorders>
              <w:top w:val="single" w:sz="4" w:space="0" w:color="808080"/>
              <w:left w:val="single" w:sz="4" w:space="0" w:color="808080"/>
              <w:bottom w:val="single" w:sz="4" w:space="0" w:color="808080"/>
              <w:right w:val="single" w:sz="4" w:space="0" w:color="808080"/>
            </w:tcBorders>
            <w:shd w:val="clear" w:color="auto" w:fill="CCCCCC"/>
            <w:tcMar>
              <w:top w:w="170" w:type="dxa"/>
              <w:left w:w="425" w:type="dxa"/>
              <w:bottom w:w="170" w:type="dxa"/>
              <w:right w:w="0" w:type="dxa"/>
            </w:tcMar>
            <w:hideMark/>
          </w:tcPr>
          <w:p w:rsidR="000A0609" w:rsidRPr="002429C5" w:rsidRDefault="000A0609" w:rsidP="00AE3ED4">
            <w:pPr>
              <w:pStyle w:val="Tabeltekst"/>
              <w:spacing w:line="276" w:lineRule="auto"/>
              <w:rPr>
                <w:b/>
              </w:rPr>
            </w:pPr>
            <w:r w:rsidRPr="002429C5">
              <w:rPr>
                <w:b/>
              </w:rPr>
              <w:t>Safety irregularities</w:t>
            </w:r>
          </w:p>
        </w:tc>
        <w:tc>
          <w:tcPr>
            <w:tcW w:w="0" w:type="auto"/>
            <w:tcBorders>
              <w:top w:val="single" w:sz="4" w:space="0" w:color="808080"/>
              <w:left w:val="single" w:sz="4" w:space="0" w:color="808080"/>
              <w:bottom w:val="single" w:sz="4" w:space="0" w:color="808080"/>
              <w:right w:val="single" w:sz="4" w:space="0" w:color="808080"/>
            </w:tcBorders>
            <w:shd w:val="clear" w:color="auto" w:fill="CCCCCC"/>
            <w:tcMar>
              <w:top w:w="170" w:type="dxa"/>
              <w:left w:w="425" w:type="dxa"/>
              <w:bottom w:w="170" w:type="dxa"/>
              <w:right w:w="0" w:type="dxa"/>
            </w:tcMar>
            <w:hideMark/>
          </w:tcPr>
          <w:p w:rsidR="000A0609" w:rsidRPr="002429C5" w:rsidRDefault="000A0609" w:rsidP="00AE3ED4">
            <w:pPr>
              <w:pStyle w:val="Tabeltekst"/>
              <w:spacing w:line="276" w:lineRule="auto"/>
              <w:jc w:val="center"/>
              <w:rPr>
                <w:b/>
              </w:rPr>
            </w:pPr>
            <w:r w:rsidRPr="002429C5">
              <w:rPr>
                <w:b/>
              </w:rPr>
              <w:t>Total in 2013</w:t>
            </w:r>
          </w:p>
        </w:tc>
        <w:tc>
          <w:tcPr>
            <w:tcW w:w="0" w:type="auto"/>
            <w:tcBorders>
              <w:top w:val="single" w:sz="4" w:space="0" w:color="808080"/>
              <w:left w:val="single" w:sz="4" w:space="0" w:color="808080"/>
              <w:bottom w:val="single" w:sz="4" w:space="0" w:color="808080"/>
              <w:right w:val="single" w:sz="4" w:space="0" w:color="808080"/>
            </w:tcBorders>
            <w:shd w:val="clear" w:color="auto" w:fill="CCCCCC"/>
            <w:hideMark/>
          </w:tcPr>
          <w:p w:rsidR="000A0609" w:rsidRPr="002429C5" w:rsidRDefault="000A0609" w:rsidP="00AE3ED4">
            <w:pPr>
              <w:pStyle w:val="Tabeltekst"/>
              <w:spacing w:line="276" w:lineRule="auto"/>
              <w:jc w:val="center"/>
              <w:rPr>
                <w:b/>
              </w:rPr>
            </w:pPr>
            <w:r w:rsidRPr="002429C5">
              <w:rPr>
                <w:b/>
              </w:rPr>
              <w:t>Total in 2013/million train-km</w:t>
            </w:r>
          </w:p>
        </w:tc>
        <w:tc>
          <w:tcPr>
            <w:tcW w:w="0" w:type="auto"/>
            <w:tcBorders>
              <w:top w:val="single" w:sz="4" w:space="0" w:color="808080"/>
              <w:left w:val="single" w:sz="4" w:space="0" w:color="808080"/>
              <w:bottom w:val="single" w:sz="4" w:space="0" w:color="808080"/>
              <w:right w:val="single" w:sz="4" w:space="0" w:color="808080"/>
            </w:tcBorders>
            <w:shd w:val="clear" w:color="auto" w:fill="CCCCCC"/>
            <w:tcMar>
              <w:top w:w="170" w:type="dxa"/>
              <w:left w:w="425" w:type="dxa"/>
              <w:bottom w:w="170" w:type="dxa"/>
              <w:right w:w="0" w:type="dxa"/>
            </w:tcMar>
            <w:hideMark/>
          </w:tcPr>
          <w:p w:rsidR="000A0609" w:rsidRPr="002429C5" w:rsidRDefault="000A0609" w:rsidP="00AE3ED4">
            <w:pPr>
              <w:pStyle w:val="Tabeltekst"/>
              <w:spacing w:line="276" w:lineRule="auto"/>
              <w:jc w:val="center"/>
              <w:rPr>
                <w:b/>
              </w:rPr>
            </w:pPr>
            <w:r w:rsidRPr="002429C5">
              <w:rPr>
                <w:b/>
              </w:rPr>
              <w:t>5-year average/million train-km</w:t>
            </w:r>
          </w:p>
        </w:tc>
      </w:tr>
      <w:tr w:rsidR="000A0609" w:rsidRPr="002429C5" w:rsidTr="00FA5788">
        <w:trPr>
          <w:trHeight w:val="154"/>
        </w:trPr>
        <w:tc>
          <w:tcPr>
            <w:tcW w:w="0" w:type="auto"/>
            <w:tcBorders>
              <w:top w:val="single" w:sz="4" w:space="0" w:color="808080"/>
              <w:left w:val="single" w:sz="4" w:space="0" w:color="808080"/>
              <w:bottom w:val="single" w:sz="4" w:space="0" w:color="808080"/>
              <w:right w:val="single" w:sz="4" w:space="0" w:color="808080"/>
            </w:tcBorders>
            <w:hideMark/>
          </w:tcPr>
          <w:p w:rsidR="000A0609" w:rsidRPr="002429C5" w:rsidRDefault="000A0609" w:rsidP="00AE3ED4">
            <w:pPr>
              <w:pStyle w:val="Tabeltekst"/>
              <w:spacing w:line="276" w:lineRule="auto"/>
            </w:pPr>
            <w:r w:rsidRPr="002429C5">
              <w:t>Risk of collision with person</w:t>
            </w:r>
          </w:p>
        </w:tc>
        <w:tc>
          <w:tcPr>
            <w:tcW w:w="0" w:type="auto"/>
            <w:tcBorders>
              <w:top w:val="single" w:sz="4" w:space="0" w:color="808080"/>
              <w:left w:val="single" w:sz="4" w:space="0" w:color="808080"/>
              <w:bottom w:val="single" w:sz="4" w:space="0" w:color="808080"/>
              <w:right w:val="single" w:sz="4" w:space="0" w:color="808080"/>
            </w:tcBorders>
            <w:vAlign w:val="bottom"/>
            <w:hideMark/>
          </w:tcPr>
          <w:p w:rsidR="000A0609" w:rsidRPr="002429C5" w:rsidRDefault="000A0609" w:rsidP="00042526">
            <w:pPr>
              <w:pStyle w:val="DoNotTranslateInternal2"/>
              <w:jc w:val="right"/>
            </w:pPr>
            <w:r w:rsidRPr="002429C5">
              <w:t>642</w:t>
            </w:r>
          </w:p>
        </w:tc>
        <w:tc>
          <w:tcPr>
            <w:tcW w:w="0" w:type="auto"/>
            <w:tcBorders>
              <w:top w:val="single" w:sz="4" w:space="0" w:color="808080"/>
              <w:left w:val="single" w:sz="4" w:space="0" w:color="808080"/>
              <w:bottom w:val="single" w:sz="4" w:space="0" w:color="808080"/>
              <w:right w:val="single" w:sz="4" w:space="0" w:color="808080"/>
            </w:tcBorders>
            <w:shd w:val="clear" w:color="auto" w:fill="FFFFFF" w:themeFill="background1"/>
            <w:vAlign w:val="bottom"/>
            <w:hideMark/>
          </w:tcPr>
          <w:p w:rsidR="000A0609" w:rsidRPr="002429C5" w:rsidRDefault="000A0609" w:rsidP="00AE3ED4">
            <w:pPr>
              <w:jc w:val="right"/>
              <w:rPr>
                <w:rFonts w:ascii="Arial" w:hAnsi="Arial" w:cs="Arial"/>
                <w:sz w:val="16"/>
                <w:szCs w:val="16"/>
              </w:rPr>
            </w:pPr>
            <w:r w:rsidRPr="002429C5">
              <w:rPr>
                <w:rFonts w:ascii="Arial" w:hAnsi="Arial"/>
                <w:sz w:val="16"/>
              </w:rPr>
              <w:t>7.59</w:t>
            </w:r>
          </w:p>
        </w:tc>
        <w:tc>
          <w:tcPr>
            <w:tcW w:w="0" w:type="auto"/>
            <w:tcBorders>
              <w:top w:val="single" w:sz="4" w:space="0" w:color="808080"/>
              <w:left w:val="single" w:sz="4" w:space="0" w:color="808080"/>
              <w:bottom w:val="single" w:sz="4" w:space="0" w:color="808080"/>
              <w:right w:val="single" w:sz="4" w:space="0" w:color="808080"/>
            </w:tcBorders>
            <w:shd w:val="clear" w:color="auto" w:fill="FFFFFF" w:themeFill="background1"/>
            <w:vAlign w:val="bottom"/>
            <w:hideMark/>
          </w:tcPr>
          <w:p w:rsidR="000A0609" w:rsidRPr="002429C5" w:rsidRDefault="000A0609" w:rsidP="00AE3ED4">
            <w:pPr>
              <w:jc w:val="right"/>
              <w:rPr>
                <w:rFonts w:ascii="Arial" w:hAnsi="Arial" w:cs="Arial"/>
                <w:sz w:val="16"/>
                <w:szCs w:val="16"/>
              </w:rPr>
            </w:pPr>
            <w:r w:rsidRPr="002429C5">
              <w:rPr>
                <w:rFonts w:ascii="Arial" w:hAnsi="Arial"/>
                <w:sz w:val="16"/>
              </w:rPr>
              <w:t>5.59</w:t>
            </w:r>
          </w:p>
        </w:tc>
      </w:tr>
      <w:tr w:rsidR="000A0609" w:rsidRPr="002429C5" w:rsidTr="00FA5788">
        <w:trPr>
          <w:trHeight w:val="154"/>
        </w:trPr>
        <w:tc>
          <w:tcPr>
            <w:tcW w:w="0" w:type="auto"/>
            <w:tcBorders>
              <w:top w:val="single" w:sz="4" w:space="0" w:color="808080"/>
              <w:left w:val="single" w:sz="4" w:space="0" w:color="808080"/>
              <w:bottom w:val="single" w:sz="4" w:space="0" w:color="808080"/>
              <w:right w:val="single" w:sz="4" w:space="0" w:color="808080"/>
            </w:tcBorders>
            <w:hideMark/>
          </w:tcPr>
          <w:p w:rsidR="000A0609" w:rsidRPr="002429C5" w:rsidRDefault="000A0609" w:rsidP="00AE3ED4">
            <w:pPr>
              <w:pStyle w:val="Tabeltekst"/>
              <w:spacing w:line="276" w:lineRule="auto"/>
            </w:pPr>
            <w:r w:rsidRPr="002429C5">
              <w:t>Irregularity at level crossing</w:t>
            </w:r>
          </w:p>
        </w:tc>
        <w:tc>
          <w:tcPr>
            <w:tcW w:w="0" w:type="auto"/>
            <w:tcBorders>
              <w:top w:val="single" w:sz="4" w:space="0" w:color="808080"/>
              <w:left w:val="single" w:sz="4" w:space="0" w:color="808080"/>
              <w:bottom w:val="single" w:sz="4" w:space="0" w:color="808080"/>
              <w:right w:val="single" w:sz="4" w:space="0" w:color="808080"/>
            </w:tcBorders>
            <w:vAlign w:val="bottom"/>
            <w:hideMark/>
          </w:tcPr>
          <w:p w:rsidR="000A0609" w:rsidRPr="002429C5" w:rsidRDefault="000A0609" w:rsidP="00042526">
            <w:pPr>
              <w:pStyle w:val="DoNotTranslateInternal2"/>
              <w:jc w:val="right"/>
            </w:pPr>
            <w:r w:rsidRPr="002429C5">
              <w:t>191</w:t>
            </w:r>
          </w:p>
        </w:tc>
        <w:tc>
          <w:tcPr>
            <w:tcW w:w="0" w:type="auto"/>
            <w:tcBorders>
              <w:top w:val="single" w:sz="4" w:space="0" w:color="808080"/>
              <w:left w:val="single" w:sz="4" w:space="0" w:color="808080"/>
              <w:bottom w:val="single" w:sz="4" w:space="0" w:color="808080"/>
              <w:right w:val="single" w:sz="4" w:space="0" w:color="808080"/>
            </w:tcBorders>
            <w:shd w:val="clear" w:color="auto" w:fill="FFFFFF" w:themeFill="background1"/>
            <w:vAlign w:val="bottom"/>
            <w:hideMark/>
          </w:tcPr>
          <w:p w:rsidR="000A0609" w:rsidRPr="002429C5" w:rsidRDefault="000A0609" w:rsidP="00AE3ED4">
            <w:pPr>
              <w:jc w:val="right"/>
              <w:rPr>
                <w:rFonts w:ascii="Arial" w:hAnsi="Arial" w:cs="Arial"/>
                <w:sz w:val="16"/>
                <w:szCs w:val="16"/>
              </w:rPr>
            </w:pPr>
            <w:r w:rsidRPr="002429C5">
              <w:rPr>
                <w:rFonts w:ascii="Arial" w:hAnsi="Arial"/>
                <w:sz w:val="16"/>
              </w:rPr>
              <w:t>0.46</w:t>
            </w:r>
          </w:p>
        </w:tc>
        <w:tc>
          <w:tcPr>
            <w:tcW w:w="0" w:type="auto"/>
            <w:tcBorders>
              <w:top w:val="single" w:sz="4" w:space="0" w:color="808080"/>
              <w:left w:val="single" w:sz="4" w:space="0" w:color="808080"/>
              <w:bottom w:val="single" w:sz="4" w:space="0" w:color="808080"/>
              <w:right w:val="single" w:sz="4" w:space="0" w:color="808080"/>
            </w:tcBorders>
            <w:shd w:val="clear" w:color="auto" w:fill="FFFFFF" w:themeFill="background1"/>
            <w:vAlign w:val="bottom"/>
            <w:hideMark/>
          </w:tcPr>
          <w:p w:rsidR="000A0609" w:rsidRPr="002429C5" w:rsidRDefault="000A0609" w:rsidP="00AE3ED4">
            <w:pPr>
              <w:jc w:val="right"/>
              <w:rPr>
                <w:rFonts w:ascii="Arial" w:hAnsi="Arial" w:cs="Arial"/>
                <w:sz w:val="16"/>
                <w:szCs w:val="16"/>
              </w:rPr>
            </w:pPr>
            <w:r w:rsidRPr="002429C5">
              <w:rPr>
                <w:rFonts w:ascii="Arial" w:hAnsi="Arial"/>
                <w:sz w:val="16"/>
              </w:rPr>
              <w:t>0.54</w:t>
            </w:r>
          </w:p>
        </w:tc>
      </w:tr>
      <w:tr w:rsidR="000A0609" w:rsidRPr="002429C5" w:rsidTr="00FA5788">
        <w:trPr>
          <w:trHeight w:val="154"/>
        </w:trPr>
        <w:tc>
          <w:tcPr>
            <w:tcW w:w="0" w:type="auto"/>
            <w:tcBorders>
              <w:top w:val="single" w:sz="4" w:space="0" w:color="808080"/>
              <w:left w:val="single" w:sz="4" w:space="0" w:color="808080"/>
              <w:bottom w:val="single" w:sz="4" w:space="0" w:color="808080"/>
              <w:right w:val="single" w:sz="4" w:space="0" w:color="808080"/>
            </w:tcBorders>
            <w:hideMark/>
          </w:tcPr>
          <w:p w:rsidR="000A0609" w:rsidRPr="002429C5" w:rsidRDefault="000A0609" w:rsidP="00AE3ED4">
            <w:pPr>
              <w:pStyle w:val="Tabeltekst"/>
              <w:spacing w:line="276" w:lineRule="auto"/>
            </w:pPr>
            <w:r w:rsidRPr="002429C5">
              <w:t>Deformation of tracks</w:t>
            </w:r>
          </w:p>
        </w:tc>
        <w:tc>
          <w:tcPr>
            <w:tcW w:w="0" w:type="auto"/>
            <w:tcBorders>
              <w:top w:val="single" w:sz="4" w:space="0" w:color="808080"/>
              <w:left w:val="single" w:sz="4" w:space="0" w:color="808080"/>
              <w:bottom w:val="single" w:sz="4" w:space="0" w:color="808080"/>
              <w:right w:val="single" w:sz="4" w:space="0" w:color="808080"/>
            </w:tcBorders>
            <w:vAlign w:val="bottom"/>
            <w:hideMark/>
          </w:tcPr>
          <w:p w:rsidR="000A0609" w:rsidRPr="002429C5" w:rsidRDefault="000A0609" w:rsidP="00042526">
            <w:pPr>
              <w:pStyle w:val="DoNotTranslateInternal2"/>
              <w:jc w:val="right"/>
            </w:pPr>
            <w:r w:rsidRPr="002429C5">
              <w:t>13</w:t>
            </w:r>
          </w:p>
        </w:tc>
        <w:tc>
          <w:tcPr>
            <w:tcW w:w="0" w:type="auto"/>
            <w:tcBorders>
              <w:top w:val="single" w:sz="4" w:space="0" w:color="808080"/>
              <w:left w:val="single" w:sz="4" w:space="0" w:color="808080"/>
              <w:bottom w:val="single" w:sz="4" w:space="0" w:color="808080"/>
              <w:right w:val="single" w:sz="4" w:space="0" w:color="808080"/>
            </w:tcBorders>
            <w:shd w:val="clear" w:color="auto" w:fill="FFFFFF" w:themeFill="background1"/>
            <w:vAlign w:val="bottom"/>
            <w:hideMark/>
          </w:tcPr>
          <w:p w:rsidR="000A0609" w:rsidRPr="002429C5" w:rsidRDefault="000A0609" w:rsidP="00AE3ED4">
            <w:pPr>
              <w:jc w:val="right"/>
              <w:rPr>
                <w:rFonts w:ascii="Arial" w:hAnsi="Arial" w:cs="Arial"/>
                <w:sz w:val="16"/>
                <w:szCs w:val="16"/>
              </w:rPr>
            </w:pPr>
            <w:r w:rsidRPr="002429C5">
              <w:rPr>
                <w:rFonts w:ascii="Arial" w:hAnsi="Arial"/>
                <w:sz w:val="16"/>
              </w:rPr>
              <w:t>2.26</w:t>
            </w:r>
          </w:p>
        </w:tc>
        <w:tc>
          <w:tcPr>
            <w:tcW w:w="0" w:type="auto"/>
            <w:tcBorders>
              <w:top w:val="single" w:sz="4" w:space="0" w:color="808080"/>
              <w:left w:val="single" w:sz="4" w:space="0" w:color="808080"/>
              <w:bottom w:val="single" w:sz="4" w:space="0" w:color="808080"/>
              <w:right w:val="single" w:sz="4" w:space="0" w:color="808080"/>
            </w:tcBorders>
            <w:shd w:val="clear" w:color="auto" w:fill="FFFFFF" w:themeFill="background1"/>
            <w:vAlign w:val="bottom"/>
            <w:hideMark/>
          </w:tcPr>
          <w:p w:rsidR="000A0609" w:rsidRPr="002429C5" w:rsidRDefault="000A0609" w:rsidP="00AE3ED4">
            <w:pPr>
              <w:jc w:val="right"/>
              <w:rPr>
                <w:rFonts w:ascii="Arial" w:hAnsi="Arial" w:cs="Arial"/>
                <w:sz w:val="16"/>
                <w:szCs w:val="16"/>
              </w:rPr>
            </w:pPr>
            <w:r w:rsidRPr="002429C5">
              <w:rPr>
                <w:rFonts w:ascii="Arial" w:hAnsi="Arial"/>
                <w:sz w:val="16"/>
              </w:rPr>
              <w:t>1.45</w:t>
            </w:r>
          </w:p>
        </w:tc>
      </w:tr>
      <w:tr w:rsidR="000A0609" w:rsidRPr="002429C5" w:rsidTr="00FA5788">
        <w:trPr>
          <w:trHeight w:val="154"/>
        </w:trPr>
        <w:tc>
          <w:tcPr>
            <w:tcW w:w="0" w:type="auto"/>
            <w:tcBorders>
              <w:top w:val="single" w:sz="4" w:space="0" w:color="808080"/>
              <w:left w:val="single" w:sz="4" w:space="0" w:color="808080"/>
              <w:bottom w:val="single" w:sz="4" w:space="0" w:color="808080"/>
              <w:right w:val="single" w:sz="4" w:space="0" w:color="808080"/>
            </w:tcBorders>
            <w:hideMark/>
          </w:tcPr>
          <w:p w:rsidR="000A0609" w:rsidRPr="002429C5" w:rsidRDefault="000A0609" w:rsidP="00AE3ED4">
            <w:pPr>
              <w:pStyle w:val="Tabeltekst"/>
              <w:spacing w:line="276" w:lineRule="auto"/>
            </w:pPr>
            <w:r w:rsidRPr="002429C5">
              <w:t>Non-technical signalling error</w:t>
            </w:r>
          </w:p>
        </w:tc>
        <w:tc>
          <w:tcPr>
            <w:tcW w:w="0" w:type="auto"/>
            <w:tcBorders>
              <w:top w:val="single" w:sz="4" w:space="0" w:color="808080"/>
              <w:left w:val="single" w:sz="4" w:space="0" w:color="808080"/>
              <w:bottom w:val="single" w:sz="4" w:space="0" w:color="808080"/>
              <w:right w:val="single" w:sz="4" w:space="0" w:color="808080"/>
            </w:tcBorders>
            <w:vAlign w:val="bottom"/>
            <w:hideMark/>
          </w:tcPr>
          <w:p w:rsidR="000A0609" w:rsidRPr="002429C5" w:rsidRDefault="000A0609" w:rsidP="00042526">
            <w:pPr>
              <w:pStyle w:val="DoNotTranslateInternal2"/>
              <w:jc w:val="right"/>
            </w:pPr>
            <w:r w:rsidRPr="002429C5">
              <w:t>271</w:t>
            </w:r>
          </w:p>
        </w:tc>
        <w:tc>
          <w:tcPr>
            <w:tcW w:w="0" w:type="auto"/>
            <w:tcBorders>
              <w:top w:val="single" w:sz="4" w:space="0" w:color="808080"/>
              <w:left w:val="single" w:sz="4" w:space="0" w:color="808080"/>
              <w:bottom w:val="single" w:sz="4" w:space="0" w:color="808080"/>
              <w:right w:val="single" w:sz="4" w:space="0" w:color="808080"/>
            </w:tcBorders>
            <w:shd w:val="clear" w:color="auto" w:fill="FFFFFF" w:themeFill="background1"/>
            <w:vAlign w:val="bottom"/>
            <w:hideMark/>
          </w:tcPr>
          <w:p w:rsidR="000A0609" w:rsidRPr="002429C5" w:rsidRDefault="000A0609" w:rsidP="00AE3ED4">
            <w:pPr>
              <w:jc w:val="right"/>
              <w:rPr>
                <w:rFonts w:ascii="Arial" w:hAnsi="Arial" w:cs="Arial"/>
                <w:sz w:val="16"/>
                <w:szCs w:val="16"/>
              </w:rPr>
            </w:pPr>
            <w:r w:rsidRPr="002429C5">
              <w:rPr>
                <w:rFonts w:ascii="Arial" w:hAnsi="Arial"/>
                <w:sz w:val="16"/>
              </w:rPr>
              <w:t>0.15</w:t>
            </w:r>
          </w:p>
        </w:tc>
        <w:tc>
          <w:tcPr>
            <w:tcW w:w="0" w:type="auto"/>
            <w:tcBorders>
              <w:top w:val="single" w:sz="4" w:space="0" w:color="808080"/>
              <w:left w:val="single" w:sz="4" w:space="0" w:color="808080"/>
              <w:bottom w:val="single" w:sz="4" w:space="0" w:color="808080"/>
              <w:right w:val="single" w:sz="4" w:space="0" w:color="808080"/>
            </w:tcBorders>
            <w:shd w:val="clear" w:color="auto" w:fill="FFFFFF" w:themeFill="background1"/>
            <w:vAlign w:val="bottom"/>
            <w:hideMark/>
          </w:tcPr>
          <w:p w:rsidR="000A0609" w:rsidRPr="002429C5" w:rsidRDefault="000A0609" w:rsidP="00AE3ED4">
            <w:pPr>
              <w:jc w:val="right"/>
              <w:rPr>
                <w:rFonts w:ascii="Arial" w:hAnsi="Arial" w:cs="Arial"/>
                <w:sz w:val="16"/>
                <w:szCs w:val="16"/>
              </w:rPr>
            </w:pPr>
            <w:r w:rsidRPr="002429C5">
              <w:rPr>
                <w:rFonts w:ascii="Arial" w:hAnsi="Arial"/>
                <w:sz w:val="16"/>
              </w:rPr>
              <w:t>0.12</w:t>
            </w:r>
          </w:p>
        </w:tc>
      </w:tr>
      <w:tr w:rsidR="000A0609" w:rsidRPr="002429C5" w:rsidTr="00FA5788">
        <w:trPr>
          <w:trHeight w:val="154"/>
        </w:trPr>
        <w:tc>
          <w:tcPr>
            <w:tcW w:w="0" w:type="auto"/>
            <w:tcBorders>
              <w:top w:val="single" w:sz="4" w:space="0" w:color="808080"/>
              <w:left w:val="single" w:sz="4" w:space="0" w:color="808080"/>
              <w:bottom w:val="single" w:sz="4" w:space="0" w:color="808080"/>
              <w:right w:val="single" w:sz="4" w:space="0" w:color="808080"/>
            </w:tcBorders>
            <w:hideMark/>
          </w:tcPr>
          <w:p w:rsidR="000A0609" w:rsidRPr="002429C5" w:rsidRDefault="000A0609" w:rsidP="00AE3ED4">
            <w:pPr>
              <w:pStyle w:val="Tabeltekst"/>
              <w:spacing w:line="276" w:lineRule="auto"/>
            </w:pPr>
            <w:r w:rsidRPr="002429C5">
              <w:t>Gauge conditions on track</w:t>
            </w:r>
          </w:p>
        </w:tc>
        <w:tc>
          <w:tcPr>
            <w:tcW w:w="0" w:type="auto"/>
            <w:tcBorders>
              <w:top w:val="single" w:sz="4" w:space="0" w:color="808080"/>
              <w:left w:val="single" w:sz="4" w:space="0" w:color="808080"/>
              <w:bottom w:val="single" w:sz="4" w:space="0" w:color="808080"/>
              <w:right w:val="single" w:sz="4" w:space="0" w:color="808080"/>
            </w:tcBorders>
            <w:vAlign w:val="bottom"/>
            <w:hideMark/>
          </w:tcPr>
          <w:p w:rsidR="000A0609" w:rsidRPr="002429C5" w:rsidRDefault="000A0609" w:rsidP="00042526">
            <w:pPr>
              <w:pStyle w:val="DoNotTranslateInternal2"/>
              <w:jc w:val="right"/>
            </w:pPr>
            <w:r w:rsidRPr="002429C5">
              <w:t>124</w:t>
            </w:r>
          </w:p>
        </w:tc>
        <w:tc>
          <w:tcPr>
            <w:tcW w:w="0" w:type="auto"/>
            <w:tcBorders>
              <w:top w:val="single" w:sz="4" w:space="0" w:color="808080"/>
              <w:left w:val="single" w:sz="4" w:space="0" w:color="808080"/>
              <w:bottom w:val="single" w:sz="4" w:space="0" w:color="808080"/>
              <w:right w:val="single" w:sz="4" w:space="0" w:color="808080"/>
            </w:tcBorders>
            <w:shd w:val="clear" w:color="auto" w:fill="FFFFFF" w:themeFill="background1"/>
            <w:vAlign w:val="bottom"/>
            <w:hideMark/>
          </w:tcPr>
          <w:p w:rsidR="000A0609" w:rsidRPr="002429C5" w:rsidRDefault="000A0609" w:rsidP="00AE3ED4">
            <w:pPr>
              <w:jc w:val="right"/>
              <w:rPr>
                <w:rFonts w:ascii="Arial" w:hAnsi="Arial" w:cs="Arial"/>
                <w:sz w:val="16"/>
                <w:szCs w:val="16"/>
              </w:rPr>
            </w:pPr>
            <w:r w:rsidRPr="002429C5">
              <w:rPr>
                <w:rFonts w:ascii="Arial" w:hAnsi="Arial"/>
                <w:sz w:val="16"/>
              </w:rPr>
              <w:t>3.20</w:t>
            </w:r>
          </w:p>
        </w:tc>
        <w:tc>
          <w:tcPr>
            <w:tcW w:w="0" w:type="auto"/>
            <w:tcBorders>
              <w:top w:val="single" w:sz="4" w:space="0" w:color="808080"/>
              <w:left w:val="single" w:sz="4" w:space="0" w:color="808080"/>
              <w:bottom w:val="single" w:sz="4" w:space="0" w:color="808080"/>
              <w:right w:val="single" w:sz="4" w:space="0" w:color="808080"/>
            </w:tcBorders>
            <w:shd w:val="clear" w:color="auto" w:fill="FFFFFF" w:themeFill="background1"/>
            <w:vAlign w:val="bottom"/>
            <w:hideMark/>
          </w:tcPr>
          <w:p w:rsidR="000A0609" w:rsidRPr="002429C5" w:rsidRDefault="000A0609" w:rsidP="00AE3ED4">
            <w:pPr>
              <w:jc w:val="right"/>
              <w:rPr>
                <w:rFonts w:ascii="Arial" w:hAnsi="Arial" w:cs="Arial"/>
                <w:sz w:val="16"/>
                <w:szCs w:val="16"/>
              </w:rPr>
            </w:pPr>
            <w:r w:rsidRPr="002429C5">
              <w:rPr>
                <w:rFonts w:ascii="Arial" w:hAnsi="Arial"/>
                <w:sz w:val="16"/>
              </w:rPr>
              <w:t>2.97</w:t>
            </w:r>
          </w:p>
        </w:tc>
      </w:tr>
      <w:tr w:rsidR="000A0609" w:rsidRPr="002429C5" w:rsidTr="00FA5788">
        <w:trPr>
          <w:trHeight w:val="195"/>
        </w:trPr>
        <w:tc>
          <w:tcPr>
            <w:tcW w:w="0" w:type="auto"/>
            <w:tcBorders>
              <w:top w:val="single" w:sz="4" w:space="0" w:color="808080"/>
              <w:left w:val="single" w:sz="4" w:space="0" w:color="808080"/>
              <w:bottom w:val="single" w:sz="4" w:space="0" w:color="808080"/>
              <w:right w:val="single" w:sz="4" w:space="0" w:color="808080"/>
            </w:tcBorders>
            <w:hideMark/>
          </w:tcPr>
          <w:p w:rsidR="000A0609" w:rsidRPr="002429C5" w:rsidRDefault="000A0609" w:rsidP="00AE3ED4">
            <w:pPr>
              <w:pStyle w:val="Tabeltekst"/>
              <w:spacing w:line="276" w:lineRule="auto"/>
            </w:pPr>
            <w:r w:rsidRPr="002429C5">
              <w:t>Vandalism</w:t>
            </w:r>
          </w:p>
        </w:tc>
        <w:tc>
          <w:tcPr>
            <w:tcW w:w="0" w:type="auto"/>
            <w:tcBorders>
              <w:top w:val="single" w:sz="4" w:space="0" w:color="808080"/>
              <w:left w:val="single" w:sz="4" w:space="0" w:color="808080"/>
              <w:bottom w:val="single" w:sz="4" w:space="0" w:color="808080"/>
              <w:right w:val="single" w:sz="4" w:space="0" w:color="808080"/>
            </w:tcBorders>
            <w:vAlign w:val="bottom"/>
            <w:hideMark/>
          </w:tcPr>
          <w:p w:rsidR="000A0609" w:rsidRPr="002429C5" w:rsidRDefault="000A0609" w:rsidP="00042526">
            <w:pPr>
              <w:pStyle w:val="DoNotTranslateInternal2"/>
              <w:jc w:val="right"/>
            </w:pPr>
            <w:r w:rsidRPr="002429C5">
              <w:t>99</w:t>
            </w:r>
          </w:p>
        </w:tc>
        <w:tc>
          <w:tcPr>
            <w:tcW w:w="0" w:type="auto"/>
            <w:tcBorders>
              <w:top w:val="single" w:sz="4" w:space="0" w:color="808080"/>
              <w:left w:val="single" w:sz="4" w:space="0" w:color="808080"/>
              <w:bottom w:val="single" w:sz="4" w:space="0" w:color="808080"/>
              <w:right w:val="single" w:sz="4" w:space="0" w:color="808080"/>
            </w:tcBorders>
            <w:shd w:val="clear" w:color="auto" w:fill="FFFFFF" w:themeFill="background1"/>
            <w:vAlign w:val="bottom"/>
            <w:hideMark/>
          </w:tcPr>
          <w:p w:rsidR="000A0609" w:rsidRPr="002429C5" w:rsidRDefault="000A0609" w:rsidP="00AE3ED4">
            <w:pPr>
              <w:jc w:val="right"/>
              <w:rPr>
                <w:rFonts w:ascii="Arial" w:hAnsi="Arial" w:cs="Arial"/>
                <w:sz w:val="16"/>
                <w:szCs w:val="16"/>
              </w:rPr>
            </w:pPr>
            <w:r w:rsidRPr="002429C5">
              <w:rPr>
                <w:rFonts w:ascii="Arial" w:hAnsi="Arial"/>
                <w:sz w:val="16"/>
              </w:rPr>
              <w:t>1.47</w:t>
            </w:r>
          </w:p>
        </w:tc>
        <w:tc>
          <w:tcPr>
            <w:tcW w:w="0" w:type="auto"/>
            <w:tcBorders>
              <w:top w:val="single" w:sz="4" w:space="0" w:color="808080"/>
              <w:left w:val="single" w:sz="4" w:space="0" w:color="808080"/>
              <w:bottom w:val="single" w:sz="4" w:space="0" w:color="808080"/>
              <w:right w:val="single" w:sz="4" w:space="0" w:color="808080"/>
            </w:tcBorders>
            <w:shd w:val="clear" w:color="auto" w:fill="FFFFFF" w:themeFill="background1"/>
            <w:vAlign w:val="bottom"/>
            <w:hideMark/>
          </w:tcPr>
          <w:p w:rsidR="000A0609" w:rsidRPr="002429C5" w:rsidRDefault="000A0609" w:rsidP="00AE3ED4">
            <w:pPr>
              <w:jc w:val="right"/>
              <w:rPr>
                <w:rFonts w:ascii="Arial" w:hAnsi="Arial" w:cs="Arial"/>
                <w:sz w:val="16"/>
                <w:szCs w:val="16"/>
              </w:rPr>
            </w:pPr>
            <w:r w:rsidRPr="002429C5">
              <w:rPr>
                <w:rFonts w:ascii="Arial" w:hAnsi="Arial"/>
                <w:sz w:val="16"/>
              </w:rPr>
              <w:t>1.87</w:t>
            </w:r>
          </w:p>
        </w:tc>
      </w:tr>
      <w:tr w:rsidR="000A0609" w:rsidRPr="002429C5" w:rsidTr="00FA5788">
        <w:trPr>
          <w:trHeight w:val="121"/>
        </w:trPr>
        <w:tc>
          <w:tcPr>
            <w:tcW w:w="0" w:type="auto"/>
            <w:tcBorders>
              <w:top w:val="single" w:sz="4" w:space="0" w:color="808080"/>
              <w:left w:val="single" w:sz="4" w:space="0" w:color="808080"/>
              <w:bottom w:val="single" w:sz="4" w:space="0" w:color="808080"/>
              <w:right w:val="single" w:sz="4" w:space="0" w:color="808080"/>
            </w:tcBorders>
            <w:hideMark/>
          </w:tcPr>
          <w:p w:rsidR="000A0609" w:rsidRPr="002429C5" w:rsidRDefault="000A0609" w:rsidP="00AE3ED4">
            <w:pPr>
              <w:pStyle w:val="Tabeltekst"/>
              <w:spacing w:line="276" w:lineRule="auto"/>
            </w:pPr>
            <w:r w:rsidRPr="002429C5">
              <w:t>Other irregularity</w:t>
            </w:r>
          </w:p>
        </w:tc>
        <w:tc>
          <w:tcPr>
            <w:tcW w:w="0" w:type="auto"/>
            <w:tcBorders>
              <w:top w:val="single" w:sz="4" w:space="0" w:color="808080"/>
              <w:left w:val="single" w:sz="4" w:space="0" w:color="808080"/>
              <w:bottom w:val="single" w:sz="4" w:space="0" w:color="808080"/>
              <w:right w:val="single" w:sz="4" w:space="0" w:color="808080"/>
            </w:tcBorders>
            <w:vAlign w:val="bottom"/>
            <w:hideMark/>
          </w:tcPr>
          <w:p w:rsidR="000A0609" w:rsidRPr="002429C5" w:rsidRDefault="000A0609" w:rsidP="00042526">
            <w:pPr>
              <w:pStyle w:val="DoNotTranslateInternal2"/>
              <w:jc w:val="right"/>
            </w:pPr>
            <w:r w:rsidRPr="002429C5">
              <w:t>1273</w:t>
            </w:r>
          </w:p>
        </w:tc>
        <w:tc>
          <w:tcPr>
            <w:tcW w:w="0" w:type="auto"/>
            <w:tcBorders>
              <w:top w:val="single" w:sz="4" w:space="0" w:color="808080"/>
              <w:left w:val="single" w:sz="4" w:space="0" w:color="808080"/>
              <w:bottom w:val="single" w:sz="4" w:space="0" w:color="808080"/>
              <w:right w:val="single" w:sz="4" w:space="0" w:color="808080"/>
            </w:tcBorders>
            <w:shd w:val="clear" w:color="auto" w:fill="FFFFFF" w:themeFill="background1"/>
            <w:vAlign w:val="bottom"/>
            <w:hideMark/>
          </w:tcPr>
          <w:p w:rsidR="000A0609" w:rsidRPr="002429C5" w:rsidRDefault="000A0609" w:rsidP="00AE3ED4">
            <w:pPr>
              <w:jc w:val="right"/>
              <w:rPr>
                <w:rFonts w:ascii="Arial" w:hAnsi="Arial" w:cs="Arial"/>
                <w:sz w:val="16"/>
                <w:szCs w:val="16"/>
              </w:rPr>
            </w:pPr>
            <w:r w:rsidRPr="002429C5">
              <w:rPr>
                <w:rFonts w:ascii="Arial" w:hAnsi="Arial"/>
                <w:sz w:val="16"/>
              </w:rPr>
              <w:t>1.17</w:t>
            </w:r>
          </w:p>
        </w:tc>
        <w:tc>
          <w:tcPr>
            <w:tcW w:w="0" w:type="auto"/>
            <w:tcBorders>
              <w:top w:val="single" w:sz="4" w:space="0" w:color="808080"/>
              <w:left w:val="single" w:sz="4" w:space="0" w:color="808080"/>
              <w:bottom w:val="single" w:sz="4" w:space="0" w:color="808080"/>
              <w:right w:val="single" w:sz="4" w:space="0" w:color="808080"/>
            </w:tcBorders>
            <w:shd w:val="clear" w:color="auto" w:fill="FFFFFF" w:themeFill="background1"/>
            <w:vAlign w:val="bottom"/>
            <w:hideMark/>
          </w:tcPr>
          <w:p w:rsidR="000A0609" w:rsidRPr="002429C5" w:rsidRDefault="000A0609" w:rsidP="00AE3ED4">
            <w:pPr>
              <w:jc w:val="right"/>
              <w:rPr>
                <w:rFonts w:ascii="Arial" w:hAnsi="Arial" w:cs="Arial"/>
                <w:sz w:val="16"/>
                <w:szCs w:val="16"/>
              </w:rPr>
            </w:pPr>
            <w:r w:rsidRPr="002429C5">
              <w:rPr>
                <w:rFonts w:ascii="Arial" w:hAnsi="Arial"/>
                <w:sz w:val="16"/>
              </w:rPr>
              <w:t>2.03</w:t>
            </w:r>
          </w:p>
        </w:tc>
      </w:tr>
      <w:tr w:rsidR="000A0609" w:rsidRPr="002429C5" w:rsidTr="00FA5788">
        <w:trPr>
          <w:trHeight w:val="121"/>
        </w:trPr>
        <w:tc>
          <w:tcPr>
            <w:tcW w:w="0" w:type="auto"/>
            <w:tcBorders>
              <w:top w:val="single" w:sz="4" w:space="0" w:color="808080"/>
              <w:left w:val="single" w:sz="4" w:space="0" w:color="808080"/>
              <w:bottom w:val="single" w:sz="4" w:space="0" w:color="808080"/>
              <w:right w:val="single" w:sz="4" w:space="0" w:color="808080"/>
            </w:tcBorders>
          </w:tcPr>
          <w:p w:rsidR="000A0609" w:rsidRPr="002429C5" w:rsidRDefault="000A0609" w:rsidP="00AE3ED4">
            <w:pPr>
              <w:pStyle w:val="Tabeltekst"/>
              <w:spacing w:line="276" w:lineRule="auto"/>
            </w:pPr>
            <w:r w:rsidRPr="002429C5">
              <w:t>Total safety irregularities</w:t>
            </w:r>
          </w:p>
        </w:tc>
        <w:tc>
          <w:tcPr>
            <w:tcW w:w="0" w:type="auto"/>
            <w:tcBorders>
              <w:top w:val="single" w:sz="4" w:space="0" w:color="808080"/>
              <w:left w:val="single" w:sz="4" w:space="0" w:color="808080"/>
              <w:bottom w:val="single" w:sz="4" w:space="0" w:color="808080"/>
              <w:right w:val="single" w:sz="4" w:space="0" w:color="808080"/>
            </w:tcBorders>
            <w:vAlign w:val="bottom"/>
          </w:tcPr>
          <w:p w:rsidR="000A0609" w:rsidRPr="002429C5" w:rsidRDefault="000A0609" w:rsidP="00042526">
            <w:pPr>
              <w:pStyle w:val="DoNotTranslateInternal2"/>
              <w:jc w:val="right"/>
            </w:pPr>
            <w:r w:rsidRPr="002429C5">
              <w:t>2613</w:t>
            </w:r>
          </w:p>
        </w:tc>
        <w:tc>
          <w:tcPr>
            <w:tcW w:w="0" w:type="auto"/>
            <w:tcBorders>
              <w:top w:val="single" w:sz="4" w:space="0" w:color="808080"/>
              <w:left w:val="single" w:sz="4" w:space="0" w:color="808080"/>
              <w:bottom w:val="single" w:sz="4" w:space="0" w:color="808080"/>
              <w:right w:val="single" w:sz="4" w:space="0" w:color="808080"/>
            </w:tcBorders>
            <w:shd w:val="clear" w:color="auto" w:fill="FFFFFF" w:themeFill="background1"/>
            <w:vAlign w:val="bottom"/>
          </w:tcPr>
          <w:p w:rsidR="000A0609" w:rsidRPr="002429C5" w:rsidRDefault="000A0609" w:rsidP="00AE3ED4">
            <w:pPr>
              <w:jc w:val="right"/>
              <w:rPr>
                <w:rFonts w:ascii="Arial" w:hAnsi="Arial" w:cs="Arial"/>
                <w:sz w:val="16"/>
                <w:szCs w:val="16"/>
              </w:rPr>
            </w:pPr>
            <w:r w:rsidRPr="002429C5">
              <w:rPr>
                <w:rFonts w:ascii="Arial" w:hAnsi="Arial"/>
                <w:sz w:val="16"/>
              </w:rPr>
              <w:t>16.31</w:t>
            </w:r>
          </w:p>
        </w:tc>
        <w:tc>
          <w:tcPr>
            <w:tcW w:w="0" w:type="auto"/>
            <w:tcBorders>
              <w:top w:val="single" w:sz="4" w:space="0" w:color="808080"/>
              <w:left w:val="single" w:sz="4" w:space="0" w:color="808080"/>
              <w:bottom w:val="single" w:sz="4" w:space="0" w:color="808080"/>
              <w:right w:val="single" w:sz="4" w:space="0" w:color="808080"/>
            </w:tcBorders>
            <w:shd w:val="clear" w:color="auto" w:fill="FFFFFF" w:themeFill="background1"/>
            <w:vAlign w:val="bottom"/>
          </w:tcPr>
          <w:p w:rsidR="000A0609" w:rsidRPr="002429C5" w:rsidRDefault="000A0609" w:rsidP="00AE3ED4">
            <w:pPr>
              <w:jc w:val="right"/>
              <w:rPr>
                <w:rFonts w:ascii="Arial" w:hAnsi="Arial" w:cs="Arial"/>
                <w:sz w:val="16"/>
                <w:szCs w:val="16"/>
              </w:rPr>
            </w:pPr>
            <w:r w:rsidRPr="002429C5">
              <w:rPr>
                <w:rFonts w:ascii="Arial" w:hAnsi="Arial"/>
                <w:sz w:val="16"/>
              </w:rPr>
              <w:t>14.58</w:t>
            </w:r>
          </w:p>
        </w:tc>
      </w:tr>
    </w:tbl>
    <w:p w:rsidR="000A0609" w:rsidRPr="002429C5" w:rsidRDefault="000A0609" w:rsidP="000A0609">
      <w:pPr>
        <w:rPr>
          <w:i/>
          <w:sz w:val="14"/>
        </w:rPr>
      </w:pPr>
      <w:r w:rsidRPr="002429C5">
        <w:rPr>
          <w:i/>
          <w:sz w:val="14"/>
        </w:rPr>
        <w:t>Safety irregularities have no harmful consequences.</w:t>
      </w:r>
    </w:p>
    <w:p w:rsidR="000A0609" w:rsidRPr="002429C5" w:rsidRDefault="000A0609" w:rsidP="00FA5788"/>
    <w:p w:rsidR="000A0609" w:rsidRPr="002429C5" w:rsidRDefault="000A0609" w:rsidP="000A0609">
      <w:pPr>
        <w:pStyle w:val="Heading1"/>
      </w:pPr>
      <w:r w:rsidRPr="002429C5">
        <w:br w:type="page"/>
      </w:r>
    </w:p>
    <w:p w:rsidR="000A0609" w:rsidRPr="002429C5" w:rsidRDefault="000A0609" w:rsidP="000A0609">
      <w:pPr>
        <w:pStyle w:val="Heading1"/>
      </w:pPr>
      <w:bookmarkStart w:id="48" w:name="_Toc441733555"/>
      <w:r w:rsidRPr="002429C5">
        <w:lastRenderedPageBreak/>
        <w:t>Annex C: Definitions used</w:t>
      </w:r>
      <w:bookmarkEnd w:id="48"/>
    </w:p>
    <w:p w:rsidR="000A0609" w:rsidRPr="002429C5" w:rsidRDefault="000A0609" w:rsidP="000A0609">
      <w:pPr>
        <w:rPr>
          <w:b/>
          <w:bCs/>
        </w:rPr>
      </w:pPr>
      <w:r w:rsidRPr="002429C5">
        <w:rPr>
          <w:b/>
        </w:rPr>
        <w:t>Accidents</w:t>
      </w:r>
    </w:p>
    <w:p w:rsidR="000A0609" w:rsidRPr="002429C5" w:rsidRDefault="000A0609" w:rsidP="00356DD7">
      <w:pPr>
        <w:pStyle w:val="ListParagraph"/>
        <w:numPr>
          <w:ilvl w:val="1"/>
          <w:numId w:val="50"/>
        </w:numPr>
        <w:tabs>
          <w:tab w:val="left" w:pos="284"/>
        </w:tabs>
        <w:spacing w:after="220" w:line="240" w:lineRule="auto"/>
        <w:ind w:left="0" w:firstLine="0"/>
        <w:contextualSpacing w:val="0"/>
        <w:rPr>
          <w:sz w:val="18"/>
        </w:rPr>
      </w:pPr>
      <w:r w:rsidRPr="002429C5">
        <w:rPr>
          <w:i/>
          <w:sz w:val="18"/>
        </w:rPr>
        <w:t xml:space="preserve">Accident </w:t>
      </w:r>
      <w:r w:rsidRPr="002429C5">
        <w:rPr>
          <w:sz w:val="18"/>
        </w:rPr>
        <w:t>is understood to mean an unwanted or unintended sudden incident or a specific chain of such incidents that has harmful consequences. Accidents are broken down into the following categories: train collision, train derailments, accidents at level crossings, personal injury caused by moving rolling stock, fire and other</w:t>
      </w:r>
      <w:r w:rsidRPr="002429C5">
        <w:rPr>
          <w:rStyle w:val="FootnoteReference"/>
          <w:sz w:val="18"/>
        </w:rPr>
        <w:footnoteReference w:id="26"/>
      </w:r>
      <w:r w:rsidRPr="002429C5">
        <w:rPr>
          <w:sz w:val="18"/>
        </w:rPr>
        <w:t>.</w:t>
      </w:r>
    </w:p>
    <w:p w:rsidR="000A0609" w:rsidRPr="002429C5" w:rsidRDefault="000A0609" w:rsidP="00356DD7">
      <w:pPr>
        <w:pStyle w:val="ListParagraph"/>
        <w:numPr>
          <w:ilvl w:val="1"/>
          <w:numId w:val="50"/>
        </w:numPr>
        <w:tabs>
          <w:tab w:val="left" w:pos="284"/>
        </w:tabs>
        <w:spacing w:after="220" w:line="240" w:lineRule="auto"/>
        <w:ind w:left="0" w:firstLine="0"/>
        <w:contextualSpacing w:val="0"/>
        <w:rPr>
          <w:sz w:val="18"/>
        </w:rPr>
      </w:pPr>
      <w:r w:rsidRPr="002429C5">
        <w:rPr>
          <w:i/>
          <w:sz w:val="18"/>
        </w:rPr>
        <w:t>Train collision</w:t>
      </w:r>
      <w:r w:rsidRPr="002429C5">
        <w:rPr>
          <w:sz w:val="18"/>
        </w:rPr>
        <w:t xml:space="preserve"> is understood to mean a train collision, including a collision with obstacles within the structural gauge limits (collision), a head-on collision between two trains or a collision between the front and rear of two trains or a sideways collision between part of one train and part of another train, or a train in collision with shunting rolling stock or objects that are fixed in place or are temporarily on or near the track, except at level crossings, if the objects have been lost by crossing vehicles or persons.</w:t>
      </w:r>
    </w:p>
    <w:p w:rsidR="000A0609" w:rsidRPr="002429C5" w:rsidRDefault="000A0609" w:rsidP="00356DD7">
      <w:pPr>
        <w:pStyle w:val="ListParagraph"/>
        <w:numPr>
          <w:ilvl w:val="1"/>
          <w:numId w:val="50"/>
        </w:numPr>
        <w:tabs>
          <w:tab w:val="left" w:pos="284"/>
        </w:tabs>
        <w:spacing w:after="220" w:line="240" w:lineRule="auto"/>
        <w:ind w:left="0" w:firstLine="0"/>
        <w:contextualSpacing w:val="0"/>
        <w:rPr>
          <w:sz w:val="18"/>
        </w:rPr>
      </w:pPr>
      <w:r w:rsidRPr="002429C5">
        <w:rPr>
          <w:i/>
          <w:sz w:val="18"/>
        </w:rPr>
        <w:t>Derailment</w:t>
      </w:r>
      <w:r w:rsidRPr="002429C5">
        <w:rPr>
          <w:sz w:val="18"/>
        </w:rPr>
        <w:t xml:space="preserve"> is understood to mean any incident in which at least one of the train’s wheels comes off the rails.</w:t>
      </w:r>
    </w:p>
    <w:p w:rsidR="000A0609" w:rsidRPr="002429C5" w:rsidRDefault="000A0609" w:rsidP="00356DD7">
      <w:pPr>
        <w:pStyle w:val="ListParagraph"/>
        <w:numPr>
          <w:ilvl w:val="1"/>
          <w:numId w:val="50"/>
        </w:numPr>
        <w:tabs>
          <w:tab w:val="left" w:pos="284"/>
        </w:tabs>
        <w:spacing w:after="220" w:line="240" w:lineRule="auto"/>
        <w:ind w:left="0" w:firstLine="0"/>
        <w:contextualSpacing w:val="0"/>
        <w:rPr>
          <w:sz w:val="18"/>
        </w:rPr>
      </w:pPr>
      <w:r w:rsidRPr="002429C5">
        <w:rPr>
          <w:i/>
          <w:sz w:val="18"/>
        </w:rPr>
        <w:t>Accidents at level crossings</w:t>
      </w:r>
      <w:r w:rsidRPr="002429C5">
        <w:rPr>
          <w:sz w:val="18"/>
        </w:rPr>
        <w:t xml:space="preserve"> is understood to mean accidents at level crossings involving at least one railway vehicle and one or more crossing vehicles, other crossing users, e.g. pedestrians, or objects temporarily on or near the track if these have been lost by crossing vehicles or users.</w:t>
      </w:r>
    </w:p>
    <w:p w:rsidR="000A0609" w:rsidRPr="002429C5" w:rsidRDefault="000A0609" w:rsidP="00356DD7">
      <w:pPr>
        <w:pStyle w:val="ListParagraph"/>
        <w:numPr>
          <w:ilvl w:val="1"/>
          <w:numId w:val="50"/>
        </w:numPr>
        <w:tabs>
          <w:tab w:val="left" w:pos="284"/>
        </w:tabs>
        <w:spacing w:after="220" w:line="240" w:lineRule="auto"/>
        <w:ind w:left="0" w:firstLine="0"/>
        <w:contextualSpacing w:val="0"/>
        <w:rPr>
          <w:sz w:val="18"/>
        </w:rPr>
      </w:pPr>
      <w:r w:rsidRPr="002429C5">
        <w:rPr>
          <w:i/>
          <w:sz w:val="18"/>
        </w:rPr>
        <w:t>Personal injury caused by moving rolling stock</w:t>
      </w:r>
      <w:r w:rsidRPr="002429C5">
        <w:rPr>
          <w:sz w:val="18"/>
        </w:rPr>
        <w:t xml:space="preserve"> is understood to mean injury to one or more persons who are either hit by a railway vehicle or by an object attached to or which has been dislodged from the vehicle. The definition also covers persons who fall out of railway vehicles, and persons who fall or are hit by loose objects while travelling in railway vehicles.</w:t>
      </w:r>
    </w:p>
    <w:p w:rsidR="000A0609" w:rsidRPr="002429C5" w:rsidRDefault="000A0609" w:rsidP="00356DD7">
      <w:pPr>
        <w:pStyle w:val="ListParagraph"/>
        <w:numPr>
          <w:ilvl w:val="1"/>
          <w:numId w:val="50"/>
        </w:numPr>
        <w:tabs>
          <w:tab w:val="left" w:pos="284"/>
        </w:tabs>
        <w:spacing w:after="220" w:line="240" w:lineRule="auto"/>
        <w:ind w:left="0" w:firstLine="0"/>
        <w:contextualSpacing w:val="0"/>
        <w:rPr>
          <w:sz w:val="18"/>
        </w:rPr>
      </w:pPr>
      <w:r w:rsidRPr="002429C5">
        <w:rPr>
          <w:i/>
          <w:sz w:val="18"/>
        </w:rPr>
        <w:t>Fire in rolling stock</w:t>
      </w:r>
      <w:r w:rsidRPr="002429C5">
        <w:rPr>
          <w:sz w:val="18"/>
        </w:rPr>
        <w:t xml:space="preserve"> is understood to mean fires and explosions, including of loads, under way between a departure station and a destination, including while stopped at the departure station, the destination or while stopped on the way and while shunting.</w:t>
      </w:r>
    </w:p>
    <w:p w:rsidR="000A0609" w:rsidRPr="002429C5" w:rsidRDefault="000A0609" w:rsidP="00356DD7">
      <w:pPr>
        <w:pStyle w:val="ListParagraph"/>
        <w:numPr>
          <w:ilvl w:val="1"/>
          <w:numId w:val="50"/>
        </w:numPr>
        <w:tabs>
          <w:tab w:val="left" w:pos="284"/>
        </w:tabs>
        <w:spacing w:after="220" w:line="240" w:lineRule="auto"/>
        <w:ind w:left="0" w:firstLine="0"/>
        <w:contextualSpacing w:val="0"/>
        <w:rPr>
          <w:sz w:val="18"/>
        </w:rPr>
      </w:pPr>
      <w:r w:rsidRPr="002429C5">
        <w:rPr>
          <w:i/>
          <w:sz w:val="18"/>
        </w:rPr>
        <w:t>Other types of accident</w:t>
      </w:r>
      <w:r w:rsidRPr="002429C5">
        <w:rPr>
          <w:sz w:val="18"/>
        </w:rPr>
        <w:t xml:space="preserve"> is understood to mean all accidents other than train collisions, derailments, accidents at level crossings, personal injury caused by moving rolling stock and fire in rolling stock.</w:t>
      </w:r>
    </w:p>
    <w:p w:rsidR="00FA5788" w:rsidRPr="002429C5" w:rsidRDefault="00FA5788" w:rsidP="00FA5788">
      <w:pPr>
        <w:spacing w:after="0"/>
        <w:rPr>
          <w:b/>
          <w:bCs/>
        </w:rPr>
      </w:pPr>
    </w:p>
    <w:p w:rsidR="000A0609" w:rsidRPr="002429C5" w:rsidRDefault="000A0609" w:rsidP="00356DD7">
      <w:pPr>
        <w:keepNext/>
        <w:rPr>
          <w:b/>
          <w:bCs/>
        </w:rPr>
      </w:pPr>
      <w:r w:rsidRPr="002429C5">
        <w:rPr>
          <w:b/>
        </w:rPr>
        <w:t>Significant accidents versus minor accidents</w:t>
      </w:r>
    </w:p>
    <w:p w:rsidR="000A0609" w:rsidRPr="002429C5" w:rsidRDefault="000A0609" w:rsidP="00356DD7">
      <w:pPr>
        <w:pStyle w:val="ListParagraph"/>
        <w:numPr>
          <w:ilvl w:val="1"/>
          <w:numId w:val="50"/>
        </w:numPr>
        <w:tabs>
          <w:tab w:val="left" w:pos="284"/>
        </w:tabs>
        <w:spacing w:after="220" w:line="240" w:lineRule="auto"/>
        <w:ind w:left="0" w:firstLine="0"/>
        <w:contextualSpacing w:val="0"/>
        <w:rPr>
          <w:sz w:val="18"/>
        </w:rPr>
      </w:pPr>
      <w:r w:rsidRPr="002429C5">
        <w:rPr>
          <w:i/>
          <w:sz w:val="18"/>
        </w:rPr>
        <w:t xml:space="preserve">Significant accidents </w:t>
      </w:r>
      <w:r w:rsidRPr="002429C5">
        <w:rPr>
          <w:sz w:val="18"/>
        </w:rPr>
        <w:t>is understood to mean any accident involving at least one moving railway vehicle and which results in at least one person being killed or seriously injured, or in the extensive destruction of rolling stock, track or other plant or the environment or in extensive disruption to traffic. Accidents in workshops, warehouses and depots are excluded.</w:t>
      </w:r>
      <w:r w:rsidRPr="002429C5">
        <w:rPr>
          <w:rStyle w:val="FootnoteReference"/>
          <w:sz w:val="18"/>
        </w:rPr>
        <w:footnoteReference w:id="27"/>
      </w:r>
    </w:p>
    <w:p w:rsidR="000A0609" w:rsidRPr="002429C5" w:rsidRDefault="000A0609" w:rsidP="000A0609">
      <w:r w:rsidRPr="002429C5">
        <w:t>Minor accidents are accidents not causing serious injuries or death and where any material damage is below DKK 1.2 million.</w:t>
      </w:r>
    </w:p>
    <w:p w:rsidR="000A0609" w:rsidRPr="002429C5" w:rsidRDefault="000A0609" w:rsidP="00356DD7">
      <w:pPr>
        <w:pStyle w:val="ListParagraph"/>
        <w:numPr>
          <w:ilvl w:val="1"/>
          <w:numId w:val="50"/>
        </w:numPr>
        <w:tabs>
          <w:tab w:val="left" w:pos="284"/>
        </w:tabs>
        <w:spacing w:after="220" w:line="240" w:lineRule="auto"/>
        <w:ind w:left="0" w:firstLine="0"/>
        <w:contextualSpacing w:val="0"/>
        <w:rPr>
          <w:sz w:val="18"/>
        </w:rPr>
      </w:pPr>
      <w:r w:rsidRPr="002429C5">
        <w:rPr>
          <w:i/>
          <w:sz w:val="18"/>
        </w:rPr>
        <w:lastRenderedPageBreak/>
        <w:t>Extensive destruction of rolling stock, track or other plant or the environment</w:t>
      </w:r>
      <w:r w:rsidRPr="002429C5">
        <w:rPr>
          <w:sz w:val="18"/>
        </w:rPr>
        <w:t xml:space="preserve"> is understood to mean destruction valued at least DKK 1.2 million.</w:t>
      </w:r>
    </w:p>
    <w:p w:rsidR="000A0609" w:rsidRPr="002429C5" w:rsidRDefault="000A0609" w:rsidP="00356DD7">
      <w:pPr>
        <w:pStyle w:val="ListParagraph"/>
        <w:numPr>
          <w:ilvl w:val="1"/>
          <w:numId w:val="50"/>
        </w:numPr>
        <w:tabs>
          <w:tab w:val="left" w:pos="284"/>
        </w:tabs>
        <w:spacing w:after="220" w:line="240" w:lineRule="auto"/>
        <w:ind w:left="0" w:firstLine="0"/>
        <w:contextualSpacing w:val="0"/>
        <w:rPr>
          <w:sz w:val="18"/>
        </w:rPr>
      </w:pPr>
      <w:r w:rsidRPr="002429C5">
        <w:rPr>
          <w:i/>
          <w:sz w:val="18"/>
        </w:rPr>
        <w:t>Extensive disruption to traffic</w:t>
      </w:r>
      <w:r w:rsidRPr="002429C5">
        <w:rPr>
          <w:sz w:val="18"/>
        </w:rPr>
        <w:t xml:space="preserve"> is understood to mean that train traffic is at a standstill for six hours or more on a main line.</w:t>
      </w:r>
    </w:p>
    <w:p w:rsidR="00356DD7" w:rsidRPr="002429C5" w:rsidRDefault="00356DD7" w:rsidP="00356DD7">
      <w:pPr>
        <w:spacing w:after="0"/>
        <w:rPr>
          <w:b/>
          <w:bCs/>
        </w:rPr>
      </w:pPr>
    </w:p>
    <w:p w:rsidR="000A0609" w:rsidRPr="002429C5" w:rsidRDefault="000A0609" w:rsidP="000A0609">
      <w:pPr>
        <w:rPr>
          <w:b/>
          <w:bCs/>
        </w:rPr>
      </w:pPr>
      <w:r w:rsidRPr="002429C5">
        <w:rPr>
          <w:b/>
        </w:rPr>
        <w:t>Suicide</w:t>
      </w:r>
    </w:p>
    <w:p w:rsidR="000A0609" w:rsidRPr="002429C5" w:rsidRDefault="000A0609" w:rsidP="00356DD7">
      <w:pPr>
        <w:pStyle w:val="ListParagraph"/>
        <w:numPr>
          <w:ilvl w:val="1"/>
          <w:numId w:val="50"/>
        </w:numPr>
        <w:tabs>
          <w:tab w:val="left" w:pos="284"/>
        </w:tabs>
        <w:spacing w:after="220" w:line="240" w:lineRule="auto"/>
        <w:ind w:left="0" w:firstLine="0"/>
        <w:contextualSpacing w:val="0"/>
        <w:rPr>
          <w:sz w:val="18"/>
        </w:rPr>
      </w:pPr>
      <w:r w:rsidRPr="002429C5">
        <w:rPr>
          <w:sz w:val="18"/>
        </w:rPr>
        <w:t xml:space="preserve">– </w:t>
      </w:r>
      <w:r w:rsidRPr="002429C5">
        <w:rPr>
          <w:i/>
          <w:sz w:val="18"/>
        </w:rPr>
        <w:t>Suicide</w:t>
      </w:r>
      <w:r w:rsidRPr="002429C5">
        <w:rPr>
          <w:sz w:val="18"/>
        </w:rPr>
        <w:t xml:space="preserve"> is understood to mean an action by which a person intentionally takes his own life, and which is recorded as such by the competent authorities.</w:t>
      </w:r>
    </w:p>
    <w:p w:rsidR="00356DD7" w:rsidRPr="002429C5" w:rsidRDefault="00356DD7" w:rsidP="000A0609">
      <w:pPr>
        <w:rPr>
          <w:b/>
          <w:bCs/>
        </w:rPr>
      </w:pPr>
    </w:p>
    <w:p w:rsidR="000A0609" w:rsidRPr="002429C5" w:rsidRDefault="000A0609" w:rsidP="000A0609">
      <w:pPr>
        <w:rPr>
          <w:b/>
          <w:bCs/>
        </w:rPr>
      </w:pPr>
      <w:r w:rsidRPr="002429C5">
        <w:rPr>
          <w:b/>
        </w:rPr>
        <w:t>Dangerous goods</w:t>
      </w:r>
    </w:p>
    <w:p w:rsidR="000A0609" w:rsidRPr="002429C5" w:rsidRDefault="000A0609" w:rsidP="00356DD7">
      <w:pPr>
        <w:pStyle w:val="ListParagraph"/>
        <w:numPr>
          <w:ilvl w:val="1"/>
          <w:numId w:val="50"/>
        </w:numPr>
        <w:tabs>
          <w:tab w:val="left" w:pos="284"/>
        </w:tabs>
        <w:spacing w:after="220" w:line="240" w:lineRule="auto"/>
        <w:ind w:left="0" w:firstLine="0"/>
        <w:contextualSpacing w:val="0"/>
        <w:rPr>
          <w:sz w:val="18"/>
        </w:rPr>
      </w:pPr>
      <w:r w:rsidRPr="002429C5">
        <w:rPr>
          <w:i/>
          <w:sz w:val="18"/>
        </w:rPr>
        <w:t>Dangerous goods</w:t>
      </w:r>
      <w:r w:rsidRPr="002429C5">
        <w:rPr>
          <w:sz w:val="18"/>
        </w:rPr>
        <w:t xml:space="preserve"> is understood to mean substances and objects that may not be transported under the Regulation concerning the International Carriage of Dangerous Goods by Rail (RID), or may only be transported under conditions defined in the RID.</w:t>
      </w:r>
    </w:p>
    <w:p w:rsidR="000A0609" w:rsidRPr="002429C5" w:rsidRDefault="000A0609" w:rsidP="00356DD7">
      <w:pPr>
        <w:pStyle w:val="ListParagraph"/>
        <w:numPr>
          <w:ilvl w:val="1"/>
          <w:numId w:val="50"/>
        </w:numPr>
        <w:tabs>
          <w:tab w:val="left" w:pos="284"/>
        </w:tabs>
        <w:spacing w:after="220" w:line="240" w:lineRule="auto"/>
        <w:ind w:left="0" w:firstLine="0"/>
        <w:contextualSpacing w:val="0"/>
        <w:rPr>
          <w:sz w:val="18"/>
        </w:rPr>
      </w:pPr>
      <w:r w:rsidRPr="002429C5">
        <w:rPr>
          <w:i/>
          <w:sz w:val="18"/>
        </w:rPr>
        <w:t>Accidents in connection with the transport of dangerous goods</w:t>
      </w:r>
      <w:r w:rsidRPr="002429C5">
        <w:rPr>
          <w:sz w:val="18"/>
        </w:rPr>
        <w:t xml:space="preserve"> is understood to mean any accident or incident that must be reported in accordance with Chapter 1.8.5 of the RID or the European Agreement concerning the International Carriage of Dangerous Goods by Road (ADR).</w:t>
      </w:r>
    </w:p>
    <w:p w:rsidR="00356DD7" w:rsidRPr="002429C5" w:rsidRDefault="00356DD7" w:rsidP="00356DD7">
      <w:pPr>
        <w:spacing w:after="0"/>
        <w:rPr>
          <w:b/>
          <w:bCs/>
        </w:rPr>
      </w:pPr>
    </w:p>
    <w:p w:rsidR="000A0609" w:rsidRPr="002429C5" w:rsidRDefault="000A0609" w:rsidP="000A0609">
      <w:pPr>
        <w:rPr>
          <w:b/>
          <w:bCs/>
        </w:rPr>
      </w:pPr>
      <w:r w:rsidRPr="002429C5">
        <w:rPr>
          <w:b/>
        </w:rPr>
        <w:t>Precursors to accidents</w:t>
      </w:r>
    </w:p>
    <w:p w:rsidR="000A0609" w:rsidRPr="002429C5" w:rsidRDefault="000A0609" w:rsidP="00356DD7">
      <w:pPr>
        <w:pStyle w:val="ListParagraph"/>
        <w:numPr>
          <w:ilvl w:val="1"/>
          <w:numId w:val="50"/>
        </w:numPr>
        <w:tabs>
          <w:tab w:val="left" w:pos="284"/>
        </w:tabs>
        <w:spacing w:after="220" w:line="240" w:lineRule="auto"/>
        <w:ind w:left="0" w:firstLine="0"/>
        <w:contextualSpacing w:val="0"/>
        <w:rPr>
          <w:sz w:val="18"/>
        </w:rPr>
      </w:pPr>
      <w:r w:rsidRPr="002429C5">
        <w:rPr>
          <w:i/>
          <w:sz w:val="18"/>
        </w:rPr>
        <w:t xml:space="preserve">Precursors to accidents </w:t>
      </w:r>
      <w:r w:rsidRPr="002429C5">
        <w:rPr>
          <w:sz w:val="18"/>
        </w:rPr>
        <w:t>is understood to mean broken rails, track buckles, signal failure, passing a stop signal, broken wheels and axles on rolling stock in operation.</w:t>
      </w:r>
      <w:r w:rsidRPr="002429C5">
        <w:rPr>
          <w:rStyle w:val="FootnoteReference"/>
          <w:sz w:val="18"/>
        </w:rPr>
        <w:footnoteReference w:id="28"/>
      </w:r>
    </w:p>
    <w:p w:rsidR="000A0609" w:rsidRPr="002429C5" w:rsidRDefault="000A0609" w:rsidP="00356DD7">
      <w:pPr>
        <w:pStyle w:val="ListParagraph"/>
        <w:numPr>
          <w:ilvl w:val="1"/>
          <w:numId w:val="50"/>
        </w:numPr>
        <w:tabs>
          <w:tab w:val="left" w:pos="284"/>
        </w:tabs>
        <w:spacing w:after="220" w:line="240" w:lineRule="auto"/>
        <w:ind w:left="0" w:firstLine="0"/>
        <w:contextualSpacing w:val="0"/>
        <w:rPr>
          <w:sz w:val="18"/>
        </w:rPr>
      </w:pPr>
      <w:r w:rsidRPr="002429C5">
        <w:rPr>
          <w:i/>
          <w:sz w:val="18"/>
        </w:rPr>
        <w:t>Broken rails</w:t>
      </w:r>
      <w:r w:rsidRPr="002429C5">
        <w:rPr>
          <w:sz w:val="18"/>
        </w:rPr>
        <w:t xml:space="preserve"> is understood to mean any rail that has broken into two or more pieces, or any rail from which a piece of metal has broken away, leaving a hole more than 50 mm long and more than 10 mm deep on the running surface.</w:t>
      </w:r>
    </w:p>
    <w:p w:rsidR="000A0609" w:rsidRPr="002429C5" w:rsidRDefault="000A0609" w:rsidP="00356DD7">
      <w:pPr>
        <w:pStyle w:val="ListParagraph"/>
        <w:numPr>
          <w:ilvl w:val="1"/>
          <w:numId w:val="50"/>
        </w:numPr>
        <w:tabs>
          <w:tab w:val="left" w:pos="284"/>
        </w:tabs>
        <w:spacing w:after="220" w:line="240" w:lineRule="auto"/>
        <w:ind w:left="0" w:firstLine="0"/>
        <w:contextualSpacing w:val="0"/>
        <w:rPr>
          <w:sz w:val="18"/>
        </w:rPr>
      </w:pPr>
      <w:r w:rsidRPr="002429C5">
        <w:rPr>
          <w:i/>
          <w:sz w:val="18"/>
        </w:rPr>
        <w:t>Track buckles</w:t>
      </w:r>
      <w:r w:rsidRPr="002429C5">
        <w:rPr>
          <w:sz w:val="18"/>
        </w:rPr>
        <w:t xml:space="preserve"> </w:t>
      </w:r>
      <w:r w:rsidRPr="002429C5">
        <w:rPr>
          <w:i/>
          <w:sz w:val="18"/>
        </w:rPr>
        <w:t>and other faults in the relative position of the track</w:t>
      </w:r>
      <w:r w:rsidRPr="002429C5">
        <w:rPr>
          <w:sz w:val="18"/>
        </w:rPr>
        <w:t xml:space="preserve"> is understood to mean a fault in the continuum or geometry of the track which for safety reasons requires the immediate closure of the track or a reduction of the permissible speed.</w:t>
      </w:r>
    </w:p>
    <w:p w:rsidR="000A0609" w:rsidRPr="002429C5" w:rsidRDefault="000A0609" w:rsidP="00356DD7">
      <w:pPr>
        <w:pStyle w:val="ListParagraph"/>
        <w:numPr>
          <w:ilvl w:val="1"/>
          <w:numId w:val="50"/>
        </w:numPr>
        <w:tabs>
          <w:tab w:val="left" w:pos="284"/>
        </w:tabs>
        <w:spacing w:after="220" w:line="240" w:lineRule="auto"/>
        <w:ind w:left="0" w:firstLine="0"/>
        <w:contextualSpacing w:val="0"/>
        <w:rPr>
          <w:sz w:val="18"/>
        </w:rPr>
      </w:pPr>
      <w:r w:rsidRPr="002429C5">
        <w:rPr>
          <w:i/>
          <w:sz w:val="18"/>
        </w:rPr>
        <w:t>Signal failure</w:t>
      </w:r>
      <w:r w:rsidRPr="002429C5">
        <w:rPr>
          <w:sz w:val="18"/>
        </w:rPr>
        <w:t xml:space="preserve"> is understood to mean any failure in the signal system, either on the infrastructure or on the rolling stock, which results in a less restrictive signal than required.</w:t>
      </w:r>
    </w:p>
    <w:p w:rsidR="000A0609" w:rsidRPr="002429C5" w:rsidRDefault="000A0609" w:rsidP="00356DD7">
      <w:pPr>
        <w:pStyle w:val="ListParagraph"/>
        <w:numPr>
          <w:ilvl w:val="1"/>
          <w:numId w:val="50"/>
        </w:numPr>
        <w:tabs>
          <w:tab w:val="left" w:pos="284"/>
        </w:tabs>
        <w:spacing w:after="220" w:line="240" w:lineRule="auto"/>
        <w:ind w:left="0" w:firstLine="0"/>
        <w:contextualSpacing w:val="0"/>
        <w:rPr>
          <w:sz w:val="18"/>
        </w:rPr>
      </w:pPr>
      <w:r w:rsidRPr="002429C5">
        <w:rPr>
          <w:i/>
          <w:sz w:val="18"/>
        </w:rPr>
        <w:t>Passing a stop signal</w:t>
      </w:r>
      <w:r w:rsidRPr="002429C5">
        <w:rPr>
          <w:sz w:val="18"/>
        </w:rPr>
        <w:t xml:space="preserve"> is understood to mean any situation where any part of the train travels further than allowed.</w:t>
      </w:r>
    </w:p>
    <w:p w:rsidR="000A0609" w:rsidRPr="002429C5" w:rsidRDefault="000A0609" w:rsidP="00356DD7">
      <w:pPr>
        <w:pStyle w:val="ListParagraph"/>
        <w:numPr>
          <w:ilvl w:val="1"/>
          <w:numId w:val="50"/>
        </w:numPr>
        <w:tabs>
          <w:tab w:val="left" w:pos="284"/>
        </w:tabs>
        <w:spacing w:after="220" w:line="240" w:lineRule="auto"/>
        <w:ind w:left="0" w:firstLine="0"/>
        <w:contextualSpacing w:val="0"/>
        <w:rPr>
          <w:sz w:val="18"/>
        </w:rPr>
      </w:pPr>
      <w:r w:rsidRPr="002429C5">
        <w:rPr>
          <w:i/>
          <w:sz w:val="18"/>
        </w:rPr>
        <w:t>Broken wheels and axles</w:t>
      </w:r>
      <w:r w:rsidRPr="002429C5">
        <w:rPr>
          <w:sz w:val="18"/>
        </w:rPr>
        <w:t xml:space="preserve"> is understood to mean a breakage that affects the key components of the wheel or axle, thereby creating a risk of accident in the form of derailment or collision.</w:t>
      </w:r>
    </w:p>
    <w:p w:rsidR="00356DD7" w:rsidRPr="002429C5" w:rsidRDefault="00356DD7" w:rsidP="00356DD7">
      <w:pPr>
        <w:spacing w:after="0"/>
        <w:rPr>
          <w:b/>
          <w:bCs/>
        </w:rPr>
      </w:pPr>
    </w:p>
    <w:p w:rsidR="000A0609" w:rsidRPr="002429C5" w:rsidRDefault="000A0609" w:rsidP="00356DD7">
      <w:pPr>
        <w:keepNext/>
        <w:spacing w:after="0"/>
        <w:rPr>
          <w:b/>
          <w:bCs/>
        </w:rPr>
      </w:pPr>
      <w:r w:rsidRPr="002429C5">
        <w:rPr>
          <w:b/>
        </w:rPr>
        <w:t>Personal injury</w:t>
      </w:r>
    </w:p>
    <w:p w:rsidR="000A0609" w:rsidRPr="002429C5" w:rsidRDefault="000A0609" w:rsidP="000A0609">
      <w:r w:rsidRPr="002429C5">
        <w:rPr>
          <w:i/>
        </w:rPr>
        <w:t xml:space="preserve">Personal injury </w:t>
      </w:r>
      <w:r w:rsidRPr="002429C5">
        <w:t xml:space="preserve">is recorded according to five different types of person (passenger, employee, level-crossing users, unauthorised persons on railway property and others) </w:t>
      </w:r>
      <w:r w:rsidRPr="002429C5">
        <w:lastRenderedPageBreak/>
        <w:t>and according to the seriousness of the injury (fatality, serious injury and less serious injury).</w:t>
      </w:r>
    </w:p>
    <w:p w:rsidR="000A0609" w:rsidRPr="002429C5" w:rsidRDefault="000A0609" w:rsidP="00356DD7">
      <w:pPr>
        <w:pStyle w:val="ListParagraph"/>
        <w:numPr>
          <w:ilvl w:val="1"/>
          <w:numId w:val="50"/>
        </w:numPr>
        <w:tabs>
          <w:tab w:val="left" w:pos="284"/>
        </w:tabs>
        <w:spacing w:after="220" w:line="240" w:lineRule="auto"/>
        <w:ind w:left="0" w:firstLine="0"/>
        <w:contextualSpacing w:val="0"/>
        <w:rPr>
          <w:sz w:val="18"/>
        </w:rPr>
      </w:pPr>
      <w:r w:rsidRPr="002429C5">
        <w:rPr>
          <w:i/>
          <w:sz w:val="18"/>
        </w:rPr>
        <w:t>Passenger</w:t>
      </w:r>
      <w:r w:rsidRPr="002429C5">
        <w:rPr>
          <w:sz w:val="18"/>
        </w:rPr>
        <w:t xml:space="preserve"> is understood to mean anyone who undertakes a journey by railway, excluding train staff. In accident statistics this also includes persons who attempt to board or alight from a moving train.</w:t>
      </w:r>
    </w:p>
    <w:p w:rsidR="000A0609" w:rsidRPr="002429C5" w:rsidRDefault="000A0609" w:rsidP="00356DD7">
      <w:pPr>
        <w:pStyle w:val="ListParagraph"/>
        <w:numPr>
          <w:ilvl w:val="1"/>
          <w:numId w:val="50"/>
        </w:numPr>
        <w:tabs>
          <w:tab w:val="left" w:pos="284"/>
        </w:tabs>
        <w:spacing w:after="220" w:line="240" w:lineRule="auto"/>
        <w:ind w:left="0" w:firstLine="0"/>
        <w:contextualSpacing w:val="0"/>
        <w:rPr>
          <w:sz w:val="18"/>
        </w:rPr>
      </w:pPr>
      <w:r w:rsidRPr="002429C5">
        <w:rPr>
          <w:i/>
          <w:sz w:val="18"/>
        </w:rPr>
        <w:t>Staff, including contract staff</w:t>
      </w:r>
      <w:r w:rsidRPr="002429C5">
        <w:rPr>
          <w:sz w:val="18"/>
        </w:rPr>
        <w:t xml:space="preserve"> is understood to mean any person employed in connection with a railway and who is at work at the time of the accident. The definition includes train staff and persons operating rolling stock and infrastructure plant.</w:t>
      </w:r>
    </w:p>
    <w:p w:rsidR="000A0609" w:rsidRPr="002429C5" w:rsidRDefault="000A0609" w:rsidP="00356DD7">
      <w:pPr>
        <w:pStyle w:val="ListParagraph"/>
        <w:numPr>
          <w:ilvl w:val="1"/>
          <w:numId w:val="50"/>
        </w:numPr>
        <w:tabs>
          <w:tab w:val="left" w:pos="284"/>
        </w:tabs>
        <w:spacing w:after="220" w:line="240" w:lineRule="auto"/>
        <w:ind w:left="0" w:firstLine="0"/>
        <w:contextualSpacing w:val="0"/>
        <w:rPr>
          <w:sz w:val="18"/>
        </w:rPr>
      </w:pPr>
      <w:r w:rsidRPr="002429C5">
        <w:rPr>
          <w:i/>
          <w:sz w:val="18"/>
        </w:rPr>
        <w:t>Level-crossing users</w:t>
      </w:r>
      <w:r w:rsidRPr="002429C5">
        <w:rPr>
          <w:sz w:val="18"/>
        </w:rPr>
        <w:t xml:space="preserve"> is understood to mean anyone who uses a level crossing to cross the railway with the help of a vehicle or on foot.</w:t>
      </w:r>
    </w:p>
    <w:p w:rsidR="000A0609" w:rsidRPr="002429C5" w:rsidRDefault="000A0609" w:rsidP="00356DD7">
      <w:pPr>
        <w:pStyle w:val="ListParagraph"/>
        <w:numPr>
          <w:ilvl w:val="1"/>
          <w:numId w:val="50"/>
        </w:numPr>
        <w:tabs>
          <w:tab w:val="left" w:pos="284"/>
        </w:tabs>
        <w:spacing w:after="220" w:line="240" w:lineRule="auto"/>
        <w:ind w:left="0" w:firstLine="0"/>
        <w:contextualSpacing w:val="0"/>
        <w:rPr>
          <w:sz w:val="18"/>
        </w:rPr>
      </w:pPr>
      <w:r w:rsidRPr="002429C5">
        <w:rPr>
          <w:i/>
          <w:sz w:val="18"/>
        </w:rPr>
        <w:t>Persons on railway property without permission</w:t>
      </w:r>
      <w:r w:rsidRPr="002429C5">
        <w:rPr>
          <w:sz w:val="18"/>
        </w:rPr>
        <w:t xml:space="preserve"> is understood to mean all persons on railway property where this is prohibited, excluding level-crossing users.</w:t>
      </w:r>
    </w:p>
    <w:p w:rsidR="000A0609" w:rsidRPr="002429C5" w:rsidRDefault="000A0609" w:rsidP="00356DD7">
      <w:pPr>
        <w:pStyle w:val="ListParagraph"/>
        <w:numPr>
          <w:ilvl w:val="1"/>
          <w:numId w:val="50"/>
        </w:numPr>
        <w:tabs>
          <w:tab w:val="left" w:pos="284"/>
        </w:tabs>
        <w:spacing w:after="220" w:line="240" w:lineRule="auto"/>
        <w:ind w:left="0" w:firstLine="0"/>
        <w:contextualSpacing w:val="0"/>
        <w:rPr>
          <w:sz w:val="18"/>
        </w:rPr>
      </w:pPr>
      <w:r w:rsidRPr="002429C5">
        <w:rPr>
          <w:i/>
          <w:sz w:val="18"/>
        </w:rPr>
        <w:t>Other persons</w:t>
      </w:r>
      <w:r w:rsidRPr="002429C5">
        <w:rPr>
          <w:sz w:val="18"/>
        </w:rPr>
        <w:t xml:space="preserve"> is understood to mean all persons not covered by the definitions of passenger, staff, level-crossing users or persons on railway property without permission.</w:t>
      </w:r>
    </w:p>
    <w:p w:rsidR="000A0609" w:rsidRPr="002429C5" w:rsidRDefault="000A0609" w:rsidP="00356DD7">
      <w:pPr>
        <w:pStyle w:val="ListParagraph"/>
        <w:numPr>
          <w:ilvl w:val="1"/>
          <w:numId w:val="50"/>
        </w:numPr>
        <w:tabs>
          <w:tab w:val="left" w:pos="284"/>
        </w:tabs>
        <w:spacing w:after="220" w:line="240" w:lineRule="auto"/>
        <w:ind w:left="0" w:firstLine="0"/>
        <w:contextualSpacing w:val="0"/>
        <w:rPr>
          <w:sz w:val="18"/>
        </w:rPr>
      </w:pPr>
      <w:r w:rsidRPr="002429C5">
        <w:rPr>
          <w:i/>
          <w:sz w:val="18"/>
        </w:rPr>
        <w:t>Fatality</w:t>
      </w:r>
      <w:r w:rsidRPr="002429C5">
        <w:rPr>
          <w:sz w:val="18"/>
        </w:rPr>
        <w:t xml:space="preserve"> is understood to mean a person who is killed immediately or dies within 30 days as a result of an accident. Suicides are not included.</w:t>
      </w:r>
    </w:p>
    <w:p w:rsidR="000A0609" w:rsidRPr="002429C5" w:rsidRDefault="000A0609" w:rsidP="00356DD7">
      <w:pPr>
        <w:pStyle w:val="ListParagraph"/>
        <w:numPr>
          <w:ilvl w:val="1"/>
          <w:numId w:val="50"/>
        </w:numPr>
        <w:tabs>
          <w:tab w:val="left" w:pos="284"/>
        </w:tabs>
        <w:spacing w:after="220" w:line="240" w:lineRule="auto"/>
        <w:ind w:left="0" w:firstLine="0"/>
        <w:contextualSpacing w:val="0"/>
        <w:rPr>
          <w:sz w:val="18"/>
        </w:rPr>
      </w:pPr>
      <w:r w:rsidRPr="002429C5">
        <w:rPr>
          <w:i/>
          <w:sz w:val="18"/>
        </w:rPr>
        <w:t>Seriously injured person</w:t>
      </w:r>
      <w:r w:rsidRPr="002429C5">
        <w:rPr>
          <w:sz w:val="18"/>
        </w:rPr>
        <w:t xml:space="preserve"> is understood to mean a person who has been admitted to hospital for more than 24 hours as a result of an accident. Attempted suicides are not included.</w:t>
      </w:r>
    </w:p>
    <w:p w:rsidR="000A0609" w:rsidRPr="002429C5" w:rsidRDefault="000A0609" w:rsidP="00356DD7">
      <w:pPr>
        <w:pStyle w:val="ListParagraph"/>
        <w:numPr>
          <w:ilvl w:val="1"/>
          <w:numId w:val="50"/>
        </w:numPr>
        <w:tabs>
          <w:tab w:val="left" w:pos="284"/>
        </w:tabs>
        <w:spacing w:after="220" w:line="240" w:lineRule="auto"/>
        <w:ind w:left="0" w:firstLine="0"/>
        <w:contextualSpacing w:val="0"/>
        <w:rPr>
          <w:sz w:val="18"/>
        </w:rPr>
      </w:pPr>
      <w:r w:rsidRPr="002429C5">
        <w:rPr>
          <w:i/>
          <w:sz w:val="18"/>
        </w:rPr>
        <w:t>Less seriously injured person</w:t>
      </w:r>
      <w:r w:rsidRPr="002429C5">
        <w:rPr>
          <w:sz w:val="18"/>
        </w:rPr>
        <w:t xml:space="preserve"> is understood to mean a person who has suffered injury. Deaths and serious injuries are not included.</w:t>
      </w:r>
    </w:p>
    <w:p w:rsidR="00356DD7" w:rsidRPr="002429C5" w:rsidRDefault="00356DD7" w:rsidP="00356DD7">
      <w:pPr>
        <w:spacing w:after="0"/>
        <w:rPr>
          <w:b/>
          <w:bCs/>
        </w:rPr>
      </w:pPr>
    </w:p>
    <w:p w:rsidR="000A0609" w:rsidRPr="002429C5" w:rsidRDefault="000A0609" w:rsidP="00356DD7">
      <w:pPr>
        <w:keepNext/>
        <w:rPr>
          <w:b/>
          <w:bCs/>
        </w:rPr>
      </w:pPr>
      <w:r w:rsidRPr="002429C5">
        <w:rPr>
          <w:b/>
        </w:rPr>
        <w:t>Costs</w:t>
      </w:r>
    </w:p>
    <w:p w:rsidR="000A0609" w:rsidRPr="002429C5" w:rsidRDefault="000A0609" w:rsidP="00356DD7">
      <w:pPr>
        <w:pStyle w:val="ListParagraph"/>
        <w:numPr>
          <w:ilvl w:val="1"/>
          <w:numId w:val="50"/>
        </w:numPr>
        <w:tabs>
          <w:tab w:val="left" w:pos="284"/>
        </w:tabs>
        <w:spacing w:after="220" w:line="240" w:lineRule="auto"/>
        <w:ind w:left="0" w:firstLine="0"/>
        <w:contextualSpacing w:val="0"/>
        <w:rPr>
          <w:sz w:val="18"/>
        </w:rPr>
      </w:pPr>
      <w:r w:rsidRPr="002429C5">
        <w:rPr>
          <w:i/>
          <w:sz w:val="18"/>
        </w:rPr>
        <w:t>Costs of environmental damage</w:t>
      </w:r>
      <w:r w:rsidRPr="002429C5">
        <w:rPr>
          <w:sz w:val="18"/>
        </w:rPr>
        <w:t xml:space="preserve"> is understood to mean costs that must be met by railway undertakings and infrastructure managers, estimated on the basis of their experience, in returning a damaged area to its condition before the railway accident.</w:t>
      </w:r>
    </w:p>
    <w:p w:rsidR="000A0609" w:rsidRPr="002429C5" w:rsidRDefault="000A0609" w:rsidP="00356DD7">
      <w:pPr>
        <w:pStyle w:val="ListParagraph"/>
        <w:numPr>
          <w:ilvl w:val="1"/>
          <w:numId w:val="50"/>
        </w:numPr>
        <w:tabs>
          <w:tab w:val="left" w:pos="284"/>
        </w:tabs>
        <w:spacing w:after="220" w:line="240" w:lineRule="auto"/>
        <w:ind w:left="0" w:firstLine="0"/>
        <w:contextualSpacing w:val="0"/>
        <w:rPr>
          <w:sz w:val="18"/>
        </w:rPr>
      </w:pPr>
      <w:r w:rsidRPr="002429C5">
        <w:rPr>
          <w:i/>
          <w:sz w:val="18"/>
        </w:rPr>
        <w:t>Costs of material damage to rolling stock or infrastructure</w:t>
      </w:r>
      <w:r w:rsidRPr="002429C5">
        <w:rPr>
          <w:sz w:val="18"/>
        </w:rPr>
        <w:t xml:space="preserve"> is understood to mean the costs of purchasing new rolling stock or constructing new infrastructure with the same functionality and technical parameters as the rolling stock or infrastructure damaged in the accident, as well as the costs of returning rolling stock or infrastructure that can be repaired to its condition prior to the accident. Both parts must be estimated by the railway undertakings and infrastructure managers on the basis of their experience. Costs of leasing rolling stock to replace damaged vehicles that are not available are also covered by this definition.</w:t>
      </w:r>
    </w:p>
    <w:p w:rsidR="00356DD7" w:rsidRPr="002429C5" w:rsidRDefault="00356DD7" w:rsidP="00356DD7">
      <w:pPr>
        <w:spacing w:after="0"/>
        <w:rPr>
          <w:b/>
          <w:bCs/>
        </w:rPr>
      </w:pPr>
    </w:p>
    <w:p w:rsidR="000A0609" w:rsidRPr="002429C5" w:rsidRDefault="000A0609" w:rsidP="00356DD7">
      <w:pPr>
        <w:keepNext/>
        <w:rPr>
          <w:b/>
          <w:bCs/>
        </w:rPr>
      </w:pPr>
      <w:r w:rsidRPr="002429C5">
        <w:rPr>
          <w:b/>
        </w:rPr>
        <w:t>Level crossings</w:t>
      </w:r>
    </w:p>
    <w:p w:rsidR="000A0609" w:rsidRPr="002429C5" w:rsidRDefault="000A0609" w:rsidP="00356DD7">
      <w:pPr>
        <w:pStyle w:val="ListParagraph"/>
        <w:numPr>
          <w:ilvl w:val="1"/>
          <w:numId w:val="50"/>
        </w:numPr>
        <w:tabs>
          <w:tab w:val="left" w:pos="284"/>
        </w:tabs>
        <w:spacing w:after="220" w:line="240" w:lineRule="auto"/>
        <w:ind w:left="0" w:firstLine="0"/>
        <w:contextualSpacing w:val="0"/>
        <w:rPr>
          <w:color w:val="auto"/>
          <w:sz w:val="18"/>
        </w:rPr>
      </w:pPr>
      <w:r w:rsidRPr="002429C5">
        <w:rPr>
          <w:i/>
          <w:color w:val="auto"/>
          <w:sz w:val="18"/>
        </w:rPr>
        <w:t>Level crossing</w:t>
      </w:r>
      <w:r w:rsidRPr="002429C5">
        <w:rPr>
          <w:color w:val="auto"/>
          <w:sz w:val="18"/>
        </w:rPr>
        <w:t xml:space="preserve"> is understood to mean any level crossing between the railway and roads and paths that is recognised by the railway infrastructure manager, and which is open to general traffic. Platform crossings and walkways over tracks that may only be used by employees are not covered by this definition.</w:t>
      </w:r>
      <w:r w:rsidRPr="002429C5">
        <w:rPr>
          <w:rStyle w:val="FootnoteReference"/>
          <w:color w:val="auto"/>
          <w:sz w:val="18"/>
        </w:rPr>
        <w:footnoteReference w:id="29"/>
      </w:r>
    </w:p>
    <w:p w:rsidR="000A0609" w:rsidRPr="002429C5" w:rsidRDefault="000A0609" w:rsidP="00356DD7">
      <w:pPr>
        <w:pStyle w:val="ListParagraph"/>
        <w:numPr>
          <w:ilvl w:val="1"/>
          <w:numId w:val="50"/>
        </w:numPr>
        <w:tabs>
          <w:tab w:val="left" w:pos="284"/>
        </w:tabs>
        <w:spacing w:after="220" w:line="240" w:lineRule="auto"/>
        <w:ind w:left="0" w:firstLine="0"/>
        <w:contextualSpacing w:val="0"/>
        <w:rPr>
          <w:sz w:val="18"/>
        </w:rPr>
      </w:pPr>
      <w:r w:rsidRPr="002429C5">
        <w:rPr>
          <w:i/>
          <w:sz w:val="18"/>
        </w:rPr>
        <w:lastRenderedPageBreak/>
        <w:t>Level crossing with automatic protection or user-side warning signal system</w:t>
      </w:r>
      <w:r w:rsidRPr="002429C5">
        <w:rPr>
          <w:sz w:val="18"/>
        </w:rPr>
        <w:t xml:space="preserve"> is understood to mean a level crossing where the protection or warning signal is activated by the approaching train.</w:t>
      </w:r>
    </w:p>
    <w:p w:rsidR="000A0609" w:rsidRPr="002429C5" w:rsidRDefault="000A0609" w:rsidP="00356DD7">
      <w:pPr>
        <w:pStyle w:val="ListParagraph"/>
        <w:numPr>
          <w:ilvl w:val="1"/>
          <w:numId w:val="50"/>
        </w:numPr>
        <w:tabs>
          <w:tab w:val="left" w:pos="284"/>
        </w:tabs>
        <w:spacing w:after="220" w:line="240" w:lineRule="auto"/>
        <w:ind w:left="0" w:firstLine="0"/>
        <w:contextualSpacing w:val="0"/>
        <w:rPr>
          <w:sz w:val="18"/>
        </w:rPr>
      </w:pPr>
      <w:r w:rsidRPr="002429C5">
        <w:rPr>
          <w:i/>
          <w:sz w:val="18"/>
        </w:rPr>
        <w:t>Track-side protection</w:t>
      </w:r>
      <w:r w:rsidRPr="002429C5">
        <w:rPr>
          <w:sz w:val="18"/>
        </w:rPr>
        <w:t xml:space="preserve"> is understood to mean a signal or other operational safety system that only allows trains to pass if the level crossing is protected on the user side, and no one is about to cross; this is checked by means of monitoring or detection of obstacles.</w:t>
      </w:r>
    </w:p>
    <w:p w:rsidR="000A0609" w:rsidRPr="002429C5" w:rsidRDefault="000A0609" w:rsidP="00356DD7">
      <w:pPr>
        <w:pStyle w:val="ListParagraph"/>
        <w:numPr>
          <w:ilvl w:val="1"/>
          <w:numId w:val="50"/>
        </w:numPr>
        <w:tabs>
          <w:tab w:val="left" w:pos="284"/>
        </w:tabs>
        <w:spacing w:after="220" w:line="240" w:lineRule="auto"/>
        <w:ind w:left="0" w:firstLine="0"/>
        <w:contextualSpacing w:val="0"/>
        <w:rPr>
          <w:sz w:val="18"/>
        </w:rPr>
      </w:pPr>
      <w:r w:rsidRPr="002429C5">
        <w:rPr>
          <w:i/>
          <w:sz w:val="18"/>
        </w:rPr>
        <w:t>Level crossing with manually operated protection or warning signal system</w:t>
      </w:r>
      <w:r w:rsidRPr="002429C5">
        <w:rPr>
          <w:sz w:val="18"/>
        </w:rPr>
        <w:t xml:space="preserve"> is understood to mean a level crossing where the protection or warning signal system is activated manually and is not linked to a railway signal that only allows the train to pass if the protection or warning signal system has been activated.</w:t>
      </w:r>
    </w:p>
    <w:p w:rsidR="000A0609" w:rsidRPr="002429C5" w:rsidRDefault="000A0609" w:rsidP="00356DD7">
      <w:pPr>
        <w:pStyle w:val="ListParagraph"/>
        <w:numPr>
          <w:ilvl w:val="1"/>
          <w:numId w:val="50"/>
        </w:numPr>
        <w:tabs>
          <w:tab w:val="left" w:pos="284"/>
        </w:tabs>
        <w:spacing w:after="220" w:line="240" w:lineRule="auto"/>
        <w:ind w:left="0" w:firstLine="0"/>
        <w:contextualSpacing w:val="0"/>
        <w:rPr>
          <w:sz w:val="18"/>
        </w:rPr>
      </w:pPr>
      <w:r w:rsidRPr="002429C5">
        <w:rPr>
          <w:i/>
          <w:sz w:val="18"/>
        </w:rPr>
        <w:t>Unprotected level crossing</w:t>
      </w:r>
      <w:r w:rsidRPr="002429C5">
        <w:rPr>
          <w:sz w:val="18"/>
        </w:rPr>
        <w:t xml:space="preserve"> is understood to mean a level crossing where no form of warning system or protection is activated if users cannot use the crossing safely.</w:t>
      </w:r>
    </w:p>
    <w:p w:rsidR="00356DD7" w:rsidRPr="002429C5" w:rsidRDefault="00356DD7" w:rsidP="00356DD7">
      <w:pPr>
        <w:tabs>
          <w:tab w:val="left" w:pos="284"/>
        </w:tabs>
      </w:pPr>
    </w:p>
    <w:p w:rsidR="00356DD7" w:rsidRPr="002429C5" w:rsidRDefault="00356DD7" w:rsidP="00356DD7">
      <w:pPr>
        <w:tabs>
          <w:tab w:val="left" w:pos="284"/>
        </w:tabs>
        <w:sectPr w:rsidR="00356DD7" w:rsidRPr="002429C5" w:rsidSect="00356DD7">
          <w:headerReference w:type="first" r:id="rId42"/>
          <w:type w:val="continuous"/>
          <w:pgSz w:w="11906" w:h="16838" w:code="9"/>
          <w:pgMar w:top="1985" w:right="1985" w:bottom="1418" w:left="1985" w:header="709" w:footer="709" w:gutter="0"/>
          <w:cols w:space="709"/>
          <w:titlePg/>
          <w:docGrid w:linePitch="360"/>
        </w:sectPr>
      </w:pPr>
    </w:p>
    <w:p w:rsidR="003A0DB8" w:rsidRPr="002429C5" w:rsidRDefault="003A0DB8" w:rsidP="00356DD7">
      <w:pPr>
        <w:sectPr w:rsidR="003A0DB8" w:rsidRPr="002429C5" w:rsidSect="00356DD7">
          <w:headerReference w:type="default" r:id="rId43"/>
          <w:footerReference w:type="default" r:id="rId44"/>
          <w:type w:val="continuous"/>
          <w:pgSz w:w="11906" w:h="16838" w:code="9"/>
          <w:pgMar w:top="1985" w:right="1985" w:bottom="1418" w:left="1985" w:header="709" w:footer="709" w:gutter="0"/>
          <w:cols w:space="709"/>
          <w:titlePg/>
          <w:docGrid w:linePitch="360"/>
        </w:sectPr>
      </w:pPr>
    </w:p>
    <w:p w:rsidR="00042526" w:rsidRPr="002429C5" w:rsidRDefault="00042526"/>
    <w:p w:rsidR="00042526" w:rsidRPr="002429C5" w:rsidRDefault="00042526"/>
    <w:p w:rsidR="00042526" w:rsidRPr="002429C5" w:rsidRDefault="00042526"/>
    <w:p w:rsidR="00042526" w:rsidRPr="002429C5" w:rsidRDefault="00042526"/>
    <w:p w:rsidR="00042526" w:rsidRPr="002429C5" w:rsidRDefault="00042526"/>
    <w:p w:rsidR="00042526" w:rsidRPr="002429C5" w:rsidRDefault="00042526"/>
    <w:tbl>
      <w:tblPr>
        <w:tblW w:w="8049" w:type="dxa"/>
        <w:tblInd w:w="682" w:type="dxa"/>
        <w:tblLook w:val="01E0" w:firstRow="1" w:lastRow="1" w:firstColumn="1" w:lastColumn="1" w:noHBand="0" w:noVBand="0"/>
      </w:tblPr>
      <w:tblGrid>
        <w:gridCol w:w="8049"/>
      </w:tblGrid>
      <w:tr w:rsidR="00042526" w:rsidRPr="002429C5" w:rsidTr="002429C5">
        <w:trPr>
          <w:cantSplit/>
          <w:trHeight w:hRule="exact" w:val="567"/>
        </w:trPr>
        <w:tc>
          <w:tcPr>
            <w:tcW w:w="8049" w:type="dxa"/>
          </w:tcPr>
          <w:p w:rsidR="00042526" w:rsidRPr="002429C5" w:rsidRDefault="00042526" w:rsidP="002429C5">
            <w:r w:rsidRPr="002429C5">
              <w:rPr>
                <w:noProof/>
                <w:lang w:val="fr-LU" w:eastAsia="fr-LU" w:bidi="ar-SA"/>
              </w:rPr>
              <mc:AlternateContent>
                <mc:Choice Requires="wps">
                  <w:drawing>
                    <wp:anchor distT="0" distB="0" distL="114300" distR="114300" simplePos="0" relativeHeight="251659264" behindDoc="1" locked="0" layoutInCell="1" allowOverlap="1" wp14:anchorId="1807CFA9" wp14:editId="7EB64927">
                      <wp:simplePos x="0" y="0"/>
                      <wp:positionH relativeFrom="page">
                        <wp:posOffset>-1621790</wp:posOffset>
                      </wp:positionH>
                      <wp:positionV relativeFrom="line">
                        <wp:posOffset>352425</wp:posOffset>
                      </wp:positionV>
                      <wp:extent cx="7560310" cy="2879725"/>
                      <wp:effectExtent l="0" t="0" r="2540" b="0"/>
                      <wp:wrapNone/>
                      <wp:docPr id="15"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60310" cy="2879725"/>
                              </a:xfrm>
                              <a:prstGeom prst="rect">
                                <a:avLst/>
                              </a:prstGeom>
                              <a:solidFill>
                                <a:srgbClr val="8CC63E"/>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429C5" w:rsidRDefault="002429C5" w:rsidP="0004252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807CFA9" id="Rectangle 7" o:spid="_x0000_s1029" style="position:absolute;margin-left:-127.7pt;margin-top:27.75pt;width:595.3pt;height:226.7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" fillcolor="#8cc63e" stroked="f">
                      <v:textbox>
                        <w:txbxContent>
                          <w:p w:rsidR="002429C5" w:rsidRDefault="002429C5" w:rsidP="00042526"/>
                        </w:txbxContent>
                      </v:textbox>
                      <w10:wrap anchorx="page" anchory="line"/>
                    </v:rect>
                  </w:pict>
                </mc:Fallback>
              </mc:AlternateContent>
            </w:r>
          </w:p>
        </w:tc>
      </w:tr>
      <w:tr w:rsidR="00042526" w:rsidRPr="002429C5" w:rsidTr="002429C5">
        <w:trPr>
          <w:cantSplit/>
          <w:trHeight w:hRule="exact" w:val="4082"/>
        </w:trPr>
        <w:tc>
          <w:tcPr>
            <w:tcW w:w="8049" w:type="dxa"/>
            <w:noWrap/>
            <w:tcMar>
              <w:top w:w="482" w:type="dxa"/>
              <w:bottom w:w="482" w:type="dxa"/>
            </w:tcMar>
            <w:vAlign w:val="bottom"/>
          </w:tcPr>
          <w:p w:rsidR="00042526" w:rsidRPr="002429C5" w:rsidRDefault="00042526" w:rsidP="002429C5">
            <w:pPr>
              <w:pStyle w:val="Resume"/>
              <w:rPr>
                <w:color w:val="auto"/>
              </w:rPr>
            </w:pPr>
          </w:p>
        </w:tc>
      </w:tr>
    </w:tbl>
    <w:p w:rsidR="001B4B87" w:rsidRPr="002429C5" w:rsidRDefault="00051425">
      <w:r w:rsidRPr="002429C5">
        <w:rPr>
          <w:noProof/>
          <w:lang w:val="fr-LU" w:eastAsia="fr-LU" w:bidi="ar-SA"/>
        </w:rPr>
        <mc:AlternateContent>
          <mc:Choice Requires="wps">
            <w:drawing>
              <wp:anchor distT="0" distB="0" distL="114300" distR="114300" simplePos="0" relativeHeight="251656192" behindDoc="0" locked="0" layoutInCell="1" allowOverlap="1" wp14:anchorId="5AD9B535" wp14:editId="6D098951">
                <wp:simplePos x="0" y="0"/>
                <wp:positionH relativeFrom="page">
                  <wp:posOffset>5360718</wp:posOffset>
                </wp:positionH>
                <wp:positionV relativeFrom="margin">
                  <wp:posOffset>6966896</wp:posOffset>
                </wp:positionV>
                <wp:extent cx="1440180" cy="1367155"/>
                <wp:effectExtent l="0" t="0" r="7620" b="0"/>
                <wp:wrapNone/>
                <wp:docPr id="5"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13671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429C5" w:rsidRDefault="002429C5" w:rsidP="00543237">
                            <w:pPr>
                              <w:pStyle w:val="Billedetekst"/>
                            </w:pPr>
                            <w:r>
                              <w:t>Trafik- og Byggestyrelsen (Danish Transport and Construction Agency)</w:t>
                            </w:r>
                          </w:p>
                          <w:p w:rsidR="002429C5" w:rsidRDefault="002429C5" w:rsidP="00543237">
                            <w:pPr>
                              <w:pStyle w:val="Billedetekst"/>
                            </w:pPr>
                            <w:r>
                              <w:t>Edvard Thomsens Vej 14</w:t>
                            </w:r>
                          </w:p>
                          <w:p w:rsidR="002429C5" w:rsidRDefault="002429C5" w:rsidP="00543237">
                            <w:pPr>
                              <w:pStyle w:val="Billedetekst"/>
                            </w:pPr>
                            <w:r>
                              <w:t>DK-2300 Copenhagen S</w:t>
                            </w:r>
                          </w:p>
                          <w:p w:rsidR="002429C5" w:rsidRDefault="002429C5" w:rsidP="00543237">
                            <w:pPr>
                              <w:pStyle w:val="Billedetekst"/>
                            </w:pPr>
                          </w:p>
                          <w:p w:rsidR="002429C5" w:rsidRDefault="002429C5" w:rsidP="00543237">
                            <w:pPr>
                              <w:pStyle w:val="Billedetekst"/>
                            </w:pPr>
                            <w:r>
                              <w:t>info@tbst.dk</w:t>
                            </w:r>
                          </w:p>
                          <w:p w:rsidR="002429C5" w:rsidRDefault="002429C5" w:rsidP="00543237">
                            <w:pPr>
                              <w:pStyle w:val="Billedetekst"/>
                            </w:pPr>
                            <w:r>
                              <w:t>www.tbst.dk</w:t>
                            </w:r>
                          </w:p>
                          <w:p w:rsidR="002429C5" w:rsidRDefault="002429C5" w:rsidP="00543237">
                            <w:pPr>
                              <w:pStyle w:val="Billedetekst"/>
                            </w:pPr>
                          </w:p>
                          <w:p w:rsidR="002429C5" w:rsidRDefault="002429C5" w:rsidP="00543237">
                            <w:pPr>
                              <w:pStyle w:val="Billedetekst"/>
                              <w:rPr>
                                <w:b/>
                              </w:rPr>
                            </w:pPr>
                            <w:r>
                              <w:rPr>
                                <w:b/>
                              </w:rPr>
                              <w:t>Safety report for the railways 2014</w:t>
                            </w:r>
                          </w:p>
                          <w:p w:rsidR="002429C5" w:rsidRDefault="002429C5" w:rsidP="00543237">
                            <w:pPr>
                              <w:pStyle w:val="Billedetekst"/>
                              <w:rPr>
                                <w:b/>
                              </w:rPr>
                            </w:pPr>
                          </w:p>
                          <w:p w:rsidR="002429C5" w:rsidRPr="002F36F5" w:rsidRDefault="002429C5" w:rsidP="00543237">
                            <w:pPr>
                              <w:pStyle w:val="Billedetekst"/>
                              <w:rPr>
                                <w:i w:val="0"/>
                                <w:sz w:val="12"/>
                                <w:szCs w:val="12"/>
                              </w:rPr>
                            </w:pPr>
                            <w:r>
                              <w:rPr>
                                <w:i w:val="0"/>
                                <w:sz w:val="12"/>
                              </w:rPr>
                              <w:t xml:space="preserve">ISBN </w:t>
                            </w:r>
                            <w:r w:rsidRPr="002F36F5">
                              <w:rPr>
                                <w:i w:val="0"/>
                                <w:sz w:val="12"/>
                                <w:szCs w:val="12"/>
                              </w:rPr>
                              <w:fldChar w:fldCharType="begin"/>
                            </w:r>
                            <w:r>
                              <w:rPr>
                                <w:i w:val="0"/>
                                <w:sz w:val="12"/>
                                <w:szCs w:val="12"/>
                              </w:rPr>
                              <w:instrText>MACROBUTTON None Enter ISBN here</w:instrText>
                            </w:r>
                            <w:r w:rsidRPr="002F36F5">
                              <w:rPr>
                                <w:i w:val="0"/>
                                <w:sz w:val="12"/>
                                <w:szCs w:val="12"/>
                              </w:rP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AD9B535" id="Text Box 39" o:spid="_x0000_s1030" type="#_x0000_t202" style="position:absolute;margin-left:422.1pt;margin-top:548.55pt;width:113.4pt;height:107.6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" filled="f" stroked="f">
                <v:textbox style="mso-fit-shape-to-text:t" inset="0,0,0,0">
                  <w:txbxContent>
                    <w:p w:rsidR="002429C5" w:rsidRDefault="002429C5" w:rsidP="00543237">
                      <w:pPr>
                        <w:pStyle w:val="Billedetekst"/>
                      </w:pPr>
                      <w:r>
                        <w:t>Trafik- og Byggestyrelsen (Danish Transport and Construction Agency)</w:t>
                      </w:r>
                    </w:p>
                    <w:p w:rsidR="002429C5" w:rsidRDefault="002429C5" w:rsidP="00543237">
                      <w:pPr>
                        <w:pStyle w:val="Billedetekst"/>
                      </w:pPr>
                      <w:r>
                        <w:t>Edvard Thomsens Vej 14</w:t>
                      </w:r>
                    </w:p>
                    <w:p w:rsidR="002429C5" w:rsidRDefault="002429C5" w:rsidP="00543237">
                      <w:pPr>
                        <w:pStyle w:val="Billedetekst"/>
                      </w:pPr>
                      <w:r>
                        <w:t>DK-2300 Copenhagen S</w:t>
                      </w:r>
                    </w:p>
                    <w:p w:rsidR="002429C5" w:rsidRDefault="002429C5" w:rsidP="00543237">
                      <w:pPr>
                        <w:pStyle w:val="Billedetekst"/>
                      </w:pPr>
                    </w:p>
                    <w:p w:rsidR="002429C5" w:rsidRDefault="002429C5" w:rsidP="00543237">
                      <w:pPr>
                        <w:pStyle w:val="Billedetekst"/>
                      </w:pPr>
                      <w:r>
                        <w:t>info@tbst.dk</w:t>
                      </w:r>
                    </w:p>
                    <w:p w:rsidR="002429C5" w:rsidRDefault="002429C5" w:rsidP="00543237">
                      <w:pPr>
                        <w:pStyle w:val="Billedetekst"/>
                      </w:pPr>
                      <w:r>
                        <w:t>www.tbst.dk</w:t>
                      </w:r>
                    </w:p>
                    <w:p w:rsidR="002429C5" w:rsidRDefault="002429C5" w:rsidP="00543237">
                      <w:pPr>
                        <w:pStyle w:val="Billedetekst"/>
                      </w:pPr>
                    </w:p>
                    <w:p w:rsidR="002429C5" w:rsidRDefault="002429C5" w:rsidP="00543237">
                      <w:pPr>
                        <w:pStyle w:val="Billedetekst"/>
                        <w:rPr>
                          <w:b/>
                        </w:rPr>
                      </w:pPr>
                      <w:r>
                        <w:rPr>
                          <w:b/>
                        </w:rPr>
                        <w:t>Safety report for the railways 2014</w:t>
                      </w:r>
                    </w:p>
                    <w:p w:rsidR="002429C5" w:rsidRDefault="002429C5" w:rsidP="00543237">
                      <w:pPr>
                        <w:pStyle w:val="Billedetekst"/>
                        <w:rPr>
                          <w:b/>
                        </w:rPr>
                      </w:pPr>
                    </w:p>
                    <w:p w:rsidR="002429C5" w:rsidRPr="002F36F5" w:rsidRDefault="002429C5" w:rsidP="00543237">
                      <w:pPr>
                        <w:pStyle w:val="Billedetekst"/>
                        <w:rPr>
                          <w:i w:val="0"/>
                          <w:sz w:val="12"/>
                          <w:szCs w:val="12"/>
                        </w:rPr>
                      </w:pPr>
                      <w:r>
                        <w:rPr>
                          <w:i w:val="0"/>
                          <w:sz w:val="12"/>
                        </w:rPr>
                        <w:t xml:space="preserve">ISBN </w:t>
                      </w:r>
                      <w:r w:rsidRPr="002F36F5">
                        <w:rPr>
                          <w:i w:val="0"/>
                          <w:sz w:val="12"/>
                          <w:szCs w:val="12"/>
                        </w:rPr>
                        <w:fldChar w:fldCharType="begin"/>
                      </w:r>
                      <w:r>
                        <w:rPr>
                          <w:i w:val="0"/>
                          <w:sz w:val="12"/>
                          <w:szCs w:val="12"/>
                        </w:rPr>
                        <w:instrText>MACROBUTTON None Enter ISBN here</w:instrText>
                      </w:r>
                      <w:r w:rsidRPr="002F36F5">
                        <w:rPr>
                          <w:i w:val="0"/>
                          <w:sz w:val="12"/>
                          <w:szCs w:val="12"/>
                        </w:rPr>
                        <w:fldChar w:fldCharType="end"/>
                      </w:r>
                    </w:p>
                  </w:txbxContent>
                </v:textbox>
                <w10:wrap anchorx="page" anchory="margin"/>
              </v:shape>
            </w:pict>
          </mc:Fallback>
        </mc:AlternateContent>
      </w:r>
    </w:p>
    <w:sectPr w:rsidR="001B4B87" w:rsidRPr="002429C5" w:rsidSect="00356DD7">
      <w:headerReference w:type="default" r:id="rId45"/>
      <w:pgSz w:w="11906" w:h="16838" w:code="9"/>
      <w:pgMar w:top="1985" w:right="1985" w:bottom="1418" w:left="1985" w:header="709" w:footer="709" w:gutter="0"/>
      <w:cols w:num="2"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429C5" w:rsidRDefault="002429C5">
      <w:r>
        <w:separator/>
      </w:r>
    </w:p>
  </w:endnote>
  <w:endnote w:type="continuationSeparator" w:id="0">
    <w:p w:rsidR="002429C5" w:rsidRDefault="002429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429C5" w:rsidRDefault="002429C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429C5" w:rsidRDefault="002429C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429C5" w:rsidRDefault="002429C5">
      <w:pPr>
        <w:pStyle w:val="Footer"/>
      </w:pPr>
    </w:p>
  </w:footnote>
  <w:footnote w:type="continuationSeparator" w:id="0">
    <w:p w:rsidR="002429C5" w:rsidRDefault="002429C5">
      <w:pPr>
        <w:pStyle w:val="Footer"/>
      </w:pPr>
    </w:p>
  </w:footnote>
  <w:footnote w:type="continuationNotice" w:id="1">
    <w:p w:rsidR="002429C5" w:rsidRDefault="002429C5"/>
  </w:footnote>
  <w:footnote w:id="2">
    <w:p w:rsidR="002429C5" w:rsidRDefault="002429C5">
      <w:pPr>
        <w:pStyle w:val="FootnoteText"/>
      </w:pPr>
      <w:r>
        <w:rPr>
          <w:rStyle w:val="FootnoteReference"/>
        </w:rPr>
        <w:footnoteRef/>
      </w:r>
      <w:r>
        <w:t xml:space="preserve"> cf. Executive Order No 575 of 25 May 2010 concerning the reporting of data on accidents, precursors to accidents and safety irregularities, etc. to the Danish Transport Authority, </w:t>
      </w:r>
      <w:r>
        <w:rPr>
          <w:i/>
        </w:rPr>
        <w:t>as amended.</w:t>
      </w:r>
    </w:p>
  </w:footnote>
  <w:footnote w:id="3">
    <w:p w:rsidR="002429C5" w:rsidRDefault="002429C5" w:rsidP="00AC5E01">
      <w:pPr>
        <w:pStyle w:val="FootnoteText"/>
      </w:pPr>
      <w:r>
        <w:rPr>
          <w:rStyle w:val="FootnoteReference"/>
        </w:rPr>
        <w:footnoteRef/>
      </w:r>
      <w:r>
        <w:t xml:space="preserve"> See Annex A for information about the railway infrastructure.</w:t>
      </w:r>
    </w:p>
  </w:footnote>
  <w:footnote w:id="4">
    <w:p w:rsidR="002429C5" w:rsidRDefault="002429C5" w:rsidP="000669E5">
      <w:pPr>
        <w:pStyle w:val="FootnoteText"/>
      </w:pPr>
      <w:r>
        <w:rPr>
          <w:rStyle w:val="FootnoteReference"/>
        </w:rPr>
        <w:footnoteRef/>
      </w:r>
      <w:r>
        <w:t xml:space="preserve"> ”Other safety incidents” includes both </w:t>
      </w:r>
      <w:r>
        <w:rPr>
          <w:i/>
        </w:rPr>
        <w:t xml:space="preserve">precursors to accidents </w:t>
      </w:r>
      <w:r>
        <w:t xml:space="preserve">(that are reported to the EU) and </w:t>
      </w:r>
      <w:r>
        <w:rPr>
          <w:i/>
        </w:rPr>
        <w:t>safety irregularities,</w:t>
      </w:r>
      <w:r>
        <w:t xml:space="preserve"> which do not have to be reported to the EU. The legislation makes this distinction, but for the sake of readability this report does not differentiate between these two types.</w:t>
      </w:r>
    </w:p>
  </w:footnote>
  <w:footnote w:id="5">
    <w:p w:rsidR="002429C5" w:rsidRDefault="002429C5" w:rsidP="000669E5">
      <w:pPr>
        <w:pStyle w:val="FootnoteText"/>
      </w:pPr>
      <w:r>
        <w:rPr>
          <w:rStyle w:val="FootnoteReference"/>
        </w:rPr>
        <w:footnoteRef/>
      </w:r>
      <w:r>
        <w:t xml:space="preserve"> See Annex C for definitions of various terms used in this report.</w:t>
      </w:r>
    </w:p>
  </w:footnote>
  <w:footnote w:id="6">
    <w:p w:rsidR="002429C5" w:rsidRDefault="002429C5">
      <w:pPr>
        <w:pStyle w:val="FootnoteText"/>
      </w:pPr>
      <w:r>
        <w:rPr>
          <w:rStyle w:val="FootnoteReference"/>
        </w:rPr>
        <w:footnoteRef/>
      </w:r>
      <w:r>
        <w:t xml:space="preserve"> To minimise statistical uncertainty when indicating relatively small data volumes, the 5</w:t>
      </w:r>
      <w:r>
        <w:noBreakHyphen/>
        <w:t>year average is used to assess developments in railway safety.</w:t>
      </w:r>
    </w:p>
  </w:footnote>
  <w:footnote w:id="7">
    <w:p w:rsidR="002429C5" w:rsidRDefault="002429C5">
      <w:pPr>
        <w:pStyle w:val="FootnoteText"/>
      </w:pPr>
      <w:r>
        <w:rPr>
          <w:rStyle w:val="FootnoteReference"/>
        </w:rPr>
        <w:footnoteRef/>
      </w:r>
      <w:r>
        <w:t xml:space="preserve"> Suicides that occur on the railways are not treated as railway accidents. Read more about this on page 13. See also Annex C for further definitions used.</w:t>
      </w:r>
    </w:p>
  </w:footnote>
  <w:footnote w:id="8">
    <w:p w:rsidR="002429C5" w:rsidRDefault="002429C5" w:rsidP="00355106">
      <w:pPr>
        <w:pStyle w:val="FootnoteText"/>
      </w:pPr>
      <w:r>
        <w:rPr>
          <w:rStyle w:val="FootnoteReference"/>
        </w:rPr>
        <w:footnoteRef/>
      </w:r>
      <w:r>
        <w:t xml:space="preserve"> The unit </w:t>
      </w:r>
      <w:r>
        <w:rPr>
          <w:i/>
        </w:rPr>
        <w:t>number of deaths and weighted serious injuries</w:t>
      </w:r>
      <w:r>
        <w:t xml:space="preserve"> is abbreviated to the English</w:t>
      </w:r>
      <w:r>
        <w:rPr>
          <w:i/>
        </w:rPr>
        <w:t xml:space="preserve"> </w:t>
      </w:r>
      <w:r>
        <w:t xml:space="preserve">FWSI: </w:t>
      </w:r>
      <w:r>
        <w:rPr>
          <w:i/>
        </w:rPr>
        <w:t>fatalities and weighted serious injuries.</w:t>
      </w:r>
    </w:p>
  </w:footnote>
  <w:footnote w:id="9">
    <w:p w:rsidR="002429C5" w:rsidRDefault="002429C5" w:rsidP="006F502B">
      <w:pPr>
        <w:pStyle w:val="FootnoteText"/>
      </w:pPr>
      <w:r>
        <w:rPr>
          <w:rStyle w:val="FootnoteReference"/>
        </w:rPr>
        <w:footnoteRef/>
      </w:r>
      <w:r>
        <w:t xml:space="preserve"> The Danish safety target is established in </w:t>
      </w:r>
      <w:hyperlink r:id="rId1">
        <w:r>
          <w:rPr>
            <w:rStyle w:val="Hyperlink"/>
          </w:rPr>
          <w:t>”Den fælleseuropæiske jernbane. En strategi for høj sikkerhed og smidig gennemførelse i Danmark”</w:t>
        </w:r>
      </w:hyperlink>
      <w:r>
        <w:t xml:space="preserve"> [The common European railways – Strategy for high levels of safety and smooth implementation in Denmark] February 2009. </w:t>
      </w:r>
    </w:p>
  </w:footnote>
  <w:footnote w:id="10">
    <w:p w:rsidR="002429C5" w:rsidRDefault="002429C5" w:rsidP="00DA285E">
      <w:pPr>
        <w:pStyle w:val="FootnoteText"/>
      </w:pPr>
      <w:r>
        <w:rPr>
          <w:rStyle w:val="FootnoteReference"/>
        </w:rPr>
        <w:footnoteRef/>
      </w:r>
      <w:r>
        <w:t xml:space="preserve"> Note that the category ‘</w:t>
      </w:r>
      <w:r>
        <w:rPr>
          <w:i/>
        </w:rPr>
        <w:t>collisions with persons</w:t>
      </w:r>
      <w:r>
        <w:t xml:space="preserve">’ includes all accidents with moving rolling stock that do not take place at a level crossing. Most of these accidents will be collisions with persons, but the category also includes, for example, passengers who fall from the train as a result of its movement. In the interests of clarity, they are all referred to as </w:t>
      </w:r>
      <w:r>
        <w:rPr>
          <w:i/>
        </w:rPr>
        <w:t>collisions with persons</w:t>
      </w:r>
      <w:r>
        <w:t xml:space="preserve"> in the safety report. See also Annex C for further definitions used.</w:t>
      </w:r>
    </w:p>
  </w:footnote>
  <w:footnote w:id="11">
    <w:p w:rsidR="002429C5" w:rsidRDefault="002429C5" w:rsidP="00FD0977">
      <w:pPr>
        <w:pStyle w:val="FootnoteText"/>
      </w:pPr>
      <w:r>
        <w:rPr>
          <w:rStyle w:val="FootnoteReference"/>
        </w:rPr>
        <w:footnoteRef/>
      </w:r>
      <w:r>
        <w:t xml:space="preserve"> Derailments and collisions that occur during shunting are recorded in the Safety Report as ’</w:t>
      </w:r>
      <w:r>
        <w:rPr>
          <w:i/>
        </w:rPr>
        <w:t>other accidents’</w:t>
      </w:r>
      <w:r>
        <w:t xml:space="preserve">. The reason is that the accident types 'collisions' and 'derailments' have very different potentials for destruction, depending on whether they occur in an area where there are passengers, or an area where there are no passengers (e.g. shunting/clearing area or the like). To distinguish between accidents with a high hazard potential and those with a low hazard potential, derailments and collisions that occur in shunting areas are categorised as </w:t>
      </w:r>
      <w:r>
        <w:rPr>
          <w:i/>
        </w:rPr>
        <w:t>other accident</w:t>
      </w:r>
      <w:r>
        <w:t>.</w:t>
      </w:r>
    </w:p>
  </w:footnote>
  <w:footnote w:id="12">
    <w:p w:rsidR="002429C5" w:rsidRPr="00E118E1" w:rsidRDefault="002429C5" w:rsidP="00FD0977">
      <w:pPr>
        <w:pStyle w:val="FootnoteText"/>
      </w:pPr>
      <w:r>
        <w:rPr>
          <w:rStyle w:val="FootnoteReference"/>
        </w:rPr>
        <w:footnoteRef/>
      </w:r>
      <w:r>
        <w:t xml:space="preserve"> Railway Safety Performance in the European Union 2014, European Railway Agency. </w:t>
      </w:r>
      <w:hyperlink r:id="rId2">
        <w:r>
          <w:rPr>
            <w:rStyle w:val="Hyperlink"/>
          </w:rPr>
          <w:t>www.era.europa.eu</w:t>
        </w:r>
      </w:hyperlink>
      <w:r>
        <w:t xml:space="preserve">. As well as on the website: ERAIL (European Railway Information): </w:t>
      </w:r>
      <w:hyperlink r:id="rId3">
        <w:r>
          <w:rPr>
            <w:rStyle w:val="Hyperlink"/>
          </w:rPr>
          <w:t>https://erail.era.europa.eu/</w:t>
        </w:r>
      </w:hyperlink>
      <w:r>
        <w:t xml:space="preserve"> </w:t>
      </w:r>
    </w:p>
  </w:footnote>
  <w:footnote w:id="13">
    <w:p w:rsidR="002429C5" w:rsidRDefault="002429C5">
      <w:pPr>
        <w:pStyle w:val="FootnoteText"/>
      </w:pPr>
      <w:r>
        <w:rPr>
          <w:rStyle w:val="FootnoteReference"/>
        </w:rPr>
        <w:footnoteRef/>
      </w:r>
      <w:r>
        <w:t xml:space="preserve"> In the period 2008 – 2013, however, there was no major difference between the safety level for the entire Danish rail network including the metro and local railways and the safety level for the Danish railways excluding local railways and the metro.</w:t>
      </w:r>
    </w:p>
  </w:footnote>
  <w:footnote w:id="14">
    <w:p w:rsidR="002429C5" w:rsidRDefault="002429C5" w:rsidP="00FD0977">
      <w:pPr>
        <w:pStyle w:val="FootnoteText"/>
      </w:pPr>
      <w:r>
        <w:rPr>
          <w:rStyle w:val="FootnoteReference"/>
        </w:rPr>
        <w:footnoteRef/>
      </w:r>
      <w:r>
        <w:t xml:space="preserve"> The common safety indicators (CSI) are reported, cf. Annex I to the Safety Directive. Published in Denmark in Order No 1293 of 23 November 2010.</w:t>
      </w:r>
    </w:p>
  </w:footnote>
  <w:footnote w:id="15">
    <w:p w:rsidR="002429C5" w:rsidRDefault="002429C5">
      <w:pPr>
        <w:pStyle w:val="FootnoteText"/>
      </w:pPr>
      <w:r>
        <w:rPr>
          <w:rStyle w:val="FootnoteReference"/>
        </w:rPr>
        <w:footnoteRef/>
      </w:r>
      <w:r>
        <w:t xml:space="preserve"> This is a condition directed at a period that occurs each year. No year is therefore specified.</w:t>
      </w:r>
    </w:p>
  </w:footnote>
  <w:footnote w:id="16">
    <w:p w:rsidR="002429C5" w:rsidRDefault="002429C5">
      <w:pPr>
        <w:pStyle w:val="FootnoteText"/>
      </w:pPr>
      <w:r>
        <w:rPr>
          <w:rStyle w:val="FootnoteReference"/>
        </w:rPr>
        <w:footnoteRef/>
      </w:r>
      <w:r>
        <w:t xml:space="preserve"> Situations where communication between coupled units does not work.</w:t>
      </w:r>
    </w:p>
  </w:footnote>
  <w:footnote w:id="17">
    <w:p w:rsidR="002429C5" w:rsidRDefault="002429C5" w:rsidP="00996311">
      <w:pPr>
        <w:pStyle w:val="FootnoteText"/>
        <w:rPr>
          <w:rFonts w:asciiTheme="minorHAnsi" w:hAnsiTheme="minorHAnsi" w:cstheme="minorBidi"/>
          <w:sz w:val="20"/>
          <w:lang w:eastAsia="en-US"/>
        </w:rPr>
      </w:pPr>
      <w:r>
        <w:rPr>
          <w:rStyle w:val="FootnoteReference"/>
        </w:rPr>
        <w:footnoteRef/>
      </w:r>
      <w:r>
        <w:t xml:space="preserve"> These barriers can be either of a technical nature or definite procedures to prevent incidents or reduce their consequences.</w:t>
      </w:r>
    </w:p>
  </w:footnote>
  <w:footnote w:id="18">
    <w:p w:rsidR="002429C5" w:rsidRDefault="002429C5" w:rsidP="009574F3">
      <w:pPr>
        <w:pStyle w:val="FootnoteText"/>
      </w:pPr>
      <w:r>
        <w:rPr>
          <w:rStyle w:val="FootnoteReference"/>
        </w:rPr>
        <w:footnoteRef/>
      </w:r>
      <w:r>
        <w:t xml:space="preserve"> The Railways Centre bases its supervision on the requirements placed on undertakings' safety management systems as set out in 'Executive Order No 13 of 04/01/2007 on the safety approval of railway infrastructure managers' and 'Executive Order No 14 of 04/01/2007 on safety certificates for railway undertakings'.</w:t>
      </w:r>
    </w:p>
  </w:footnote>
  <w:footnote w:id="19">
    <w:p w:rsidR="002429C5" w:rsidRDefault="002429C5" w:rsidP="00F21B68">
      <w:pPr>
        <w:pStyle w:val="FootnoteText"/>
      </w:pPr>
      <w:r>
        <w:rPr>
          <w:rStyle w:val="FootnoteReference"/>
        </w:rPr>
        <w:footnoteRef/>
      </w:r>
      <w:r>
        <w:t xml:space="preserve"> </w:t>
      </w:r>
      <w:hyperlink r:id="rId4">
        <w:r>
          <w:rPr>
            <w:rStyle w:val="Hyperlink"/>
          </w:rPr>
          <w:t>Strategi og praksis for tilsyn med jernbanesikkerhed</w:t>
        </w:r>
      </w:hyperlink>
      <w:r>
        <w:t xml:space="preserve"> [Strategy and practice for supervising railway safety], Version 2, December 2011. </w:t>
      </w:r>
    </w:p>
  </w:footnote>
  <w:footnote w:id="20">
    <w:p w:rsidR="002429C5" w:rsidRDefault="002429C5">
      <w:pPr>
        <w:pStyle w:val="FootnoteText"/>
      </w:pPr>
      <w:r>
        <w:rPr>
          <w:rStyle w:val="FootnoteReference"/>
        </w:rPr>
        <w:footnoteRef/>
      </w:r>
      <w:r>
        <w:t xml:space="preserve"> This area was not originally announced as a special focus area in the supervision schedule. However, based on several reports precisely about presence in drivers' cabs, this area was included in this Safety Report's theme section.</w:t>
      </w:r>
    </w:p>
  </w:footnote>
  <w:footnote w:id="21">
    <w:p w:rsidR="002429C5" w:rsidRPr="000A69EA" w:rsidRDefault="002429C5">
      <w:pPr>
        <w:pStyle w:val="FootnoteText"/>
      </w:pPr>
      <w:r>
        <w:rPr>
          <w:rStyle w:val="FootnoteReference"/>
        </w:rPr>
        <w:footnoteRef/>
      </w:r>
      <w:r>
        <w:t xml:space="preserve"> Common European safety method for risk evaluation and assessment No 402/2013.</w:t>
      </w:r>
    </w:p>
  </w:footnote>
  <w:footnote w:id="22">
    <w:p w:rsidR="002429C5" w:rsidRDefault="002429C5">
      <w:pPr>
        <w:pStyle w:val="FootnoteText"/>
      </w:pPr>
      <w:r>
        <w:rPr>
          <w:rStyle w:val="FootnoteReference"/>
        </w:rPr>
        <w:footnoteRef/>
      </w:r>
      <w:r>
        <w:t xml:space="preserve"> Read more about handling CSM-RA in chapter 7 'Experiences with the Risk Assessment Regulation'.</w:t>
      </w:r>
    </w:p>
  </w:footnote>
  <w:footnote w:id="23">
    <w:p w:rsidR="002429C5" w:rsidRDefault="002429C5" w:rsidP="0059495B">
      <w:pPr>
        <w:pStyle w:val="FootnoteText"/>
      </w:pPr>
      <w:r>
        <w:rPr>
          <w:rStyle w:val="FootnoteReference"/>
        </w:rPr>
        <w:t>[1]</w:t>
      </w:r>
      <w:r>
        <w:t xml:space="preserve"> Act No 686 of 27 May 2015: </w:t>
      </w:r>
      <w:hyperlink r:id="rId5">
        <w:r>
          <w:rPr>
            <w:rStyle w:val="Hyperlink"/>
          </w:rPr>
          <w:t>https://www.retsinformation.dk/Forms/R0710.aspx?id=170457</w:t>
        </w:r>
      </w:hyperlink>
    </w:p>
  </w:footnote>
  <w:footnote w:id="24">
    <w:p w:rsidR="002429C5" w:rsidRDefault="002429C5" w:rsidP="00AF4E56">
      <w:pPr>
        <w:pStyle w:val="FootnoteText"/>
      </w:pPr>
      <w:r>
        <w:rPr>
          <w:rStyle w:val="FootnoteReference"/>
        </w:rPr>
        <w:footnoteRef/>
      </w:r>
      <w:r>
        <w:t xml:space="preserve"> Directive 2004/49/EC, as amended by Directives 2008/110/EC, 2009/149/EC, 2012/34/EU and 2014/88/EU 2014.</w:t>
      </w:r>
    </w:p>
  </w:footnote>
  <w:footnote w:id="25">
    <w:p w:rsidR="002429C5" w:rsidRDefault="002429C5" w:rsidP="000A0609">
      <w:pPr>
        <w:pStyle w:val="FootnoteText"/>
      </w:pPr>
      <w:r>
        <w:rPr>
          <w:rStyle w:val="FootnoteReference"/>
        </w:rPr>
        <w:footnoteRef/>
      </w:r>
      <w:r>
        <w:t xml:space="preserve"> Executive Order No 575 of 25 May 2010, as amended </w:t>
      </w:r>
    </w:p>
  </w:footnote>
  <w:footnote w:id="26">
    <w:p w:rsidR="002429C5" w:rsidRPr="009A7320" w:rsidRDefault="002429C5" w:rsidP="000A0609">
      <w:pPr>
        <w:pStyle w:val="FootnoteText"/>
        <w:rPr>
          <w:i/>
        </w:rPr>
      </w:pPr>
      <w:r>
        <w:rPr>
          <w:rStyle w:val="FootnoteReference"/>
        </w:rPr>
        <w:footnoteRef/>
      </w:r>
      <w:r>
        <w:t xml:space="preserve"> §3 of Exec. Order No 575 of 25 May 2012 on the reporting of data on accidents, precursors to accidents and safety irregularities, etc. to the Danish Transport Authority, </w:t>
      </w:r>
      <w:r>
        <w:rPr>
          <w:i/>
        </w:rPr>
        <w:t>as amended</w:t>
      </w:r>
    </w:p>
  </w:footnote>
  <w:footnote w:id="27">
    <w:p w:rsidR="002429C5" w:rsidRDefault="002429C5" w:rsidP="000A0609">
      <w:pPr>
        <w:pStyle w:val="FootnoteText"/>
      </w:pPr>
      <w:r>
        <w:rPr>
          <w:rStyle w:val="FootnoteReference"/>
        </w:rPr>
        <w:footnoteRef/>
      </w:r>
      <w:r>
        <w:t xml:space="preserve"> Commission Directive 2009/149/EC of 27 November 2009, Annex 1. Implemented by Exec. Order No 1293 of 23/11/2010.</w:t>
      </w:r>
    </w:p>
  </w:footnote>
  <w:footnote w:id="28">
    <w:p w:rsidR="002429C5" w:rsidRDefault="002429C5" w:rsidP="000A0609">
      <w:pPr>
        <w:pStyle w:val="FootnoteText"/>
      </w:pPr>
      <w:r>
        <w:rPr>
          <w:rStyle w:val="FootnoteReference"/>
        </w:rPr>
        <w:footnoteRef/>
      </w:r>
      <w:r>
        <w:t xml:space="preserve"> §3 para. 2 of Exec. Order No 575 of 25 May 2012 on the reporting of data on accidents, precursors to accidents and safety irregularities, etc. to the Danish Transport Authority.</w:t>
      </w:r>
    </w:p>
  </w:footnote>
  <w:footnote w:id="29">
    <w:p w:rsidR="002429C5" w:rsidRDefault="002429C5" w:rsidP="000A0609">
      <w:pPr>
        <w:pStyle w:val="FootnoteText"/>
      </w:pPr>
      <w:r>
        <w:rPr>
          <w:rStyle w:val="FootnoteReference"/>
        </w:rPr>
        <w:footnoteRef/>
      </w:r>
      <w:r>
        <w:t xml:space="preserve"> Exec. Order No 1142 of 07/12/2011. Executive Order on safety measures at level crossings managed by Banedanmark that are open to general traffic</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8827" w:type="dxa"/>
      <w:tblInd w:w="-1137" w:type="dxa"/>
      <w:tblLook w:val="01E0" w:firstRow="1" w:lastRow="1" w:firstColumn="1" w:lastColumn="1" w:noHBand="0" w:noVBand="0"/>
    </w:tblPr>
    <w:tblGrid>
      <w:gridCol w:w="850"/>
      <w:gridCol w:w="2547"/>
      <w:gridCol w:w="5430"/>
    </w:tblGrid>
    <w:tr w:rsidR="002429C5" w:rsidTr="00474822">
      <w:trPr>
        <w:cantSplit/>
        <w:trHeight w:hRule="exact" w:val="567"/>
      </w:trPr>
      <w:tc>
        <w:tcPr>
          <w:tcW w:w="850" w:type="dxa"/>
          <w:tcBorders>
            <w:right w:val="single" w:sz="4" w:space="0" w:color="auto"/>
          </w:tcBorders>
          <w:tcMar>
            <w:left w:w="0" w:type="dxa"/>
            <w:right w:w="284" w:type="dxa"/>
          </w:tcMar>
        </w:tcPr>
        <w:p w:rsidR="002429C5" w:rsidRDefault="002429C5" w:rsidP="00594B82">
          <w:pPr>
            <w:pStyle w:val="Header"/>
          </w:pP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p>
      </w:tc>
      <w:tc>
        <w:tcPr>
          <w:tcW w:w="2547" w:type="dxa"/>
          <w:tcBorders>
            <w:left w:val="single" w:sz="4" w:space="0" w:color="auto"/>
            <w:right w:val="single" w:sz="4" w:space="0" w:color="auto"/>
          </w:tcBorders>
          <w:tcMar>
            <w:left w:w="284" w:type="dxa"/>
            <w:right w:w="284" w:type="dxa"/>
          </w:tcMar>
        </w:tcPr>
        <w:p w:rsidR="002429C5" w:rsidRDefault="002429C5" w:rsidP="00594B82">
          <w:pPr>
            <w:pStyle w:val="Header"/>
          </w:pPr>
          <w:r>
            <w:fldChar w:fldCharType="begin"/>
          </w:r>
          <w:r>
            <w:instrText xml:space="preserve"> STYLEREF  Rapporttitel  \* MERGEFORMAT </w:instrText>
          </w:r>
          <w:r>
            <w:rPr>
              <w:noProof/>
            </w:rPr>
            <w:fldChar w:fldCharType="end"/>
          </w:r>
        </w:p>
      </w:tc>
      <w:tc>
        <w:tcPr>
          <w:tcW w:w="5430" w:type="dxa"/>
          <w:tcBorders>
            <w:left w:val="single" w:sz="4" w:space="0" w:color="auto"/>
          </w:tcBorders>
          <w:tcMar>
            <w:left w:w="284" w:type="dxa"/>
            <w:right w:w="284" w:type="dxa"/>
          </w:tcMar>
        </w:tcPr>
        <w:p w:rsidR="002429C5" w:rsidRDefault="002429C5" w:rsidP="00594B82">
          <w:pPr>
            <w:pStyle w:val="Header"/>
          </w:pPr>
          <w:r>
            <w:fldChar w:fldCharType="begin"/>
          </w:r>
          <w:r>
            <w:instrText xml:space="preserve"> STYLEREF  "TS Overskrift 1" \l  \* MERGEFORMAT </w:instrText>
          </w:r>
          <w:r>
            <w:rPr>
              <w:noProof/>
            </w:rPr>
            <w:fldChar w:fldCharType="end"/>
          </w:r>
        </w:p>
      </w:tc>
    </w:tr>
  </w:tbl>
  <w:p w:rsidR="002429C5" w:rsidRPr="00E31100" w:rsidRDefault="002429C5" w:rsidP="00594B82">
    <w:pPr>
      <w:pStyle w:val="Heade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8827" w:type="dxa"/>
      <w:tblInd w:w="-1137" w:type="dxa"/>
      <w:tblLook w:val="01E0" w:firstRow="1" w:lastRow="1" w:firstColumn="1" w:lastColumn="1" w:noHBand="0" w:noVBand="0"/>
    </w:tblPr>
    <w:tblGrid>
      <w:gridCol w:w="850"/>
      <w:gridCol w:w="2547"/>
      <w:gridCol w:w="5430"/>
    </w:tblGrid>
    <w:tr w:rsidR="002429C5" w:rsidTr="00474822">
      <w:trPr>
        <w:cantSplit/>
        <w:trHeight w:hRule="exact" w:val="567"/>
      </w:trPr>
      <w:tc>
        <w:tcPr>
          <w:tcW w:w="850" w:type="dxa"/>
          <w:tcBorders>
            <w:right w:val="single" w:sz="4" w:space="0" w:color="auto"/>
          </w:tcBorders>
          <w:tcMar>
            <w:left w:w="0" w:type="dxa"/>
            <w:right w:w="284" w:type="dxa"/>
          </w:tcMar>
        </w:tcPr>
        <w:p w:rsidR="002429C5" w:rsidRDefault="002429C5" w:rsidP="00594B82">
          <w:pPr>
            <w:pStyle w:val="Header"/>
          </w:pPr>
          <w:r>
            <w:rPr>
              <w:rStyle w:val="PageNumber"/>
            </w:rPr>
            <w:fldChar w:fldCharType="begin"/>
          </w:r>
          <w:r>
            <w:rPr>
              <w:rStyle w:val="PageNumber"/>
            </w:rPr>
            <w:instrText xml:space="preserve"> PAGE </w:instrText>
          </w:r>
          <w:r>
            <w:rPr>
              <w:rStyle w:val="PageNumber"/>
            </w:rPr>
            <w:fldChar w:fldCharType="separate"/>
          </w:r>
          <w:r w:rsidR="00BD1ADD">
            <w:rPr>
              <w:rStyle w:val="PageNumber"/>
              <w:noProof/>
            </w:rPr>
            <w:t>19</w:t>
          </w:r>
          <w:r>
            <w:rPr>
              <w:rStyle w:val="PageNumber"/>
            </w:rPr>
            <w:fldChar w:fldCharType="end"/>
          </w:r>
        </w:p>
      </w:tc>
      <w:tc>
        <w:tcPr>
          <w:tcW w:w="2547" w:type="dxa"/>
          <w:tcBorders>
            <w:left w:val="single" w:sz="4" w:space="0" w:color="auto"/>
            <w:right w:val="single" w:sz="4" w:space="0" w:color="auto"/>
          </w:tcBorders>
          <w:tcMar>
            <w:left w:w="284" w:type="dxa"/>
            <w:right w:w="284" w:type="dxa"/>
          </w:tcMar>
        </w:tcPr>
        <w:p w:rsidR="002429C5" w:rsidRPr="00D43322" w:rsidRDefault="002429C5" w:rsidP="00594B82">
          <w:pPr>
            <w:pStyle w:val="Header"/>
            <w:rPr>
              <w:b/>
            </w:rPr>
          </w:pPr>
          <w:r w:rsidRPr="00D43322">
            <w:rPr>
              <w:b/>
            </w:rPr>
            <w:fldChar w:fldCharType="begin"/>
          </w:r>
          <w:r w:rsidRPr="00D43322">
            <w:rPr>
              <w:b/>
            </w:rPr>
            <w:instrText xml:space="preserve"> STYLEREF  Rapporttitel  \* MERGEFORMAT </w:instrText>
          </w:r>
          <w:r w:rsidRPr="00D43322">
            <w:rPr>
              <w:b/>
            </w:rPr>
            <w:fldChar w:fldCharType="separate"/>
          </w:r>
          <w:r w:rsidR="00BD1ADD">
            <w:rPr>
              <w:b/>
              <w:noProof/>
            </w:rPr>
            <w:t>Safety report for the railways 2014</w:t>
          </w:r>
          <w:r w:rsidRPr="00D43322">
            <w:rPr>
              <w:b/>
              <w:noProof/>
            </w:rPr>
            <w:fldChar w:fldCharType="end"/>
          </w:r>
        </w:p>
      </w:tc>
      <w:tc>
        <w:tcPr>
          <w:tcW w:w="5430" w:type="dxa"/>
          <w:tcBorders>
            <w:left w:val="single" w:sz="4" w:space="0" w:color="auto"/>
          </w:tcBorders>
          <w:tcMar>
            <w:left w:w="284" w:type="dxa"/>
            <w:right w:w="284" w:type="dxa"/>
          </w:tcMar>
        </w:tcPr>
        <w:p w:rsidR="002429C5" w:rsidRDefault="002429C5" w:rsidP="00594B82">
          <w:pPr>
            <w:pStyle w:val="Header"/>
          </w:pPr>
        </w:p>
      </w:tc>
    </w:tr>
  </w:tbl>
  <w:p w:rsidR="002429C5" w:rsidRPr="00E31100" w:rsidRDefault="002429C5" w:rsidP="00594B82">
    <w:pPr>
      <w:pStyle w:val="Heade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8934" w:type="dxa"/>
      <w:tblInd w:w="-1134" w:type="dxa"/>
      <w:tblLook w:val="01E0" w:firstRow="1" w:lastRow="1" w:firstColumn="1" w:lastColumn="1" w:noHBand="0" w:noVBand="0"/>
    </w:tblPr>
    <w:tblGrid>
      <w:gridCol w:w="854"/>
      <w:gridCol w:w="2398"/>
      <w:gridCol w:w="5682"/>
    </w:tblGrid>
    <w:tr w:rsidR="002429C5">
      <w:trPr>
        <w:cantSplit/>
        <w:trHeight w:hRule="exact" w:val="567"/>
      </w:trPr>
      <w:tc>
        <w:tcPr>
          <w:tcW w:w="851" w:type="dxa"/>
          <w:tcBorders>
            <w:right w:val="single" w:sz="4" w:space="0" w:color="auto"/>
          </w:tcBorders>
          <w:tcMar>
            <w:left w:w="0" w:type="dxa"/>
            <w:right w:w="284" w:type="dxa"/>
          </w:tcMar>
        </w:tcPr>
        <w:p w:rsidR="002429C5" w:rsidRPr="0079442C" w:rsidRDefault="002429C5" w:rsidP="00594B82">
          <w:pPr>
            <w:pStyle w:val="Header"/>
            <w:rPr>
              <w:rStyle w:val="PageNumber"/>
            </w:rPr>
          </w:pPr>
          <w:r>
            <w:rPr>
              <w:rStyle w:val="PageNumber"/>
            </w:rPr>
            <w:fldChar w:fldCharType="begin"/>
          </w:r>
          <w:r>
            <w:rPr>
              <w:rStyle w:val="PageNumber"/>
            </w:rPr>
            <w:instrText xml:space="preserve"> PAGE </w:instrText>
          </w:r>
          <w:r>
            <w:rPr>
              <w:rStyle w:val="PageNumber"/>
            </w:rPr>
            <w:fldChar w:fldCharType="separate"/>
          </w:r>
          <w:r w:rsidR="00BD1ADD">
            <w:rPr>
              <w:rStyle w:val="PageNumber"/>
              <w:noProof/>
            </w:rPr>
            <w:t>15</w:t>
          </w:r>
          <w:r>
            <w:rPr>
              <w:rStyle w:val="PageNumber"/>
            </w:rPr>
            <w:fldChar w:fldCharType="end"/>
          </w:r>
        </w:p>
      </w:tc>
      <w:tc>
        <w:tcPr>
          <w:tcW w:w="2390" w:type="dxa"/>
          <w:tcBorders>
            <w:left w:val="single" w:sz="4" w:space="0" w:color="auto"/>
            <w:right w:val="single" w:sz="4" w:space="0" w:color="auto"/>
          </w:tcBorders>
          <w:tcMar>
            <w:left w:w="284" w:type="dxa"/>
            <w:right w:w="284" w:type="dxa"/>
          </w:tcMar>
        </w:tcPr>
        <w:p w:rsidR="002429C5" w:rsidRPr="0079442C" w:rsidRDefault="002429C5" w:rsidP="00594B82">
          <w:pPr>
            <w:pStyle w:val="Header"/>
          </w:pPr>
          <w:fldSimple w:instr=" STYLEREF  Rapporttitel  \* MERGEFORMAT ">
            <w:r w:rsidR="00BD1ADD" w:rsidRPr="00BD1ADD">
              <w:rPr>
                <w:b/>
                <w:bCs/>
                <w:noProof/>
              </w:rPr>
              <w:t>Safety report for the</w:t>
            </w:r>
            <w:r w:rsidR="00BD1ADD">
              <w:rPr>
                <w:noProof/>
              </w:rPr>
              <w:t xml:space="preserve"> railways 2014</w:t>
            </w:r>
          </w:fldSimple>
        </w:p>
      </w:tc>
      <w:tc>
        <w:tcPr>
          <w:tcW w:w="5662" w:type="dxa"/>
          <w:tcBorders>
            <w:left w:val="single" w:sz="4" w:space="0" w:color="auto"/>
          </w:tcBorders>
          <w:tcMar>
            <w:left w:w="284" w:type="dxa"/>
            <w:right w:w="0" w:type="dxa"/>
          </w:tcMar>
        </w:tcPr>
        <w:p w:rsidR="002429C5" w:rsidRDefault="002429C5" w:rsidP="00594B82">
          <w:pPr>
            <w:pStyle w:val="Header"/>
          </w:pPr>
        </w:p>
      </w:tc>
    </w:tr>
  </w:tbl>
  <w:p w:rsidR="002429C5" w:rsidRDefault="002429C5" w:rsidP="00594B82">
    <w:pPr>
      <w:pStyle w:val="Header"/>
    </w:pPr>
  </w:p>
  <w:p w:rsidR="002429C5" w:rsidRDefault="002429C5"/>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8934" w:type="dxa"/>
      <w:tblInd w:w="-1134" w:type="dxa"/>
      <w:tblLook w:val="01E0" w:firstRow="1" w:lastRow="1" w:firstColumn="1" w:lastColumn="1" w:noHBand="0" w:noVBand="0"/>
    </w:tblPr>
    <w:tblGrid>
      <w:gridCol w:w="854"/>
      <w:gridCol w:w="2398"/>
      <w:gridCol w:w="5682"/>
    </w:tblGrid>
    <w:tr w:rsidR="002429C5">
      <w:trPr>
        <w:cantSplit/>
        <w:trHeight w:hRule="exact" w:val="567"/>
      </w:trPr>
      <w:tc>
        <w:tcPr>
          <w:tcW w:w="851" w:type="dxa"/>
          <w:tcBorders>
            <w:right w:val="single" w:sz="4" w:space="0" w:color="auto"/>
          </w:tcBorders>
          <w:tcMar>
            <w:left w:w="0" w:type="dxa"/>
            <w:right w:w="284" w:type="dxa"/>
          </w:tcMar>
        </w:tcPr>
        <w:p w:rsidR="002429C5" w:rsidRPr="0079442C" w:rsidRDefault="002429C5">
          <w:pPr>
            <w:pStyle w:val="Head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18</w:t>
          </w:r>
          <w:r>
            <w:rPr>
              <w:rStyle w:val="PageNumber"/>
            </w:rPr>
            <w:fldChar w:fldCharType="end"/>
          </w:r>
        </w:p>
      </w:tc>
      <w:tc>
        <w:tcPr>
          <w:tcW w:w="2390" w:type="dxa"/>
          <w:tcBorders>
            <w:left w:val="single" w:sz="4" w:space="0" w:color="auto"/>
            <w:right w:val="single" w:sz="4" w:space="0" w:color="auto"/>
          </w:tcBorders>
          <w:tcMar>
            <w:left w:w="284" w:type="dxa"/>
            <w:right w:w="284" w:type="dxa"/>
          </w:tcMar>
        </w:tcPr>
        <w:p w:rsidR="002429C5" w:rsidRPr="0079442C" w:rsidRDefault="002429C5">
          <w:pPr>
            <w:pStyle w:val="Header"/>
            <w:tabs>
              <w:tab w:val="clear" w:pos="4819"/>
            </w:tabs>
            <w:jc w:val="left"/>
          </w:pPr>
          <w:fldSimple w:instr=" STYLEREF  Rapporttitel  \* MERGEFORMAT ">
            <w:r w:rsidRPr="006C1B57">
              <w:rPr>
                <w:b/>
                <w:bCs/>
                <w:noProof/>
              </w:rPr>
              <w:t>Sikkerhedsrapport for jernbanen 2014</w:t>
            </w:r>
          </w:fldSimple>
        </w:p>
      </w:tc>
      <w:tc>
        <w:tcPr>
          <w:tcW w:w="5662" w:type="dxa"/>
          <w:tcBorders>
            <w:left w:val="single" w:sz="4" w:space="0" w:color="auto"/>
          </w:tcBorders>
          <w:tcMar>
            <w:left w:w="284" w:type="dxa"/>
            <w:right w:w="0" w:type="dxa"/>
          </w:tcMar>
        </w:tcPr>
        <w:p w:rsidR="002429C5" w:rsidRDefault="002429C5" w:rsidP="004C5938">
          <w:pPr>
            <w:pStyle w:val="Header"/>
            <w:jc w:val="left"/>
          </w:pPr>
        </w:p>
      </w:tc>
    </w:tr>
  </w:tbl>
  <w:p w:rsidR="002429C5" w:rsidRDefault="002429C5">
    <w:pPr>
      <w:pStyle w:val="Header"/>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8934" w:type="dxa"/>
      <w:tblInd w:w="-1134" w:type="dxa"/>
      <w:tblLook w:val="01E0" w:firstRow="1" w:lastRow="1" w:firstColumn="1" w:lastColumn="1" w:noHBand="0" w:noVBand="0"/>
    </w:tblPr>
    <w:tblGrid>
      <w:gridCol w:w="854"/>
      <w:gridCol w:w="2548"/>
      <w:gridCol w:w="5532"/>
    </w:tblGrid>
    <w:tr w:rsidR="002429C5" w:rsidTr="000C77D1">
      <w:trPr>
        <w:cantSplit/>
        <w:trHeight w:hRule="exact" w:val="567"/>
      </w:trPr>
      <w:tc>
        <w:tcPr>
          <w:tcW w:w="854" w:type="dxa"/>
          <w:tcBorders>
            <w:right w:val="single" w:sz="4" w:space="0" w:color="auto"/>
          </w:tcBorders>
          <w:tcMar>
            <w:left w:w="0" w:type="dxa"/>
            <w:right w:w="284" w:type="dxa"/>
          </w:tcMar>
        </w:tcPr>
        <w:p w:rsidR="002429C5" w:rsidRPr="0079442C" w:rsidRDefault="002429C5">
          <w:pPr>
            <w:pStyle w:val="Header"/>
            <w:rPr>
              <w:rStyle w:val="PageNumber"/>
            </w:rPr>
          </w:pPr>
          <w:r>
            <w:rPr>
              <w:rStyle w:val="PageNumber"/>
            </w:rPr>
            <w:fldChar w:fldCharType="begin"/>
          </w:r>
          <w:r>
            <w:rPr>
              <w:rStyle w:val="PageNumber"/>
            </w:rPr>
            <w:instrText xml:space="preserve"> PAGE </w:instrText>
          </w:r>
          <w:r>
            <w:rPr>
              <w:rStyle w:val="PageNumber"/>
            </w:rPr>
            <w:fldChar w:fldCharType="separate"/>
          </w:r>
          <w:r w:rsidR="00BD1ADD">
            <w:rPr>
              <w:rStyle w:val="PageNumber"/>
              <w:noProof/>
            </w:rPr>
            <w:t>23</w:t>
          </w:r>
          <w:r>
            <w:rPr>
              <w:rStyle w:val="PageNumber"/>
            </w:rPr>
            <w:fldChar w:fldCharType="end"/>
          </w:r>
        </w:p>
      </w:tc>
      <w:tc>
        <w:tcPr>
          <w:tcW w:w="2548" w:type="dxa"/>
          <w:tcBorders>
            <w:left w:val="single" w:sz="4" w:space="0" w:color="auto"/>
            <w:right w:val="single" w:sz="4" w:space="0" w:color="auto"/>
          </w:tcBorders>
          <w:tcMar>
            <w:left w:w="284" w:type="dxa"/>
            <w:right w:w="284" w:type="dxa"/>
          </w:tcMar>
        </w:tcPr>
        <w:p w:rsidR="002429C5" w:rsidRPr="000C77D1" w:rsidRDefault="002429C5" w:rsidP="000C77D1">
          <w:pPr>
            <w:pStyle w:val="Header"/>
            <w:tabs>
              <w:tab w:val="clear" w:pos="4819"/>
            </w:tabs>
          </w:pPr>
          <w:fldSimple w:instr=" STYLEREF  Rapporttitel  \* MERGEFORMAT ">
            <w:r w:rsidR="00BD1ADD" w:rsidRPr="00BD1ADD">
              <w:rPr>
                <w:bCs/>
                <w:noProof/>
              </w:rPr>
              <w:t>Safety report for the</w:t>
            </w:r>
            <w:r w:rsidR="00BD1ADD">
              <w:rPr>
                <w:noProof/>
              </w:rPr>
              <w:t xml:space="preserve"> railways 2014</w:t>
            </w:r>
          </w:fldSimple>
        </w:p>
      </w:tc>
      <w:tc>
        <w:tcPr>
          <w:tcW w:w="5532" w:type="dxa"/>
          <w:tcBorders>
            <w:left w:val="single" w:sz="4" w:space="0" w:color="auto"/>
          </w:tcBorders>
          <w:tcMar>
            <w:left w:w="284" w:type="dxa"/>
            <w:right w:w="0" w:type="dxa"/>
          </w:tcMar>
        </w:tcPr>
        <w:p w:rsidR="002429C5" w:rsidRDefault="002429C5" w:rsidP="0033101A">
          <w:pPr>
            <w:pStyle w:val="Header"/>
            <w:jc w:val="left"/>
          </w:pPr>
        </w:p>
      </w:tc>
    </w:tr>
  </w:tbl>
  <w:p w:rsidR="002429C5" w:rsidRDefault="002429C5">
    <w:pPr>
      <w:pStyle w:val="Header"/>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8827" w:type="dxa"/>
      <w:tblInd w:w="-1137" w:type="dxa"/>
      <w:tblLook w:val="01E0" w:firstRow="1" w:lastRow="1" w:firstColumn="1" w:lastColumn="1" w:noHBand="0" w:noVBand="0"/>
    </w:tblPr>
    <w:tblGrid>
      <w:gridCol w:w="850"/>
      <w:gridCol w:w="2547"/>
      <w:gridCol w:w="5430"/>
    </w:tblGrid>
    <w:tr w:rsidR="002429C5" w:rsidTr="00474822">
      <w:trPr>
        <w:cantSplit/>
        <w:trHeight w:hRule="exact" w:val="567"/>
      </w:trPr>
      <w:tc>
        <w:tcPr>
          <w:tcW w:w="850" w:type="dxa"/>
          <w:tcBorders>
            <w:right w:val="single" w:sz="4" w:space="0" w:color="auto"/>
          </w:tcBorders>
          <w:tcMar>
            <w:left w:w="0" w:type="dxa"/>
            <w:right w:w="284" w:type="dxa"/>
          </w:tcMar>
        </w:tcPr>
        <w:p w:rsidR="002429C5" w:rsidRDefault="002429C5" w:rsidP="00594B82">
          <w:pPr>
            <w:pStyle w:val="Header"/>
          </w:pPr>
          <w:r>
            <w:rPr>
              <w:rStyle w:val="PageNumber"/>
            </w:rPr>
            <w:fldChar w:fldCharType="begin"/>
          </w:r>
          <w:r>
            <w:rPr>
              <w:rStyle w:val="PageNumber"/>
            </w:rPr>
            <w:instrText xml:space="preserve"> PAGE </w:instrText>
          </w:r>
          <w:r>
            <w:rPr>
              <w:rStyle w:val="PageNumber"/>
            </w:rPr>
            <w:fldChar w:fldCharType="separate"/>
          </w:r>
          <w:r w:rsidR="00BD1ADD">
            <w:rPr>
              <w:rStyle w:val="PageNumber"/>
              <w:noProof/>
            </w:rPr>
            <w:t>22</w:t>
          </w:r>
          <w:r>
            <w:rPr>
              <w:rStyle w:val="PageNumber"/>
            </w:rPr>
            <w:fldChar w:fldCharType="end"/>
          </w:r>
        </w:p>
      </w:tc>
      <w:tc>
        <w:tcPr>
          <w:tcW w:w="2547" w:type="dxa"/>
          <w:tcBorders>
            <w:left w:val="single" w:sz="4" w:space="0" w:color="auto"/>
            <w:right w:val="single" w:sz="4" w:space="0" w:color="auto"/>
          </w:tcBorders>
          <w:tcMar>
            <w:left w:w="284" w:type="dxa"/>
            <w:right w:w="284" w:type="dxa"/>
          </w:tcMar>
        </w:tcPr>
        <w:p w:rsidR="002429C5" w:rsidRDefault="002429C5" w:rsidP="00594B82">
          <w:pPr>
            <w:pStyle w:val="Header"/>
          </w:pPr>
          <w:fldSimple w:instr=" STYLEREF  Rapporttitel  \* MERGEFORMAT ">
            <w:r w:rsidR="00BD1ADD">
              <w:rPr>
                <w:noProof/>
              </w:rPr>
              <w:t>Safety report for the railways 2014</w:t>
            </w:r>
          </w:fldSimple>
        </w:p>
      </w:tc>
      <w:tc>
        <w:tcPr>
          <w:tcW w:w="5430" w:type="dxa"/>
          <w:tcBorders>
            <w:left w:val="single" w:sz="4" w:space="0" w:color="auto"/>
          </w:tcBorders>
          <w:tcMar>
            <w:left w:w="284" w:type="dxa"/>
            <w:right w:w="284" w:type="dxa"/>
          </w:tcMar>
        </w:tcPr>
        <w:p w:rsidR="002429C5" w:rsidRDefault="002429C5" w:rsidP="00594B82">
          <w:pPr>
            <w:pStyle w:val="Header"/>
          </w:pPr>
        </w:p>
      </w:tc>
    </w:tr>
  </w:tbl>
  <w:p w:rsidR="002429C5" w:rsidRPr="00E31100" w:rsidRDefault="002429C5" w:rsidP="00594B82">
    <w:pPr>
      <w:pStyle w:val="Header"/>
    </w:pP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8934" w:type="dxa"/>
      <w:tblInd w:w="-1134" w:type="dxa"/>
      <w:tblLook w:val="01E0" w:firstRow="1" w:lastRow="1" w:firstColumn="1" w:lastColumn="1" w:noHBand="0" w:noVBand="0"/>
    </w:tblPr>
    <w:tblGrid>
      <w:gridCol w:w="854"/>
      <w:gridCol w:w="2548"/>
      <w:gridCol w:w="5532"/>
    </w:tblGrid>
    <w:tr w:rsidR="002429C5" w:rsidTr="000C77D1">
      <w:trPr>
        <w:cantSplit/>
        <w:trHeight w:hRule="exact" w:val="567"/>
      </w:trPr>
      <w:tc>
        <w:tcPr>
          <w:tcW w:w="854" w:type="dxa"/>
          <w:tcBorders>
            <w:right w:val="single" w:sz="4" w:space="0" w:color="auto"/>
          </w:tcBorders>
          <w:tcMar>
            <w:left w:w="0" w:type="dxa"/>
            <w:right w:w="284" w:type="dxa"/>
          </w:tcMar>
        </w:tcPr>
        <w:p w:rsidR="002429C5" w:rsidRPr="0079442C" w:rsidRDefault="002429C5">
          <w:pPr>
            <w:pStyle w:val="Header"/>
            <w:rPr>
              <w:rStyle w:val="PageNumber"/>
            </w:rPr>
          </w:pPr>
          <w:r>
            <w:rPr>
              <w:rStyle w:val="PageNumber"/>
            </w:rPr>
            <w:fldChar w:fldCharType="begin"/>
          </w:r>
          <w:r>
            <w:rPr>
              <w:rStyle w:val="PageNumber"/>
            </w:rPr>
            <w:instrText xml:space="preserve"> PAGE </w:instrText>
          </w:r>
          <w:r>
            <w:rPr>
              <w:rStyle w:val="PageNumber"/>
            </w:rPr>
            <w:fldChar w:fldCharType="separate"/>
          </w:r>
          <w:r w:rsidR="00BD1ADD">
            <w:rPr>
              <w:rStyle w:val="PageNumber"/>
              <w:noProof/>
            </w:rPr>
            <w:t>42</w:t>
          </w:r>
          <w:r>
            <w:rPr>
              <w:rStyle w:val="PageNumber"/>
            </w:rPr>
            <w:fldChar w:fldCharType="end"/>
          </w:r>
        </w:p>
      </w:tc>
      <w:tc>
        <w:tcPr>
          <w:tcW w:w="2548" w:type="dxa"/>
          <w:tcBorders>
            <w:left w:val="single" w:sz="4" w:space="0" w:color="auto"/>
            <w:right w:val="single" w:sz="4" w:space="0" w:color="auto"/>
          </w:tcBorders>
          <w:tcMar>
            <w:left w:w="284" w:type="dxa"/>
            <w:right w:w="284" w:type="dxa"/>
          </w:tcMar>
        </w:tcPr>
        <w:p w:rsidR="002429C5" w:rsidRPr="00D43322" w:rsidRDefault="002429C5" w:rsidP="00D43322">
          <w:pPr>
            <w:pStyle w:val="Header"/>
            <w:tabs>
              <w:tab w:val="clear" w:pos="4819"/>
            </w:tabs>
            <w:jc w:val="left"/>
            <w:rPr>
              <w:b/>
            </w:rPr>
          </w:pPr>
          <w:r w:rsidRPr="00D43322">
            <w:rPr>
              <w:b/>
            </w:rPr>
            <w:fldChar w:fldCharType="begin"/>
          </w:r>
          <w:r w:rsidRPr="00D43322">
            <w:rPr>
              <w:b/>
            </w:rPr>
            <w:instrText xml:space="preserve"> STYLEREF  Rapporttitel  \* MERGEFORMAT </w:instrText>
          </w:r>
          <w:r w:rsidRPr="00D43322">
            <w:rPr>
              <w:b/>
            </w:rPr>
            <w:fldChar w:fldCharType="separate"/>
          </w:r>
          <w:r w:rsidR="00BD1ADD" w:rsidRPr="00BD1ADD">
            <w:rPr>
              <w:b/>
              <w:bCs/>
              <w:noProof/>
            </w:rPr>
            <w:t>Safety report for the</w:t>
          </w:r>
          <w:r w:rsidR="00BD1ADD">
            <w:rPr>
              <w:b/>
              <w:noProof/>
            </w:rPr>
            <w:t xml:space="preserve"> railways 2014</w:t>
          </w:r>
          <w:r w:rsidRPr="00D43322">
            <w:rPr>
              <w:b/>
              <w:bCs/>
              <w:noProof/>
            </w:rPr>
            <w:fldChar w:fldCharType="end"/>
          </w:r>
        </w:p>
      </w:tc>
      <w:tc>
        <w:tcPr>
          <w:tcW w:w="5532" w:type="dxa"/>
          <w:tcBorders>
            <w:left w:val="single" w:sz="4" w:space="0" w:color="auto"/>
          </w:tcBorders>
          <w:tcMar>
            <w:left w:w="284" w:type="dxa"/>
            <w:right w:w="0" w:type="dxa"/>
          </w:tcMar>
        </w:tcPr>
        <w:p w:rsidR="002429C5" w:rsidRDefault="002429C5" w:rsidP="0033101A">
          <w:pPr>
            <w:pStyle w:val="Header"/>
            <w:jc w:val="left"/>
          </w:pPr>
        </w:p>
      </w:tc>
    </w:tr>
  </w:tbl>
  <w:p w:rsidR="002429C5" w:rsidRDefault="002429C5">
    <w:pPr>
      <w:pStyle w:val="Header"/>
    </w:pP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8827" w:type="dxa"/>
      <w:tblInd w:w="-1137" w:type="dxa"/>
      <w:tblLook w:val="01E0" w:firstRow="1" w:lastRow="1" w:firstColumn="1" w:lastColumn="1" w:noHBand="0" w:noVBand="0"/>
    </w:tblPr>
    <w:tblGrid>
      <w:gridCol w:w="850"/>
      <w:gridCol w:w="2547"/>
      <w:gridCol w:w="5430"/>
    </w:tblGrid>
    <w:tr w:rsidR="002429C5" w:rsidTr="00474822">
      <w:trPr>
        <w:cantSplit/>
        <w:trHeight w:hRule="exact" w:val="567"/>
      </w:trPr>
      <w:tc>
        <w:tcPr>
          <w:tcW w:w="850" w:type="dxa"/>
          <w:tcBorders>
            <w:right w:val="single" w:sz="4" w:space="0" w:color="auto"/>
          </w:tcBorders>
          <w:tcMar>
            <w:left w:w="0" w:type="dxa"/>
            <w:right w:w="284" w:type="dxa"/>
          </w:tcMar>
        </w:tcPr>
        <w:p w:rsidR="002429C5" w:rsidRDefault="002429C5" w:rsidP="00594B82">
          <w:pPr>
            <w:pStyle w:val="Header"/>
          </w:pPr>
          <w:r>
            <w:rPr>
              <w:rStyle w:val="PageNumber"/>
            </w:rPr>
            <w:fldChar w:fldCharType="begin"/>
          </w:r>
          <w:r>
            <w:rPr>
              <w:rStyle w:val="PageNumber"/>
            </w:rPr>
            <w:instrText xml:space="preserve"> PAGE </w:instrText>
          </w:r>
          <w:r>
            <w:rPr>
              <w:rStyle w:val="PageNumber"/>
            </w:rPr>
            <w:fldChar w:fldCharType="separate"/>
          </w:r>
          <w:r w:rsidR="00BD1ADD">
            <w:rPr>
              <w:rStyle w:val="PageNumber"/>
              <w:noProof/>
            </w:rPr>
            <w:t>25</w:t>
          </w:r>
          <w:r>
            <w:rPr>
              <w:rStyle w:val="PageNumber"/>
            </w:rPr>
            <w:fldChar w:fldCharType="end"/>
          </w:r>
        </w:p>
      </w:tc>
      <w:tc>
        <w:tcPr>
          <w:tcW w:w="2547" w:type="dxa"/>
          <w:tcBorders>
            <w:left w:val="single" w:sz="4" w:space="0" w:color="auto"/>
            <w:right w:val="single" w:sz="4" w:space="0" w:color="auto"/>
          </w:tcBorders>
          <w:tcMar>
            <w:left w:w="284" w:type="dxa"/>
            <w:right w:w="284" w:type="dxa"/>
          </w:tcMar>
        </w:tcPr>
        <w:p w:rsidR="002429C5" w:rsidRPr="007509E1" w:rsidRDefault="002429C5" w:rsidP="007509E1">
          <w:pPr>
            <w:pStyle w:val="Header"/>
            <w:jc w:val="left"/>
            <w:rPr>
              <w:b/>
            </w:rPr>
          </w:pPr>
          <w:r w:rsidRPr="007509E1">
            <w:rPr>
              <w:b/>
            </w:rPr>
            <w:fldChar w:fldCharType="begin"/>
          </w:r>
          <w:r w:rsidRPr="007509E1">
            <w:rPr>
              <w:b/>
            </w:rPr>
            <w:instrText xml:space="preserve"> STYLEREF  Rapporttitel  \* MERGEFORMAT </w:instrText>
          </w:r>
          <w:r w:rsidRPr="007509E1">
            <w:rPr>
              <w:b/>
            </w:rPr>
            <w:fldChar w:fldCharType="separate"/>
          </w:r>
          <w:r w:rsidR="00BD1ADD">
            <w:rPr>
              <w:b/>
              <w:noProof/>
            </w:rPr>
            <w:t>Safety report for the railways 2014</w:t>
          </w:r>
          <w:r w:rsidRPr="007509E1">
            <w:rPr>
              <w:b/>
              <w:noProof/>
            </w:rPr>
            <w:fldChar w:fldCharType="end"/>
          </w:r>
        </w:p>
      </w:tc>
      <w:tc>
        <w:tcPr>
          <w:tcW w:w="5430" w:type="dxa"/>
          <w:tcBorders>
            <w:left w:val="single" w:sz="4" w:space="0" w:color="auto"/>
          </w:tcBorders>
          <w:tcMar>
            <w:left w:w="284" w:type="dxa"/>
            <w:right w:w="284" w:type="dxa"/>
          </w:tcMar>
        </w:tcPr>
        <w:p w:rsidR="002429C5" w:rsidRDefault="002429C5" w:rsidP="00594B82">
          <w:pPr>
            <w:pStyle w:val="Header"/>
          </w:pPr>
        </w:p>
      </w:tc>
    </w:tr>
  </w:tbl>
  <w:p w:rsidR="002429C5" w:rsidRPr="00E31100" w:rsidRDefault="002429C5" w:rsidP="00594B82">
    <w:pPr>
      <w:pStyle w:val="Header"/>
    </w:pP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8827" w:type="dxa"/>
      <w:tblInd w:w="-1137" w:type="dxa"/>
      <w:tblLook w:val="01E0" w:firstRow="1" w:lastRow="1" w:firstColumn="1" w:lastColumn="1" w:noHBand="0" w:noVBand="0"/>
    </w:tblPr>
    <w:tblGrid>
      <w:gridCol w:w="850"/>
      <w:gridCol w:w="2547"/>
      <w:gridCol w:w="5430"/>
    </w:tblGrid>
    <w:tr w:rsidR="002429C5" w:rsidTr="00474822">
      <w:trPr>
        <w:cantSplit/>
        <w:trHeight w:hRule="exact" w:val="567"/>
      </w:trPr>
      <w:tc>
        <w:tcPr>
          <w:tcW w:w="850" w:type="dxa"/>
          <w:tcBorders>
            <w:right w:val="single" w:sz="4" w:space="0" w:color="auto"/>
          </w:tcBorders>
          <w:tcMar>
            <w:left w:w="0" w:type="dxa"/>
            <w:right w:w="284" w:type="dxa"/>
          </w:tcMar>
        </w:tcPr>
        <w:p w:rsidR="002429C5" w:rsidRDefault="002429C5" w:rsidP="00594B82">
          <w:pPr>
            <w:pStyle w:val="Header"/>
          </w:pPr>
          <w:r>
            <w:rPr>
              <w:rStyle w:val="PageNumber"/>
            </w:rPr>
            <w:fldChar w:fldCharType="begin"/>
          </w:r>
          <w:r>
            <w:rPr>
              <w:rStyle w:val="PageNumber"/>
            </w:rPr>
            <w:instrText xml:space="preserve"> PAGE </w:instrText>
          </w:r>
          <w:r>
            <w:rPr>
              <w:rStyle w:val="PageNumber"/>
            </w:rPr>
            <w:fldChar w:fldCharType="separate"/>
          </w:r>
          <w:r w:rsidR="00BD1ADD">
            <w:rPr>
              <w:rStyle w:val="PageNumber"/>
              <w:noProof/>
            </w:rPr>
            <w:t>30</w:t>
          </w:r>
          <w:r>
            <w:rPr>
              <w:rStyle w:val="PageNumber"/>
            </w:rPr>
            <w:fldChar w:fldCharType="end"/>
          </w:r>
        </w:p>
      </w:tc>
      <w:tc>
        <w:tcPr>
          <w:tcW w:w="2547" w:type="dxa"/>
          <w:tcBorders>
            <w:left w:val="single" w:sz="4" w:space="0" w:color="auto"/>
            <w:right w:val="single" w:sz="4" w:space="0" w:color="auto"/>
          </w:tcBorders>
          <w:tcMar>
            <w:left w:w="284" w:type="dxa"/>
            <w:right w:w="284" w:type="dxa"/>
          </w:tcMar>
        </w:tcPr>
        <w:p w:rsidR="002429C5" w:rsidRPr="007509E1" w:rsidRDefault="002429C5" w:rsidP="007509E1">
          <w:pPr>
            <w:pStyle w:val="Header"/>
            <w:jc w:val="left"/>
            <w:rPr>
              <w:b/>
            </w:rPr>
          </w:pPr>
          <w:r w:rsidRPr="007509E1">
            <w:rPr>
              <w:b/>
            </w:rPr>
            <w:fldChar w:fldCharType="begin"/>
          </w:r>
          <w:r w:rsidRPr="007509E1">
            <w:rPr>
              <w:b/>
            </w:rPr>
            <w:instrText xml:space="preserve"> STYLEREF  Rapporttitel  \* MERGEFORMAT </w:instrText>
          </w:r>
          <w:r w:rsidRPr="007509E1">
            <w:rPr>
              <w:b/>
            </w:rPr>
            <w:fldChar w:fldCharType="separate"/>
          </w:r>
          <w:r w:rsidR="00BD1ADD">
            <w:rPr>
              <w:b/>
              <w:noProof/>
            </w:rPr>
            <w:t>Safety report for the railways 2014</w:t>
          </w:r>
          <w:r w:rsidRPr="007509E1">
            <w:rPr>
              <w:b/>
              <w:noProof/>
            </w:rPr>
            <w:fldChar w:fldCharType="end"/>
          </w:r>
        </w:p>
      </w:tc>
      <w:tc>
        <w:tcPr>
          <w:tcW w:w="5430" w:type="dxa"/>
          <w:tcBorders>
            <w:left w:val="single" w:sz="4" w:space="0" w:color="auto"/>
          </w:tcBorders>
          <w:tcMar>
            <w:left w:w="284" w:type="dxa"/>
            <w:right w:w="284" w:type="dxa"/>
          </w:tcMar>
        </w:tcPr>
        <w:p w:rsidR="002429C5" w:rsidRDefault="002429C5" w:rsidP="00594B82">
          <w:pPr>
            <w:pStyle w:val="Header"/>
          </w:pPr>
        </w:p>
      </w:tc>
    </w:tr>
  </w:tbl>
  <w:p w:rsidR="002429C5" w:rsidRPr="00E31100" w:rsidRDefault="002429C5" w:rsidP="00594B82">
    <w:pPr>
      <w:pStyle w:val="Header"/>
    </w:pP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8827" w:type="dxa"/>
      <w:tblInd w:w="-1137" w:type="dxa"/>
      <w:tblLook w:val="01E0" w:firstRow="1" w:lastRow="1" w:firstColumn="1" w:lastColumn="1" w:noHBand="0" w:noVBand="0"/>
    </w:tblPr>
    <w:tblGrid>
      <w:gridCol w:w="850"/>
      <w:gridCol w:w="2547"/>
      <w:gridCol w:w="5430"/>
    </w:tblGrid>
    <w:tr w:rsidR="002429C5" w:rsidTr="00474822">
      <w:trPr>
        <w:cantSplit/>
        <w:trHeight w:hRule="exact" w:val="567"/>
      </w:trPr>
      <w:tc>
        <w:tcPr>
          <w:tcW w:w="850" w:type="dxa"/>
          <w:tcBorders>
            <w:right w:val="single" w:sz="4" w:space="0" w:color="auto"/>
          </w:tcBorders>
          <w:tcMar>
            <w:left w:w="0" w:type="dxa"/>
            <w:right w:w="284" w:type="dxa"/>
          </w:tcMar>
        </w:tcPr>
        <w:p w:rsidR="002429C5" w:rsidRDefault="002429C5" w:rsidP="00594B82">
          <w:pPr>
            <w:pStyle w:val="Header"/>
          </w:pPr>
          <w:r>
            <w:rPr>
              <w:rStyle w:val="PageNumber"/>
            </w:rPr>
            <w:fldChar w:fldCharType="begin"/>
          </w:r>
          <w:r>
            <w:rPr>
              <w:rStyle w:val="PageNumber"/>
            </w:rPr>
            <w:instrText xml:space="preserve"> PAGE </w:instrText>
          </w:r>
          <w:r>
            <w:rPr>
              <w:rStyle w:val="PageNumber"/>
            </w:rPr>
            <w:fldChar w:fldCharType="separate"/>
          </w:r>
          <w:r w:rsidR="00BD1ADD">
            <w:rPr>
              <w:rStyle w:val="PageNumber"/>
              <w:noProof/>
            </w:rPr>
            <w:t>43</w:t>
          </w:r>
          <w:r>
            <w:rPr>
              <w:rStyle w:val="PageNumber"/>
            </w:rPr>
            <w:fldChar w:fldCharType="end"/>
          </w:r>
        </w:p>
      </w:tc>
      <w:tc>
        <w:tcPr>
          <w:tcW w:w="2547" w:type="dxa"/>
          <w:tcBorders>
            <w:left w:val="single" w:sz="4" w:space="0" w:color="auto"/>
            <w:right w:val="single" w:sz="4" w:space="0" w:color="auto"/>
          </w:tcBorders>
          <w:tcMar>
            <w:left w:w="284" w:type="dxa"/>
            <w:right w:w="284" w:type="dxa"/>
          </w:tcMar>
        </w:tcPr>
        <w:p w:rsidR="002429C5" w:rsidRPr="00D43322" w:rsidRDefault="002429C5" w:rsidP="00D43322">
          <w:pPr>
            <w:pStyle w:val="Header"/>
          </w:pPr>
          <w:fldSimple w:instr=" STYLEREF  Rapporttitel  \* MERGEFORMAT ">
            <w:r w:rsidR="00BD1ADD">
              <w:rPr>
                <w:noProof/>
              </w:rPr>
              <w:t>Safety report for the railways 2014</w:t>
            </w:r>
          </w:fldSimple>
        </w:p>
      </w:tc>
      <w:tc>
        <w:tcPr>
          <w:tcW w:w="5430" w:type="dxa"/>
          <w:tcBorders>
            <w:left w:val="single" w:sz="4" w:space="0" w:color="auto"/>
          </w:tcBorders>
          <w:tcMar>
            <w:left w:w="284" w:type="dxa"/>
            <w:right w:w="284" w:type="dxa"/>
          </w:tcMar>
        </w:tcPr>
        <w:p w:rsidR="002429C5" w:rsidRDefault="002429C5" w:rsidP="00594B82">
          <w:pPr>
            <w:pStyle w:val="Header"/>
          </w:pPr>
        </w:p>
      </w:tc>
    </w:tr>
  </w:tbl>
  <w:p w:rsidR="002429C5" w:rsidRPr="00E31100" w:rsidRDefault="002429C5" w:rsidP="00594B82">
    <w:pPr>
      <w:pStyle w:val="Header"/>
    </w:pP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8934" w:type="dxa"/>
      <w:tblInd w:w="-1134" w:type="dxa"/>
      <w:tblLook w:val="01E0" w:firstRow="1" w:lastRow="1" w:firstColumn="1" w:lastColumn="1" w:noHBand="0" w:noVBand="0"/>
    </w:tblPr>
    <w:tblGrid>
      <w:gridCol w:w="854"/>
      <w:gridCol w:w="2548"/>
      <w:gridCol w:w="5532"/>
    </w:tblGrid>
    <w:tr w:rsidR="002429C5" w:rsidTr="000C77D1">
      <w:trPr>
        <w:cantSplit/>
        <w:trHeight w:hRule="exact" w:val="567"/>
      </w:trPr>
      <w:tc>
        <w:tcPr>
          <w:tcW w:w="854" w:type="dxa"/>
          <w:tcBorders>
            <w:right w:val="single" w:sz="4" w:space="0" w:color="auto"/>
          </w:tcBorders>
          <w:tcMar>
            <w:left w:w="0" w:type="dxa"/>
            <w:right w:w="284" w:type="dxa"/>
          </w:tcMar>
        </w:tcPr>
        <w:p w:rsidR="002429C5" w:rsidRPr="0079442C" w:rsidRDefault="002429C5" w:rsidP="006C1B57">
          <w:pPr>
            <w:pStyle w:val="Header"/>
            <w:jc w:val="left"/>
            <w:rPr>
              <w:rStyle w:val="PageNumber"/>
            </w:rPr>
          </w:pPr>
          <w:r>
            <w:rPr>
              <w:rStyle w:val="PageNumber"/>
            </w:rPr>
            <w:fldChar w:fldCharType="begin"/>
          </w:r>
          <w:r>
            <w:rPr>
              <w:rStyle w:val="PageNumber"/>
            </w:rPr>
            <w:instrText xml:space="preserve"> PAGE </w:instrText>
          </w:r>
          <w:r>
            <w:rPr>
              <w:rStyle w:val="PageNumber"/>
            </w:rPr>
            <w:fldChar w:fldCharType="separate"/>
          </w:r>
          <w:r w:rsidR="00BD1ADD">
            <w:rPr>
              <w:rStyle w:val="PageNumber"/>
              <w:noProof/>
            </w:rPr>
            <w:t>59</w:t>
          </w:r>
          <w:r>
            <w:rPr>
              <w:rStyle w:val="PageNumber"/>
            </w:rPr>
            <w:fldChar w:fldCharType="end"/>
          </w:r>
        </w:p>
      </w:tc>
      <w:tc>
        <w:tcPr>
          <w:tcW w:w="2548" w:type="dxa"/>
          <w:tcBorders>
            <w:left w:val="single" w:sz="4" w:space="0" w:color="auto"/>
            <w:right w:val="single" w:sz="4" w:space="0" w:color="auto"/>
          </w:tcBorders>
          <w:tcMar>
            <w:left w:w="284" w:type="dxa"/>
            <w:right w:w="284" w:type="dxa"/>
          </w:tcMar>
        </w:tcPr>
        <w:p w:rsidR="002429C5" w:rsidRPr="006C1B57" w:rsidRDefault="002429C5" w:rsidP="006C1B57">
          <w:pPr>
            <w:pStyle w:val="Header"/>
            <w:tabs>
              <w:tab w:val="clear" w:pos="4819"/>
            </w:tabs>
            <w:jc w:val="left"/>
            <w:rPr>
              <w:b/>
            </w:rPr>
          </w:pPr>
          <w:r w:rsidRPr="006C1B57">
            <w:rPr>
              <w:b/>
            </w:rPr>
            <w:fldChar w:fldCharType="begin"/>
          </w:r>
          <w:r w:rsidRPr="006C1B57">
            <w:rPr>
              <w:b/>
            </w:rPr>
            <w:instrText xml:space="preserve"> STYLEREF  Rapporttitel  \* MERGEFORMAT </w:instrText>
          </w:r>
          <w:r w:rsidRPr="006C1B57">
            <w:rPr>
              <w:b/>
            </w:rPr>
            <w:fldChar w:fldCharType="separate"/>
          </w:r>
          <w:r w:rsidR="00BD1ADD" w:rsidRPr="00BD1ADD">
            <w:rPr>
              <w:b/>
              <w:bCs/>
              <w:noProof/>
            </w:rPr>
            <w:t>Safety report for the</w:t>
          </w:r>
          <w:r w:rsidR="00BD1ADD">
            <w:rPr>
              <w:b/>
              <w:noProof/>
            </w:rPr>
            <w:t xml:space="preserve"> railways 2014</w:t>
          </w:r>
          <w:r w:rsidRPr="006C1B57">
            <w:rPr>
              <w:b/>
              <w:bCs/>
              <w:noProof/>
            </w:rPr>
            <w:fldChar w:fldCharType="end"/>
          </w:r>
        </w:p>
      </w:tc>
      <w:tc>
        <w:tcPr>
          <w:tcW w:w="5532" w:type="dxa"/>
          <w:tcBorders>
            <w:left w:val="single" w:sz="4" w:space="0" w:color="auto"/>
          </w:tcBorders>
          <w:tcMar>
            <w:left w:w="284" w:type="dxa"/>
            <w:right w:w="0" w:type="dxa"/>
          </w:tcMar>
        </w:tcPr>
        <w:p w:rsidR="002429C5" w:rsidRDefault="002429C5" w:rsidP="0033101A">
          <w:pPr>
            <w:pStyle w:val="Header"/>
            <w:jc w:val="left"/>
          </w:pPr>
        </w:p>
      </w:tc>
    </w:tr>
  </w:tbl>
  <w:p w:rsidR="002429C5" w:rsidRDefault="002429C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8827" w:type="dxa"/>
      <w:tblInd w:w="-1137" w:type="dxa"/>
      <w:tblLook w:val="01E0" w:firstRow="1" w:lastRow="1" w:firstColumn="1" w:lastColumn="1" w:noHBand="0" w:noVBand="0"/>
    </w:tblPr>
    <w:tblGrid>
      <w:gridCol w:w="850"/>
      <w:gridCol w:w="2547"/>
      <w:gridCol w:w="5430"/>
    </w:tblGrid>
    <w:tr w:rsidR="002429C5" w:rsidTr="00474822">
      <w:trPr>
        <w:cantSplit/>
        <w:trHeight w:hRule="exact" w:val="567"/>
      </w:trPr>
      <w:tc>
        <w:tcPr>
          <w:tcW w:w="850" w:type="dxa"/>
          <w:tcBorders>
            <w:right w:val="single" w:sz="4" w:space="0" w:color="auto"/>
          </w:tcBorders>
          <w:tcMar>
            <w:left w:w="0" w:type="dxa"/>
            <w:right w:w="284" w:type="dxa"/>
          </w:tcMar>
        </w:tcPr>
        <w:p w:rsidR="002429C5" w:rsidRDefault="002429C5" w:rsidP="00594B82">
          <w:pPr>
            <w:pStyle w:val="Header"/>
          </w:pPr>
          <w:r>
            <w:rPr>
              <w:rStyle w:val="PageNumber"/>
            </w:rPr>
            <w:fldChar w:fldCharType="begin"/>
          </w:r>
          <w:r>
            <w:rPr>
              <w:rStyle w:val="PageNumber"/>
            </w:rPr>
            <w:instrText xml:space="preserve"> PAGE </w:instrText>
          </w:r>
          <w:r>
            <w:rPr>
              <w:rStyle w:val="PageNumber"/>
            </w:rPr>
            <w:fldChar w:fldCharType="separate"/>
          </w:r>
          <w:r w:rsidR="00BD1ADD">
            <w:rPr>
              <w:rStyle w:val="PageNumber"/>
              <w:noProof/>
            </w:rPr>
            <w:t>7</w:t>
          </w:r>
          <w:r>
            <w:rPr>
              <w:rStyle w:val="PageNumber"/>
            </w:rPr>
            <w:fldChar w:fldCharType="end"/>
          </w:r>
        </w:p>
      </w:tc>
      <w:tc>
        <w:tcPr>
          <w:tcW w:w="2547" w:type="dxa"/>
          <w:tcBorders>
            <w:left w:val="single" w:sz="4" w:space="0" w:color="auto"/>
            <w:right w:val="single" w:sz="4" w:space="0" w:color="auto"/>
          </w:tcBorders>
          <w:tcMar>
            <w:left w:w="284" w:type="dxa"/>
            <w:right w:w="284" w:type="dxa"/>
          </w:tcMar>
        </w:tcPr>
        <w:p w:rsidR="002429C5" w:rsidRDefault="002429C5" w:rsidP="00594B82">
          <w:pPr>
            <w:pStyle w:val="Header"/>
          </w:pPr>
          <w:fldSimple w:instr=" STYLEREF  Rapporttitel  \* MERGEFORMAT ">
            <w:r w:rsidR="00BD1ADD">
              <w:rPr>
                <w:noProof/>
              </w:rPr>
              <w:t>Safety report for the railways 2014</w:t>
            </w:r>
          </w:fldSimple>
        </w:p>
      </w:tc>
      <w:tc>
        <w:tcPr>
          <w:tcW w:w="5430" w:type="dxa"/>
          <w:tcBorders>
            <w:left w:val="single" w:sz="4" w:space="0" w:color="auto"/>
          </w:tcBorders>
          <w:tcMar>
            <w:left w:w="284" w:type="dxa"/>
            <w:right w:w="284" w:type="dxa"/>
          </w:tcMar>
        </w:tcPr>
        <w:p w:rsidR="002429C5" w:rsidRDefault="002429C5" w:rsidP="00594B82">
          <w:pPr>
            <w:pStyle w:val="Header"/>
          </w:pPr>
        </w:p>
      </w:tc>
    </w:tr>
  </w:tbl>
  <w:p w:rsidR="002429C5" w:rsidRPr="00E31100" w:rsidRDefault="002429C5" w:rsidP="00594B82">
    <w:pPr>
      <w:pStyle w:val="Header"/>
    </w:pP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8827" w:type="dxa"/>
      <w:tblInd w:w="-1137" w:type="dxa"/>
      <w:tblLook w:val="01E0" w:firstRow="1" w:lastRow="1" w:firstColumn="1" w:lastColumn="1" w:noHBand="0" w:noVBand="0"/>
    </w:tblPr>
    <w:tblGrid>
      <w:gridCol w:w="850"/>
      <w:gridCol w:w="2547"/>
      <w:gridCol w:w="5430"/>
    </w:tblGrid>
    <w:tr w:rsidR="002429C5" w:rsidTr="00474822">
      <w:trPr>
        <w:cantSplit/>
        <w:trHeight w:hRule="exact" w:val="567"/>
      </w:trPr>
      <w:tc>
        <w:tcPr>
          <w:tcW w:w="850" w:type="dxa"/>
          <w:tcBorders>
            <w:right w:val="single" w:sz="4" w:space="0" w:color="auto"/>
          </w:tcBorders>
          <w:tcMar>
            <w:left w:w="0" w:type="dxa"/>
            <w:right w:w="284" w:type="dxa"/>
          </w:tcMar>
        </w:tcPr>
        <w:p w:rsidR="002429C5" w:rsidRDefault="002429C5" w:rsidP="00594B82">
          <w:pPr>
            <w:pStyle w:val="Header"/>
          </w:pPr>
          <w:r>
            <w:rPr>
              <w:rStyle w:val="PageNumber"/>
            </w:rPr>
            <w:fldChar w:fldCharType="begin"/>
          </w:r>
          <w:r>
            <w:rPr>
              <w:rStyle w:val="PageNumber"/>
            </w:rPr>
            <w:instrText xml:space="preserve"> PAGE </w:instrText>
          </w:r>
          <w:r>
            <w:rPr>
              <w:rStyle w:val="PageNumber"/>
            </w:rPr>
            <w:fldChar w:fldCharType="separate"/>
          </w:r>
          <w:r w:rsidR="00BD1ADD">
            <w:rPr>
              <w:rStyle w:val="PageNumber"/>
              <w:noProof/>
            </w:rPr>
            <w:t>50</w:t>
          </w:r>
          <w:r>
            <w:rPr>
              <w:rStyle w:val="PageNumber"/>
            </w:rPr>
            <w:fldChar w:fldCharType="end"/>
          </w:r>
        </w:p>
      </w:tc>
      <w:tc>
        <w:tcPr>
          <w:tcW w:w="2547" w:type="dxa"/>
          <w:tcBorders>
            <w:left w:val="single" w:sz="4" w:space="0" w:color="auto"/>
            <w:right w:val="single" w:sz="4" w:space="0" w:color="auto"/>
          </w:tcBorders>
          <w:tcMar>
            <w:left w:w="284" w:type="dxa"/>
            <w:right w:w="284" w:type="dxa"/>
          </w:tcMar>
        </w:tcPr>
        <w:p w:rsidR="002429C5" w:rsidRPr="00761363" w:rsidRDefault="002429C5" w:rsidP="00761363">
          <w:pPr>
            <w:pStyle w:val="Header"/>
          </w:pPr>
          <w:fldSimple w:instr=" STYLEREF  Rapporttitel  \* MERGEFORMAT ">
            <w:r w:rsidR="00BD1ADD">
              <w:rPr>
                <w:noProof/>
              </w:rPr>
              <w:t>Safety report for the railways 2014</w:t>
            </w:r>
          </w:fldSimple>
        </w:p>
      </w:tc>
      <w:tc>
        <w:tcPr>
          <w:tcW w:w="5430" w:type="dxa"/>
          <w:tcBorders>
            <w:left w:val="single" w:sz="4" w:space="0" w:color="auto"/>
          </w:tcBorders>
          <w:tcMar>
            <w:left w:w="284" w:type="dxa"/>
            <w:right w:w="284" w:type="dxa"/>
          </w:tcMar>
        </w:tcPr>
        <w:p w:rsidR="002429C5" w:rsidRDefault="002429C5" w:rsidP="00594B82">
          <w:pPr>
            <w:pStyle w:val="Header"/>
          </w:pPr>
        </w:p>
      </w:tc>
    </w:tr>
  </w:tbl>
  <w:p w:rsidR="002429C5" w:rsidRPr="00E31100" w:rsidRDefault="002429C5" w:rsidP="00594B82">
    <w:pPr>
      <w:pStyle w:val="Header"/>
    </w:pPr>
  </w:p>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8827" w:type="dxa"/>
      <w:tblInd w:w="-1137" w:type="dxa"/>
      <w:tblLook w:val="01E0" w:firstRow="1" w:lastRow="1" w:firstColumn="1" w:lastColumn="1" w:noHBand="0" w:noVBand="0"/>
    </w:tblPr>
    <w:tblGrid>
      <w:gridCol w:w="850"/>
      <w:gridCol w:w="2547"/>
      <w:gridCol w:w="5430"/>
    </w:tblGrid>
    <w:tr w:rsidR="002429C5" w:rsidTr="00474822">
      <w:trPr>
        <w:cantSplit/>
        <w:trHeight w:hRule="exact" w:val="567"/>
      </w:trPr>
      <w:tc>
        <w:tcPr>
          <w:tcW w:w="850" w:type="dxa"/>
          <w:tcBorders>
            <w:right w:val="single" w:sz="4" w:space="0" w:color="auto"/>
          </w:tcBorders>
          <w:tcMar>
            <w:left w:w="0" w:type="dxa"/>
            <w:right w:w="284" w:type="dxa"/>
          </w:tcMar>
        </w:tcPr>
        <w:p w:rsidR="002429C5" w:rsidRDefault="002429C5" w:rsidP="00594B82">
          <w:pPr>
            <w:pStyle w:val="Header"/>
          </w:pPr>
          <w:r>
            <w:rPr>
              <w:rStyle w:val="PageNumber"/>
            </w:rPr>
            <w:fldChar w:fldCharType="begin"/>
          </w:r>
          <w:r>
            <w:rPr>
              <w:rStyle w:val="PageNumber"/>
            </w:rPr>
            <w:instrText xml:space="preserve"> PAGE </w:instrText>
          </w:r>
          <w:r>
            <w:rPr>
              <w:rStyle w:val="PageNumber"/>
            </w:rPr>
            <w:fldChar w:fldCharType="separate"/>
          </w:r>
          <w:r>
            <w:rPr>
              <w:rStyle w:val="PageNumber"/>
              <w:noProof/>
            </w:rPr>
            <w:t>47</w:t>
          </w:r>
          <w:r>
            <w:rPr>
              <w:rStyle w:val="PageNumber"/>
            </w:rPr>
            <w:fldChar w:fldCharType="end"/>
          </w:r>
        </w:p>
      </w:tc>
      <w:tc>
        <w:tcPr>
          <w:tcW w:w="2547" w:type="dxa"/>
          <w:tcBorders>
            <w:left w:val="single" w:sz="4" w:space="0" w:color="auto"/>
            <w:right w:val="single" w:sz="4" w:space="0" w:color="auto"/>
          </w:tcBorders>
          <w:tcMar>
            <w:left w:w="284" w:type="dxa"/>
            <w:right w:w="284" w:type="dxa"/>
          </w:tcMar>
        </w:tcPr>
        <w:p w:rsidR="002429C5" w:rsidRDefault="002429C5" w:rsidP="00594B82">
          <w:pPr>
            <w:pStyle w:val="Header"/>
          </w:pPr>
          <w:fldSimple w:instr=" STYLEREF  Rapporttitel  \* MERGEFORMAT ">
            <w:r w:rsidRPr="006C1B57">
              <w:rPr>
                <w:b/>
                <w:bCs/>
                <w:noProof/>
              </w:rPr>
              <w:t>Sikkerhedsrapport for jernbanen 2014</w:t>
            </w:r>
          </w:fldSimple>
        </w:p>
      </w:tc>
      <w:tc>
        <w:tcPr>
          <w:tcW w:w="5430" w:type="dxa"/>
          <w:tcBorders>
            <w:left w:val="single" w:sz="4" w:space="0" w:color="auto"/>
          </w:tcBorders>
          <w:tcMar>
            <w:left w:w="284" w:type="dxa"/>
            <w:right w:w="284" w:type="dxa"/>
          </w:tcMar>
        </w:tcPr>
        <w:p w:rsidR="002429C5" w:rsidRDefault="002429C5" w:rsidP="00594B82">
          <w:pPr>
            <w:pStyle w:val="Header"/>
          </w:pPr>
        </w:p>
      </w:tc>
    </w:tr>
  </w:tbl>
  <w:p w:rsidR="002429C5" w:rsidRPr="004C5938" w:rsidRDefault="002429C5" w:rsidP="00594B82">
    <w:pPr>
      <w:pStyle w:val="Header"/>
    </w:pPr>
  </w:p>
</w:hdr>
</file>

<file path=word/header2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429C5" w:rsidRPr="004C5938" w:rsidRDefault="002429C5" w:rsidP="00594B8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8937" w:type="dxa"/>
      <w:tblInd w:w="-1137" w:type="dxa"/>
      <w:tblLook w:val="01E0" w:firstRow="1" w:lastRow="1" w:firstColumn="1" w:lastColumn="1" w:noHBand="0" w:noVBand="0"/>
    </w:tblPr>
    <w:tblGrid>
      <w:gridCol w:w="855"/>
      <w:gridCol w:w="2398"/>
      <w:gridCol w:w="5684"/>
    </w:tblGrid>
    <w:tr w:rsidR="002429C5" w:rsidTr="00C575DC">
      <w:trPr>
        <w:cantSplit/>
        <w:trHeight w:hRule="exact" w:val="567"/>
      </w:trPr>
      <w:tc>
        <w:tcPr>
          <w:tcW w:w="855" w:type="dxa"/>
          <w:tcBorders>
            <w:right w:val="single" w:sz="4" w:space="0" w:color="auto"/>
          </w:tcBorders>
          <w:tcMar>
            <w:left w:w="0" w:type="dxa"/>
            <w:right w:w="284" w:type="dxa"/>
          </w:tcMar>
        </w:tcPr>
        <w:p w:rsidR="002429C5" w:rsidRDefault="002429C5" w:rsidP="00594B82">
          <w:pPr>
            <w:pStyle w:val="Header"/>
          </w:pP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p>
      </w:tc>
      <w:tc>
        <w:tcPr>
          <w:tcW w:w="2398" w:type="dxa"/>
          <w:tcBorders>
            <w:left w:val="single" w:sz="4" w:space="0" w:color="auto"/>
            <w:right w:val="single" w:sz="4" w:space="0" w:color="auto"/>
          </w:tcBorders>
          <w:tcMar>
            <w:left w:w="284" w:type="dxa"/>
            <w:right w:w="284" w:type="dxa"/>
          </w:tcMar>
        </w:tcPr>
        <w:p w:rsidR="002429C5" w:rsidRDefault="002429C5" w:rsidP="00594B82">
          <w:pPr>
            <w:pStyle w:val="Header"/>
            <w:rPr>
              <w:b/>
            </w:rPr>
          </w:pPr>
          <w:fldSimple w:instr=" STYLEREF  Rapporttitel  \* MERGEFORMAT ">
            <w:r>
              <w:rPr>
                <w:noProof/>
              </w:rPr>
              <w:t>Sikkerhedsrapport for jernbanen 2014</w:t>
            </w:r>
          </w:fldSimple>
        </w:p>
      </w:tc>
      <w:tc>
        <w:tcPr>
          <w:tcW w:w="5684" w:type="dxa"/>
          <w:tcBorders>
            <w:left w:val="single" w:sz="4" w:space="0" w:color="auto"/>
          </w:tcBorders>
          <w:tcMar>
            <w:left w:w="284" w:type="dxa"/>
            <w:right w:w="284" w:type="dxa"/>
          </w:tcMar>
        </w:tcPr>
        <w:p w:rsidR="002429C5" w:rsidRDefault="002429C5" w:rsidP="00594B82">
          <w:pPr>
            <w:pStyle w:val="Header"/>
          </w:pPr>
          <w:r>
            <w:t>Contents</w:t>
          </w:r>
        </w:p>
      </w:tc>
    </w:tr>
  </w:tbl>
  <w:p w:rsidR="002429C5" w:rsidRPr="00E31100" w:rsidRDefault="002429C5" w:rsidP="00594B82">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8934" w:type="dxa"/>
      <w:tblInd w:w="-1134" w:type="dxa"/>
      <w:tblLook w:val="01E0" w:firstRow="1" w:lastRow="1" w:firstColumn="1" w:lastColumn="1" w:noHBand="0" w:noVBand="0"/>
    </w:tblPr>
    <w:tblGrid>
      <w:gridCol w:w="854"/>
      <w:gridCol w:w="2398"/>
      <w:gridCol w:w="5682"/>
    </w:tblGrid>
    <w:tr w:rsidR="002429C5">
      <w:trPr>
        <w:cantSplit/>
        <w:trHeight w:hRule="exact" w:val="567"/>
      </w:trPr>
      <w:tc>
        <w:tcPr>
          <w:tcW w:w="851" w:type="dxa"/>
          <w:tcBorders>
            <w:right w:val="single" w:sz="4" w:space="0" w:color="auto"/>
          </w:tcBorders>
          <w:tcMar>
            <w:left w:w="0" w:type="dxa"/>
            <w:right w:w="284" w:type="dxa"/>
          </w:tcMar>
        </w:tcPr>
        <w:p w:rsidR="002429C5" w:rsidRPr="0079442C" w:rsidRDefault="002429C5" w:rsidP="00594B82">
          <w:pPr>
            <w:pStyle w:val="Header"/>
            <w:rPr>
              <w:rStyle w:val="PageNumber"/>
            </w:rPr>
          </w:pPr>
          <w:r>
            <w:rPr>
              <w:rStyle w:val="PageNumber"/>
            </w:rPr>
            <w:fldChar w:fldCharType="begin"/>
          </w:r>
          <w:r>
            <w:rPr>
              <w:rStyle w:val="PageNumber"/>
            </w:rPr>
            <w:instrText xml:space="preserve"> PAGE </w:instrText>
          </w:r>
          <w:r>
            <w:rPr>
              <w:rStyle w:val="PageNumber"/>
            </w:rPr>
            <w:fldChar w:fldCharType="separate"/>
          </w:r>
          <w:r w:rsidR="00BD1ADD">
            <w:rPr>
              <w:rStyle w:val="PageNumber"/>
              <w:noProof/>
            </w:rPr>
            <w:t>3</w:t>
          </w:r>
          <w:r>
            <w:rPr>
              <w:rStyle w:val="PageNumber"/>
            </w:rPr>
            <w:fldChar w:fldCharType="end"/>
          </w:r>
        </w:p>
      </w:tc>
      <w:tc>
        <w:tcPr>
          <w:tcW w:w="2390" w:type="dxa"/>
          <w:tcBorders>
            <w:left w:val="single" w:sz="4" w:space="0" w:color="auto"/>
            <w:right w:val="single" w:sz="4" w:space="0" w:color="auto"/>
          </w:tcBorders>
          <w:tcMar>
            <w:left w:w="284" w:type="dxa"/>
            <w:right w:w="284" w:type="dxa"/>
          </w:tcMar>
        </w:tcPr>
        <w:p w:rsidR="002429C5" w:rsidRPr="0079442C" w:rsidRDefault="002429C5" w:rsidP="00594B82">
          <w:pPr>
            <w:pStyle w:val="Header"/>
          </w:pPr>
          <w:fldSimple w:instr=" STYLEREF  Rapporttitel  \* MERGEFORMAT ">
            <w:r w:rsidR="00BD1ADD">
              <w:rPr>
                <w:noProof/>
              </w:rPr>
              <w:t>Safety report for the railways 2014</w:t>
            </w:r>
          </w:fldSimple>
        </w:p>
      </w:tc>
      <w:tc>
        <w:tcPr>
          <w:tcW w:w="5662" w:type="dxa"/>
          <w:tcBorders>
            <w:left w:val="single" w:sz="4" w:space="0" w:color="auto"/>
          </w:tcBorders>
          <w:tcMar>
            <w:left w:w="284" w:type="dxa"/>
            <w:right w:w="0" w:type="dxa"/>
          </w:tcMar>
        </w:tcPr>
        <w:p w:rsidR="002429C5" w:rsidRDefault="002429C5" w:rsidP="00594B82">
          <w:pPr>
            <w:pStyle w:val="Header"/>
          </w:pPr>
        </w:p>
      </w:tc>
    </w:tr>
  </w:tbl>
  <w:p w:rsidR="002429C5" w:rsidRDefault="002429C5" w:rsidP="00594B82">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8934" w:type="dxa"/>
      <w:tblInd w:w="-1134" w:type="dxa"/>
      <w:tblLook w:val="01E0" w:firstRow="1" w:lastRow="1" w:firstColumn="1" w:lastColumn="1" w:noHBand="0" w:noVBand="0"/>
    </w:tblPr>
    <w:tblGrid>
      <w:gridCol w:w="854"/>
      <w:gridCol w:w="2398"/>
      <w:gridCol w:w="5682"/>
    </w:tblGrid>
    <w:tr w:rsidR="002429C5">
      <w:trPr>
        <w:cantSplit/>
        <w:trHeight w:hRule="exact" w:val="567"/>
      </w:trPr>
      <w:tc>
        <w:tcPr>
          <w:tcW w:w="851" w:type="dxa"/>
          <w:tcBorders>
            <w:right w:val="single" w:sz="4" w:space="0" w:color="auto"/>
          </w:tcBorders>
          <w:tcMar>
            <w:left w:w="0" w:type="dxa"/>
            <w:right w:w="284" w:type="dxa"/>
          </w:tcMar>
        </w:tcPr>
        <w:p w:rsidR="002429C5" w:rsidRPr="0079442C" w:rsidRDefault="002429C5" w:rsidP="00594B82">
          <w:pPr>
            <w:pStyle w:val="Header"/>
            <w:rPr>
              <w:rStyle w:val="PageNumber"/>
            </w:rPr>
          </w:pPr>
          <w:r>
            <w:rPr>
              <w:rStyle w:val="PageNumber"/>
            </w:rPr>
            <w:fldChar w:fldCharType="begin"/>
          </w:r>
          <w:r>
            <w:rPr>
              <w:rStyle w:val="PageNumber"/>
            </w:rPr>
            <w:instrText xml:space="preserve"> PAGE </w:instrText>
          </w:r>
          <w:r>
            <w:rPr>
              <w:rStyle w:val="PageNumber"/>
            </w:rPr>
            <w:fldChar w:fldCharType="separate"/>
          </w:r>
          <w:r w:rsidR="00BD1ADD">
            <w:rPr>
              <w:rStyle w:val="PageNumber"/>
              <w:noProof/>
            </w:rPr>
            <w:t>5</w:t>
          </w:r>
          <w:r>
            <w:rPr>
              <w:rStyle w:val="PageNumber"/>
            </w:rPr>
            <w:fldChar w:fldCharType="end"/>
          </w:r>
        </w:p>
      </w:tc>
      <w:tc>
        <w:tcPr>
          <w:tcW w:w="2390" w:type="dxa"/>
          <w:tcBorders>
            <w:left w:val="single" w:sz="4" w:space="0" w:color="auto"/>
            <w:right w:val="single" w:sz="4" w:space="0" w:color="auto"/>
          </w:tcBorders>
          <w:tcMar>
            <w:left w:w="284" w:type="dxa"/>
            <w:right w:w="284" w:type="dxa"/>
          </w:tcMar>
        </w:tcPr>
        <w:p w:rsidR="002429C5" w:rsidRPr="0079442C" w:rsidRDefault="002429C5" w:rsidP="00594B82">
          <w:pPr>
            <w:pStyle w:val="Header"/>
          </w:pPr>
          <w:fldSimple w:instr=" STYLEREF  Rapporttitel  \* MERGEFORMAT ">
            <w:r w:rsidR="00BD1ADD">
              <w:rPr>
                <w:noProof/>
              </w:rPr>
              <w:t>Safety report for the railways 2014</w:t>
            </w:r>
          </w:fldSimple>
        </w:p>
      </w:tc>
      <w:tc>
        <w:tcPr>
          <w:tcW w:w="5662" w:type="dxa"/>
          <w:tcBorders>
            <w:left w:val="single" w:sz="4" w:space="0" w:color="auto"/>
          </w:tcBorders>
          <w:tcMar>
            <w:left w:w="284" w:type="dxa"/>
            <w:right w:w="0" w:type="dxa"/>
          </w:tcMar>
        </w:tcPr>
        <w:p w:rsidR="002429C5" w:rsidRDefault="002429C5" w:rsidP="00594B82">
          <w:pPr>
            <w:pStyle w:val="Header"/>
          </w:pPr>
        </w:p>
      </w:tc>
    </w:tr>
  </w:tbl>
  <w:p w:rsidR="002429C5" w:rsidRDefault="002429C5" w:rsidP="00594B82">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8827" w:type="dxa"/>
      <w:tblInd w:w="-1137" w:type="dxa"/>
      <w:tblLook w:val="01E0" w:firstRow="1" w:lastRow="1" w:firstColumn="1" w:lastColumn="1" w:noHBand="0" w:noVBand="0"/>
    </w:tblPr>
    <w:tblGrid>
      <w:gridCol w:w="850"/>
      <w:gridCol w:w="2547"/>
      <w:gridCol w:w="5430"/>
    </w:tblGrid>
    <w:tr w:rsidR="002429C5" w:rsidTr="00474822">
      <w:trPr>
        <w:cantSplit/>
        <w:trHeight w:hRule="exact" w:val="567"/>
      </w:trPr>
      <w:tc>
        <w:tcPr>
          <w:tcW w:w="850" w:type="dxa"/>
          <w:tcBorders>
            <w:right w:val="single" w:sz="4" w:space="0" w:color="auto"/>
          </w:tcBorders>
          <w:tcMar>
            <w:left w:w="0" w:type="dxa"/>
            <w:right w:w="284" w:type="dxa"/>
          </w:tcMar>
        </w:tcPr>
        <w:p w:rsidR="002429C5" w:rsidRDefault="002429C5" w:rsidP="00594B82">
          <w:pPr>
            <w:pStyle w:val="Header"/>
          </w:pPr>
          <w:r>
            <w:rPr>
              <w:rStyle w:val="PageNumber"/>
            </w:rPr>
            <w:fldChar w:fldCharType="begin"/>
          </w:r>
          <w:r>
            <w:rPr>
              <w:rStyle w:val="PageNumber"/>
            </w:rPr>
            <w:instrText xml:space="preserve"> PAGE </w:instrText>
          </w:r>
          <w:r>
            <w:rPr>
              <w:rStyle w:val="PageNumber"/>
            </w:rPr>
            <w:fldChar w:fldCharType="separate"/>
          </w:r>
          <w:r>
            <w:rPr>
              <w:rStyle w:val="PageNumber"/>
              <w:noProof/>
            </w:rPr>
            <w:t>52</w:t>
          </w:r>
          <w:r>
            <w:rPr>
              <w:rStyle w:val="PageNumber"/>
            </w:rPr>
            <w:fldChar w:fldCharType="end"/>
          </w:r>
        </w:p>
      </w:tc>
      <w:tc>
        <w:tcPr>
          <w:tcW w:w="2547" w:type="dxa"/>
          <w:tcBorders>
            <w:left w:val="single" w:sz="4" w:space="0" w:color="auto"/>
            <w:right w:val="single" w:sz="4" w:space="0" w:color="auto"/>
          </w:tcBorders>
          <w:tcMar>
            <w:left w:w="284" w:type="dxa"/>
            <w:right w:w="284" w:type="dxa"/>
          </w:tcMar>
        </w:tcPr>
        <w:p w:rsidR="002429C5" w:rsidRDefault="002429C5" w:rsidP="00594B82">
          <w:pPr>
            <w:pStyle w:val="Header"/>
          </w:pPr>
          <w:fldSimple w:instr=" STYLEREF  Rapporttitel  \* MERGEFORMAT ">
            <w:r>
              <w:rPr>
                <w:noProof/>
              </w:rPr>
              <w:t>Sikkerhedsrapport for jernbanen 2014</w:t>
            </w:r>
          </w:fldSimple>
        </w:p>
      </w:tc>
      <w:tc>
        <w:tcPr>
          <w:tcW w:w="5430" w:type="dxa"/>
          <w:tcBorders>
            <w:left w:val="single" w:sz="4" w:space="0" w:color="auto"/>
          </w:tcBorders>
          <w:tcMar>
            <w:left w:w="284" w:type="dxa"/>
            <w:right w:w="284" w:type="dxa"/>
          </w:tcMar>
        </w:tcPr>
        <w:p w:rsidR="002429C5" w:rsidRDefault="002429C5" w:rsidP="00594B82">
          <w:pPr>
            <w:pStyle w:val="Header"/>
          </w:pPr>
          <w:r>
            <w:fldChar w:fldCharType="begin"/>
          </w:r>
          <w:r>
            <w:instrText xml:space="preserve"> STYLEREF  "TS Overskrift 1"  \* MERGEFORMAT </w:instrText>
          </w:r>
          <w:r>
            <w:rPr>
              <w:noProof/>
            </w:rPr>
            <w:fldChar w:fldCharType="end"/>
          </w:r>
        </w:p>
      </w:tc>
    </w:tr>
  </w:tbl>
  <w:p w:rsidR="002429C5" w:rsidRPr="00E31100" w:rsidRDefault="002429C5" w:rsidP="00594B82">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8934" w:type="dxa"/>
      <w:tblInd w:w="-1134" w:type="dxa"/>
      <w:tblLook w:val="01E0" w:firstRow="1" w:lastRow="1" w:firstColumn="1" w:lastColumn="1" w:noHBand="0" w:noVBand="0"/>
    </w:tblPr>
    <w:tblGrid>
      <w:gridCol w:w="854"/>
      <w:gridCol w:w="2398"/>
      <w:gridCol w:w="5682"/>
    </w:tblGrid>
    <w:tr w:rsidR="002429C5">
      <w:trPr>
        <w:cantSplit/>
        <w:trHeight w:hRule="exact" w:val="567"/>
      </w:trPr>
      <w:tc>
        <w:tcPr>
          <w:tcW w:w="851" w:type="dxa"/>
          <w:tcBorders>
            <w:right w:val="single" w:sz="4" w:space="0" w:color="auto"/>
          </w:tcBorders>
          <w:tcMar>
            <w:left w:w="0" w:type="dxa"/>
            <w:right w:w="284" w:type="dxa"/>
          </w:tcMar>
        </w:tcPr>
        <w:p w:rsidR="002429C5" w:rsidRPr="0079442C" w:rsidRDefault="002429C5" w:rsidP="00594B82">
          <w:pPr>
            <w:pStyle w:val="Header"/>
            <w:rPr>
              <w:rStyle w:val="PageNumber"/>
            </w:rPr>
          </w:pPr>
          <w:r>
            <w:rPr>
              <w:rStyle w:val="PageNumber"/>
            </w:rPr>
            <w:fldChar w:fldCharType="begin"/>
          </w:r>
          <w:r>
            <w:rPr>
              <w:rStyle w:val="PageNumber"/>
            </w:rPr>
            <w:instrText xml:space="preserve"> PAGE </w:instrText>
          </w:r>
          <w:r>
            <w:rPr>
              <w:rStyle w:val="PageNumber"/>
            </w:rPr>
            <w:fldChar w:fldCharType="separate"/>
          </w:r>
          <w:r w:rsidR="00BD1ADD">
            <w:rPr>
              <w:rStyle w:val="PageNumber"/>
              <w:noProof/>
            </w:rPr>
            <w:t>8</w:t>
          </w:r>
          <w:r>
            <w:rPr>
              <w:rStyle w:val="PageNumber"/>
            </w:rPr>
            <w:fldChar w:fldCharType="end"/>
          </w:r>
        </w:p>
      </w:tc>
      <w:tc>
        <w:tcPr>
          <w:tcW w:w="2390" w:type="dxa"/>
          <w:tcBorders>
            <w:left w:val="single" w:sz="4" w:space="0" w:color="auto"/>
            <w:right w:val="single" w:sz="4" w:space="0" w:color="auto"/>
          </w:tcBorders>
          <w:tcMar>
            <w:left w:w="284" w:type="dxa"/>
            <w:right w:w="284" w:type="dxa"/>
          </w:tcMar>
        </w:tcPr>
        <w:p w:rsidR="002429C5" w:rsidRPr="0079442C" w:rsidRDefault="002429C5" w:rsidP="00594B82">
          <w:pPr>
            <w:pStyle w:val="Header"/>
          </w:pPr>
          <w:fldSimple w:instr=" STYLEREF  Rapporttitel  \* MERGEFORMAT ">
            <w:r w:rsidR="00BD1ADD">
              <w:rPr>
                <w:noProof/>
              </w:rPr>
              <w:t>Safety report for the railways 2014</w:t>
            </w:r>
          </w:fldSimple>
        </w:p>
      </w:tc>
      <w:tc>
        <w:tcPr>
          <w:tcW w:w="5662" w:type="dxa"/>
          <w:tcBorders>
            <w:left w:val="single" w:sz="4" w:space="0" w:color="auto"/>
          </w:tcBorders>
          <w:tcMar>
            <w:left w:w="284" w:type="dxa"/>
            <w:right w:w="0" w:type="dxa"/>
          </w:tcMar>
        </w:tcPr>
        <w:p w:rsidR="002429C5" w:rsidRDefault="002429C5" w:rsidP="00594B82">
          <w:pPr>
            <w:pStyle w:val="Header"/>
          </w:pPr>
        </w:p>
      </w:tc>
    </w:tr>
  </w:tbl>
  <w:p w:rsidR="002429C5" w:rsidRDefault="002429C5" w:rsidP="00594B82">
    <w:pPr>
      <w:pStyle w:val="Heade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8827" w:type="dxa"/>
      <w:tblInd w:w="-1137" w:type="dxa"/>
      <w:tblLook w:val="01E0" w:firstRow="1" w:lastRow="1" w:firstColumn="1" w:lastColumn="1" w:noHBand="0" w:noVBand="0"/>
    </w:tblPr>
    <w:tblGrid>
      <w:gridCol w:w="850"/>
      <w:gridCol w:w="2547"/>
      <w:gridCol w:w="5430"/>
    </w:tblGrid>
    <w:tr w:rsidR="002429C5" w:rsidTr="00474822">
      <w:trPr>
        <w:cantSplit/>
        <w:trHeight w:hRule="exact" w:val="567"/>
      </w:trPr>
      <w:tc>
        <w:tcPr>
          <w:tcW w:w="850" w:type="dxa"/>
          <w:tcBorders>
            <w:right w:val="single" w:sz="4" w:space="0" w:color="auto"/>
          </w:tcBorders>
          <w:tcMar>
            <w:left w:w="0" w:type="dxa"/>
            <w:right w:w="284" w:type="dxa"/>
          </w:tcMar>
        </w:tcPr>
        <w:p w:rsidR="002429C5" w:rsidRDefault="002429C5" w:rsidP="00594B82">
          <w:pPr>
            <w:pStyle w:val="Header"/>
          </w:pPr>
          <w:r>
            <w:rPr>
              <w:rStyle w:val="PageNumber"/>
            </w:rPr>
            <w:fldChar w:fldCharType="begin"/>
          </w:r>
          <w:r>
            <w:rPr>
              <w:rStyle w:val="PageNumber"/>
            </w:rPr>
            <w:instrText xml:space="preserve"> PAGE </w:instrText>
          </w:r>
          <w:r>
            <w:rPr>
              <w:rStyle w:val="PageNumber"/>
            </w:rPr>
            <w:fldChar w:fldCharType="separate"/>
          </w:r>
          <w:r>
            <w:rPr>
              <w:rStyle w:val="PageNumber"/>
              <w:noProof/>
            </w:rPr>
            <w:t>52</w:t>
          </w:r>
          <w:r>
            <w:rPr>
              <w:rStyle w:val="PageNumber"/>
            </w:rPr>
            <w:fldChar w:fldCharType="end"/>
          </w:r>
        </w:p>
      </w:tc>
      <w:tc>
        <w:tcPr>
          <w:tcW w:w="2547" w:type="dxa"/>
          <w:tcBorders>
            <w:left w:val="single" w:sz="4" w:space="0" w:color="auto"/>
            <w:right w:val="single" w:sz="4" w:space="0" w:color="auto"/>
          </w:tcBorders>
          <w:tcMar>
            <w:left w:w="284" w:type="dxa"/>
            <w:right w:w="284" w:type="dxa"/>
          </w:tcMar>
        </w:tcPr>
        <w:p w:rsidR="002429C5" w:rsidRDefault="002429C5" w:rsidP="00594B82">
          <w:pPr>
            <w:pStyle w:val="Header"/>
          </w:pPr>
          <w:fldSimple w:instr=" STYLEREF  Rapporttitel  \* MERGEFORMAT ">
            <w:r>
              <w:rPr>
                <w:noProof/>
              </w:rPr>
              <w:t>Sikkerhedsrapport for jernbanen 2014</w:t>
            </w:r>
          </w:fldSimple>
        </w:p>
      </w:tc>
      <w:tc>
        <w:tcPr>
          <w:tcW w:w="5430" w:type="dxa"/>
          <w:tcBorders>
            <w:left w:val="single" w:sz="4" w:space="0" w:color="auto"/>
          </w:tcBorders>
          <w:tcMar>
            <w:left w:w="284" w:type="dxa"/>
            <w:right w:w="284" w:type="dxa"/>
          </w:tcMar>
        </w:tcPr>
        <w:p w:rsidR="002429C5" w:rsidRDefault="002429C5" w:rsidP="00594B82">
          <w:pPr>
            <w:pStyle w:val="Header"/>
          </w:pPr>
          <w:r>
            <w:fldChar w:fldCharType="begin"/>
          </w:r>
          <w:r>
            <w:instrText xml:space="preserve"> STYLEREF  "TS Overskrift 1"  \* MERGEFORMAT </w:instrText>
          </w:r>
          <w:r>
            <w:rPr>
              <w:noProof/>
            </w:rPr>
            <w:fldChar w:fldCharType="end"/>
          </w:r>
        </w:p>
      </w:tc>
    </w:tr>
  </w:tbl>
  <w:p w:rsidR="002429C5" w:rsidRPr="00E31100" w:rsidRDefault="002429C5" w:rsidP="00594B82">
    <w:pPr>
      <w:pStyle w:val="Heade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8934" w:type="dxa"/>
      <w:tblInd w:w="-1134" w:type="dxa"/>
      <w:tblLook w:val="01E0" w:firstRow="1" w:lastRow="1" w:firstColumn="1" w:lastColumn="1" w:noHBand="0" w:noVBand="0"/>
    </w:tblPr>
    <w:tblGrid>
      <w:gridCol w:w="854"/>
      <w:gridCol w:w="2398"/>
      <w:gridCol w:w="5682"/>
    </w:tblGrid>
    <w:tr w:rsidR="002429C5">
      <w:trPr>
        <w:cantSplit/>
        <w:trHeight w:hRule="exact" w:val="567"/>
      </w:trPr>
      <w:tc>
        <w:tcPr>
          <w:tcW w:w="851" w:type="dxa"/>
          <w:tcBorders>
            <w:right w:val="single" w:sz="4" w:space="0" w:color="auto"/>
          </w:tcBorders>
          <w:tcMar>
            <w:left w:w="0" w:type="dxa"/>
            <w:right w:w="284" w:type="dxa"/>
          </w:tcMar>
        </w:tcPr>
        <w:p w:rsidR="002429C5" w:rsidRPr="0079442C" w:rsidRDefault="002429C5" w:rsidP="00594B82">
          <w:pPr>
            <w:pStyle w:val="Header"/>
            <w:rPr>
              <w:rStyle w:val="PageNumber"/>
            </w:rPr>
          </w:pPr>
          <w:r>
            <w:rPr>
              <w:rStyle w:val="PageNumber"/>
            </w:rPr>
            <w:fldChar w:fldCharType="begin"/>
          </w:r>
          <w:r>
            <w:rPr>
              <w:rStyle w:val="PageNumber"/>
            </w:rPr>
            <w:instrText xml:space="preserve"> PAGE </w:instrText>
          </w:r>
          <w:r>
            <w:rPr>
              <w:rStyle w:val="PageNumber"/>
            </w:rPr>
            <w:fldChar w:fldCharType="separate"/>
          </w:r>
          <w:r w:rsidR="00BD1ADD">
            <w:rPr>
              <w:rStyle w:val="PageNumber"/>
              <w:noProof/>
            </w:rPr>
            <w:t>13</w:t>
          </w:r>
          <w:r>
            <w:rPr>
              <w:rStyle w:val="PageNumber"/>
            </w:rPr>
            <w:fldChar w:fldCharType="end"/>
          </w:r>
        </w:p>
      </w:tc>
      <w:tc>
        <w:tcPr>
          <w:tcW w:w="2390" w:type="dxa"/>
          <w:tcBorders>
            <w:left w:val="single" w:sz="4" w:space="0" w:color="auto"/>
            <w:right w:val="single" w:sz="4" w:space="0" w:color="auto"/>
          </w:tcBorders>
          <w:tcMar>
            <w:left w:w="284" w:type="dxa"/>
            <w:right w:w="284" w:type="dxa"/>
          </w:tcMar>
        </w:tcPr>
        <w:p w:rsidR="002429C5" w:rsidRPr="0079442C" w:rsidRDefault="002429C5" w:rsidP="00594B82">
          <w:pPr>
            <w:pStyle w:val="Header"/>
          </w:pPr>
          <w:fldSimple w:instr=" STYLEREF  Rapporttitel  \* MERGEFORMAT ">
            <w:r w:rsidR="00BD1ADD" w:rsidRPr="00BD1ADD">
              <w:rPr>
                <w:b/>
                <w:bCs/>
                <w:noProof/>
              </w:rPr>
              <w:t>Safety report for the</w:t>
            </w:r>
            <w:r w:rsidR="00BD1ADD">
              <w:rPr>
                <w:noProof/>
              </w:rPr>
              <w:t xml:space="preserve"> railways 2014</w:t>
            </w:r>
          </w:fldSimple>
        </w:p>
      </w:tc>
      <w:tc>
        <w:tcPr>
          <w:tcW w:w="5662" w:type="dxa"/>
          <w:tcBorders>
            <w:left w:val="single" w:sz="4" w:space="0" w:color="auto"/>
          </w:tcBorders>
          <w:tcMar>
            <w:left w:w="284" w:type="dxa"/>
            <w:right w:w="0" w:type="dxa"/>
          </w:tcMar>
        </w:tcPr>
        <w:p w:rsidR="002429C5" w:rsidRDefault="002429C5" w:rsidP="00594B82">
          <w:pPr>
            <w:pStyle w:val="Header"/>
          </w:pPr>
        </w:p>
      </w:tc>
    </w:tr>
  </w:tbl>
  <w:p w:rsidR="002429C5" w:rsidRDefault="002429C5" w:rsidP="00594B8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D354D1"/>
    <w:multiLevelType w:val="hybridMultilevel"/>
    <w:tmpl w:val="94AE5DBC"/>
    <w:lvl w:ilvl="0" w:tplc="1352899E">
      <w:start w:val="5"/>
      <w:numFmt w:val="bullet"/>
      <w:lvlText w:val="-"/>
      <w:lvlJc w:val="left"/>
      <w:pPr>
        <w:ind w:left="360" w:hanging="360"/>
      </w:pPr>
      <w:rPr>
        <w:rFonts w:ascii="Verdana" w:eastAsiaTheme="minorHAnsi" w:hAnsi="Verdana" w:cs="Times New Roman"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1" w15:restartNumberingAfterBreak="0">
    <w:nsid w:val="03B970E3"/>
    <w:multiLevelType w:val="hybridMultilevel"/>
    <w:tmpl w:val="AAEA5798"/>
    <w:lvl w:ilvl="0" w:tplc="1352899E">
      <w:start w:val="5"/>
      <w:numFmt w:val="bullet"/>
      <w:lvlText w:val="-"/>
      <w:lvlJc w:val="left"/>
      <w:pPr>
        <w:ind w:left="720" w:hanging="360"/>
      </w:pPr>
      <w:rPr>
        <w:rFonts w:ascii="Verdana" w:eastAsiaTheme="minorHAnsi" w:hAnsi="Verdana" w:cs="Times New Roman" w:hint="default"/>
      </w:rPr>
    </w:lvl>
    <w:lvl w:ilvl="1" w:tplc="04060003">
      <w:start w:val="1"/>
      <w:numFmt w:val="bullet"/>
      <w:lvlText w:val="o"/>
      <w:lvlJc w:val="left"/>
      <w:pPr>
        <w:ind w:left="1440" w:hanging="360"/>
      </w:pPr>
      <w:rPr>
        <w:rFonts w:ascii="Courier New" w:hAnsi="Courier New" w:cs="Courier New" w:hint="default"/>
      </w:rPr>
    </w:lvl>
    <w:lvl w:ilvl="2" w:tplc="04060005">
      <w:start w:val="1"/>
      <w:numFmt w:val="bullet"/>
      <w:lvlText w:val=""/>
      <w:lvlJc w:val="left"/>
      <w:pPr>
        <w:ind w:left="2160" w:hanging="360"/>
      </w:pPr>
      <w:rPr>
        <w:rFonts w:ascii="Wingdings" w:hAnsi="Wingdings" w:hint="default"/>
      </w:rPr>
    </w:lvl>
    <w:lvl w:ilvl="3" w:tplc="04060001">
      <w:start w:val="1"/>
      <w:numFmt w:val="bullet"/>
      <w:lvlText w:val=""/>
      <w:lvlJc w:val="left"/>
      <w:pPr>
        <w:ind w:left="2880" w:hanging="360"/>
      </w:pPr>
      <w:rPr>
        <w:rFonts w:ascii="Symbol" w:hAnsi="Symbol" w:hint="default"/>
      </w:rPr>
    </w:lvl>
    <w:lvl w:ilvl="4" w:tplc="04060003">
      <w:start w:val="1"/>
      <w:numFmt w:val="bullet"/>
      <w:lvlText w:val="o"/>
      <w:lvlJc w:val="left"/>
      <w:pPr>
        <w:ind w:left="3600" w:hanging="360"/>
      </w:pPr>
      <w:rPr>
        <w:rFonts w:ascii="Courier New" w:hAnsi="Courier New" w:cs="Courier New" w:hint="default"/>
      </w:rPr>
    </w:lvl>
    <w:lvl w:ilvl="5" w:tplc="04060005">
      <w:start w:val="1"/>
      <w:numFmt w:val="bullet"/>
      <w:lvlText w:val=""/>
      <w:lvlJc w:val="left"/>
      <w:pPr>
        <w:ind w:left="4320" w:hanging="360"/>
      </w:pPr>
      <w:rPr>
        <w:rFonts w:ascii="Wingdings" w:hAnsi="Wingdings" w:hint="default"/>
      </w:rPr>
    </w:lvl>
    <w:lvl w:ilvl="6" w:tplc="04060001">
      <w:start w:val="1"/>
      <w:numFmt w:val="bullet"/>
      <w:lvlText w:val=""/>
      <w:lvlJc w:val="left"/>
      <w:pPr>
        <w:ind w:left="5040" w:hanging="360"/>
      </w:pPr>
      <w:rPr>
        <w:rFonts w:ascii="Symbol" w:hAnsi="Symbol" w:hint="default"/>
      </w:rPr>
    </w:lvl>
    <w:lvl w:ilvl="7" w:tplc="04060003">
      <w:start w:val="1"/>
      <w:numFmt w:val="bullet"/>
      <w:lvlText w:val="o"/>
      <w:lvlJc w:val="left"/>
      <w:pPr>
        <w:ind w:left="5760" w:hanging="360"/>
      </w:pPr>
      <w:rPr>
        <w:rFonts w:ascii="Courier New" w:hAnsi="Courier New" w:cs="Courier New" w:hint="default"/>
      </w:rPr>
    </w:lvl>
    <w:lvl w:ilvl="8" w:tplc="04060005">
      <w:start w:val="1"/>
      <w:numFmt w:val="bullet"/>
      <w:lvlText w:val=""/>
      <w:lvlJc w:val="left"/>
      <w:pPr>
        <w:ind w:left="6480" w:hanging="360"/>
      </w:pPr>
      <w:rPr>
        <w:rFonts w:ascii="Wingdings" w:hAnsi="Wingdings" w:hint="default"/>
      </w:rPr>
    </w:lvl>
  </w:abstractNum>
  <w:abstractNum w:abstractNumId="2" w15:restartNumberingAfterBreak="0">
    <w:nsid w:val="04EC140D"/>
    <w:multiLevelType w:val="hybridMultilevel"/>
    <w:tmpl w:val="C9787E0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 w15:restartNumberingAfterBreak="0">
    <w:nsid w:val="05541CDE"/>
    <w:multiLevelType w:val="hybridMultilevel"/>
    <w:tmpl w:val="24005DD4"/>
    <w:lvl w:ilvl="0" w:tplc="675481F6">
      <w:numFmt w:val="bullet"/>
      <w:lvlText w:val="-"/>
      <w:lvlJc w:val="left"/>
      <w:pPr>
        <w:ind w:left="720" w:hanging="360"/>
      </w:pPr>
      <w:rPr>
        <w:rFonts w:ascii="Calibri" w:eastAsia="Calibri" w:hAnsi="Calibri" w:cs="Calibri" w:hint="default"/>
      </w:rPr>
    </w:lvl>
    <w:lvl w:ilvl="1" w:tplc="04060003">
      <w:start w:val="1"/>
      <w:numFmt w:val="bullet"/>
      <w:lvlText w:val="o"/>
      <w:lvlJc w:val="left"/>
      <w:pPr>
        <w:ind w:left="1440" w:hanging="360"/>
      </w:pPr>
      <w:rPr>
        <w:rFonts w:ascii="Courier New" w:hAnsi="Courier New" w:cs="Courier New" w:hint="default"/>
      </w:rPr>
    </w:lvl>
    <w:lvl w:ilvl="2" w:tplc="04060005">
      <w:start w:val="1"/>
      <w:numFmt w:val="bullet"/>
      <w:lvlText w:val=""/>
      <w:lvlJc w:val="left"/>
      <w:pPr>
        <w:ind w:left="2160" w:hanging="360"/>
      </w:pPr>
      <w:rPr>
        <w:rFonts w:ascii="Wingdings" w:hAnsi="Wingdings" w:hint="default"/>
      </w:rPr>
    </w:lvl>
    <w:lvl w:ilvl="3" w:tplc="04060001">
      <w:start w:val="1"/>
      <w:numFmt w:val="bullet"/>
      <w:lvlText w:val=""/>
      <w:lvlJc w:val="left"/>
      <w:pPr>
        <w:ind w:left="2880" w:hanging="360"/>
      </w:pPr>
      <w:rPr>
        <w:rFonts w:ascii="Symbol" w:hAnsi="Symbol" w:hint="default"/>
      </w:rPr>
    </w:lvl>
    <w:lvl w:ilvl="4" w:tplc="04060003">
      <w:start w:val="1"/>
      <w:numFmt w:val="bullet"/>
      <w:lvlText w:val="o"/>
      <w:lvlJc w:val="left"/>
      <w:pPr>
        <w:ind w:left="3600" w:hanging="360"/>
      </w:pPr>
      <w:rPr>
        <w:rFonts w:ascii="Courier New" w:hAnsi="Courier New" w:cs="Courier New" w:hint="default"/>
      </w:rPr>
    </w:lvl>
    <w:lvl w:ilvl="5" w:tplc="04060005">
      <w:start w:val="1"/>
      <w:numFmt w:val="bullet"/>
      <w:lvlText w:val=""/>
      <w:lvlJc w:val="left"/>
      <w:pPr>
        <w:ind w:left="4320" w:hanging="360"/>
      </w:pPr>
      <w:rPr>
        <w:rFonts w:ascii="Wingdings" w:hAnsi="Wingdings" w:hint="default"/>
      </w:rPr>
    </w:lvl>
    <w:lvl w:ilvl="6" w:tplc="04060001">
      <w:start w:val="1"/>
      <w:numFmt w:val="bullet"/>
      <w:lvlText w:val=""/>
      <w:lvlJc w:val="left"/>
      <w:pPr>
        <w:ind w:left="5040" w:hanging="360"/>
      </w:pPr>
      <w:rPr>
        <w:rFonts w:ascii="Symbol" w:hAnsi="Symbol" w:hint="default"/>
      </w:rPr>
    </w:lvl>
    <w:lvl w:ilvl="7" w:tplc="04060003">
      <w:start w:val="1"/>
      <w:numFmt w:val="bullet"/>
      <w:lvlText w:val="o"/>
      <w:lvlJc w:val="left"/>
      <w:pPr>
        <w:ind w:left="5760" w:hanging="360"/>
      </w:pPr>
      <w:rPr>
        <w:rFonts w:ascii="Courier New" w:hAnsi="Courier New" w:cs="Courier New" w:hint="default"/>
      </w:rPr>
    </w:lvl>
    <w:lvl w:ilvl="8" w:tplc="04060005">
      <w:start w:val="1"/>
      <w:numFmt w:val="bullet"/>
      <w:lvlText w:val=""/>
      <w:lvlJc w:val="left"/>
      <w:pPr>
        <w:ind w:left="6480" w:hanging="360"/>
      </w:pPr>
      <w:rPr>
        <w:rFonts w:ascii="Wingdings" w:hAnsi="Wingdings" w:hint="default"/>
      </w:rPr>
    </w:lvl>
  </w:abstractNum>
  <w:abstractNum w:abstractNumId="4" w15:restartNumberingAfterBreak="0">
    <w:nsid w:val="07A56455"/>
    <w:multiLevelType w:val="hybridMultilevel"/>
    <w:tmpl w:val="CC2E982E"/>
    <w:lvl w:ilvl="0" w:tplc="1352899E">
      <w:start w:val="5"/>
      <w:numFmt w:val="bullet"/>
      <w:lvlText w:val="-"/>
      <w:lvlJc w:val="left"/>
      <w:pPr>
        <w:ind w:left="720" w:hanging="360"/>
      </w:pPr>
      <w:rPr>
        <w:rFonts w:ascii="Verdana" w:eastAsiaTheme="minorHAnsi" w:hAnsi="Verdana" w:cs="Times New Roman"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5" w15:restartNumberingAfterBreak="0">
    <w:nsid w:val="07F44ADF"/>
    <w:multiLevelType w:val="hybridMultilevel"/>
    <w:tmpl w:val="1DACA27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6" w15:restartNumberingAfterBreak="0">
    <w:nsid w:val="08677846"/>
    <w:multiLevelType w:val="hybridMultilevel"/>
    <w:tmpl w:val="C20CC73C"/>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7" w15:restartNumberingAfterBreak="0">
    <w:nsid w:val="11E35B9A"/>
    <w:multiLevelType w:val="hybridMultilevel"/>
    <w:tmpl w:val="D77C6538"/>
    <w:lvl w:ilvl="0" w:tplc="A2309F56">
      <w:start w:val="1"/>
      <w:numFmt w:val="decimal"/>
      <w:pStyle w:val="Tabeltitel"/>
      <w:lvlText w:val="Tabel %1."/>
      <w:lvlJc w:val="left"/>
      <w:pPr>
        <w:tabs>
          <w:tab w:val="num" w:pos="709"/>
        </w:tabs>
        <w:ind w:left="709" w:hanging="709"/>
      </w:pPr>
      <w:rPr>
        <w:rFonts w:ascii="Verdana" w:hAnsi="Verdana" w:hint="default"/>
        <w:b w:val="0"/>
        <w:i/>
        <w:sz w:val="16"/>
        <w:szCs w:val="16"/>
      </w:rPr>
    </w:lvl>
    <w:lvl w:ilvl="1" w:tplc="04060019" w:tentative="1">
      <w:start w:val="1"/>
      <w:numFmt w:val="lowerLetter"/>
      <w:lvlText w:val="%2."/>
      <w:lvlJc w:val="left"/>
      <w:pPr>
        <w:tabs>
          <w:tab w:val="num" w:pos="2291"/>
        </w:tabs>
        <w:ind w:left="2291" w:hanging="360"/>
      </w:pPr>
    </w:lvl>
    <w:lvl w:ilvl="2" w:tplc="0406001B" w:tentative="1">
      <w:start w:val="1"/>
      <w:numFmt w:val="lowerRoman"/>
      <w:lvlText w:val="%3."/>
      <w:lvlJc w:val="right"/>
      <w:pPr>
        <w:tabs>
          <w:tab w:val="num" w:pos="3011"/>
        </w:tabs>
        <w:ind w:left="3011" w:hanging="180"/>
      </w:pPr>
    </w:lvl>
    <w:lvl w:ilvl="3" w:tplc="0406000F" w:tentative="1">
      <w:start w:val="1"/>
      <w:numFmt w:val="decimal"/>
      <w:lvlText w:val="%4."/>
      <w:lvlJc w:val="left"/>
      <w:pPr>
        <w:tabs>
          <w:tab w:val="num" w:pos="3731"/>
        </w:tabs>
        <w:ind w:left="3731" w:hanging="360"/>
      </w:pPr>
    </w:lvl>
    <w:lvl w:ilvl="4" w:tplc="04060019" w:tentative="1">
      <w:start w:val="1"/>
      <w:numFmt w:val="lowerLetter"/>
      <w:lvlText w:val="%5."/>
      <w:lvlJc w:val="left"/>
      <w:pPr>
        <w:tabs>
          <w:tab w:val="num" w:pos="4451"/>
        </w:tabs>
        <w:ind w:left="4451" w:hanging="360"/>
      </w:pPr>
    </w:lvl>
    <w:lvl w:ilvl="5" w:tplc="0406001B" w:tentative="1">
      <w:start w:val="1"/>
      <w:numFmt w:val="lowerRoman"/>
      <w:lvlText w:val="%6."/>
      <w:lvlJc w:val="right"/>
      <w:pPr>
        <w:tabs>
          <w:tab w:val="num" w:pos="5171"/>
        </w:tabs>
        <w:ind w:left="5171" w:hanging="180"/>
      </w:pPr>
    </w:lvl>
    <w:lvl w:ilvl="6" w:tplc="0406000F" w:tentative="1">
      <w:start w:val="1"/>
      <w:numFmt w:val="decimal"/>
      <w:lvlText w:val="%7."/>
      <w:lvlJc w:val="left"/>
      <w:pPr>
        <w:tabs>
          <w:tab w:val="num" w:pos="5891"/>
        </w:tabs>
        <w:ind w:left="5891" w:hanging="360"/>
      </w:pPr>
    </w:lvl>
    <w:lvl w:ilvl="7" w:tplc="04060019" w:tentative="1">
      <w:start w:val="1"/>
      <w:numFmt w:val="lowerLetter"/>
      <w:lvlText w:val="%8."/>
      <w:lvlJc w:val="left"/>
      <w:pPr>
        <w:tabs>
          <w:tab w:val="num" w:pos="6611"/>
        </w:tabs>
        <w:ind w:left="6611" w:hanging="360"/>
      </w:pPr>
    </w:lvl>
    <w:lvl w:ilvl="8" w:tplc="0406001B" w:tentative="1">
      <w:start w:val="1"/>
      <w:numFmt w:val="lowerRoman"/>
      <w:lvlText w:val="%9."/>
      <w:lvlJc w:val="right"/>
      <w:pPr>
        <w:tabs>
          <w:tab w:val="num" w:pos="7331"/>
        </w:tabs>
        <w:ind w:left="7331" w:hanging="180"/>
      </w:pPr>
    </w:lvl>
  </w:abstractNum>
  <w:abstractNum w:abstractNumId="8" w15:restartNumberingAfterBreak="0">
    <w:nsid w:val="13054C98"/>
    <w:multiLevelType w:val="hybridMultilevel"/>
    <w:tmpl w:val="C1EE5932"/>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9" w15:restartNumberingAfterBreak="0">
    <w:nsid w:val="14011E65"/>
    <w:multiLevelType w:val="hybridMultilevel"/>
    <w:tmpl w:val="57140590"/>
    <w:lvl w:ilvl="0" w:tplc="1352899E">
      <w:start w:val="5"/>
      <w:numFmt w:val="bullet"/>
      <w:lvlText w:val="-"/>
      <w:lvlJc w:val="left"/>
      <w:pPr>
        <w:ind w:left="720" w:hanging="360"/>
      </w:pPr>
      <w:rPr>
        <w:rFonts w:ascii="Verdana" w:eastAsiaTheme="minorHAnsi" w:hAnsi="Verdana" w:cs="Times New Roman"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0" w15:restartNumberingAfterBreak="0">
    <w:nsid w:val="16CC4F04"/>
    <w:multiLevelType w:val="hybridMultilevel"/>
    <w:tmpl w:val="3922551C"/>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11" w15:restartNumberingAfterBreak="0">
    <w:nsid w:val="16F61260"/>
    <w:multiLevelType w:val="hybridMultilevel"/>
    <w:tmpl w:val="3976B512"/>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12" w15:restartNumberingAfterBreak="0">
    <w:nsid w:val="1D130B77"/>
    <w:multiLevelType w:val="multilevel"/>
    <w:tmpl w:val="0F520A5A"/>
    <w:lvl w:ilvl="0">
      <w:start w:val="1"/>
      <w:numFmt w:val="decimal"/>
      <w:pStyle w:val="TypografiIndholdsfortegnelse2Venstre286cmHngende141cm"/>
      <w:lvlText w:val="%1.1"/>
      <w:lvlJc w:val="left"/>
      <w:pPr>
        <w:tabs>
          <w:tab w:val="num" w:pos="1985"/>
        </w:tabs>
        <w:ind w:left="1985" w:hanging="426"/>
      </w:pPr>
      <w:rPr>
        <w:rFonts w:ascii="Verdana" w:hAnsi="Verdana" w:hint="default"/>
        <w:b w:val="0"/>
        <w:i w:val="0"/>
        <w:sz w:val="18"/>
        <w:szCs w:val="18"/>
      </w:rPr>
    </w:lvl>
    <w:lvl w:ilvl="1">
      <w:start w:val="1"/>
      <w:numFmt w:val="decimal"/>
      <w:lvlText w:val="%1.%2"/>
      <w:lvlJc w:val="left"/>
      <w:pPr>
        <w:tabs>
          <w:tab w:val="num" w:pos="2135"/>
        </w:tabs>
        <w:ind w:left="2135" w:hanging="576"/>
      </w:pPr>
      <w:rPr>
        <w:rFonts w:hint="default"/>
      </w:rPr>
    </w:lvl>
    <w:lvl w:ilvl="2">
      <w:start w:val="1"/>
      <w:numFmt w:val="decimal"/>
      <w:lvlRestart w:val="1"/>
      <w:lvlText w:val="%1.%2.%3"/>
      <w:lvlJc w:val="left"/>
      <w:pPr>
        <w:tabs>
          <w:tab w:val="num" w:pos="2279"/>
        </w:tabs>
        <w:ind w:left="2279" w:hanging="720"/>
      </w:pPr>
      <w:rPr>
        <w:rFonts w:hint="default"/>
      </w:rPr>
    </w:lvl>
    <w:lvl w:ilvl="3">
      <w:start w:val="1"/>
      <w:numFmt w:val="decimal"/>
      <w:lvlText w:val="%1.%2.%3.%4"/>
      <w:lvlJc w:val="left"/>
      <w:pPr>
        <w:tabs>
          <w:tab w:val="num" w:pos="2423"/>
        </w:tabs>
        <w:ind w:left="2423" w:hanging="864"/>
      </w:pPr>
      <w:rPr>
        <w:rFonts w:hint="default"/>
      </w:rPr>
    </w:lvl>
    <w:lvl w:ilvl="4">
      <w:start w:val="1"/>
      <w:numFmt w:val="decimal"/>
      <w:lvlText w:val="%1.%2.%3.%4.%5"/>
      <w:lvlJc w:val="left"/>
      <w:pPr>
        <w:tabs>
          <w:tab w:val="num" w:pos="2567"/>
        </w:tabs>
        <w:ind w:left="2567" w:hanging="1008"/>
      </w:pPr>
      <w:rPr>
        <w:rFonts w:hint="default"/>
      </w:rPr>
    </w:lvl>
    <w:lvl w:ilvl="5">
      <w:start w:val="1"/>
      <w:numFmt w:val="decimal"/>
      <w:lvlText w:val="%1.%2.%3.%4.%5.%6"/>
      <w:lvlJc w:val="left"/>
      <w:pPr>
        <w:tabs>
          <w:tab w:val="num" w:pos="2711"/>
        </w:tabs>
        <w:ind w:left="2711" w:hanging="1152"/>
      </w:pPr>
      <w:rPr>
        <w:rFonts w:hint="default"/>
      </w:rPr>
    </w:lvl>
    <w:lvl w:ilvl="6">
      <w:start w:val="1"/>
      <w:numFmt w:val="decimal"/>
      <w:lvlText w:val="%1.%2.%3.%4.%5.%6.%7"/>
      <w:lvlJc w:val="left"/>
      <w:pPr>
        <w:tabs>
          <w:tab w:val="num" w:pos="2855"/>
        </w:tabs>
        <w:ind w:left="2855" w:hanging="1296"/>
      </w:pPr>
      <w:rPr>
        <w:rFonts w:hint="default"/>
      </w:rPr>
    </w:lvl>
    <w:lvl w:ilvl="7">
      <w:start w:val="1"/>
      <w:numFmt w:val="decimal"/>
      <w:lvlText w:val="%1.%2.%3.%4.%5.%6.%7.%8"/>
      <w:lvlJc w:val="left"/>
      <w:pPr>
        <w:tabs>
          <w:tab w:val="num" w:pos="2999"/>
        </w:tabs>
        <w:ind w:left="2999" w:hanging="1440"/>
      </w:pPr>
      <w:rPr>
        <w:rFonts w:hint="default"/>
      </w:rPr>
    </w:lvl>
    <w:lvl w:ilvl="8">
      <w:start w:val="1"/>
      <w:numFmt w:val="decimal"/>
      <w:lvlText w:val="%1.%2.%3.%4.%5.%6.%7.%8.%9"/>
      <w:lvlJc w:val="left"/>
      <w:pPr>
        <w:tabs>
          <w:tab w:val="num" w:pos="3143"/>
        </w:tabs>
        <w:ind w:left="3143" w:hanging="1584"/>
      </w:pPr>
      <w:rPr>
        <w:rFonts w:hint="default"/>
      </w:rPr>
    </w:lvl>
  </w:abstractNum>
  <w:abstractNum w:abstractNumId="13" w15:restartNumberingAfterBreak="0">
    <w:nsid w:val="1F3A2FD6"/>
    <w:multiLevelType w:val="hybridMultilevel"/>
    <w:tmpl w:val="79FA0622"/>
    <w:lvl w:ilvl="0" w:tplc="8C088B9E">
      <w:start w:val="1"/>
      <w:numFmt w:val="bullet"/>
      <w:pStyle w:val="Bullets"/>
      <w:lvlText w:val=""/>
      <w:lvlJc w:val="left"/>
      <w:pPr>
        <w:tabs>
          <w:tab w:val="num" w:pos="284"/>
        </w:tabs>
        <w:ind w:left="284" w:hanging="284"/>
      </w:pPr>
      <w:rPr>
        <w:rFonts w:ascii="Symbol" w:hAnsi="Symbol" w:hint="default"/>
        <w:color w:val="auto"/>
      </w:rPr>
    </w:lvl>
    <w:lvl w:ilvl="1" w:tplc="04060003" w:tentative="1">
      <w:start w:val="1"/>
      <w:numFmt w:val="bullet"/>
      <w:lvlText w:val="o"/>
      <w:lvlJc w:val="left"/>
      <w:pPr>
        <w:tabs>
          <w:tab w:val="num" w:pos="1440"/>
        </w:tabs>
        <w:ind w:left="1440" w:hanging="360"/>
      </w:pPr>
      <w:rPr>
        <w:rFonts w:ascii="Courier New" w:hAnsi="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FC337D7"/>
    <w:multiLevelType w:val="multilevel"/>
    <w:tmpl w:val="903E41A4"/>
    <w:lvl w:ilvl="0">
      <w:start w:val="1"/>
      <w:numFmt w:val="decimal"/>
      <w:lvlText w:val="%1.0"/>
      <w:lvlJc w:val="left"/>
      <w:pPr>
        <w:tabs>
          <w:tab w:val="num" w:pos="1991"/>
        </w:tabs>
        <w:ind w:left="1991" w:hanging="432"/>
      </w:pPr>
      <w:rPr>
        <w:rFonts w:ascii="Verdana" w:hAnsi="Verdana" w:hint="default"/>
        <w:b/>
        <w:i w:val="0"/>
        <w:sz w:val="18"/>
      </w:rPr>
    </w:lvl>
    <w:lvl w:ilvl="1">
      <w:start w:val="1"/>
      <w:numFmt w:val="decimal"/>
      <w:lvlText w:val="%1.%2"/>
      <w:lvlJc w:val="left"/>
      <w:pPr>
        <w:tabs>
          <w:tab w:val="num" w:pos="2135"/>
        </w:tabs>
        <w:ind w:left="2135" w:hanging="576"/>
      </w:pPr>
      <w:rPr>
        <w:rFonts w:ascii="Verdana" w:hAnsi="Verdana" w:hint="default"/>
        <w:b w:val="0"/>
        <w:i w:val="0"/>
        <w:sz w:val="18"/>
      </w:rPr>
    </w:lvl>
    <w:lvl w:ilvl="2">
      <w:start w:val="1"/>
      <w:numFmt w:val="decimal"/>
      <w:lvlText w:val="%1.%2.%3"/>
      <w:lvlJc w:val="left"/>
      <w:pPr>
        <w:tabs>
          <w:tab w:val="num" w:pos="2279"/>
        </w:tabs>
        <w:ind w:left="2279" w:hanging="720"/>
      </w:pPr>
      <w:rPr>
        <w:rFonts w:hint="default"/>
      </w:rPr>
    </w:lvl>
    <w:lvl w:ilvl="3">
      <w:start w:val="1"/>
      <w:numFmt w:val="decimal"/>
      <w:lvlText w:val="%1.%2.%3.%4"/>
      <w:lvlJc w:val="left"/>
      <w:pPr>
        <w:tabs>
          <w:tab w:val="num" w:pos="2423"/>
        </w:tabs>
        <w:ind w:left="2423" w:hanging="864"/>
      </w:pPr>
      <w:rPr>
        <w:rFonts w:hint="default"/>
      </w:rPr>
    </w:lvl>
    <w:lvl w:ilvl="4">
      <w:start w:val="1"/>
      <w:numFmt w:val="decimal"/>
      <w:pStyle w:val="Heading5"/>
      <w:lvlText w:val="%1.%2.%3.%4.%5"/>
      <w:lvlJc w:val="left"/>
      <w:pPr>
        <w:tabs>
          <w:tab w:val="num" w:pos="2567"/>
        </w:tabs>
        <w:ind w:left="2567" w:hanging="1008"/>
      </w:pPr>
      <w:rPr>
        <w:rFonts w:hint="default"/>
      </w:rPr>
    </w:lvl>
    <w:lvl w:ilvl="5">
      <w:start w:val="1"/>
      <w:numFmt w:val="decimal"/>
      <w:pStyle w:val="Heading6"/>
      <w:lvlText w:val="%1.%2.%3.%4.%5.%6"/>
      <w:lvlJc w:val="left"/>
      <w:pPr>
        <w:tabs>
          <w:tab w:val="num" w:pos="2711"/>
        </w:tabs>
        <w:ind w:left="2711" w:hanging="1152"/>
      </w:pPr>
      <w:rPr>
        <w:rFonts w:hint="default"/>
      </w:rPr>
    </w:lvl>
    <w:lvl w:ilvl="6">
      <w:start w:val="1"/>
      <w:numFmt w:val="decimal"/>
      <w:pStyle w:val="Heading7"/>
      <w:lvlText w:val="%1.%2.%3.%4.%5.%6.%7"/>
      <w:lvlJc w:val="left"/>
      <w:pPr>
        <w:tabs>
          <w:tab w:val="num" w:pos="2855"/>
        </w:tabs>
        <w:ind w:left="2855" w:hanging="1296"/>
      </w:pPr>
      <w:rPr>
        <w:rFonts w:hint="default"/>
      </w:rPr>
    </w:lvl>
    <w:lvl w:ilvl="7">
      <w:start w:val="1"/>
      <w:numFmt w:val="decimal"/>
      <w:pStyle w:val="Heading8"/>
      <w:lvlText w:val="%1.%2.%3.%4.%5.%6.%7.%8"/>
      <w:lvlJc w:val="left"/>
      <w:pPr>
        <w:tabs>
          <w:tab w:val="num" w:pos="2999"/>
        </w:tabs>
        <w:ind w:left="2999" w:hanging="1440"/>
      </w:pPr>
      <w:rPr>
        <w:rFonts w:hint="default"/>
      </w:rPr>
    </w:lvl>
    <w:lvl w:ilvl="8">
      <w:start w:val="1"/>
      <w:numFmt w:val="decimal"/>
      <w:pStyle w:val="Heading9"/>
      <w:lvlText w:val="%1.%2.%3.%4.%5.%6.%7.%8.%9"/>
      <w:lvlJc w:val="left"/>
      <w:pPr>
        <w:tabs>
          <w:tab w:val="num" w:pos="3143"/>
        </w:tabs>
        <w:ind w:left="3143" w:hanging="1584"/>
      </w:pPr>
      <w:rPr>
        <w:rFonts w:hint="default"/>
      </w:rPr>
    </w:lvl>
  </w:abstractNum>
  <w:abstractNum w:abstractNumId="15" w15:restartNumberingAfterBreak="0">
    <w:nsid w:val="26430D83"/>
    <w:multiLevelType w:val="hybridMultilevel"/>
    <w:tmpl w:val="88FCAD60"/>
    <w:lvl w:ilvl="0" w:tplc="17D6CEEA">
      <w:numFmt w:val="bullet"/>
      <w:lvlText w:val="-"/>
      <w:lvlJc w:val="left"/>
      <w:pPr>
        <w:ind w:left="720" w:hanging="360"/>
      </w:pPr>
      <w:rPr>
        <w:rFonts w:ascii="Verdana" w:eastAsia="Times New Roman" w:hAnsi="Verdana" w:cs="Times New Roman"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6" w15:restartNumberingAfterBreak="0">
    <w:nsid w:val="302D5FDF"/>
    <w:multiLevelType w:val="hybridMultilevel"/>
    <w:tmpl w:val="8B7E0536"/>
    <w:lvl w:ilvl="0" w:tplc="21C83A22">
      <w:numFmt w:val="bullet"/>
      <w:lvlText w:val="-"/>
      <w:lvlJc w:val="left"/>
      <w:pPr>
        <w:ind w:left="405" w:hanging="360"/>
      </w:pPr>
      <w:rPr>
        <w:rFonts w:ascii="Calibri" w:eastAsiaTheme="minorHAnsi" w:hAnsi="Calibri" w:cstheme="minorBidi" w:hint="default"/>
      </w:rPr>
    </w:lvl>
    <w:lvl w:ilvl="1" w:tplc="04060003" w:tentative="1">
      <w:start w:val="1"/>
      <w:numFmt w:val="bullet"/>
      <w:lvlText w:val="o"/>
      <w:lvlJc w:val="left"/>
      <w:pPr>
        <w:ind w:left="1125" w:hanging="360"/>
      </w:pPr>
      <w:rPr>
        <w:rFonts w:ascii="Courier New" w:hAnsi="Courier New" w:cs="Courier New" w:hint="default"/>
      </w:rPr>
    </w:lvl>
    <w:lvl w:ilvl="2" w:tplc="04060005" w:tentative="1">
      <w:start w:val="1"/>
      <w:numFmt w:val="bullet"/>
      <w:lvlText w:val=""/>
      <w:lvlJc w:val="left"/>
      <w:pPr>
        <w:ind w:left="1845" w:hanging="360"/>
      </w:pPr>
      <w:rPr>
        <w:rFonts w:ascii="Wingdings" w:hAnsi="Wingdings" w:hint="default"/>
      </w:rPr>
    </w:lvl>
    <w:lvl w:ilvl="3" w:tplc="04060001" w:tentative="1">
      <w:start w:val="1"/>
      <w:numFmt w:val="bullet"/>
      <w:lvlText w:val=""/>
      <w:lvlJc w:val="left"/>
      <w:pPr>
        <w:ind w:left="2565" w:hanging="360"/>
      </w:pPr>
      <w:rPr>
        <w:rFonts w:ascii="Symbol" w:hAnsi="Symbol" w:hint="default"/>
      </w:rPr>
    </w:lvl>
    <w:lvl w:ilvl="4" w:tplc="04060003" w:tentative="1">
      <w:start w:val="1"/>
      <w:numFmt w:val="bullet"/>
      <w:lvlText w:val="o"/>
      <w:lvlJc w:val="left"/>
      <w:pPr>
        <w:ind w:left="3285" w:hanging="360"/>
      </w:pPr>
      <w:rPr>
        <w:rFonts w:ascii="Courier New" w:hAnsi="Courier New" w:cs="Courier New" w:hint="default"/>
      </w:rPr>
    </w:lvl>
    <w:lvl w:ilvl="5" w:tplc="04060005" w:tentative="1">
      <w:start w:val="1"/>
      <w:numFmt w:val="bullet"/>
      <w:lvlText w:val=""/>
      <w:lvlJc w:val="left"/>
      <w:pPr>
        <w:ind w:left="4005" w:hanging="360"/>
      </w:pPr>
      <w:rPr>
        <w:rFonts w:ascii="Wingdings" w:hAnsi="Wingdings" w:hint="default"/>
      </w:rPr>
    </w:lvl>
    <w:lvl w:ilvl="6" w:tplc="04060001" w:tentative="1">
      <w:start w:val="1"/>
      <w:numFmt w:val="bullet"/>
      <w:lvlText w:val=""/>
      <w:lvlJc w:val="left"/>
      <w:pPr>
        <w:ind w:left="4725" w:hanging="360"/>
      </w:pPr>
      <w:rPr>
        <w:rFonts w:ascii="Symbol" w:hAnsi="Symbol" w:hint="default"/>
      </w:rPr>
    </w:lvl>
    <w:lvl w:ilvl="7" w:tplc="04060003" w:tentative="1">
      <w:start w:val="1"/>
      <w:numFmt w:val="bullet"/>
      <w:lvlText w:val="o"/>
      <w:lvlJc w:val="left"/>
      <w:pPr>
        <w:ind w:left="5445" w:hanging="360"/>
      </w:pPr>
      <w:rPr>
        <w:rFonts w:ascii="Courier New" w:hAnsi="Courier New" w:cs="Courier New" w:hint="default"/>
      </w:rPr>
    </w:lvl>
    <w:lvl w:ilvl="8" w:tplc="04060005" w:tentative="1">
      <w:start w:val="1"/>
      <w:numFmt w:val="bullet"/>
      <w:lvlText w:val=""/>
      <w:lvlJc w:val="left"/>
      <w:pPr>
        <w:ind w:left="6165" w:hanging="360"/>
      </w:pPr>
      <w:rPr>
        <w:rFonts w:ascii="Wingdings" w:hAnsi="Wingdings" w:hint="default"/>
      </w:rPr>
    </w:lvl>
  </w:abstractNum>
  <w:abstractNum w:abstractNumId="17" w15:restartNumberingAfterBreak="0">
    <w:nsid w:val="306547C2"/>
    <w:multiLevelType w:val="hybridMultilevel"/>
    <w:tmpl w:val="6492D56A"/>
    <w:lvl w:ilvl="0" w:tplc="1352899E">
      <w:start w:val="5"/>
      <w:numFmt w:val="bullet"/>
      <w:lvlText w:val="-"/>
      <w:lvlJc w:val="left"/>
      <w:pPr>
        <w:ind w:left="720" w:hanging="360"/>
      </w:pPr>
      <w:rPr>
        <w:rFonts w:ascii="Verdana" w:eastAsiaTheme="minorHAnsi" w:hAnsi="Verdana" w:cs="Times New Roman"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8" w15:restartNumberingAfterBreak="0">
    <w:nsid w:val="31D8687E"/>
    <w:multiLevelType w:val="hybridMultilevel"/>
    <w:tmpl w:val="F96A09AE"/>
    <w:lvl w:ilvl="0" w:tplc="1100828E">
      <w:numFmt w:val="bullet"/>
      <w:lvlText w:val="-"/>
      <w:lvlJc w:val="left"/>
      <w:pPr>
        <w:ind w:left="720" w:hanging="360"/>
      </w:pPr>
      <w:rPr>
        <w:rFonts w:ascii="Calibri" w:eastAsiaTheme="minorHAnsi" w:hAnsi="Calibri" w:cstheme="minorBidi" w:hint="default"/>
      </w:rPr>
    </w:lvl>
    <w:lvl w:ilvl="1" w:tplc="1352899E">
      <w:start w:val="5"/>
      <w:numFmt w:val="bullet"/>
      <w:lvlText w:val="-"/>
      <w:lvlJc w:val="left"/>
      <w:pPr>
        <w:ind w:left="1440" w:hanging="360"/>
      </w:pPr>
      <w:rPr>
        <w:rFonts w:ascii="Verdana" w:eastAsiaTheme="minorHAnsi" w:hAnsi="Verdana" w:cs="Times New Roman" w:hint="default"/>
      </w:rPr>
    </w:lvl>
    <w:lvl w:ilvl="2" w:tplc="140C0005" w:tentative="1">
      <w:start w:val="1"/>
      <w:numFmt w:val="bullet"/>
      <w:lvlText w:val=""/>
      <w:lvlJc w:val="left"/>
      <w:pPr>
        <w:ind w:left="2160" w:hanging="360"/>
      </w:pPr>
      <w:rPr>
        <w:rFonts w:ascii="Wingdings" w:hAnsi="Wingdings" w:hint="default"/>
      </w:rPr>
    </w:lvl>
    <w:lvl w:ilvl="3" w:tplc="140C0001" w:tentative="1">
      <w:start w:val="1"/>
      <w:numFmt w:val="bullet"/>
      <w:lvlText w:val=""/>
      <w:lvlJc w:val="left"/>
      <w:pPr>
        <w:ind w:left="2880" w:hanging="360"/>
      </w:pPr>
      <w:rPr>
        <w:rFonts w:ascii="Symbol" w:hAnsi="Symbol" w:hint="default"/>
      </w:rPr>
    </w:lvl>
    <w:lvl w:ilvl="4" w:tplc="140C0003" w:tentative="1">
      <w:start w:val="1"/>
      <w:numFmt w:val="bullet"/>
      <w:lvlText w:val="o"/>
      <w:lvlJc w:val="left"/>
      <w:pPr>
        <w:ind w:left="3600" w:hanging="360"/>
      </w:pPr>
      <w:rPr>
        <w:rFonts w:ascii="Courier New" w:hAnsi="Courier New" w:cs="Courier New" w:hint="default"/>
      </w:rPr>
    </w:lvl>
    <w:lvl w:ilvl="5" w:tplc="140C0005" w:tentative="1">
      <w:start w:val="1"/>
      <w:numFmt w:val="bullet"/>
      <w:lvlText w:val=""/>
      <w:lvlJc w:val="left"/>
      <w:pPr>
        <w:ind w:left="4320" w:hanging="360"/>
      </w:pPr>
      <w:rPr>
        <w:rFonts w:ascii="Wingdings" w:hAnsi="Wingdings" w:hint="default"/>
      </w:rPr>
    </w:lvl>
    <w:lvl w:ilvl="6" w:tplc="140C0001" w:tentative="1">
      <w:start w:val="1"/>
      <w:numFmt w:val="bullet"/>
      <w:lvlText w:val=""/>
      <w:lvlJc w:val="left"/>
      <w:pPr>
        <w:ind w:left="5040" w:hanging="360"/>
      </w:pPr>
      <w:rPr>
        <w:rFonts w:ascii="Symbol" w:hAnsi="Symbol" w:hint="default"/>
      </w:rPr>
    </w:lvl>
    <w:lvl w:ilvl="7" w:tplc="140C0003" w:tentative="1">
      <w:start w:val="1"/>
      <w:numFmt w:val="bullet"/>
      <w:lvlText w:val="o"/>
      <w:lvlJc w:val="left"/>
      <w:pPr>
        <w:ind w:left="5760" w:hanging="360"/>
      </w:pPr>
      <w:rPr>
        <w:rFonts w:ascii="Courier New" w:hAnsi="Courier New" w:cs="Courier New" w:hint="default"/>
      </w:rPr>
    </w:lvl>
    <w:lvl w:ilvl="8" w:tplc="140C0005" w:tentative="1">
      <w:start w:val="1"/>
      <w:numFmt w:val="bullet"/>
      <w:lvlText w:val=""/>
      <w:lvlJc w:val="left"/>
      <w:pPr>
        <w:ind w:left="6480" w:hanging="360"/>
      </w:pPr>
      <w:rPr>
        <w:rFonts w:ascii="Wingdings" w:hAnsi="Wingdings" w:hint="default"/>
      </w:rPr>
    </w:lvl>
  </w:abstractNum>
  <w:abstractNum w:abstractNumId="19" w15:restartNumberingAfterBreak="0">
    <w:nsid w:val="365A4FD0"/>
    <w:multiLevelType w:val="hybridMultilevel"/>
    <w:tmpl w:val="475CE97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0" w15:restartNumberingAfterBreak="0">
    <w:nsid w:val="37240F28"/>
    <w:multiLevelType w:val="hybridMultilevel"/>
    <w:tmpl w:val="499C795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1" w15:restartNumberingAfterBreak="0">
    <w:nsid w:val="381D7888"/>
    <w:multiLevelType w:val="hybridMultilevel"/>
    <w:tmpl w:val="B2E21136"/>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2" w15:restartNumberingAfterBreak="0">
    <w:nsid w:val="3C222FB3"/>
    <w:multiLevelType w:val="hybridMultilevel"/>
    <w:tmpl w:val="51B26BF4"/>
    <w:lvl w:ilvl="0" w:tplc="1352899E">
      <w:start w:val="5"/>
      <w:numFmt w:val="bullet"/>
      <w:lvlText w:val="-"/>
      <w:lvlJc w:val="left"/>
      <w:pPr>
        <w:ind w:left="720" w:hanging="360"/>
      </w:pPr>
      <w:rPr>
        <w:rFonts w:ascii="Verdana" w:eastAsiaTheme="minorHAnsi" w:hAnsi="Verdana" w:cs="Times New Roman"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3" w15:restartNumberingAfterBreak="0">
    <w:nsid w:val="3F6B3B4F"/>
    <w:multiLevelType w:val="hybridMultilevel"/>
    <w:tmpl w:val="E55CB57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4" w15:restartNumberingAfterBreak="0">
    <w:nsid w:val="3F9A447D"/>
    <w:multiLevelType w:val="hybridMultilevel"/>
    <w:tmpl w:val="7744F320"/>
    <w:lvl w:ilvl="0" w:tplc="1100828E">
      <w:numFmt w:val="bullet"/>
      <w:lvlText w:val="-"/>
      <w:lvlJc w:val="left"/>
      <w:pPr>
        <w:ind w:left="720" w:hanging="360"/>
      </w:pPr>
      <w:rPr>
        <w:rFonts w:ascii="Calibri" w:eastAsiaTheme="minorHAnsi" w:hAnsi="Calibri" w:cstheme="minorBid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5" w15:restartNumberingAfterBreak="0">
    <w:nsid w:val="4015322A"/>
    <w:multiLevelType w:val="hybridMultilevel"/>
    <w:tmpl w:val="7FD6C5EA"/>
    <w:lvl w:ilvl="0" w:tplc="04060001">
      <w:start w:val="1"/>
      <w:numFmt w:val="bullet"/>
      <w:lvlText w:val=""/>
      <w:lvlJc w:val="left"/>
      <w:pPr>
        <w:ind w:left="1080" w:hanging="360"/>
      </w:pPr>
      <w:rPr>
        <w:rFonts w:ascii="Symbol" w:hAnsi="Symbol" w:hint="default"/>
      </w:rPr>
    </w:lvl>
    <w:lvl w:ilvl="1" w:tplc="04060003" w:tentative="1">
      <w:start w:val="1"/>
      <w:numFmt w:val="bullet"/>
      <w:lvlText w:val="o"/>
      <w:lvlJc w:val="left"/>
      <w:pPr>
        <w:ind w:left="1800" w:hanging="360"/>
      </w:pPr>
      <w:rPr>
        <w:rFonts w:ascii="Courier New" w:hAnsi="Courier New" w:cs="Courier New" w:hint="default"/>
      </w:rPr>
    </w:lvl>
    <w:lvl w:ilvl="2" w:tplc="04060005" w:tentative="1">
      <w:start w:val="1"/>
      <w:numFmt w:val="bullet"/>
      <w:lvlText w:val=""/>
      <w:lvlJc w:val="left"/>
      <w:pPr>
        <w:ind w:left="2520" w:hanging="360"/>
      </w:pPr>
      <w:rPr>
        <w:rFonts w:ascii="Wingdings" w:hAnsi="Wingdings" w:hint="default"/>
      </w:rPr>
    </w:lvl>
    <w:lvl w:ilvl="3" w:tplc="04060001" w:tentative="1">
      <w:start w:val="1"/>
      <w:numFmt w:val="bullet"/>
      <w:lvlText w:val=""/>
      <w:lvlJc w:val="left"/>
      <w:pPr>
        <w:ind w:left="3240" w:hanging="360"/>
      </w:pPr>
      <w:rPr>
        <w:rFonts w:ascii="Symbol" w:hAnsi="Symbol" w:hint="default"/>
      </w:rPr>
    </w:lvl>
    <w:lvl w:ilvl="4" w:tplc="04060003" w:tentative="1">
      <w:start w:val="1"/>
      <w:numFmt w:val="bullet"/>
      <w:lvlText w:val="o"/>
      <w:lvlJc w:val="left"/>
      <w:pPr>
        <w:ind w:left="3960" w:hanging="360"/>
      </w:pPr>
      <w:rPr>
        <w:rFonts w:ascii="Courier New" w:hAnsi="Courier New" w:cs="Courier New" w:hint="default"/>
      </w:rPr>
    </w:lvl>
    <w:lvl w:ilvl="5" w:tplc="04060005" w:tentative="1">
      <w:start w:val="1"/>
      <w:numFmt w:val="bullet"/>
      <w:lvlText w:val=""/>
      <w:lvlJc w:val="left"/>
      <w:pPr>
        <w:ind w:left="4680" w:hanging="360"/>
      </w:pPr>
      <w:rPr>
        <w:rFonts w:ascii="Wingdings" w:hAnsi="Wingdings" w:hint="default"/>
      </w:rPr>
    </w:lvl>
    <w:lvl w:ilvl="6" w:tplc="04060001" w:tentative="1">
      <w:start w:val="1"/>
      <w:numFmt w:val="bullet"/>
      <w:lvlText w:val=""/>
      <w:lvlJc w:val="left"/>
      <w:pPr>
        <w:ind w:left="5400" w:hanging="360"/>
      </w:pPr>
      <w:rPr>
        <w:rFonts w:ascii="Symbol" w:hAnsi="Symbol" w:hint="default"/>
      </w:rPr>
    </w:lvl>
    <w:lvl w:ilvl="7" w:tplc="04060003" w:tentative="1">
      <w:start w:val="1"/>
      <w:numFmt w:val="bullet"/>
      <w:lvlText w:val="o"/>
      <w:lvlJc w:val="left"/>
      <w:pPr>
        <w:ind w:left="6120" w:hanging="360"/>
      </w:pPr>
      <w:rPr>
        <w:rFonts w:ascii="Courier New" w:hAnsi="Courier New" w:cs="Courier New" w:hint="default"/>
      </w:rPr>
    </w:lvl>
    <w:lvl w:ilvl="8" w:tplc="04060005" w:tentative="1">
      <w:start w:val="1"/>
      <w:numFmt w:val="bullet"/>
      <w:lvlText w:val=""/>
      <w:lvlJc w:val="left"/>
      <w:pPr>
        <w:ind w:left="6840" w:hanging="360"/>
      </w:pPr>
      <w:rPr>
        <w:rFonts w:ascii="Wingdings" w:hAnsi="Wingdings" w:hint="default"/>
      </w:rPr>
    </w:lvl>
  </w:abstractNum>
  <w:abstractNum w:abstractNumId="26" w15:restartNumberingAfterBreak="0">
    <w:nsid w:val="402049DD"/>
    <w:multiLevelType w:val="hybridMultilevel"/>
    <w:tmpl w:val="67D24ECC"/>
    <w:lvl w:ilvl="0" w:tplc="1352899E">
      <w:start w:val="5"/>
      <w:numFmt w:val="bullet"/>
      <w:lvlText w:val="-"/>
      <w:lvlJc w:val="left"/>
      <w:pPr>
        <w:ind w:left="720" w:hanging="360"/>
      </w:pPr>
      <w:rPr>
        <w:rFonts w:ascii="Verdana" w:eastAsiaTheme="minorHAnsi" w:hAnsi="Verdana" w:cs="Times New Roman"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7" w15:restartNumberingAfterBreak="0">
    <w:nsid w:val="413008DB"/>
    <w:multiLevelType w:val="hybridMultilevel"/>
    <w:tmpl w:val="47C6DF4A"/>
    <w:lvl w:ilvl="0" w:tplc="0406000F">
      <w:start w:val="1"/>
      <w:numFmt w:val="decimal"/>
      <w:lvlText w:val="%1."/>
      <w:lvlJc w:val="left"/>
      <w:pPr>
        <w:ind w:left="720" w:hanging="360"/>
      </w:pPr>
      <w:rPr>
        <w:rFonts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8" w15:restartNumberingAfterBreak="0">
    <w:nsid w:val="47287EF6"/>
    <w:multiLevelType w:val="hybridMultilevel"/>
    <w:tmpl w:val="CDD26C06"/>
    <w:lvl w:ilvl="0" w:tplc="1352899E">
      <w:start w:val="5"/>
      <w:numFmt w:val="bullet"/>
      <w:lvlText w:val="-"/>
      <w:lvlJc w:val="left"/>
      <w:pPr>
        <w:ind w:left="720" w:hanging="360"/>
      </w:pPr>
      <w:rPr>
        <w:rFonts w:ascii="Verdana" w:eastAsiaTheme="minorHAnsi" w:hAnsi="Verdana" w:cs="Times New Roman"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9" w15:restartNumberingAfterBreak="0">
    <w:nsid w:val="48A76F19"/>
    <w:multiLevelType w:val="hybridMultilevel"/>
    <w:tmpl w:val="0FC8EB42"/>
    <w:lvl w:ilvl="0" w:tplc="247AE2B0">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0" w15:restartNumberingAfterBreak="0">
    <w:nsid w:val="4F077DA1"/>
    <w:multiLevelType w:val="hybridMultilevel"/>
    <w:tmpl w:val="A1B06C9A"/>
    <w:lvl w:ilvl="0" w:tplc="1352899E">
      <w:start w:val="5"/>
      <w:numFmt w:val="bullet"/>
      <w:lvlText w:val="-"/>
      <w:lvlJc w:val="left"/>
      <w:pPr>
        <w:ind w:left="720" w:hanging="360"/>
      </w:pPr>
      <w:rPr>
        <w:rFonts w:ascii="Verdana" w:eastAsiaTheme="minorHAnsi" w:hAnsi="Verdana" w:cs="Times New Roman"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1" w15:restartNumberingAfterBreak="0">
    <w:nsid w:val="4FA2385B"/>
    <w:multiLevelType w:val="hybridMultilevel"/>
    <w:tmpl w:val="768EB77C"/>
    <w:lvl w:ilvl="0" w:tplc="1352899E">
      <w:start w:val="5"/>
      <w:numFmt w:val="bullet"/>
      <w:lvlText w:val="-"/>
      <w:lvlJc w:val="left"/>
      <w:pPr>
        <w:ind w:left="720" w:hanging="360"/>
      </w:pPr>
      <w:rPr>
        <w:rFonts w:ascii="Verdana" w:eastAsiaTheme="minorHAnsi" w:hAnsi="Verdana" w:cs="Times New Roman"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2" w15:restartNumberingAfterBreak="0">
    <w:nsid w:val="507C75D9"/>
    <w:multiLevelType w:val="hybridMultilevel"/>
    <w:tmpl w:val="C976491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3" w15:restartNumberingAfterBreak="0">
    <w:nsid w:val="5355321B"/>
    <w:multiLevelType w:val="hybridMultilevel"/>
    <w:tmpl w:val="5BF2E50C"/>
    <w:lvl w:ilvl="0" w:tplc="1352899E">
      <w:start w:val="5"/>
      <w:numFmt w:val="bullet"/>
      <w:lvlText w:val="-"/>
      <w:lvlJc w:val="left"/>
      <w:pPr>
        <w:ind w:left="360" w:hanging="360"/>
      </w:pPr>
      <w:rPr>
        <w:rFonts w:ascii="Verdana" w:eastAsiaTheme="minorHAnsi" w:hAnsi="Verdana" w:cs="Times New Roman" w:hint="default"/>
      </w:rPr>
    </w:lvl>
    <w:lvl w:ilvl="1" w:tplc="04060003">
      <w:start w:val="1"/>
      <w:numFmt w:val="bullet"/>
      <w:lvlText w:val="o"/>
      <w:lvlJc w:val="left"/>
      <w:pPr>
        <w:ind w:left="1080" w:hanging="360"/>
      </w:pPr>
      <w:rPr>
        <w:rFonts w:ascii="Courier New" w:hAnsi="Courier New" w:cs="Courier New" w:hint="default"/>
      </w:rPr>
    </w:lvl>
    <w:lvl w:ilvl="2" w:tplc="04060005">
      <w:start w:val="1"/>
      <w:numFmt w:val="bullet"/>
      <w:lvlText w:val=""/>
      <w:lvlJc w:val="left"/>
      <w:pPr>
        <w:ind w:left="1800" w:hanging="360"/>
      </w:pPr>
      <w:rPr>
        <w:rFonts w:ascii="Wingdings" w:hAnsi="Wingdings" w:hint="default"/>
      </w:rPr>
    </w:lvl>
    <w:lvl w:ilvl="3" w:tplc="04060001">
      <w:start w:val="1"/>
      <w:numFmt w:val="bullet"/>
      <w:lvlText w:val=""/>
      <w:lvlJc w:val="left"/>
      <w:pPr>
        <w:ind w:left="2520" w:hanging="360"/>
      </w:pPr>
      <w:rPr>
        <w:rFonts w:ascii="Symbol" w:hAnsi="Symbol" w:hint="default"/>
      </w:rPr>
    </w:lvl>
    <w:lvl w:ilvl="4" w:tplc="04060003">
      <w:start w:val="1"/>
      <w:numFmt w:val="bullet"/>
      <w:lvlText w:val="o"/>
      <w:lvlJc w:val="left"/>
      <w:pPr>
        <w:ind w:left="3240" w:hanging="360"/>
      </w:pPr>
      <w:rPr>
        <w:rFonts w:ascii="Courier New" w:hAnsi="Courier New" w:cs="Courier New" w:hint="default"/>
      </w:rPr>
    </w:lvl>
    <w:lvl w:ilvl="5" w:tplc="04060005">
      <w:start w:val="1"/>
      <w:numFmt w:val="bullet"/>
      <w:lvlText w:val=""/>
      <w:lvlJc w:val="left"/>
      <w:pPr>
        <w:ind w:left="3960" w:hanging="360"/>
      </w:pPr>
      <w:rPr>
        <w:rFonts w:ascii="Wingdings" w:hAnsi="Wingdings" w:hint="default"/>
      </w:rPr>
    </w:lvl>
    <w:lvl w:ilvl="6" w:tplc="04060001">
      <w:start w:val="1"/>
      <w:numFmt w:val="bullet"/>
      <w:lvlText w:val=""/>
      <w:lvlJc w:val="left"/>
      <w:pPr>
        <w:ind w:left="4680" w:hanging="360"/>
      </w:pPr>
      <w:rPr>
        <w:rFonts w:ascii="Symbol" w:hAnsi="Symbol" w:hint="default"/>
      </w:rPr>
    </w:lvl>
    <w:lvl w:ilvl="7" w:tplc="04060003">
      <w:start w:val="1"/>
      <w:numFmt w:val="bullet"/>
      <w:lvlText w:val="o"/>
      <w:lvlJc w:val="left"/>
      <w:pPr>
        <w:ind w:left="5400" w:hanging="360"/>
      </w:pPr>
      <w:rPr>
        <w:rFonts w:ascii="Courier New" w:hAnsi="Courier New" w:cs="Courier New" w:hint="default"/>
      </w:rPr>
    </w:lvl>
    <w:lvl w:ilvl="8" w:tplc="04060005">
      <w:start w:val="1"/>
      <w:numFmt w:val="bullet"/>
      <w:lvlText w:val=""/>
      <w:lvlJc w:val="left"/>
      <w:pPr>
        <w:ind w:left="6120" w:hanging="360"/>
      </w:pPr>
      <w:rPr>
        <w:rFonts w:ascii="Wingdings" w:hAnsi="Wingdings" w:hint="default"/>
      </w:rPr>
    </w:lvl>
  </w:abstractNum>
  <w:abstractNum w:abstractNumId="34" w15:restartNumberingAfterBreak="0">
    <w:nsid w:val="563A3C0F"/>
    <w:multiLevelType w:val="hybridMultilevel"/>
    <w:tmpl w:val="8E5610B0"/>
    <w:lvl w:ilvl="0" w:tplc="1100828E">
      <w:numFmt w:val="bullet"/>
      <w:lvlText w:val="-"/>
      <w:lvlJc w:val="left"/>
      <w:pPr>
        <w:ind w:left="720" w:hanging="360"/>
      </w:pPr>
      <w:rPr>
        <w:rFonts w:ascii="Calibri" w:eastAsiaTheme="minorHAnsi" w:hAnsi="Calibri" w:cstheme="minorBidi" w:hint="default"/>
      </w:rPr>
    </w:lvl>
    <w:lvl w:ilvl="1" w:tplc="1100828E">
      <w:numFmt w:val="bullet"/>
      <w:lvlText w:val="-"/>
      <w:lvlJc w:val="left"/>
      <w:pPr>
        <w:ind w:left="1440" w:hanging="360"/>
      </w:pPr>
      <w:rPr>
        <w:rFonts w:ascii="Calibri" w:eastAsiaTheme="minorHAnsi" w:hAnsi="Calibri" w:cstheme="minorBidi" w:hint="default"/>
      </w:rPr>
    </w:lvl>
    <w:lvl w:ilvl="2" w:tplc="140C0005" w:tentative="1">
      <w:start w:val="1"/>
      <w:numFmt w:val="bullet"/>
      <w:lvlText w:val=""/>
      <w:lvlJc w:val="left"/>
      <w:pPr>
        <w:ind w:left="2160" w:hanging="360"/>
      </w:pPr>
      <w:rPr>
        <w:rFonts w:ascii="Wingdings" w:hAnsi="Wingdings" w:hint="default"/>
      </w:rPr>
    </w:lvl>
    <w:lvl w:ilvl="3" w:tplc="140C0001" w:tentative="1">
      <w:start w:val="1"/>
      <w:numFmt w:val="bullet"/>
      <w:lvlText w:val=""/>
      <w:lvlJc w:val="left"/>
      <w:pPr>
        <w:ind w:left="2880" w:hanging="360"/>
      </w:pPr>
      <w:rPr>
        <w:rFonts w:ascii="Symbol" w:hAnsi="Symbol" w:hint="default"/>
      </w:rPr>
    </w:lvl>
    <w:lvl w:ilvl="4" w:tplc="140C0003" w:tentative="1">
      <w:start w:val="1"/>
      <w:numFmt w:val="bullet"/>
      <w:lvlText w:val="o"/>
      <w:lvlJc w:val="left"/>
      <w:pPr>
        <w:ind w:left="3600" w:hanging="360"/>
      </w:pPr>
      <w:rPr>
        <w:rFonts w:ascii="Courier New" w:hAnsi="Courier New" w:cs="Courier New" w:hint="default"/>
      </w:rPr>
    </w:lvl>
    <w:lvl w:ilvl="5" w:tplc="140C0005" w:tentative="1">
      <w:start w:val="1"/>
      <w:numFmt w:val="bullet"/>
      <w:lvlText w:val=""/>
      <w:lvlJc w:val="left"/>
      <w:pPr>
        <w:ind w:left="4320" w:hanging="360"/>
      </w:pPr>
      <w:rPr>
        <w:rFonts w:ascii="Wingdings" w:hAnsi="Wingdings" w:hint="default"/>
      </w:rPr>
    </w:lvl>
    <w:lvl w:ilvl="6" w:tplc="140C0001" w:tentative="1">
      <w:start w:val="1"/>
      <w:numFmt w:val="bullet"/>
      <w:lvlText w:val=""/>
      <w:lvlJc w:val="left"/>
      <w:pPr>
        <w:ind w:left="5040" w:hanging="360"/>
      </w:pPr>
      <w:rPr>
        <w:rFonts w:ascii="Symbol" w:hAnsi="Symbol" w:hint="default"/>
      </w:rPr>
    </w:lvl>
    <w:lvl w:ilvl="7" w:tplc="140C0003" w:tentative="1">
      <w:start w:val="1"/>
      <w:numFmt w:val="bullet"/>
      <w:lvlText w:val="o"/>
      <w:lvlJc w:val="left"/>
      <w:pPr>
        <w:ind w:left="5760" w:hanging="360"/>
      </w:pPr>
      <w:rPr>
        <w:rFonts w:ascii="Courier New" w:hAnsi="Courier New" w:cs="Courier New" w:hint="default"/>
      </w:rPr>
    </w:lvl>
    <w:lvl w:ilvl="8" w:tplc="140C0005" w:tentative="1">
      <w:start w:val="1"/>
      <w:numFmt w:val="bullet"/>
      <w:lvlText w:val=""/>
      <w:lvlJc w:val="left"/>
      <w:pPr>
        <w:ind w:left="6480" w:hanging="360"/>
      </w:pPr>
      <w:rPr>
        <w:rFonts w:ascii="Wingdings" w:hAnsi="Wingdings" w:hint="default"/>
      </w:rPr>
    </w:lvl>
  </w:abstractNum>
  <w:abstractNum w:abstractNumId="35" w15:restartNumberingAfterBreak="0">
    <w:nsid w:val="579C403F"/>
    <w:multiLevelType w:val="hybridMultilevel"/>
    <w:tmpl w:val="8EECA0B0"/>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6" w15:restartNumberingAfterBreak="0">
    <w:nsid w:val="58E16EF1"/>
    <w:multiLevelType w:val="hybridMultilevel"/>
    <w:tmpl w:val="A060FD4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7" w15:restartNumberingAfterBreak="0">
    <w:nsid w:val="5DDD3DD4"/>
    <w:multiLevelType w:val="hybridMultilevel"/>
    <w:tmpl w:val="61A8D32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8" w15:restartNumberingAfterBreak="0">
    <w:nsid w:val="5F7C61CD"/>
    <w:multiLevelType w:val="hybridMultilevel"/>
    <w:tmpl w:val="D0C8362E"/>
    <w:lvl w:ilvl="0" w:tplc="1352899E">
      <w:start w:val="5"/>
      <w:numFmt w:val="bullet"/>
      <w:lvlText w:val="-"/>
      <w:lvlJc w:val="left"/>
      <w:pPr>
        <w:ind w:left="720" w:hanging="360"/>
      </w:pPr>
      <w:rPr>
        <w:rFonts w:ascii="Verdana" w:eastAsiaTheme="minorHAnsi" w:hAnsi="Verdana" w:cs="Times New Roman" w:hint="default"/>
      </w:rPr>
    </w:lvl>
    <w:lvl w:ilvl="1" w:tplc="F990A658">
      <w:numFmt w:val="bullet"/>
      <w:lvlText w:val="–"/>
      <w:lvlJc w:val="left"/>
      <w:pPr>
        <w:ind w:left="1440" w:hanging="360"/>
      </w:pPr>
      <w:rPr>
        <w:rFonts w:ascii="Verdana" w:eastAsia="Times New Roman" w:hAnsi="Verdana" w:cs="Tahoma"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9" w15:restartNumberingAfterBreak="0">
    <w:nsid w:val="62FE74C6"/>
    <w:multiLevelType w:val="hybridMultilevel"/>
    <w:tmpl w:val="BE6A95EE"/>
    <w:lvl w:ilvl="0" w:tplc="F41EE0F6">
      <w:start w:val="3"/>
      <w:numFmt w:val="decimal"/>
      <w:pStyle w:val="Billedetitel"/>
      <w:lvlText w:val="Figur %1."/>
      <w:lvlJc w:val="left"/>
      <w:pPr>
        <w:tabs>
          <w:tab w:val="num" w:pos="360"/>
        </w:tabs>
        <w:ind w:left="360" w:hanging="360"/>
      </w:pPr>
      <w:rPr>
        <w:rFonts w:hint="default"/>
      </w:rPr>
    </w:lvl>
    <w:lvl w:ilvl="1" w:tplc="04060019" w:tentative="1">
      <w:start w:val="1"/>
      <w:numFmt w:val="lowerLetter"/>
      <w:lvlText w:val="%2."/>
      <w:lvlJc w:val="left"/>
      <w:pPr>
        <w:tabs>
          <w:tab w:val="num" w:pos="1440"/>
        </w:tabs>
        <w:ind w:left="1440" w:hanging="360"/>
      </w:pPr>
    </w:lvl>
    <w:lvl w:ilvl="2" w:tplc="0406001B" w:tentative="1">
      <w:start w:val="1"/>
      <w:numFmt w:val="lowerRoman"/>
      <w:lvlText w:val="%3."/>
      <w:lvlJc w:val="right"/>
      <w:pPr>
        <w:tabs>
          <w:tab w:val="num" w:pos="2160"/>
        </w:tabs>
        <w:ind w:left="2160" w:hanging="180"/>
      </w:pPr>
    </w:lvl>
    <w:lvl w:ilvl="3" w:tplc="0406000F" w:tentative="1">
      <w:start w:val="1"/>
      <w:numFmt w:val="decimal"/>
      <w:lvlText w:val="%4."/>
      <w:lvlJc w:val="left"/>
      <w:pPr>
        <w:tabs>
          <w:tab w:val="num" w:pos="2880"/>
        </w:tabs>
        <w:ind w:left="2880" w:hanging="360"/>
      </w:pPr>
    </w:lvl>
    <w:lvl w:ilvl="4" w:tplc="04060019" w:tentative="1">
      <w:start w:val="1"/>
      <w:numFmt w:val="lowerLetter"/>
      <w:lvlText w:val="%5."/>
      <w:lvlJc w:val="left"/>
      <w:pPr>
        <w:tabs>
          <w:tab w:val="num" w:pos="3600"/>
        </w:tabs>
        <w:ind w:left="3600" w:hanging="360"/>
      </w:pPr>
    </w:lvl>
    <w:lvl w:ilvl="5" w:tplc="0406001B" w:tentative="1">
      <w:start w:val="1"/>
      <w:numFmt w:val="lowerRoman"/>
      <w:lvlText w:val="%6."/>
      <w:lvlJc w:val="right"/>
      <w:pPr>
        <w:tabs>
          <w:tab w:val="num" w:pos="4320"/>
        </w:tabs>
        <w:ind w:left="4320" w:hanging="180"/>
      </w:pPr>
    </w:lvl>
    <w:lvl w:ilvl="6" w:tplc="0406000F" w:tentative="1">
      <w:start w:val="1"/>
      <w:numFmt w:val="decimal"/>
      <w:lvlText w:val="%7."/>
      <w:lvlJc w:val="left"/>
      <w:pPr>
        <w:tabs>
          <w:tab w:val="num" w:pos="5040"/>
        </w:tabs>
        <w:ind w:left="5040" w:hanging="360"/>
      </w:pPr>
    </w:lvl>
    <w:lvl w:ilvl="7" w:tplc="04060019" w:tentative="1">
      <w:start w:val="1"/>
      <w:numFmt w:val="lowerLetter"/>
      <w:lvlText w:val="%8."/>
      <w:lvlJc w:val="left"/>
      <w:pPr>
        <w:tabs>
          <w:tab w:val="num" w:pos="5760"/>
        </w:tabs>
        <w:ind w:left="5760" w:hanging="360"/>
      </w:pPr>
    </w:lvl>
    <w:lvl w:ilvl="8" w:tplc="0406001B" w:tentative="1">
      <w:start w:val="1"/>
      <w:numFmt w:val="lowerRoman"/>
      <w:lvlText w:val="%9."/>
      <w:lvlJc w:val="right"/>
      <w:pPr>
        <w:tabs>
          <w:tab w:val="num" w:pos="6480"/>
        </w:tabs>
        <w:ind w:left="6480" w:hanging="180"/>
      </w:pPr>
    </w:lvl>
  </w:abstractNum>
  <w:abstractNum w:abstractNumId="40" w15:restartNumberingAfterBreak="0">
    <w:nsid w:val="64E0365F"/>
    <w:multiLevelType w:val="hybridMultilevel"/>
    <w:tmpl w:val="212616F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1" w15:restartNumberingAfterBreak="0">
    <w:nsid w:val="699369D7"/>
    <w:multiLevelType w:val="hybridMultilevel"/>
    <w:tmpl w:val="692AEFC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2" w15:restartNumberingAfterBreak="0">
    <w:nsid w:val="69C57DE8"/>
    <w:multiLevelType w:val="hybridMultilevel"/>
    <w:tmpl w:val="0C2A164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3" w15:restartNumberingAfterBreak="0">
    <w:nsid w:val="6CCE5B4D"/>
    <w:multiLevelType w:val="hybridMultilevel"/>
    <w:tmpl w:val="986CD0A2"/>
    <w:lvl w:ilvl="0" w:tplc="1352899E">
      <w:start w:val="5"/>
      <w:numFmt w:val="bullet"/>
      <w:lvlText w:val="-"/>
      <w:lvlJc w:val="left"/>
      <w:pPr>
        <w:ind w:left="1800" w:hanging="360"/>
      </w:pPr>
      <w:rPr>
        <w:rFonts w:ascii="Verdana" w:eastAsiaTheme="minorHAnsi" w:hAnsi="Verdana" w:cs="Times New Roman" w:hint="default"/>
      </w:rPr>
    </w:lvl>
    <w:lvl w:ilvl="1" w:tplc="04060003" w:tentative="1">
      <w:start w:val="1"/>
      <w:numFmt w:val="bullet"/>
      <w:lvlText w:val="o"/>
      <w:lvlJc w:val="left"/>
      <w:pPr>
        <w:ind w:left="2520" w:hanging="360"/>
      </w:pPr>
      <w:rPr>
        <w:rFonts w:ascii="Courier New" w:hAnsi="Courier New" w:cs="Courier New" w:hint="default"/>
      </w:rPr>
    </w:lvl>
    <w:lvl w:ilvl="2" w:tplc="04060005" w:tentative="1">
      <w:start w:val="1"/>
      <w:numFmt w:val="bullet"/>
      <w:lvlText w:val=""/>
      <w:lvlJc w:val="left"/>
      <w:pPr>
        <w:ind w:left="3240" w:hanging="360"/>
      </w:pPr>
      <w:rPr>
        <w:rFonts w:ascii="Wingdings" w:hAnsi="Wingdings" w:hint="default"/>
      </w:rPr>
    </w:lvl>
    <w:lvl w:ilvl="3" w:tplc="04060001" w:tentative="1">
      <w:start w:val="1"/>
      <w:numFmt w:val="bullet"/>
      <w:lvlText w:val=""/>
      <w:lvlJc w:val="left"/>
      <w:pPr>
        <w:ind w:left="3960" w:hanging="360"/>
      </w:pPr>
      <w:rPr>
        <w:rFonts w:ascii="Symbol" w:hAnsi="Symbol" w:hint="default"/>
      </w:rPr>
    </w:lvl>
    <w:lvl w:ilvl="4" w:tplc="04060003" w:tentative="1">
      <w:start w:val="1"/>
      <w:numFmt w:val="bullet"/>
      <w:lvlText w:val="o"/>
      <w:lvlJc w:val="left"/>
      <w:pPr>
        <w:ind w:left="4680" w:hanging="360"/>
      </w:pPr>
      <w:rPr>
        <w:rFonts w:ascii="Courier New" w:hAnsi="Courier New" w:cs="Courier New" w:hint="default"/>
      </w:rPr>
    </w:lvl>
    <w:lvl w:ilvl="5" w:tplc="04060005" w:tentative="1">
      <w:start w:val="1"/>
      <w:numFmt w:val="bullet"/>
      <w:lvlText w:val=""/>
      <w:lvlJc w:val="left"/>
      <w:pPr>
        <w:ind w:left="5400" w:hanging="360"/>
      </w:pPr>
      <w:rPr>
        <w:rFonts w:ascii="Wingdings" w:hAnsi="Wingdings" w:hint="default"/>
      </w:rPr>
    </w:lvl>
    <w:lvl w:ilvl="6" w:tplc="04060001" w:tentative="1">
      <w:start w:val="1"/>
      <w:numFmt w:val="bullet"/>
      <w:lvlText w:val=""/>
      <w:lvlJc w:val="left"/>
      <w:pPr>
        <w:ind w:left="6120" w:hanging="360"/>
      </w:pPr>
      <w:rPr>
        <w:rFonts w:ascii="Symbol" w:hAnsi="Symbol" w:hint="default"/>
      </w:rPr>
    </w:lvl>
    <w:lvl w:ilvl="7" w:tplc="04060003" w:tentative="1">
      <w:start w:val="1"/>
      <w:numFmt w:val="bullet"/>
      <w:lvlText w:val="o"/>
      <w:lvlJc w:val="left"/>
      <w:pPr>
        <w:ind w:left="6840" w:hanging="360"/>
      </w:pPr>
      <w:rPr>
        <w:rFonts w:ascii="Courier New" w:hAnsi="Courier New" w:cs="Courier New" w:hint="default"/>
      </w:rPr>
    </w:lvl>
    <w:lvl w:ilvl="8" w:tplc="04060005" w:tentative="1">
      <w:start w:val="1"/>
      <w:numFmt w:val="bullet"/>
      <w:lvlText w:val=""/>
      <w:lvlJc w:val="left"/>
      <w:pPr>
        <w:ind w:left="7560" w:hanging="360"/>
      </w:pPr>
      <w:rPr>
        <w:rFonts w:ascii="Wingdings" w:hAnsi="Wingdings" w:hint="default"/>
      </w:rPr>
    </w:lvl>
  </w:abstractNum>
  <w:abstractNum w:abstractNumId="44" w15:restartNumberingAfterBreak="0">
    <w:nsid w:val="6FCA6CB2"/>
    <w:multiLevelType w:val="hybridMultilevel"/>
    <w:tmpl w:val="5B1A6CF2"/>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start w:val="1"/>
      <w:numFmt w:val="bullet"/>
      <w:lvlText w:val=""/>
      <w:lvlJc w:val="left"/>
      <w:pPr>
        <w:ind w:left="2160" w:hanging="360"/>
      </w:pPr>
      <w:rPr>
        <w:rFonts w:ascii="Wingdings" w:hAnsi="Wingdings" w:hint="default"/>
      </w:rPr>
    </w:lvl>
    <w:lvl w:ilvl="3" w:tplc="04060001">
      <w:start w:val="1"/>
      <w:numFmt w:val="bullet"/>
      <w:lvlText w:val=""/>
      <w:lvlJc w:val="left"/>
      <w:pPr>
        <w:ind w:left="2880" w:hanging="360"/>
      </w:pPr>
      <w:rPr>
        <w:rFonts w:ascii="Symbol" w:hAnsi="Symbol" w:hint="default"/>
      </w:rPr>
    </w:lvl>
    <w:lvl w:ilvl="4" w:tplc="04060003">
      <w:start w:val="1"/>
      <w:numFmt w:val="bullet"/>
      <w:lvlText w:val="o"/>
      <w:lvlJc w:val="left"/>
      <w:pPr>
        <w:ind w:left="3600" w:hanging="360"/>
      </w:pPr>
      <w:rPr>
        <w:rFonts w:ascii="Courier New" w:hAnsi="Courier New" w:cs="Courier New" w:hint="default"/>
      </w:rPr>
    </w:lvl>
    <w:lvl w:ilvl="5" w:tplc="04060005">
      <w:start w:val="1"/>
      <w:numFmt w:val="bullet"/>
      <w:lvlText w:val=""/>
      <w:lvlJc w:val="left"/>
      <w:pPr>
        <w:ind w:left="4320" w:hanging="360"/>
      </w:pPr>
      <w:rPr>
        <w:rFonts w:ascii="Wingdings" w:hAnsi="Wingdings" w:hint="default"/>
      </w:rPr>
    </w:lvl>
    <w:lvl w:ilvl="6" w:tplc="04060001">
      <w:start w:val="1"/>
      <w:numFmt w:val="bullet"/>
      <w:lvlText w:val=""/>
      <w:lvlJc w:val="left"/>
      <w:pPr>
        <w:ind w:left="5040" w:hanging="360"/>
      </w:pPr>
      <w:rPr>
        <w:rFonts w:ascii="Symbol" w:hAnsi="Symbol" w:hint="default"/>
      </w:rPr>
    </w:lvl>
    <w:lvl w:ilvl="7" w:tplc="04060003">
      <w:start w:val="1"/>
      <w:numFmt w:val="bullet"/>
      <w:lvlText w:val="o"/>
      <w:lvlJc w:val="left"/>
      <w:pPr>
        <w:ind w:left="5760" w:hanging="360"/>
      </w:pPr>
      <w:rPr>
        <w:rFonts w:ascii="Courier New" w:hAnsi="Courier New" w:cs="Courier New" w:hint="default"/>
      </w:rPr>
    </w:lvl>
    <w:lvl w:ilvl="8" w:tplc="04060005">
      <w:start w:val="1"/>
      <w:numFmt w:val="bullet"/>
      <w:lvlText w:val=""/>
      <w:lvlJc w:val="left"/>
      <w:pPr>
        <w:ind w:left="6480" w:hanging="360"/>
      </w:pPr>
      <w:rPr>
        <w:rFonts w:ascii="Wingdings" w:hAnsi="Wingdings" w:hint="default"/>
      </w:rPr>
    </w:lvl>
  </w:abstractNum>
  <w:abstractNum w:abstractNumId="45" w15:restartNumberingAfterBreak="0">
    <w:nsid w:val="7062425A"/>
    <w:multiLevelType w:val="hybridMultilevel"/>
    <w:tmpl w:val="588C51BA"/>
    <w:lvl w:ilvl="0" w:tplc="1352899E">
      <w:start w:val="5"/>
      <w:numFmt w:val="bullet"/>
      <w:lvlText w:val="-"/>
      <w:lvlJc w:val="left"/>
      <w:pPr>
        <w:ind w:left="720" w:hanging="360"/>
      </w:pPr>
      <w:rPr>
        <w:rFonts w:ascii="Verdana" w:eastAsiaTheme="minorHAnsi" w:hAnsi="Verdana" w:cs="Times New Roman" w:hint="default"/>
      </w:rPr>
    </w:lvl>
    <w:lvl w:ilvl="1" w:tplc="1352899E">
      <w:start w:val="5"/>
      <w:numFmt w:val="bullet"/>
      <w:lvlText w:val="-"/>
      <w:lvlJc w:val="left"/>
      <w:pPr>
        <w:ind w:left="1440" w:hanging="360"/>
      </w:pPr>
      <w:rPr>
        <w:rFonts w:ascii="Verdana" w:eastAsiaTheme="minorHAnsi" w:hAnsi="Verdana" w:cs="Times New Roman" w:hint="default"/>
      </w:r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46" w15:restartNumberingAfterBreak="0">
    <w:nsid w:val="78C73D85"/>
    <w:multiLevelType w:val="hybridMultilevel"/>
    <w:tmpl w:val="95205B2E"/>
    <w:lvl w:ilvl="0" w:tplc="1100828E">
      <w:numFmt w:val="bullet"/>
      <w:lvlText w:val="-"/>
      <w:lvlJc w:val="left"/>
      <w:pPr>
        <w:ind w:left="720" w:hanging="360"/>
      </w:pPr>
      <w:rPr>
        <w:rFonts w:ascii="Calibri" w:eastAsiaTheme="minorHAnsi" w:hAnsi="Calibri" w:cstheme="minorBidi" w:hint="default"/>
      </w:rPr>
    </w:lvl>
    <w:lvl w:ilvl="1" w:tplc="140C0003">
      <w:start w:val="1"/>
      <w:numFmt w:val="bullet"/>
      <w:lvlText w:val="o"/>
      <w:lvlJc w:val="left"/>
      <w:pPr>
        <w:ind w:left="1440" w:hanging="360"/>
      </w:pPr>
      <w:rPr>
        <w:rFonts w:ascii="Courier New" w:hAnsi="Courier New" w:cs="Courier New" w:hint="default"/>
      </w:rPr>
    </w:lvl>
    <w:lvl w:ilvl="2" w:tplc="140C0005" w:tentative="1">
      <w:start w:val="1"/>
      <w:numFmt w:val="bullet"/>
      <w:lvlText w:val=""/>
      <w:lvlJc w:val="left"/>
      <w:pPr>
        <w:ind w:left="2160" w:hanging="360"/>
      </w:pPr>
      <w:rPr>
        <w:rFonts w:ascii="Wingdings" w:hAnsi="Wingdings" w:hint="default"/>
      </w:rPr>
    </w:lvl>
    <w:lvl w:ilvl="3" w:tplc="140C0001" w:tentative="1">
      <w:start w:val="1"/>
      <w:numFmt w:val="bullet"/>
      <w:lvlText w:val=""/>
      <w:lvlJc w:val="left"/>
      <w:pPr>
        <w:ind w:left="2880" w:hanging="360"/>
      </w:pPr>
      <w:rPr>
        <w:rFonts w:ascii="Symbol" w:hAnsi="Symbol" w:hint="default"/>
      </w:rPr>
    </w:lvl>
    <w:lvl w:ilvl="4" w:tplc="140C0003" w:tentative="1">
      <w:start w:val="1"/>
      <w:numFmt w:val="bullet"/>
      <w:lvlText w:val="o"/>
      <w:lvlJc w:val="left"/>
      <w:pPr>
        <w:ind w:left="3600" w:hanging="360"/>
      </w:pPr>
      <w:rPr>
        <w:rFonts w:ascii="Courier New" w:hAnsi="Courier New" w:cs="Courier New" w:hint="default"/>
      </w:rPr>
    </w:lvl>
    <w:lvl w:ilvl="5" w:tplc="140C0005" w:tentative="1">
      <w:start w:val="1"/>
      <w:numFmt w:val="bullet"/>
      <w:lvlText w:val=""/>
      <w:lvlJc w:val="left"/>
      <w:pPr>
        <w:ind w:left="4320" w:hanging="360"/>
      </w:pPr>
      <w:rPr>
        <w:rFonts w:ascii="Wingdings" w:hAnsi="Wingdings" w:hint="default"/>
      </w:rPr>
    </w:lvl>
    <w:lvl w:ilvl="6" w:tplc="140C0001" w:tentative="1">
      <w:start w:val="1"/>
      <w:numFmt w:val="bullet"/>
      <w:lvlText w:val=""/>
      <w:lvlJc w:val="left"/>
      <w:pPr>
        <w:ind w:left="5040" w:hanging="360"/>
      </w:pPr>
      <w:rPr>
        <w:rFonts w:ascii="Symbol" w:hAnsi="Symbol" w:hint="default"/>
      </w:rPr>
    </w:lvl>
    <w:lvl w:ilvl="7" w:tplc="140C0003" w:tentative="1">
      <w:start w:val="1"/>
      <w:numFmt w:val="bullet"/>
      <w:lvlText w:val="o"/>
      <w:lvlJc w:val="left"/>
      <w:pPr>
        <w:ind w:left="5760" w:hanging="360"/>
      </w:pPr>
      <w:rPr>
        <w:rFonts w:ascii="Courier New" w:hAnsi="Courier New" w:cs="Courier New" w:hint="default"/>
      </w:rPr>
    </w:lvl>
    <w:lvl w:ilvl="8" w:tplc="140C0005" w:tentative="1">
      <w:start w:val="1"/>
      <w:numFmt w:val="bullet"/>
      <w:lvlText w:val=""/>
      <w:lvlJc w:val="left"/>
      <w:pPr>
        <w:ind w:left="6480" w:hanging="360"/>
      </w:pPr>
      <w:rPr>
        <w:rFonts w:ascii="Wingdings" w:hAnsi="Wingdings" w:hint="default"/>
      </w:rPr>
    </w:lvl>
  </w:abstractNum>
  <w:abstractNum w:abstractNumId="47" w15:restartNumberingAfterBreak="0">
    <w:nsid w:val="790D4B3C"/>
    <w:multiLevelType w:val="hybridMultilevel"/>
    <w:tmpl w:val="DE7258F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8" w15:restartNumberingAfterBreak="0">
    <w:nsid w:val="7B246F6C"/>
    <w:multiLevelType w:val="hybridMultilevel"/>
    <w:tmpl w:val="A9E43552"/>
    <w:lvl w:ilvl="0" w:tplc="1352899E">
      <w:start w:val="5"/>
      <w:numFmt w:val="bullet"/>
      <w:lvlText w:val="-"/>
      <w:lvlJc w:val="left"/>
      <w:pPr>
        <w:ind w:left="720" w:hanging="360"/>
      </w:pPr>
      <w:rPr>
        <w:rFonts w:ascii="Verdana" w:eastAsiaTheme="minorHAnsi" w:hAnsi="Verdana" w:cs="Times New Roman"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abstractNumId w:val="12"/>
  </w:num>
  <w:num w:numId="2">
    <w:abstractNumId w:val="14"/>
  </w:num>
  <w:num w:numId="3">
    <w:abstractNumId w:val="7"/>
  </w:num>
  <w:num w:numId="4">
    <w:abstractNumId w:val="39"/>
  </w:num>
  <w:num w:numId="5">
    <w:abstractNumId w:val="13"/>
  </w:num>
  <w:num w:numId="6">
    <w:abstractNumId w:val="29"/>
  </w:num>
  <w:num w:numId="7">
    <w:abstractNumId w:val="9"/>
  </w:num>
  <w:num w:numId="8">
    <w:abstractNumId w:val="41"/>
  </w:num>
  <w:num w:numId="9">
    <w:abstractNumId w:val="37"/>
  </w:num>
  <w:num w:numId="10">
    <w:abstractNumId w:val="20"/>
  </w:num>
  <w:num w:numId="11">
    <w:abstractNumId w:val="32"/>
  </w:num>
  <w:num w:numId="12">
    <w:abstractNumId w:val="47"/>
  </w:num>
  <w:num w:numId="13">
    <w:abstractNumId w:val="1"/>
  </w:num>
  <w:num w:numId="14">
    <w:abstractNumId w:val="44"/>
  </w:num>
  <w:num w:numId="15">
    <w:abstractNumId w:val="3"/>
  </w:num>
  <w:num w:numId="16">
    <w:abstractNumId w:val="19"/>
  </w:num>
  <w:num w:numId="17">
    <w:abstractNumId w:val="39"/>
    <w:lvlOverride w:ilvl="0">
      <w:startOverride w:val="6"/>
    </w:lvlOverride>
  </w:num>
  <w:num w:numId="18">
    <w:abstractNumId w:val="40"/>
  </w:num>
  <w:num w:numId="19">
    <w:abstractNumId w:val="35"/>
  </w:num>
  <w:num w:numId="20">
    <w:abstractNumId w:val="10"/>
  </w:num>
  <w:num w:numId="21">
    <w:abstractNumId w:val="15"/>
  </w:num>
  <w:num w:numId="22">
    <w:abstractNumId w:val="24"/>
  </w:num>
  <w:num w:numId="23">
    <w:abstractNumId w:val="11"/>
  </w:num>
  <w:num w:numId="24">
    <w:abstractNumId w:val="25"/>
  </w:num>
  <w:num w:numId="25">
    <w:abstractNumId w:val="28"/>
  </w:num>
  <w:num w:numId="26">
    <w:abstractNumId w:val="22"/>
  </w:num>
  <w:num w:numId="27">
    <w:abstractNumId w:val="27"/>
  </w:num>
  <w:num w:numId="28">
    <w:abstractNumId w:val="31"/>
  </w:num>
  <w:num w:numId="29">
    <w:abstractNumId w:val="2"/>
  </w:num>
  <w:num w:numId="30">
    <w:abstractNumId w:val="5"/>
  </w:num>
  <w:num w:numId="31">
    <w:abstractNumId w:val="26"/>
  </w:num>
  <w:num w:numId="32">
    <w:abstractNumId w:val="0"/>
  </w:num>
  <w:num w:numId="33">
    <w:abstractNumId w:val="17"/>
  </w:num>
  <w:num w:numId="34">
    <w:abstractNumId w:val="16"/>
  </w:num>
  <w:num w:numId="35">
    <w:abstractNumId w:val="45"/>
  </w:num>
  <w:num w:numId="36">
    <w:abstractNumId w:val="33"/>
  </w:num>
  <w:num w:numId="37">
    <w:abstractNumId w:val="42"/>
  </w:num>
  <w:num w:numId="38">
    <w:abstractNumId w:val="43"/>
  </w:num>
  <w:num w:numId="39">
    <w:abstractNumId w:val="4"/>
  </w:num>
  <w:num w:numId="40">
    <w:abstractNumId w:val="8"/>
  </w:num>
  <w:num w:numId="41">
    <w:abstractNumId w:val="30"/>
  </w:num>
  <w:num w:numId="42">
    <w:abstractNumId w:val="38"/>
  </w:num>
  <w:num w:numId="43">
    <w:abstractNumId w:val="48"/>
  </w:num>
  <w:num w:numId="44">
    <w:abstractNumId w:val="21"/>
  </w:num>
  <w:num w:numId="45">
    <w:abstractNumId w:val="23"/>
  </w:num>
  <w:num w:numId="46">
    <w:abstractNumId w:val="36"/>
  </w:num>
  <w:num w:numId="47">
    <w:abstractNumId w:val="6"/>
  </w:num>
  <w:num w:numId="48">
    <w:abstractNumId w:val="46"/>
  </w:num>
  <w:num w:numId="49">
    <w:abstractNumId w:val="34"/>
  </w:num>
  <w:num w:numId="50">
    <w:abstractNumId w:val="18"/>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mirrorMargin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autoHyphenation/>
  <w:hyphenationZone w:val="425"/>
  <w:drawingGridHorizontalSpacing w:val="90"/>
  <w:displayHorizontalDrawingGridEvery w:val="2"/>
  <w:displayVerticalDrawingGridEvery w:val="2"/>
  <w:noPunctuationKerning/>
  <w:characterSpacingControl w:val="doNotCompress"/>
  <w:hdrShapeDefaults>
    <o:shapedefaults v:ext="edit" spidmax="26625">
      <o:colormru v:ext="edit" colors="#5f5f5f,#f46f21,#ee1c23,#808285,#c9cacc,#ffc800"/>
    </o:shapedefaults>
  </w:hdrShapeDefaults>
  <w:footnotePr>
    <w:footnote w:id="-1"/>
    <w:footnote w:id="0"/>
    <w:footnote w:id="1"/>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0041"/>
    <w:rsid w:val="0000066F"/>
    <w:rsid w:val="0000324D"/>
    <w:rsid w:val="00003F48"/>
    <w:rsid w:val="00004126"/>
    <w:rsid w:val="00004A0D"/>
    <w:rsid w:val="000106A4"/>
    <w:rsid w:val="00010A04"/>
    <w:rsid w:val="00011712"/>
    <w:rsid w:val="0001381F"/>
    <w:rsid w:val="0001485B"/>
    <w:rsid w:val="0001574A"/>
    <w:rsid w:val="00016BCE"/>
    <w:rsid w:val="00017959"/>
    <w:rsid w:val="00020297"/>
    <w:rsid w:val="0002110E"/>
    <w:rsid w:val="00025305"/>
    <w:rsid w:val="00025BFA"/>
    <w:rsid w:val="00027A44"/>
    <w:rsid w:val="00027E40"/>
    <w:rsid w:val="000328A5"/>
    <w:rsid w:val="000334C4"/>
    <w:rsid w:val="000336BB"/>
    <w:rsid w:val="00035085"/>
    <w:rsid w:val="00035807"/>
    <w:rsid w:val="000374B1"/>
    <w:rsid w:val="00040B6C"/>
    <w:rsid w:val="00040CA7"/>
    <w:rsid w:val="00040FFC"/>
    <w:rsid w:val="00042526"/>
    <w:rsid w:val="00045E22"/>
    <w:rsid w:val="00047353"/>
    <w:rsid w:val="0004742E"/>
    <w:rsid w:val="000509CD"/>
    <w:rsid w:val="00051425"/>
    <w:rsid w:val="00051690"/>
    <w:rsid w:val="00051BF4"/>
    <w:rsid w:val="00051E32"/>
    <w:rsid w:val="00053817"/>
    <w:rsid w:val="000539B1"/>
    <w:rsid w:val="00053C40"/>
    <w:rsid w:val="0005513C"/>
    <w:rsid w:val="000577D7"/>
    <w:rsid w:val="0006075C"/>
    <w:rsid w:val="00060C96"/>
    <w:rsid w:val="00062B18"/>
    <w:rsid w:val="00062BFE"/>
    <w:rsid w:val="00065570"/>
    <w:rsid w:val="00065AEC"/>
    <w:rsid w:val="00065C2D"/>
    <w:rsid w:val="0006641C"/>
    <w:rsid w:val="000669E5"/>
    <w:rsid w:val="000717DC"/>
    <w:rsid w:val="00071DC9"/>
    <w:rsid w:val="00072B38"/>
    <w:rsid w:val="00073698"/>
    <w:rsid w:val="00073788"/>
    <w:rsid w:val="00073B23"/>
    <w:rsid w:val="0007465B"/>
    <w:rsid w:val="000765BA"/>
    <w:rsid w:val="000765E4"/>
    <w:rsid w:val="000804AE"/>
    <w:rsid w:val="00081A18"/>
    <w:rsid w:val="00081A21"/>
    <w:rsid w:val="000820D9"/>
    <w:rsid w:val="000824F3"/>
    <w:rsid w:val="0008263A"/>
    <w:rsid w:val="00082E08"/>
    <w:rsid w:val="00083221"/>
    <w:rsid w:val="000839A3"/>
    <w:rsid w:val="000851D3"/>
    <w:rsid w:val="00085454"/>
    <w:rsid w:val="000854D5"/>
    <w:rsid w:val="00085BB9"/>
    <w:rsid w:val="000860DA"/>
    <w:rsid w:val="000865FD"/>
    <w:rsid w:val="00090779"/>
    <w:rsid w:val="00091200"/>
    <w:rsid w:val="00091C56"/>
    <w:rsid w:val="00092456"/>
    <w:rsid w:val="000959F1"/>
    <w:rsid w:val="00096197"/>
    <w:rsid w:val="000A0609"/>
    <w:rsid w:val="000A0EAF"/>
    <w:rsid w:val="000A1F55"/>
    <w:rsid w:val="000A227C"/>
    <w:rsid w:val="000A266C"/>
    <w:rsid w:val="000A2B3D"/>
    <w:rsid w:val="000A5C54"/>
    <w:rsid w:val="000A69EA"/>
    <w:rsid w:val="000A78A8"/>
    <w:rsid w:val="000B2450"/>
    <w:rsid w:val="000B250F"/>
    <w:rsid w:val="000B339B"/>
    <w:rsid w:val="000B3900"/>
    <w:rsid w:val="000B4300"/>
    <w:rsid w:val="000B4F8E"/>
    <w:rsid w:val="000B5E72"/>
    <w:rsid w:val="000B7BA6"/>
    <w:rsid w:val="000C13F5"/>
    <w:rsid w:val="000C2D07"/>
    <w:rsid w:val="000C2DA5"/>
    <w:rsid w:val="000C40EF"/>
    <w:rsid w:val="000C5844"/>
    <w:rsid w:val="000C6459"/>
    <w:rsid w:val="000C77D1"/>
    <w:rsid w:val="000C7845"/>
    <w:rsid w:val="000C79B9"/>
    <w:rsid w:val="000D04A6"/>
    <w:rsid w:val="000D323E"/>
    <w:rsid w:val="000D38BE"/>
    <w:rsid w:val="000D4275"/>
    <w:rsid w:val="000D4290"/>
    <w:rsid w:val="000D4388"/>
    <w:rsid w:val="000D6583"/>
    <w:rsid w:val="000E02C2"/>
    <w:rsid w:val="000E2194"/>
    <w:rsid w:val="000E2DDC"/>
    <w:rsid w:val="000E34AE"/>
    <w:rsid w:val="000E42B2"/>
    <w:rsid w:val="000E4448"/>
    <w:rsid w:val="000E4E2B"/>
    <w:rsid w:val="000E61FC"/>
    <w:rsid w:val="000F179E"/>
    <w:rsid w:val="000F1955"/>
    <w:rsid w:val="000F3448"/>
    <w:rsid w:val="000F53F7"/>
    <w:rsid w:val="00100462"/>
    <w:rsid w:val="00100746"/>
    <w:rsid w:val="001037BB"/>
    <w:rsid w:val="001042FC"/>
    <w:rsid w:val="00107122"/>
    <w:rsid w:val="001075D9"/>
    <w:rsid w:val="00107E7A"/>
    <w:rsid w:val="0011194B"/>
    <w:rsid w:val="00111AC3"/>
    <w:rsid w:val="00112538"/>
    <w:rsid w:val="00112D0A"/>
    <w:rsid w:val="00114659"/>
    <w:rsid w:val="00115C93"/>
    <w:rsid w:val="001165CB"/>
    <w:rsid w:val="00117AB9"/>
    <w:rsid w:val="00121A36"/>
    <w:rsid w:val="00121D26"/>
    <w:rsid w:val="00121F6F"/>
    <w:rsid w:val="001267A4"/>
    <w:rsid w:val="00127E01"/>
    <w:rsid w:val="00130B4F"/>
    <w:rsid w:val="0013102A"/>
    <w:rsid w:val="001333C2"/>
    <w:rsid w:val="0013340A"/>
    <w:rsid w:val="00133DDE"/>
    <w:rsid w:val="00133F9C"/>
    <w:rsid w:val="00134398"/>
    <w:rsid w:val="0013455F"/>
    <w:rsid w:val="00135415"/>
    <w:rsid w:val="001368AB"/>
    <w:rsid w:val="00141A90"/>
    <w:rsid w:val="00142ADD"/>
    <w:rsid w:val="001439FE"/>
    <w:rsid w:val="00145C9E"/>
    <w:rsid w:val="001469CB"/>
    <w:rsid w:val="00146A92"/>
    <w:rsid w:val="001508A9"/>
    <w:rsid w:val="00150F68"/>
    <w:rsid w:val="001518AE"/>
    <w:rsid w:val="00152039"/>
    <w:rsid w:val="00152316"/>
    <w:rsid w:val="0015250F"/>
    <w:rsid w:val="00152758"/>
    <w:rsid w:val="00154683"/>
    <w:rsid w:val="001550BC"/>
    <w:rsid w:val="001553EA"/>
    <w:rsid w:val="0015656B"/>
    <w:rsid w:val="00156598"/>
    <w:rsid w:val="001575A8"/>
    <w:rsid w:val="00160216"/>
    <w:rsid w:val="0016039E"/>
    <w:rsid w:val="0016119A"/>
    <w:rsid w:val="001619E5"/>
    <w:rsid w:val="00162AB0"/>
    <w:rsid w:val="00162ABB"/>
    <w:rsid w:val="00165497"/>
    <w:rsid w:val="00167443"/>
    <w:rsid w:val="00170A69"/>
    <w:rsid w:val="00171115"/>
    <w:rsid w:val="00171340"/>
    <w:rsid w:val="00171D88"/>
    <w:rsid w:val="00171EA7"/>
    <w:rsid w:val="00172E08"/>
    <w:rsid w:val="00173426"/>
    <w:rsid w:val="001740C5"/>
    <w:rsid w:val="00174147"/>
    <w:rsid w:val="00174426"/>
    <w:rsid w:val="001756FE"/>
    <w:rsid w:val="001758B8"/>
    <w:rsid w:val="0017618B"/>
    <w:rsid w:val="00176865"/>
    <w:rsid w:val="00176CA9"/>
    <w:rsid w:val="001771D3"/>
    <w:rsid w:val="001808C1"/>
    <w:rsid w:val="00181325"/>
    <w:rsid w:val="00182BBB"/>
    <w:rsid w:val="001831C3"/>
    <w:rsid w:val="001831F2"/>
    <w:rsid w:val="00184267"/>
    <w:rsid w:val="00184A88"/>
    <w:rsid w:val="00190B17"/>
    <w:rsid w:val="00193CCA"/>
    <w:rsid w:val="00194795"/>
    <w:rsid w:val="00195A61"/>
    <w:rsid w:val="00195D6F"/>
    <w:rsid w:val="001964AB"/>
    <w:rsid w:val="00196AA3"/>
    <w:rsid w:val="001A0AB9"/>
    <w:rsid w:val="001A0AE2"/>
    <w:rsid w:val="001A1044"/>
    <w:rsid w:val="001A2857"/>
    <w:rsid w:val="001A2D90"/>
    <w:rsid w:val="001A3567"/>
    <w:rsid w:val="001A48F4"/>
    <w:rsid w:val="001A5598"/>
    <w:rsid w:val="001A5F0A"/>
    <w:rsid w:val="001A66F7"/>
    <w:rsid w:val="001B050D"/>
    <w:rsid w:val="001B1327"/>
    <w:rsid w:val="001B15F2"/>
    <w:rsid w:val="001B16ED"/>
    <w:rsid w:val="001B1956"/>
    <w:rsid w:val="001B22C0"/>
    <w:rsid w:val="001B27C6"/>
    <w:rsid w:val="001B33BF"/>
    <w:rsid w:val="001B4B87"/>
    <w:rsid w:val="001C010A"/>
    <w:rsid w:val="001C2247"/>
    <w:rsid w:val="001C2DC4"/>
    <w:rsid w:val="001C4409"/>
    <w:rsid w:val="001C4753"/>
    <w:rsid w:val="001C4A6B"/>
    <w:rsid w:val="001C4F11"/>
    <w:rsid w:val="001C571A"/>
    <w:rsid w:val="001C6C54"/>
    <w:rsid w:val="001D05C2"/>
    <w:rsid w:val="001D0F9C"/>
    <w:rsid w:val="001D1164"/>
    <w:rsid w:val="001D1F27"/>
    <w:rsid w:val="001D2022"/>
    <w:rsid w:val="001D2D25"/>
    <w:rsid w:val="001D3E54"/>
    <w:rsid w:val="001D427C"/>
    <w:rsid w:val="001D7D61"/>
    <w:rsid w:val="001E1F5B"/>
    <w:rsid w:val="001E2116"/>
    <w:rsid w:val="001E4C76"/>
    <w:rsid w:val="001E539F"/>
    <w:rsid w:val="001F04B8"/>
    <w:rsid w:val="001F3AFA"/>
    <w:rsid w:val="001F4A3F"/>
    <w:rsid w:val="0020046E"/>
    <w:rsid w:val="002004B4"/>
    <w:rsid w:val="00202443"/>
    <w:rsid w:val="002027B6"/>
    <w:rsid w:val="0020348A"/>
    <w:rsid w:val="002042C4"/>
    <w:rsid w:val="00207168"/>
    <w:rsid w:val="0020757F"/>
    <w:rsid w:val="002101C9"/>
    <w:rsid w:val="0021333C"/>
    <w:rsid w:val="00213D83"/>
    <w:rsid w:val="00214520"/>
    <w:rsid w:val="00214684"/>
    <w:rsid w:val="00214D5C"/>
    <w:rsid w:val="00215578"/>
    <w:rsid w:val="002155B0"/>
    <w:rsid w:val="00215EE8"/>
    <w:rsid w:val="0021647E"/>
    <w:rsid w:val="00217D53"/>
    <w:rsid w:val="002202FD"/>
    <w:rsid w:val="002207A8"/>
    <w:rsid w:val="0022349E"/>
    <w:rsid w:val="002236DF"/>
    <w:rsid w:val="002236E2"/>
    <w:rsid w:val="00223FE7"/>
    <w:rsid w:val="00226657"/>
    <w:rsid w:val="0022784E"/>
    <w:rsid w:val="00227D6F"/>
    <w:rsid w:val="0023163D"/>
    <w:rsid w:val="002316F7"/>
    <w:rsid w:val="00232324"/>
    <w:rsid w:val="0023259A"/>
    <w:rsid w:val="002327B8"/>
    <w:rsid w:val="00232D73"/>
    <w:rsid w:val="0023353F"/>
    <w:rsid w:val="00234632"/>
    <w:rsid w:val="0023682B"/>
    <w:rsid w:val="00236A51"/>
    <w:rsid w:val="00240CD4"/>
    <w:rsid w:val="00242811"/>
    <w:rsid w:val="002429C5"/>
    <w:rsid w:val="00243FCF"/>
    <w:rsid w:val="00244AED"/>
    <w:rsid w:val="00245A4C"/>
    <w:rsid w:val="00247555"/>
    <w:rsid w:val="00251489"/>
    <w:rsid w:val="00253AE8"/>
    <w:rsid w:val="00255364"/>
    <w:rsid w:val="0025557C"/>
    <w:rsid w:val="0025575A"/>
    <w:rsid w:val="002600B8"/>
    <w:rsid w:val="00260CD7"/>
    <w:rsid w:val="00261475"/>
    <w:rsid w:val="00262649"/>
    <w:rsid w:val="0026304A"/>
    <w:rsid w:val="002633FA"/>
    <w:rsid w:val="00264A00"/>
    <w:rsid w:val="00264D3C"/>
    <w:rsid w:val="00270F1C"/>
    <w:rsid w:val="00272253"/>
    <w:rsid w:val="0027226D"/>
    <w:rsid w:val="00272B12"/>
    <w:rsid w:val="00273FA0"/>
    <w:rsid w:val="002779BF"/>
    <w:rsid w:val="00277E3F"/>
    <w:rsid w:val="002803C0"/>
    <w:rsid w:val="00280C34"/>
    <w:rsid w:val="00281E80"/>
    <w:rsid w:val="00282595"/>
    <w:rsid w:val="00284E32"/>
    <w:rsid w:val="0028561E"/>
    <w:rsid w:val="00286071"/>
    <w:rsid w:val="00286678"/>
    <w:rsid w:val="00286E0F"/>
    <w:rsid w:val="00287F4F"/>
    <w:rsid w:val="00290E97"/>
    <w:rsid w:val="00291178"/>
    <w:rsid w:val="002915BE"/>
    <w:rsid w:val="00292BD2"/>
    <w:rsid w:val="00294D0B"/>
    <w:rsid w:val="00295099"/>
    <w:rsid w:val="0029544E"/>
    <w:rsid w:val="0029601F"/>
    <w:rsid w:val="00297A3C"/>
    <w:rsid w:val="002A0408"/>
    <w:rsid w:val="002A2F5C"/>
    <w:rsid w:val="002A31C8"/>
    <w:rsid w:val="002A369D"/>
    <w:rsid w:val="002A5455"/>
    <w:rsid w:val="002A5CF8"/>
    <w:rsid w:val="002A7ED9"/>
    <w:rsid w:val="002B00C6"/>
    <w:rsid w:val="002B027A"/>
    <w:rsid w:val="002B2193"/>
    <w:rsid w:val="002B36ED"/>
    <w:rsid w:val="002B4B17"/>
    <w:rsid w:val="002B63B6"/>
    <w:rsid w:val="002B710C"/>
    <w:rsid w:val="002B72BA"/>
    <w:rsid w:val="002C0D06"/>
    <w:rsid w:val="002C1926"/>
    <w:rsid w:val="002C3639"/>
    <w:rsid w:val="002C370B"/>
    <w:rsid w:val="002C4F9F"/>
    <w:rsid w:val="002C5EEF"/>
    <w:rsid w:val="002C686F"/>
    <w:rsid w:val="002D2906"/>
    <w:rsid w:val="002D2FA8"/>
    <w:rsid w:val="002D467F"/>
    <w:rsid w:val="002D52BC"/>
    <w:rsid w:val="002D5520"/>
    <w:rsid w:val="002D7C45"/>
    <w:rsid w:val="002E2297"/>
    <w:rsid w:val="002E241F"/>
    <w:rsid w:val="002E4EBA"/>
    <w:rsid w:val="002E7C1A"/>
    <w:rsid w:val="002F0962"/>
    <w:rsid w:val="002F12C7"/>
    <w:rsid w:val="002F190D"/>
    <w:rsid w:val="002F2426"/>
    <w:rsid w:val="002F2DF8"/>
    <w:rsid w:val="002F4C2D"/>
    <w:rsid w:val="002F6370"/>
    <w:rsid w:val="002F65BC"/>
    <w:rsid w:val="002F6B93"/>
    <w:rsid w:val="0030086F"/>
    <w:rsid w:val="00301E09"/>
    <w:rsid w:val="0030659B"/>
    <w:rsid w:val="003065AB"/>
    <w:rsid w:val="00310754"/>
    <w:rsid w:val="00311214"/>
    <w:rsid w:val="003118A1"/>
    <w:rsid w:val="003124BE"/>
    <w:rsid w:val="003128D1"/>
    <w:rsid w:val="003130B1"/>
    <w:rsid w:val="00313671"/>
    <w:rsid w:val="003136DC"/>
    <w:rsid w:val="00314236"/>
    <w:rsid w:val="0031483A"/>
    <w:rsid w:val="0031536B"/>
    <w:rsid w:val="00316342"/>
    <w:rsid w:val="00316D4A"/>
    <w:rsid w:val="0032074A"/>
    <w:rsid w:val="003219C3"/>
    <w:rsid w:val="00321D69"/>
    <w:rsid w:val="00321FBA"/>
    <w:rsid w:val="00323304"/>
    <w:rsid w:val="003239B6"/>
    <w:rsid w:val="0033101A"/>
    <w:rsid w:val="00331690"/>
    <w:rsid w:val="00332543"/>
    <w:rsid w:val="00332903"/>
    <w:rsid w:val="003346CE"/>
    <w:rsid w:val="003350A8"/>
    <w:rsid w:val="00335155"/>
    <w:rsid w:val="00340B6A"/>
    <w:rsid w:val="00341195"/>
    <w:rsid w:val="00341E0C"/>
    <w:rsid w:val="00341E58"/>
    <w:rsid w:val="00342557"/>
    <w:rsid w:val="00347852"/>
    <w:rsid w:val="003517C3"/>
    <w:rsid w:val="00351806"/>
    <w:rsid w:val="00352511"/>
    <w:rsid w:val="00355106"/>
    <w:rsid w:val="00356DD7"/>
    <w:rsid w:val="00357271"/>
    <w:rsid w:val="00357A6B"/>
    <w:rsid w:val="0036017C"/>
    <w:rsid w:val="00360322"/>
    <w:rsid w:val="00360B33"/>
    <w:rsid w:val="00360D29"/>
    <w:rsid w:val="0036138D"/>
    <w:rsid w:val="0036436A"/>
    <w:rsid w:val="00364B21"/>
    <w:rsid w:val="00367E4B"/>
    <w:rsid w:val="003718A6"/>
    <w:rsid w:val="0037205E"/>
    <w:rsid w:val="00372B98"/>
    <w:rsid w:val="00373C92"/>
    <w:rsid w:val="003742F8"/>
    <w:rsid w:val="00374728"/>
    <w:rsid w:val="00375BCC"/>
    <w:rsid w:val="003765C7"/>
    <w:rsid w:val="00377F85"/>
    <w:rsid w:val="0038138B"/>
    <w:rsid w:val="00382900"/>
    <w:rsid w:val="003852C8"/>
    <w:rsid w:val="00386438"/>
    <w:rsid w:val="00386628"/>
    <w:rsid w:val="00390CF2"/>
    <w:rsid w:val="003912D9"/>
    <w:rsid w:val="003919AF"/>
    <w:rsid w:val="00392378"/>
    <w:rsid w:val="003926D8"/>
    <w:rsid w:val="00392FB4"/>
    <w:rsid w:val="00394D3A"/>
    <w:rsid w:val="00397842"/>
    <w:rsid w:val="003A0359"/>
    <w:rsid w:val="003A0D99"/>
    <w:rsid w:val="003A0DB8"/>
    <w:rsid w:val="003A19E6"/>
    <w:rsid w:val="003A2114"/>
    <w:rsid w:val="003A2669"/>
    <w:rsid w:val="003A2BDE"/>
    <w:rsid w:val="003A2CE2"/>
    <w:rsid w:val="003A2D2D"/>
    <w:rsid w:val="003A4BBE"/>
    <w:rsid w:val="003A4C3C"/>
    <w:rsid w:val="003A54D1"/>
    <w:rsid w:val="003A65D2"/>
    <w:rsid w:val="003A6AE4"/>
    <w:rsid w:val="003A7C91"/>
    <w:rsid w:val="003B0347"/>
    <w:rsid w:val="003B09F4"/>
    <w:rsid w:val="003B21A7"/>
    <w:rsid w:val="003B2609"/>
    <w:rsid w:val="003B2B60"/>
    <w:rsid w:val="003B366A"/>
    <w:rsid w:val="003B3A59"/>
    <w:rsid w:val="003B58C5"/>
    <w:rsid w:val="003B5FF3"/>
    <w:rsid w:val="003B6589"/>
    <w:rsid w:val="003C2849"/>
    <w:rsid w:val="003C2B23"/>
    <w:rsid w:val="003C5510"/>
    <w:rsid w:val="003C5BB7"/>
    <w:rsid w:val="003C5FF2"/>
    <w:rsid w:val="003C6F8F"/>
    <w:rsid w:val="003C70C4"/>
    <w:rsid w:val="003C7139"/>
    <w:rsid w:val="003D0626"/>
    <w:rsid w:val="003D100E"/>
    <w:rsid w:val="003D1A78"/>
    <w:rsid w:val="003D3CD6"/>
    <w:rsid w:val="003D4A01"/>
    <w:rsid w:val="003E0041"/>
    <w:rsid w:val="003E1F67"/>
    <w:rsid w:val="003E264A"/>
    <w:rsid w:val="003E28DA"/>
    <w:rsid w:val="003E29AC"/>
    <w:rsid w:val="003E29CF"/>
    <w:rsid w:val="003E2BB3"/>
    <w:rsid w:val="003E6D83"/>
    <w:rsid w:val="003E6D8C"/>
    <w:rsid w:val="003E782F"/>
    <w:rsid w:val="003F038F"/>
    <w:rsid w:val="003F0CB5"/>
    <w:rsid w:val="003F1A34"/>
    <w:rsid w:val="003F2983"/>
    <w:rsid w:val="003F2A97"/>
    <w:rsid w:val="003F4AA7"/>
    <w:rsid w:val="003F7AE8"/>
    <w:rsid w:val="004020FE"/>
    <w:rsid w:val="004029D7"/>
    <w:rsid w:val="004048FE"/>
    <w:rsid w:val="004051A1"/>
    <w:rsid w:val="00411603"/>
    <w:rsid w:val="00411AB6"/>
    <w:rsid w:val="0041282A"/>
    <w:rsid w:val="004157FA"/>
    <w:rsid w:val="0041665D"/>
    <w:rsid w:val="00416714"/>
    <w:rsid w:val="004168BD"/>
    <w:rsid w:val="0042345E"/>
    <w:rsid w:val="004272FB"/>
    <w:rsid w:val="004273DB"/>
    <w:rsid w:val="0042756B"/>
    <w:rsid w:val="00431C8F"/>
    <w:rsid w:val="00437C6B"/>
    <w:rsid w:val="004402A8"/>
    <w:rsid w:val="00441725"/>
    <w:rsid w:val="00441CD8"/>
    <w:rsid w:val="0044371B"/>
    <w:rsid w:val="00443AD4"/>
    <w:rsid w:val="00443D95"/>
    <w:rsid w:val="004445F6"/>
    <w:rsid w:val="004450B8"/>
    <w:rsid w:val="0044535A"/>
    <w:rsid w:val="00445375"/>
    <w:rsid w:val="00445A0D"/>
    <w:rsid w:val="004469A7"/>
    <w:rsid w:val="004511B8"/>
    <w:rsid w:val="00451675"/>
    <w:rsid w:val="00452519"/>
    <w:rsid w:val="0045320A"/>
    <w:rsid w:val="00453D54"/>
    <w:rsid w:val="00453EB5"/>
    <w:rsid w:val="0045578C"/>
    <w:rsid w:val="0045637B"/>
    <w:rsid w:val="004575A9"/>
    <w:rsid w:val="00462088"/>
    <w:rsid w:val="00462B5B"/>
    <w:rsid w:val="0046336A"/>
    <w:rsid w:val="00466D6B"/>
    <w:rsid w:val="0046741A"/>
    <w:rsid w:val="00470AE1"/>
    <w:rsid w:val="00471598"/>
    <w:rsid w:val="00472A24"/>
    <w:rsid w:val="00474822"/>
    <w:rsid w:val="00476163"/>
    <w:rsid w:val="0047711B"/>
    <w:rsid w:val="00477E59"/>
    <w:rsid w:val="004801E8"/>
    <w:rsid w:val="00482268"/>
    <w:rsid w:val="00483A27"/>
    <w:rsid w:val="0048523A"/>
    <w:rsid w:val="00485B4E"/>
    <w:rsid w:val="00485B9E"/>
    <w:rsid w:val="004867A6"/>
    <w:rsid w:val="00490E1D"/>
    <w:rsid w:val="0049334B"/>
    <w:rsid w:val="0049344E"/>
    <w:rsid w:val="00495411"/>
    <w:rsid w:val="004969CD"/>
    <w:rsid w:val="00497772"/>
    <w:rsid w:val="004A062C"/>
    <w:rsid w:val="004A0AD1"/>
    <w:rsid w:val="004A0ED2"/>
    <w:rsid w:val="004A0FAB"/>
    <w:rsid w:val="004A2B2C"/>
    <w:rsid w:val="004A4504"/>
    <w:rsid w:val="004A456B"/>
    <w:rsid w:val="004A5FF0"/>
    <w:rsid w:val="004A752E"/>
    <w:rsid w:val="004A7669"/>
    <w:rsid w:val="004B0DF8"/>
    <w:rsid w:val="004B2CD2"/>
    <w:rsid w:val="004B392B"/>
    <w:rsid w:val="004B4540"/>
    <w:rsid w:val="004B4FC2"/>
    <w:rsid w:val="004B56AD"/>
    <w:rsid w:val="004B6AAF"/>
    <w:rsid w:val="004B7935"/>
    <w:rsid w:val="004B7EE4"/>
    <w:rsid w:val="004C06D1"/>
    <w:rsid w:val="004C135C"/>
    <w:rsid w:val="004C3331"/>
    <w:rsid w:val="004C3566"/>
    <w:rsid w:val="004C3C6C"/>
    <w:rsid w:val="004C4F40"/>
    <w:rsid w:val="004C4F84"/>
    <w:rsid w:val="004C5938"/>
    <w:rsid w:val="004C5DE3"/>
    <w:rsid w:val="004C72BA"/>
    <w:rsid w:val="004C7E18"/>
    <w:rsid w:val="004D698B"/>
    <w:rsid w:val="004D739F"/>
    <w:rsid w:val="004E061D"/>
    <w:rsid w:val="004E2FC3"/>
    <w:rsid w:val="004E33CD"/>
    <w:rsid w:val="004E3522"/>
    <w:rsid w:val="004E3ACC"/>
    <w:rsid w:val="004E4153"/>
    <w:rsid w:val="004E68C4"/>
    <w:rsid w:val="004E7F54"/>
    <w:rsid w:val="004F065E"/>
    <w:rsid w:val="004F0D82"/>
    <w:rsid w:val="004F413F"/>
    <w:rsid w:val="004F71C1"/>
    <w:rsid w:val="00500C3C"/>
    <w:rsid w:val="005034D7"/>
    <w:rsid w:val="00504EE2"/>
    <w:rsid w:val="0050590C"/>
    <w:rsid w:val="0051012E"/>
    <w:rsid w:val="00511057"/>
    <w:rsid w:val="00511779"/>
    <w:rsid w:val="005123D1"/>
    <w:rsid w:val="00515B5C"/>
    <w:rsid w:val="005169D5"/>
    <w:rsid w:val="00520B38"/>
    <w:rsid w:val="00520EDE"/>
    <w:rsid w:val="00523F4E"/>
    <w:rsid w:val="00524E68"/>
    <w:rsid w:val="00524F46"/>
    <w:rsid w:val="0052689C"/>
    <w:rsid w:val="005270F6"/>
    <w:rsid w:val="00527F32"/>
    <w:rsid w:val="00530337"/>
    <w:rsid w:val="00530CA4"/>
    <w:rsid w:val="00531602"/>
    <w:rsid w:val="0053298C"/>
    <w:rsid w:val="005333FF"/>
    <w:rsid w:val="00534144"/>
    <w:rsid w:val="0053575C"/>
    <w:rsid w:val="00535999"/>
    <w:rsid w:val="005360F4"/>
    <w:rsid w:val="00536B3C"/>
    <w:rsid w:val="00536B7C"/>
    <w:rsid w:val="00537E27"/>
    <w:rsid w:val="005402FA"/>
    <w:rsid w:val="00543237"/>
    <w:rsid w:val="0054691A"/>
    <w:rsid w:val="00547065"/>
    <w:rsid w:val="00551440"/>
    <w:rsid w:val="00554EDD"/>
    <w:rsid w:val="00555888"/>
    <w:rsid w:val="0055633A"/>
    <w:rsid w:val="005611CA"/>
    <w:rsid w:val="00562394"/>
    <w:rsid w:val="00563DB1"/>
    <w:rsid w:val="0056476F"/>
    <w:rsid w:val="0056581A"/>
    <w:rsid w:val="00571FCB"/>
    <w:rsid w:val="00573030"/>
    <w:rsid w:val="005734F9"/>
    <w:rsid w:val="00575685"/>
    <w:rsid w:val="00580620"/>
    <w:rsid w:val="0058116B"/>
    <w:rsid w:val="00583941"/>
    <w:rsid w:val="00583A47"/>
    <w:rsid w:val="00583D9A"/>
    <w:rsid w:val="00584C85"/>
    <w:rsid w:val="00585A8D"/>
    <w:rsid w:val="00585ADB"/>
    <w:rsid w:val="00586640"/>
    <w:rsid w:val="0058673E"/>
    <w:rsid w:val="00587D58"/>
    <w:rsid w:val="00590710"/>
    <w:rsid w:val="00592557"/>
    <w:rsid w:val="00592E81"/>
    <w:rsid w:val="0059320A"/>
    <w:rsid w:val="0059417E"/>
    <w:rsid w:val="0059495B"/>
    <w:rsid w:val="00594A4C"/>
    <w:rsid w:val="00594B82"/>
    <w:rsid w:val="0059630C"/>
    <w:rsid w:val="0059767E"/>
    <w:rsid w:val="005A0C79"/>
    <w:rsid w:val="005A229D"/>
    <w:rsid w:val="005A43E4"/>
    <w:rsid w:val="005A4A5A"/>
    <w:rsid w:val="005A4DAE"/>
    <w:rsid w:val="005A69FF"/>
    <w:rsid w:val="005A785B"/>
    <w:rsid w:val="005B0BA4"/>
    <w:rsid w:val="005B1968"/>
    <w:rsid w:val="005B2290"/>
    <w:rsid w:val="005B2435"/>
    <w:rsid w:val="005B3539"/>
    <w:rsid w:val="005B404F"/>
    <w:rsid w:val="005B4396"/>
    <w:rsid w:val="005B5122"/>
    <w:rsid w:val="005B6642"/>
    <w:rsid w:val="005B6F42"/>
    <w:rsid w:val="005B7114"/>
    <w:rsid w:val="005B73E7"/>
    <w:rsid w:val="005C0F28"/>
    <w:rsid w:val="005C33E1"/>
    <w:rsid w:val="005C443D"/>
    <w:rsid w:val="005C47C3"/>
    <w:rsid w:val="005C56BC"/>
    <w:rsid w:val="005C6281"/>
    <w:rsid w:val="005C697C"/>
    <w:rsid w:val="005C72E5"/>
    <w:rsid w:val="005C75F2"/>
    <w:rsid w:val="005D157A"/>
    <w:rsid w:val="005D1A22"/>
    <w:rsid w:val="005D1D22"/>
    <w:rsid w:val="005D1DF0"/>
    <w:rsid w:val="005D1ECD"/>
    <w:rsid w:val="005D215A"/>
    <w:rsid w:val="005D4CF9"/>
    <w:rsid w:val="005D4DC0"/>
    <w:rsid w:val="005E117C"/>
    <w:rsid w:val="005E38C3"/>
    <w:rsid w:val="005E4299"/>
    <w:rsid w:val="005E492E"/>
    <w:rsid w:val="005E4988"/>
    <w:rsid w:val="005E4EE1"/>
    <w:rsid w:val="005E774E"/>
    <w:rsid w:val="005F0650"/>
    <w:rsid w:val="005F1324"/>
    <w:rsid w:val="005F1F60"/>
    <w:rsid w:val="005F2291"/>
    <w:rsid w:val="005F241A"/>
    <w:rsid w:val="005F3A38"/>
    <w:rsid w:val="005F3AF1"/>
    <w:rsid w:val="005F5BB1"/>
    <w:rsid w:val="005F5EDB"/>
    <w:rsid w:val="005F7505"/>
    <w:rsid w:val="006000E0"/>
    <w:rsid w:val="0060098A"/>
    <w:rsid w:val="00600B1C"/>
    <w:rsid w:val="0060110D"/>
    <w:rsid w:val="006014EA"/>
    <w:rsid w:val="00601787"/>
    <w:rsid w:val="00602221"/>
    <w:rsid w:val="006023CB"/>
    <w:rsid w:val="006027FE"/>
    <w:rsid w:val="006028AD"/>
    <w:rsid w:val="00603550"/>
    <w:rsid w:val="006038B1"/>
    <w:rsid w:val="0060494C"/>
    <w:rsid w:val="00605027"/>
    <w:rsid w:val="006056D8"/>
    <w:rsid w:val="006057DB"/>
    <w:rsid w:val="00606D21"/>
    <w:rsid w:val="006079D9"/>
    <w:rsid w:val="006100F1"/>
    <w:rsid w:val="0061051F"/>
    <w:rsid w:val="00611FAD"/>
    <w:rsid w:val="00613A1C"/>
    <w:rsid w:val="006147F2"/>
    <w:rsid w:val="00616C23"/>
    <w:rsid w:val="00617A13"/>
    <w:rsid w:val="006228AC"/>
    <w:rsid w:val="00622B02"/>
    <w:rsid w:val="00623D2E"/>
    <w:rsid w:val="0062546F"/>
    <w:rsid w:val="006262EF"/>
    <w:rsid w:val="006314C7"/>
    <w:rsid w:val="00631B00"/>
    <w:rsid w:val="00633B96"/>
    <w:rsid w:val="0063565F"/>
    <w:rsid w:val="00635FBD"/>
    <w:rsid w:val="0063661C"/>
    <w:rsid w:val="00636B0B"/>
    <w:rsid w:val="00637133"/>
    <w:rsid w:val="00637C04"/>
    <w:rsid w:val="006403A0"/>
    <w:rsid w:val="00640792"/>
    <w:rsid w:val="00642534"/>
    <w:rsid w:val="0064382F"/>
    <w:rsid w:val="0064516C"/>
    <w:rsid w:val="00645E2D"/>
    <w:rsid w:val="00650D6F"/>
    <w:rsid w:val="00650EE1"/>
    <w:rsid w:val="006515CA"/>
    <w:rsid w:val="006524A3"/>
    <w:rsid w:val="006527CE"/>
    <w:rsid w:val="0065340D"/>
    <w:rsid w:val="006534FC"/>
    <w:rsid w:val="00654F88"/>
    <w:rsid w:val="0065594C"/>
    <w:rsid w:val="00655AC1"/>
    <w:rsid w:val="00655E45"/>
    <w:rsid w:val="0065661B"/>
    <w:rsid w:val="00660398"/>
    <w:rsid w:val="006620F1"/>
    <w:rsid w:val="006625E7"/>
    <w:rsid w:val="00662E67"/>
    <w:rsid w:val="0066358D"/>
    <w:rsid w:val="006640ED"/>
    <w:rsid w:val="00665794"/>
    <w:rsid w:val="006676D1"/>
    <w:rsid w:val="00672030"/>
    <w:rsid w:val="00672863"/>
    <w:rsid w:val="0067354B"/>
    <w:rsid w:val="00675CB1"/>
    <w:rsid w:val="0067695E"/>
    <w:rsid w:val="00676970"/>
    <w:rsid w:val="00676E68"/>
    <w:rsid w:val="0068139B"/>
    <w:rsid w:val="0068276E"/>
    <w:rsid w:val="00682BDA"/>
    <w:rsid w:val="006838F0"/>
    <w:rsid w:val="00684769"/>
    <w:rsid w:val="00685590"/>
    <w:rsid w:val="00685B8E"/>
    <w:rsid w:val="006866C6"/>
    <w:rsid w:val="0068673A"/>
    <w:rsid w:val="0068797F"/>
    <w:rsid w:val="00687F40"/>
    <w:rsid w:val="0069223E"/>
    <w:rsid w:val="00692ACB"/>
    <w:rsid w:val="0069391D"/>
    <w:rsid w:val="0069436D"/>
    <w:rsid w:val="006948A4"/>
    <w:rsid w:val="00694D31"/>
    <w:rsid w:val="0069503F"/>
    <w:rsid w:val="006A0158"/>
    <w:rsid w:val="006A17B9"/>
    <w:rsid w:val="006A28BC"/>
    <w:rsid w:val="006A2D30"/>
    <w:rsid w:val="006A35C2"/>
    <w:rsid w:val="006A370E"/>
    <w:rsid w:val="006A4414"/>
    <w:rsid w:val="006A4432"/>
    <w:rsid w:val="006A4BEB"/>
    <w:rsid w:val="006A6BC1"/>
    <w:rsid w:val="006A747D"/>
    <w:rsid w:val="006A7996"/>
    <w:rsid w:val="006B0CC6"/>
    <w:rsid w:val="006B0EF6"/>
    <w:rsid w:val="006B1FCC"/>
    <w:rsid w:val="006B25E5"/>
    <w:rsid w:val="006B38A7"/>
    <w:rsid w:val="006B4005"/>
    <w:rsid w:val="006B6731"/>
    <w:rsid w:val="006B6B5D"/>
    <w:rsid w:val="006B7A21"/>
    <w:rsid w:val="006C09E1"/>
    <w:rsid w:val="006C1B57"/>
    <w:rsid w:val="006C230D"/>
    <w:rsid w:val="006C2919"/>
    <w:rsid w:val="006C3B19"/>
    <w:rsid w:val="006C3F1D"/>
    <w:rsid w:val="006C4E45"/>
    <w:rsid w:val="006C525B"/>
    <w:rsid w:val="006C53E2"/>
    <w:rsid w:val="006C6C44"/>
    <w:rsid w:val="006C70E1"/>
    <w:rsid w:val="006D1579"/>
    <w:rsid w:val="006D1B6E"/>
    <w:rsid w:val="006D315C"/>
    <w:rsid w:val="006D3F05"/>
    <w:rsid w:val="006D4571"/>
    <w:rsid w:val="006D46EE"/>
    <w:rsid w:val="006D55DA"/>
    <w:rsid w:val="006D5E93"/>
    <w:rsid w:val="006D61E7"/>
    <w:rsid w:val="006E0901"/>
    <w:rsid w:val="006E2AC0"/>
    <w:rsid w:val="006E4A74"/>
    <w:rsid w:val="006E56DC"/>
    <w:rsid w:val="006E5EF5"/>
    <w:rsid w:val="006E6242"/>
    <w:rsid w:val="006F0141"/>
    <w:rsid w:val="006F18CF"/>
    <w:rsid w:val="006F4BA9"/>
    <w:rsid w:val="006F4C0D"/>
    <w:rsid w:val="006F502B"/>
    <w:rsid w:val="006F7A50"/>
    <w:rsid w:val="006F7D95"/>
    <w:rsid w:val="0070134F"/>
    <w:rsid w:val="007018EA"/>
    <w:rsid w:val="00703412"/>
    <w:rsid w:val="00703DD6"/>
    <w:rsid w:val="0070414E"/>
    <w:rsid w:val="00704903"/>
    <w:rsid w:val="007052AA"/>
    <w:rsid w:val="007059C0"/>
    <w:rsid w:val="00706229"/>
    <w:rsid w:val="007076C4"/>
    <w:rsid w:val="00707994"/>
    <w:rsid w:val="007121BB"/>
    <w:rsid w:val="00712A1A"/>
    <w:rsid w:val="00714906"/>
    <w:rsid w:val="007159C9"/>
    <w:rsid w:val="00716BB8"/>
    <w:rsid w:val="00717CFE"/>
    <w:rsid w:val="00717D15"/>
    <w:rsid w:val="00717E9D"/>
    <w:rsid w:val="00720749"/>
    <w:rsid w:val="007211AB"/>
    <w:rsid w:val="00722060"/>
    <w:rsid w:val="0072375A"/>
    <w:rsid w:val="007249AD"/>
    <w:rsid w:val="00724B2F"/>
    <w:rsid w:val="007258C3"/>
    <w:rsid w:val="0072599B"/>
    <w:rsid w:val="00726A29"/>
    <w:rsid w:val="00732E7E"/>
    <w:rsid w:val="007334C9"/>
    <w:rsid w:val="00733559"/>
    <w:rsid w:val="007337C7"/>
    <w:rsid w:val="00735ED3"/>
    <w:rsid w:val="007400BE"/>
    <w:rsid w:val="00740D96"/>
    <w:rsid w:val="00741640"/>
    <w:rsid w:val="0074194D"/>
    <w:rsid w:val="00741EB6"/>
    <w:rsid w:val="007423F2"/>
    <w:rsid w:val="00742BAE"/>
    <w:rsid w:val="00746854"/>
    <w:rsid w:val="00746B17"/>
    <w:rsid w:val="00747BF7"/>
    <w:rsid w:val="00750559"/>
    <w:rsid w:val="007509E1"/>
    <w:rsid w:val="0075162C"/>
    <w:rsid w:val="00753197"/>
    <w:rsid w:val="00754A3B"/>
    <w:rsid w:val="007557CB"/>
    <w:rsid w:val="00755EA5"/>
    <w:rsid w:val="00760EBD"/>
    <w:rsid w:val="00761363"/>
    <w:rsid w:val="0076210F"/>
    <w:rsid w:val="00763518"/>
    <w:rsid w:val="00763677"/>
    <w:rsid w:val="007654B4"/>
    <w:rsid w:val="00770428"/>
    <w:rsid w:val="00770A1B"/>
    <w:rsid w:val="00770D86"/>
    <w:rsid w:val="00771AEC"/>
    <w:rsid w:val="007737EE"/>
    <w:rsid w:val="00774C74"/>
    <w:rsid w:val="00775C6E"/>
    <w:rsid w:val="0077674B"/>
    <w:rsid w:val="00780AC0"/>
    <w:rsid w:val="007819DC"/>
    <w:rsid w:val="0078455C"/>
    <w:rsid w:val="007858B5"/>
    <w:rsid w:val="00791676"/>
    <w:rsid w:val="00792289"/>
    <w:rsid w:val="0079395B"/>
    <w:rsid w:val="0079442C"/>
    <w:rsid w:val="00794A72"/>
    <w:rsid w:val="007977A6"/>
    <w:rsid w:val="007A1B8F"/>
    <w:rsid w:val="007A2E65"/>
    <w:rsid w:val="007A38A5"/>
    <w:rsid w:val="007A3F40"/>
    <w:rsid w:val="007A5295"/>
    <w:rsid w:val="007B0E4C"/>
    <w:rsid w:val="007B1BFC"/>
    <w:rsid w:val="007B22FD"/>
    <w:rsid w:val="007B7ACF"/>
    <w:rsid w:val="007C093F"/>
    <w:rsid w:val="007C389B"/>
    <w:rsid w:val="007C3CFB"/>
    <w:rsid w:val="007C44FE"/>
    <w:rsid w:val="007C4691"/>
    <w:rsid w:val="007C5925"/>
    <w:rsid w:val="007D0119"/>
    <w:rsid w:val="007D1851"/>
    <w:rsid w:val="007D4FF2"/>
    <w:rsid w:val="007D55B7"/>
    <w:rsid w:val="007D591D"/>
    <w:rsid w:val="007D5FEB"/>
    <w:rsid w:val="007D712B"/>
    <w:rsid w:val="007E08C2"/>
    <w:rsid w:val="007E0DA6"/>
    <w:rsid w:val="007E1C08"/>
    <w:rsid w:val="007E308D"/>
    <w:rsid w:val="007E731B"/>
    <w:rsid w:val="007E79C3"/>
    <w:rsid w:val="007E7D0C"/>
    <w:rsid w:val="007F4797"/>
    <w:rsid w:val="007F4A3F"/>
    <w:rsid w:val="007F5FC7"/>
    <w:rsid w:val="007F68D3"/>
    <w:rsid w:val="007F6ACF"/>
    <w:rsid w:val="007F6ED7"/>
    <w:rsid w:val="00800061"/>
    <w:rsid w:val="00800AE7"/>
    <w:rsid w:val="00800F26"/>
    <w:rsid w:val="00801D98"/>
    <w:rsid w:val="00802372"/>
    <w:rsid w:val="008034FB"/>
    <w:rsid w:val="008036B6"/>
    <w:rsid w:val="00803E5A"/>
    <w:rsid w:val="008047CF"/>
    <w:rsid w:val="00805777"/>
    <w:rsid w:val="00805C57"/>
    <w:rsid w:val="00805F45"/>
    <w:rsid w:val="00807C94"/>
    <w:rsid w:val="00813AA5"/>
    <w:rsid w:val="008147E7"/>
    <w:rsid w:val="0081799A"/>
    <w:rsid w:val="00817C41"/>
    <w:rsid w:val="00821805"/>
    <w:rsid w:val="00822898"/>
    <w:rsid w:val="0082421F"/>
    <w:rsid w:val="00825466"/>
    <w:rsid w:val="00825C5E"/>
    <w:rsid w:val="0082676F"/>
    <w:rsid w:val="00826D16"/>
    <w:rsid w:val="00826E52"/>
    <w:rsid w:val="008270D2"/>
    <w:rsid w:val="008273EC"/>
    <w:rsid w:val="008300E6"/>
    <w:rsid w:val="0083046C"/>
    <w:rsid w:val="00833D2E"/>
    <w:rsid w:val="008350B2"/>
    <w:rsid w:val="00835E55"/>
    <w:rsid w:val="00842591"/>
    <w:rsid w:val="00842977"/>
    <w:rsid w:val="00844EA1"/>
    <w:rsid w:val="00845CA8"/>
    <w:rsid w:val="00846218"/>
    <w:rsid w:val="00850CAB"/>
    <w:rsid w:val="008514D3"/>
    <w:rsid w:val="0085451A"/>
    <w:rsid w:val="00854F71"/>
    <w:rsid w:val="0085612A"/>
    <w:rsid w:val="00860BEF"/>
    <w:rsid w:val="0086291F"/>
    <w:rsid w:val="00863651"/>
    <w:rsid w:val="00863AA0"/>
    <w:rsid w:val="00863DB6"/>
    <w:rsid w:val="008644E0"/>
    <w:rsid w:val="00864E6D"/>
    <w:rsid w:val="00867059"/>
    <w:rsid w:val="00867670"/>
    <w:rsid w:val="00870F61"/>
    <w:rsid w:val="00874DB2"/>
    <w:rsid w:val="00874FA5"/>
    <w:rsid w:val="00875926"/>
    <w:rsid w:val="00875C8A"/>
    <w:rsid w:val="00875E9F"/>
    <w:rsid w:val="00876CD6"/>
    <w:rsid w:val="008770CF"/>
    <w:rsid w:val="00877602"/>
    <w:rsid w:val="00877CB6"/>
    <w:rsid w:val="008805E0"/>
    <w:rsid w:val="00881212"/>
    <w:rsid w:val="00881656"/>
    <w:rsid w:val="00882237"/>
    <w:rsid w:val="00886DF5"/>
    <w:rsid w:val="0089172C"/>
    <w:rsid w:val="00894226"/>
    <w:rsid w:val="00896ABC"/>
    <w:rsid w:val="008A16B7"/>
    <w:rsid w:val="008A1FAF"/>
    <w:rsid w:val="008A2D04"/>
    <w:rsid w:val="008A5224"/>
    <w:rsid w:val="008A5C5C"/>
    <w:rsid w:val="008A67D3"/>
    <w:rsid w:val="008A72AB"/>
    <w:rsid w:val="008A7E21"/>
    <w:rsid w:val="008B4E26"/>
    <w:rsid w:val="008B5100"/>
    <w:rsid w:val="008B68D0"/>
    <w:rsid w:val="008B6E77"/>
    <w:rsid w:val="008C0A39"/>
    <w:rsid w:val="008C2CBC"/>
    <w:rsid w:val="008C4937"/>
    <w:rsid w:val="008C5AF8"/>
    <w:rsid w:val="008C5D24"/>
    <w:rsid w:val="008C61D7"/>
    <w:rsid w:val="008C6E0A"/>
    <w:rsid w:val="008C711E"/>
    <w:rsid w:val="008C797C"/>
    <w:rsid w:val="008D1778"/>
    <w:rsid w:val="008D2D20"/>
    <w:rsid w:val="008D2FB3"/>
    <w:rsid w:val="008D3492"/>
    <w:rsid w:val="008D4BB7"/>
    <w:rsid w:val="008D535C"/>
    <w:rsid w:val="008D56DA"/>
    <w:rsid w:val="008D5869"/>
    <w:rsid w:val="008D6206"/>
    <w:rsid w:val="008D663D"/>
    <w:rsid w:val="008D7C18"/>
    <w:rsid w:val="008E420D"/>
    <w:rsid w:val="008E79A2"/>
    <w:rsid w:val="008F074A"/>
    <w:rsid w:val="008F1FA1"/>
    <w:rsid w:val="008F26D8"/>
    <w:rsid w:val="008F415F"/>
    <w:rsid w:val="008F4D22"/>
    <w:rsid w:val="008F4D57"/>
    <w:rsid w:val="008F600F"/>
    <w:rsid w:val="008F6EEE"/>
    <w:rsid w:val="008F73B4"/>
    <w:rsid w:val="0090419A"/>
    <w:rsid w:val="009053DB"/>
    <w:rsid w:val="00905706"/>
    <w:rsid w:val="00907379"/>
    <w:rsid w:val="00910579"/>
    <w:rsid w:val="00910A10"/>
    <w:rsid w:val="00910AAB"/>
    <w:rsid w:val="00914465"/>
    <w:rsid w:val="009147A6"/>
    <w:rsid w:val="00914E5F"/>
    <w:rsid w:val="00915A6B"/>
    <w:rsid w:val="00915F76"/>
    <w:rsid w:val="00922CAB"/>
    <w:rsid w:val="00922E63"/>
    <w:rsid w:val="00923C24"/>
    <w:rsid w:val="00923E98"/>
    <w:rsid w:val="009240C2"/>
    <w:rsid w:val="009247D7"/>
    <w:rsid w:val="00924A67"/>
    <w:rsid w:val="00924A7A"/>
    <w:rsid w:val="009260F1"/>
    <w:rsid w:val="00927E5E"/>
    <w:rsid w:val="0093170B"/>
    <w:rsid w:val="009335A6"/>
    <w:rsid w:val="009348A8"/>
    <w:rsid w:val="00935B8E"/>
    <w:rsid w:val="00935DB5"/>
    <w:rsid w:val="00937343"/>
    <w:rsid w:val="00940521"/>
    <w:rsid w:val="00943D64"/>
    <w:rsid w:val="00945BA1"/>
    <w:rsid w:val="009473C8"/>
    <w:rsid w:val="00947446"/>
    <w:rsid w:val="009479DA"/>
    <w:rsid w:val="00951363"/>
    <w:rsid w:val="00953288"/>
    <w:rsid w:val="009573D8"/>
    <w:rsid w:val="009574F3"/>
    <w:rsid w:val="009633BF"/>
    <w:rsid w:val="0096542D"/>
    <w:rsid w:val="00965734"/>
    <w:rsid w:val="00965EF7"/>
    <w:rsid w:val="009664FA"/>
    <w:rsid w:val="00970706"/>
    <w:rsid w:val="00971A3C"/>
    <w:rsid w:val="009720AB"/>
    <w:rsid w:val="00974DEB"/>
    <w:rsid w:val="009763C4"/>
    <w:rsid w:val="00976DE9"/>
    <w:rsid w:val="00981070"/>
    <w:rsid w:val="00983B5D"/>
    <w:rsid w:val="00987DE5"/>
    <w:rsid w:val="0099082A"/>
    <w:rsid w:val="00990A6C"/>
    <w:rsid w:val="00990EDA"/>
    <w:rsid w:val="00991E0F"/>
    <w:rsid w:val="0099263B"/>
    <w:rsid w:val="009927B7"/>
    <w:rsid w:val="009928D8"/>
    <w:rsid w:val="00993598"/>
    <w:rsid w:val="00994871"/>
    <w:rsid w:val="00994FA7"/>
    <w:rsid w:val="009956E9"/>
    <w:rsid w:val="00996311"/>
    <w:rsid w:val="00997802"/>
    <w:rsid w:val="009A2B2A"/>
    <w:rsid w:val="009A4A16"/>
    <w:rsid w:val="009A4BC6"/>
    <w:rsid w:val="009A6C89"/>
    <w:rsid w:val="009A6E6F"/>
    <w:rsid w:val="009A7320"/>
    <w:rsid w:val="009B3CC9"/>
    <w:rsid w:val="009B5488"/>
    <w:rsid w:val="009B64E1"/>
    <w:rsid w:val="009C2268"/>
    <w:rsid w:val="009C7507"/>
    <w:rsid w:val="009C7C16"/>
    <w:rsid w:val="009D0A97"/>
    <w:rsid w:val="009D2865"/>
    <w:rsid w:val="009D2BA7"/>
    <w:rsid w:val="009D3259"/>
    <w:rsid w:val="009D3996"/>
    <w:rsid w:val="009D3C95"/>
    <w:rsid w:val="009D5194"/>
    <w:rsid w:val="009D5851"/>
    <w:rsid w:val="009D62BE"/>
    <w:rsid w:val="009D7716"/>
    <w:rsid w:val="009D7ED9"/>
    <w:rsid w:val="009E00A9"/>
    <w:rsid w:val="009E1874"/>
    <w:rsid w:val="009E2111"/>
    <w:rsid w:val="009E54F8"/>
    <w:rsid w:val="009E5762"/>
    <w:rsid w:val="009E61CD"/>
    <w:rsid w:val="009E7E38"/>
    <w:rsid w:val="009F109D"/>
    <w:rsid w:val="009F181F"/>
    <w:rsid w:val="009F38E5"/>
    <w:rsid w:val="009F65F3"/>
    <w:rsid w:val="009F7D57"/>
    <w:rsid w:val="00A00552"/>
    <w:rsid w:val="00A03A9D"/>
    <w:rsid w:val="00A03E07"/>
    <w:rsid w:val="00A05762"/>
    <w:rsid w:val="00A05814"/>
    <w:rsid w:val="00A07CF2"/>
    <w:rsid w:val="00A10A87"/>
    <w:rsid w:val="00A12CAE"/>
    <w:rsid w:val="00A153F4"/>
    <w:rsid w:val="00A15CDC"/>
    <w:rsid w:val="00A16364"/>
    <w:rsid w:val="00A1667C"/>
    <w:rsid w:val="00A17292"/>
    <w:rsid w:val="00A209EE"/>
    <w:rsid w:val="00A2277B"/>
    <w:rsid w:val="00A23333"/>
    <w:rsid w:val="00A24F89"/>
    <w:rsid w:val="00A25213"/>
    <w:rsid w:val="00A259D9"/>
    <w:rsid w:val="00A316F5"/>
    <w:rsid w:val="00A31728"/>
    <w:rsid w:val="00A31B55"/>
    <w:rsid w:val="00A3205E"/>
    <w:rsid w:val="00A33086"/>
    <w:rsid w:val="00A3424C"/>
    <w:rsid w:val="00A355FA"/>
    <w:rsid w:val="00A359AE"/>
    <w:rsid w:val="00A36BBC"/>
    <w:rsid w:val="00A3715A"/>
    <w:rsid w:val="00A37FFD"/>
    <w:rsid w:val="00A41EFC"/>
    <w:rsid w:val="00A42078"/>
    <w:rsid w:val="00A42AFB"/>
    <w:rsid w:val="00A44A06"/>
    <w:rsid w:val="00A45CD2"/>
    <w:rsid w:val="00A46274"/>
    <w:rsid w:val="00A47720"/>
    <w:rsid w:val="00A4772E"/>
    <w:rsid w:val="00A51423"/>
    <w:rsid w:val="00A5173D"/>
    <w:rsid w:val="00A5395B"/>
    <w:rsid w:val="00A547DC"/>
    <w:rsid w:val="00A61226"/>
    <w:rsid w:val="00A61668"/>
    <w:rsid w:val="00A64090"/>
    <w:rsid w:val="00A65DB7"/>
    <w:rsid w:val="00A67FDA"/>
    <w:rsid w:val="00A706F8"/>
    <w:rsid w:val="00A71401"/>
    <w:rsid w:val="00A717DB"/>
    <w:rsid w:val="00A7229B"/>
    <w:rsid w:val="00A74051"/>
    <w:rsid w:val="00A7434E"/>
    <w:rsid w:val="00A74552"/>
    <w:rsid w:val="00A75510"/>
    <w:rsid w:val="00A769BF"/>
    <w:rsid w:val="00A76ADE"/>
    <w:rsid w:val="00A76F79"/>
    <w:rsid w:val="00A80C9F"/>
    <w:rsid w:val="00A80ED5"/>
    <w:rsid w:val="00A8218A"/>
    <w:rsid w:val="00A8259F"/>
    <w:rsid w:val="00A82ED3"/>
    <w:rsid w:val="00A83ECD"/>
    <w:rsid w:val="00A8711A"/>
    <w:rsid w:val="00A87193"/>
    <w:rsid w:val="00A90193"/>
    <w:rsid w:val="00A93266"/>
    <w:rsid w:val="00A94773"/>
    <w:rsid w:val="00A952C1"/>
    <w:rsid w:val="00A957EF"/>
    <w:rsid w:val="00A9723D"/>
    <w:rsid w:val="00A9743E"/>
    <w:rsid w:val="00AA0590"/>
    <w:rsid w:val="00AA1848"/>
    <w:rsid w:val="00AA3358"/>
    <w:rsid w:val="00AA3E7C"/>
    <w:rsid w:val="00AA5ADD"/>
    <w:rsid w:val="00AA6027"/>
    <w:rsid w:val="00AA6A56"/>
    <w:rsid w:val="00AA6E8F"/>
    <w:rsid w:val="00AB1157"/>
    <w:rsid w:val="00AB1F2F"/>
    <w:rsid w:val="00AB384B"/>
    <w:rsid w:val="00AB4DFD"/>
    <w:rsid w:val="00AB5B37"/>
    <w:rsid w:val="00AB66E4"/>
    <w:rsid w:val="00AC2622"/>
    <w:rsid w:val="00AC27C4"/>
    <w:rsid w:val="00AC5557"/>
    <w:rsid w:val="00AC5E01"/>
    <w:rsid w:val="00AC6E1B"/>
    <w:rsid w:val="00AC7396"/>
    <w:rsid w:val="00AD0823"/>
    <w:rsid w:val="00AD2E56"/>
    <w:rsid w:val="00AD326B"/>
    <w:rsid w:val="00AD384C"/>
    <w:rsid w:val="00AD419D"/>
    <w:rsid w:val="00AD5F15"/>
    <w:rsid w:val="00AE2012"/>
    <w:rsid w:val="00AE3ED4"/>
    <w:rsid w:val="00AE59C6"/>
    <w:rsid w:val="00AE7C76"/>
    <w:rsid w:val="00AF1965"/>
    <w:rsid w:val="00AF224D"/>
    <w:rsid w:val="00AF3E46"/>
    <w:rsid w:val="00AF3E84"/>
    <w:rsid w:val="00AF4919"/>
    <w:rsid w:val="00AF4E56"/>
    <w:rsid w:val="00AF673E"/>
    <w:rsid w:val="00B005D1"/>
    <w:rsid w:val="00B0235E"/>
    <w:rsid w:val="00B04580"/>
    <w:rsid w:val="00B053D6"/>
    <w:rsid w:val="00B06CB3"/>
    <w:rsid w:val="00B073BC"/>
    <w:rsid w:val="00B0746E"/>
    <w:rsid w:val="00B07D1F"/>
    <w:rsid w:val="00B103CC"/>
    <w:rsid w:val="00B1155F"/>
    <w:rsid w:val="00B12335"/>
    <w:rsid w:val="00B127F0"/>
    <w:rsid w:val="00B12D2B"/>
    <w:rsid w:val="00B1322E"/>
    <w:rsid w:val="00B13874"/>
    <w:rsid w:val="00B147B9"/>
    <w:rsid w:val="00B14F9C"/>
    <w:rsid w:val="00B16E65"/>
    <w:rsid w:val="00B17463"/>
    <w:rsid w:val="00B2274B"/>
    <w:rsid w:val="00B24695"/>
    <w:rsid w:val="00B24B4A"/>
    <w:rsid w:val="00B256B6"/>
    <w:rsid w:val="00B27F7B"/>
    <w:rsid w:val="00B307C3"/>
    <w:rsid w:val="00B3197A"/>
    <w:rsid w:val="00B32A1B"/>
    <w:rsid w:val="00B330B4"/>
    <w:rsid w:val="00B3440A"/>
    <w:rsid w:val="00B34DD7"/>
    <w:rsid w:val="00B364F5"/>
    <w:rsid w:val="00B41AE2"/>
    <w:rsid w:val="00B43B38"/>
    <w:rsid w:val="00B44655"/>
    <w:rsid w:val="00B449A3"/>
    <w:rsid w:val="00B459C5"/>
    <w:rsid w:val="00B506CB"/>
    <w:rsid w:val="00B510B6"/>
    <w:rsid w:val="00B5209F"/>
    <w:rsid w:val="00B55419"/>
    <w:rsid w:val="00B555E5"/>
    <w:rsid w:val="00B5612E"/>
    <w:rsid w:val="00B57FF1"/>
    <w:rsid w:val="00B6145E"/>
    <w:rsid w:val="00B629CC"/>
    <w:rsid w:val="00B62D2E"/>
    <w:rsid w:val="00B637A6"/>
    <w:rsid w:val="00B63BE0"/>
    <w:rsid w:val="00B63FC1"/>
    <w:rsid w:val="00B64AFB"/>
    <w:rsid w:val="00B64D1C"/>
    <w:rsid w:val="00B66183"/>
    <w:rsid w:val="00B6705C"/>
    <w:rsid w:val="00B7053F"/>
    <w:rsid w:val="00B721C9"/>
    <w:rsid w:val="00B735B1"/>
    <w:rsid w:val="00B73A6F"/>
    <w:rsid w:val="00B73A7D"/>
    <w:rsid w:val="00B76DDE"/>
    <w:rsid w:val="00B80722"/>
    <w:rsid w:val="00B80D3D"/>
    <w:rsid w:val="00B824CC"/>
    <w:rsid w:val="00B84982"/>
    <w:rsid w:val="00B85295"/>
    <w:rsid w:val="00B8669A"/>
    <w:rsid w:val="00B86D27"/>
    <w:rsid w:val="00B87DAE"/>
    <w:rsid w:val="00B90697"/>
    <w:rsid w:val="00B9084B"/>
    <w:rsid w:val="00B90AFE"/>
    <w:rsid w:val="00B914F4"/>
    <w:rsid w:val="00B916CD"/>
    <w:rsid w:val="00B9412A"/>
    <w:rsid w:val="00B9449C"/>
    <w:rsid w:val="00B94AF3"/>
    <w:rsid w:val="00B96BAE"/>
    <w:rsid w:val="00B97C59"/>
    <w:rsid w:val="00BA07CD"/>
    <w:rsid w:val="00BA1005"/>
    <w:rsid w:val="00BA2F46"/>
    <w:rsid w:val="00BA38F8"/>
    <w:rsid w:val="00BA407D"/>
    <w:rsid w:val="00BA54CC"/>
    <w:rsid w:val="00BA6A67"/>
    <w:rsid w:val="00BB09A8"/>
    <w:rsid w:val="00BB3C97"/>
    <w:rsid w:val="00BB5D71"/>
    <w:rsid w:val="00BB67E8"/>
    <w:rsid w:val="00BB70FD"/>
    <w:rsid w:val="00BB73F3"/>
    <w:rsid w:val="00BB77D1"/>
    <w:rsid w:val="00BC054E"/>
    <w:rsid w:val="00BC2AD0"/>
    <w:rsid w:val="00BC3501"/>
    <w:rsid w:val="00BC3923"/>
    <w:rsid w:val="00BC7819"/>
    <w:rsid w:val="00BC7BED"/>
    <w:rsid w:val="00BD1741"/>
    <w:rsid w:val="00BD1ADD"/>
    <w:rsid w:val="00BD4FB2"/>
    <w:rsid w:val="00BD663F"/>
    <w:rsid w:val="00BE041E"/>
    <w:rsid w:val="00BE23D7"/>
    <w:rsid w:val="00BE23E9"/>
    <w:rsid w:val="00BE3A82"/>
    <w:rsid w:val="00BE3C54"/>
    <w:rsid w:val="00BE51E0"/>
    <w:rsid w:val="00BE6E86"/>
    <w:rsid w:val="00BE7543"/>
    <w:rsid w:val="00BF3894"/>
    <w:rsid w:val="00BF4AC2"/>
    <w:rsid w:val="00BF5783"/>
    <w:rsid w:val="00BF67F4"/>
    <w:rsid w:val="00BF7C23"/>
    <w:rsid w:val="00C00583"/>
    <w:rsid w:val="00C008CB"/>
    <w:rsid w:val="00C00DD3"/>
    <w:rsid w:val="00C01A02"/>
    <w:rsid w:val="00C02904"/>
    <w:rsid w:val="00C036C7"/>
    <w:rsid w:val="00C03FDE"/>
    <w:rsid w:val="00C040B7"/>
    <w:rsid w:val="00C05272"/>
    <w:rsid w:val="00C06166"/>
    <w:rsid w:val="00C075D8"/>
    <w:rsid w:val="00C106BB"/>
    <w:rsid w:val="00C1243F"/>
    <w:rsid w:val="00C13746"/>
    <w:rsid w:val="00C1394E"/>
    <w:rsid w:val="00C13B9A"/>
    <w:rsid w:val="00C143E4"/>
    <w:rsid w:val="00C17353"/>
    <w:rsid w:val="00C20764"/>
    <w:rsid w:val="00C20CEC"/>
    <w:rsid w:val="00C21375"/>
    <w:rsid w:val="00C21B8B"/>
    <w:rsid w:val="00C23212"/>
    <w:rsid w:val="00C24340"/>
    <w:rsid w:val="00C244C5"/>
    <w:rsid w:val="00C25256"/>
    <w:rsid w:val="00C25C5A"/>
    <w:rsid w:val="00C25D72"/>
    <w:rsid w:val="00C30663"/>
    <w:rsid w:val="00C30735"/>
    <w:rsid w:val="00C30CA6"/>
    <w:rsid w:val="00C30D69"/>
    <w:rsid w:val="00C31BB9"/>
    <w:rsid w:val="00C31FBE"/>
    <w:rsid w:val="00C324B0"/>
    <w:rsid w:val="00C33704"/>
    <w:rsid w:val="00C41A53"/>
    <w:rsid w:val="00C41D79"/>
    <w:rsid w:val="00C42E83"/>
    <w:rsid w:val="00C43CAA"/>
    <w:rsid w:val="00C457C1"/>
    <w:rsid w:val="00C45FB5"/>
    <w:rsid w:val="00C4676D"/>
    <w:rsid w:val="00C46CDA"/>
    <w:rsid w:val="00C474C9"/>
    <w:rsid w:val="00C50AAD"/>
    <w:rsid w:val="00C52112"/>
    <w:rsid w:val="00C55CB6"/>
    <w:rsid w:val="00C575DC"/>
    <w:rsid w:val="00C57A39"/>
    <w:rsid w:val="00C60729"/>
    <w:rsid w:val="00C62581"/>
    <w:rsid w:val="00C64010"/>
    <w:rsid w:val="00C674DD"/>
    <w:rsid w:val="00C67B99"/>
    <w:rsid w:val="00C71C85"/>
    <w:rsid w:val="00C71F4E"/>
    <w:rsid w:val="00C7200D"/>
    <w:rsid w:val="00C720E7"/>
    <w:rsid w:val="00C73880"/>
    <w:rsid w:val="00C74B0A"/>
    <w:rsid w:val="00C75083"/>
    <w:rsid w:val="00C776ED"/>
    <w:rsid w:val="00C8237F"/>
    <w:rsid w:val="00C82A6B"/>
    <w:rsid w:val="00C83B72"/>
    <w:rsid w:val="00C8459E"/>
    <w:rsid w:val="00C855A9"/>
    <w:rsid w:val="00C86A0F"/>
    <w:rsid w:val="00C87191"/>
    <w:rsid w:val="00C90D2A"/>
    <w:rsid w:val="00C92303"/>
    <w:rsid w:val="00C92913"/>
    <w:rsid w:val="00C929EF"/>
    <w:rsid w:val="00C92F99"/>
    <w:rsid w:val="00C9315E"/>
    <w:rsid w:val="00C937AA"/>
    <w:rsid w:val="00C94C4D"/>
    <w:rsid w:val="00C95188"/>
    <w:rsid w:val="00C95A94"/>
    <w:rsid w:val="00C962F1"/>
    <w:rsid w:val="00C9673F"/>
    <w:rsid w:val="00C97B68"/>
    <w:rsid w:val="00CA18F5"/>
    <w:rsid w:val="00CA1E2D"/>
    <w:rsid w:val="00CA3666"/>
    <w:rsid w:val="00CA3763"/>
    <w:rsid w:val="00CA3B90"/>
    <w:rsid w:val="00CA5771"/>
    <w:rsid w:val="00CA6010"/>
    <w:rsid w:val="00CA6C70"/>
    <w:rsid w:val="00CA7AAC"/>
    <w:rsid w:val="00CB4A0E"/>
    <w:rsid w:val="00CB530A"/>
    <w:rsid w:val="00CB531F"/>
    <w:rsid w:val="00CB67A9"/>
    <w:rsid w:val="00CB7D99"/>
    <w:rsid w:val="00CC119D"/>
    <w:rsid w:val="00CC1E6F"/>
    <w:rsid w:val="00CC3BD4"/>
    <w:rsid w:val="00CC52E7"/>
    <w:rsid w:val="00CC550F"/>
    <w:rsid w:val="00CC589E"/>
    <w:rsid w:val="00CC5ECC"/>
    <w:rsid w:val="00CC64F3"/>
    <w:rsid w:val="00CD01F7"/>
    <w:rsid w:val="00CD0C01"/>
    <w:rsid w:val="00CD0C7A"/>
    <w:rsid w:val="00CD0DD0"/>
    <w:rsid w:val="00CD1625"/>
    <w:rsid w:val="00CD3197"/>
    <w:rsid w:val="00CD43CF"/>
    <w:rsid w:val="00CD49C1"/>
    <w:rsid w:val="00CD50C9"/>
    <w:rsid w:val="00CD762C"/>
    <w:rsid w:val="00CD7CAF"/>
    <w:rsid w:val="00CE0128"/>
    <w:rsid w:val="00CE291B"/>
    <w:rsid w:val="00CE5C43"/>
    <w:rsid w:val="00CE6307"/>
    <w:rsid w:val="00CF062B"/>
    <w:rsid w:val="00CF2BA1"/>
    <w:rsid w:val="00CF455C"/>
    <w:rsid w:val="00CF4708"/>
    <w:rsid w:val="00CF5C76"/>
    <w:rsid w:val="00CF68BC"/>
    <w:rsid w:val="00D006FA"/>
    <w:rsid w:val="00D00CB4"/>
    <w:rsid w:val="00D049C6"/>
    <w:rsid w:val="00D04A39"/>
    <w:rsid w:val="00D06956"/>
    <w:rsid w:val="00D06E86"/>
    <w:rsid w:val="00D10666"/>
    <w:rsid w:val="00D10C6D"/>
    <w:rsid w:val="00D10C77"/>
    <w:rsid w:val="00D10EAF"/>
    <w:rsid w:val="00D11F99"/>
    <w:rsid w:val="00D12475"/>
    <w:rsid w:val="00D130C0"/>
    <w:rsid w:val="00D13981"/>
    <w:rsid w:val="00D13E42"/>
    <w:rsid w:val="00D142DE"/>
    <w:rsid w:val="00D14A24"/>
    <w:rsid w:val="00D1538E"/>
    <w:rsid w:val="00D15755"/>
    <w:rsid w:val="00D17B3F"/>
    <w:rsid w:val="00D20449"/>
    <w:rsid w:val="00D226C6"/>
    <w:rsid w:val="00D226C9"/>
    <w:rsid w:val="00D228A2"/>
    <w:rsid w:val="00D23AE9"/>
    <w:rsid w:val="00D24A75"/>
    <w:rsid w:val="00D25676"/>
    <w:rsid w:val="00D26906"/>
    <w:rsid w:val="00D26CC8"/>
    <w:rsid w:val="00D30D01"/>
    <w:rsid w:val="00D316FD"/>
    <w:rsid w:val="00D33649"/>
    <w:rsid w:val="00D3386C"/>
    <w:rsid w:val="00D339FB"/>
    <w:rsid w:val="00D33BAF"/>
    <w:rsid w:val="00D341B0"/>
    <w:rsid w:val="00D35619"/>
    <w:rsid w:val="00D35BFB"/>
    <w:rsid w:val="00D36F3F"/>
    <w:rsid w:val="00D37190"/>
    <w:rsid w:val="00D373D6"/>
    <w:rsid w:val="00D411F9"/>
    <w:rsid w:val="00D41C5C"/>
    <w:rsid w:val="00D427B9"/>
    <w:rsid w:val="00D42BED"/>
    <w:rsid w:val="00D43322"/>
    <w:rsid w:val="00D4483B"/>
    <w:rsid w:val="00D44DDE"/>
    <w:rsid w:val="00D45FE1"/>
    <w:rsid w:val="00D46227"/>
    <w:rsid w:val="00D50253"/>
    <w:rsid w:val="00D5157A"/>
    <w:rsid w:val="00D516AA"/>
    <w:rsid w:val="00D542D6"/>
    <w:rsid w:val="00D54F01"/>
    <w:rsid w:val="00D559EA"/>
    <w:rsid w:val="00D55AE0"/>
    <w:rsid w:val="00D5690C"/>
    <w:rsid w:val="00D61301"/>
    <w:rsid w:val="00D615D7"/>
    <w:rsid w:val="00D61BAF"/>
    <w:rsid w:val="00D6278F"/>
    <w:rsid w:val="00D634B6"/>
    <w:rsid w:val="00D634E5"/>
    <w:rsid w:val="00D637B0"/>
    <w:rsid w:val="00D63CA6"/>
    <w:rsid w:val="00D66235"/>
    <w:rsid w:val="00D712CB"/>
    <w:rsid w:val="00D76292"/>
    <w:rsid w:val="00D76D1A"/>
    <w:rsid w:val="00D77C12"/>
    <w:rsid w:val="00D77D1F"/>
    <w:rsid w:val="00D806D6"/>
    <w:rsid w:val="00D80B6F"/>
    <w:rsid w:val="00D81477"/>
    <w:rsid w:val="00D81BC9"/>
    <w:rsid w:val="00D81C18"/>
    <w:rsid w:val="00D8279C"/>
    <w:rsid w:val="00D830D1"/>
    <w:rsid w:val="00D834FB"/>
    <w:rsid w:val="00D842FE"/>
    <w:rsid w:val="00D84393"/>
    <w:rsid w:val="00D869C2"/>
    <w:rsid w:val="00D86EA8"/>
    <w:rsid w:val="00D87719"/>
    <w:rsid w:val="00D87728"/>
    <w:rsid w:val="00D90767"/>
    <w:rsid w:val="00D91A5B"/>
    <w:rsid w:val="00D91EA5"/>
    <w:rsid w:val="00D92DFB"/>
    <w:rsid w:val="00D93B95"/>
    <w:rsid w:val="00D9447E"/>
    <w:rsid w:val="00D951F8"/>
    <w:rsid w:val="00D95721"/>
    <w:rsid w:val="00D975B4"/>
    <w:rsid w:val="00D97D4E"/>
    <w:rsid w:val="00D97F78"/>
    <w:rsid w:val="00DA095B"/>
    <w:rsid w:val="00DA1123"/>
    <w:rsid w:val="00DA20C4"/>
    <w:rsid w:val="00DA285E"/>
    <w:rsid w:val="00DA3D51"/>
    <w:rsid w:val="00DA465F"/>
    <w:rsid w:val="00DB0DE4"/>
    <w:rsid w:val="00DB10ED"/>
    <w:rsid w:val="00DB253A"/>
    <w:rsid w:val="00DB2671"/>
    <w:rsid w:val="00DB2C56"/>
    <w:rsid w:val="00DB4655"/>
    <w:rsid w:val="00DB48C8"/>
    <w:rsid w:val="00DB4E5D"/>
    <w:rsid w:val="00DB5603"/>
    <w:rsid w:val="00DB5CCA"/>
    <w:rsid w:val="00DB6C97"/>
    <w:rsid w:val="00DB7A9A"/>
    <w:rsid w:val="00DC0AC8"/>
    <w:rsid w:val="00DC0FF6"/>
    <w:rsid w:val="00DC2405"/>
    <w:rsid w:val="00DC3D9D"/>
    <w:rsid w:val="00DC4614"/>
    <w:rsid w:val="00DC4D4A"/>
    <w:rsid w:val="00DC5D33"/>
    <w:rsid w:val="00DC5D70"/>
    <w:rsid w:val="00DC789A"/>
    <w:rsid w:val="00DD0B9A"/>
    <w:rsid w:val="00DD2A40"/>
    <w:rsid w:val="00DD2D82"/>
    <w:rsid w:val="00DD2FEE"/>
    <w:rsid w:val="00DD5238"/>
    <w:rsid w:val="00DD7777"/>
    <w:rsid w:val="00DD7A9E"/>
    <w:rsid w:val="00DD7BE1"/>
    <w:rsid w:val="00DE06DD"/>
    <w:rsid w:val="00DE2AA2"/>
    <w:rsid w:val="00DE38AE"/>
    <w:rsid w:val="00DE3A50"/>
    <w:rsid w:val="00DE3B29"/>
    <w:rsid w:val="00DE3F94"/>
    <w:rsid w:val="00DE4788"/>
    <w:rsid w:val="00DE4AA4"/>
    <w:rsid w:val="00DE5431"/>
    <w:rsid w:val="00DE6C9D"/>
    <w:rsid w:val="00DE7F0D"/>
    <w:rsid w:val="00DF08C6"/>
    <w:rsid w:val="00DF1043"/>
    <w:rsid w:val="00DF26D0"/>
    <w:rsid w:val="00DF3DA4"/>
    <w:rsid w:val="00DF43CD"/>
    <w:rsid w:val="00DF4E36"/>
    <w:rsid w:val="00DF5036"/>
    <w:rsid w:val="00DF5E59"/>
    <w:rsid w:val="00DF5E5B"/>
    <w:rsid w:val="00DF61D8"/>
    <w:rsid w:val="00DF6A90"/>
    <w:rsid w:val="00DF711D"/>
    <w:rsid w:val="00E00AB7"/>
    <w:rsid w:val="00E01A04"/>
    <w:rsid w:val="00E01CFD"/>
    <w:rsid w:val="00E052F4"/>
    <w:rsid w:val="00E05E41"/>
    <w:rsid w:val="00E06890"/>
    <w:rsid w:val="00E074C9"/>
    <w:rsid w:val="00E075B0"/>
    <w:rsid w:val="00E076AE"/>
    <w:rsid w:val="00E076FC"/>
    <w:rsid w:val="00E1029D"/>
    <w:rsid w:val="00E103F0"/>
    <w:rsid w:val="00E10BC3"/>
    <w:rsid w:val="00E117F5"/>
    <w:rsid w:val="00E118E1"/>
    <w:rsid w:val="00E1196C"/>
    <w:rsid w:val="00E11B7B"/>
    <w:rsid w:val="00E13528"/>
    <w:rsid w:val="00E13CCE"/>
    <w:rsid w:val="00E14090"/>
    <w:rsid w:val="00E161DB"/>
    <w:rsid w:val="00E16406"/>
    <w:rsid w:val="00E16E53"/>
    <w:rsid w:val="00E20740"/>
    <w:rsid w:val="00E20F8B"/>
    <w:rsid w:val="00E21CD8"/>
    <w:rsid w:val="00E22231"/>
    <w:rsid w:val="00E23EA0"/>
    <w:rsid w:val="00E2455A"/>
    <w:rsid w:val="00E24618"/>
    <w:rsid w:val="00E2491E"/>
    <w:rsid w:val="00E24DF4"/>
    <w:rsid w:val="00E271F0"/>
    <w:rsid w:val="00E272F7"/>
    <w:rsid w:val="00E31100"/>
    <w:rsid w:val="00E31438"/>
    <w:rsid w:val="00E34F10"/>
    <w:rsid w:val="00E36E31"/>
    <w:rsid w:val="00E4229F"/>
    <w:rsid w:val="00E42D9A"/>
    <w:rsid w:val="00E434EF"/>
    <w:rsid w:val="00E449B7"/>
    <w:rsid w:val="00E47B58"/>
    <w:rsid w:val="00E504B3"/>
    <w:rsid w:val="00E504FC"/>
    <w:rsid w:val="00E51133"/>
    <w:rsid w:val="00E52441"/>
    <w:rsid w:val="00E52537"/>
    <w:rsid w:val="00E52F36"/>
    <w:rsid w:val="00E54662"/>
    <w:rsid w:val="00E54FFC"/>
    <w:rsid w:val="00E5548F"/>
    <w:rsid w:val="00E5588D"/>
    <w:rsid w:val="00E55DA4"/>
    <w:rsid w:val="00E56B7E"/>
    <w:rsid w:val="00E60498"/>
    <w:rsid w:val="00E60BE2"/>
    <w:rsid w:val="00E63D24"/>
    <w:rsid w:val="00E64395"/>
    <w:rsid w:val="00E64774"/>
    <w:rsid w:val="00E64C2F"/>
    <w:rsid w:val="00E65ACC"/>
    <w:rsid w:val="00E65C0B"/>
    <w:rsid w:val="00E65E37"/>
    <w:rsid w:val="00E663DB"/>
    <w:rsid w:val="00E666B5"/>
    <w:rsid w:val="00E67173"/>
    <w:rsid w:val="00E7143C"/>
    <w:rsid w:val="00E73D84"/>
    <w:rsid w:val="00E741B0"/>
    <w:rsid w:val="00E744BA"/>
    <w:rsid w:val="00E77015"/>
    <w:rsid w:val="00E807AE"/>
    <w:rsid w:val="00E80E06"/>
    <w:rsid w:val="00E822C7"/>
    <w:rsid w:val="00E83603"/>
    <w:rsid w:val="00E90070"/>
    <w:rsid w:val="00E910FF"/>
    <w:rsid w:val="00E9492C"/>
    <w:rsid w:val="00E9686C"/>
    <w:rsid w:val="00E97B5B"/>
    <w:rsid w:val="00EA2924"/>
    <w:rsid w:val="00EA39EA"/>
    <w:rsid w:val="00EA5DE8"/>
    <w:rsid w:val="00EA7A4C"/>
    <w:rsid w:val="00EB0753"/>
    <w:rsid w:val="00EB1B6C"/>
    <w:rsid w:val="00EB3D58"/>
    <w:rsid w:val="00EB3EE5"/>
    <w:rsid w:val="00EB6021"/>
    <w:rsid w:val="00EC0E34"/>
    <w:rsid w:val="00EC1042"/>
    <w:rsid w:val="00EC1ACB"/>
    <w:rsid w:val="00EC1EA5"/>
    <w:rsid w:val="00EC2CD4"/>
    <w:rsid w:val="00EC4EEA"/>
    <w:rsid w:val="00EC5A9A"/>
    <w:rsid w:val="00EC6CF8"/>
    <w:rsid w:val="00EC79B5"/>
    <w:rsid w:val="00ED0443"/>
    <w:rsid w:val="00ED29A3"/>
    <w:rsid w:val="00ED4C64"/>
    <w:rsid w:val="00ED5081"/>
    <w:rsid w:val="00ED5640"/>
    <w:rsid w:val="00EE0BB4"/>
    <w:rsid w:val="00EE10FD"/>
    <w:rsid w:val="00EE2508"/>
    <w:rsid w:val="00EE298B"/>
    <w:rsid w:val="00EE6598"/>
    <w:rsid w:val="00EE6C25"/>
    <w:rsid w:val="00EE70FE"/>
    <w:rsid w:val="00EF0DC9"/>
    <w:rsid w:val="00EF1037"/>
    <w:rsid w:val="00EF2FE3"/>
    <w:rsid w:val="00EF41B5"/>
    <w:rsid w:val="00EF4314"/>
    <w:rsid w:val="00EF51F1"/>
    <w:rsid w:val="00EF69A7"/>
    <w:rsid w:val="00EF7D87"/>
    <w:rsid w:val="00F00594"/>
    <w:rsid w:val="00F013E8"/>
    <w:rsid w:val="00F022E1"/>
    <w:rsid w:val="00F0566F"/>
    <w:rsid w:val="00F057C8"/>
    <w:rsid w:val="00F05B73"/>
    <w:rsid w:val="00F05DF2"/>
    <w:rsid w:val="00F065A9"/>
    <w:rsid w:val="00F065D8"/>
    <w:rsid w:val="00F06D99"/>
    <w:rsid w:val="00F074A4"/>
    <w:rsid w:val="00F10061"/>
    <w:rsid w:val="00F1187A"/>
    <w:rsid w:val="00F11B95"/>
    <w:rsid w:val="00F21B68"/>
    <w:rsid w:val="00F22371"/>
    <w:rsid w:val="00F24790"/>
    <w:rsid w:val="00F25973"/>
    <w:rsid w:val="00F27CA6"/>
    <w:rsid w:val="00F3152F"/>
    <w:rsid w:val="00F34F20"/>
    <w:rsid w:val="00F35C4C"/>
    <w:rsid w:val="00F3620F"/>
    <w:rsid w:val="00F410D7"/>
    <w:rsid w:val="00F41BE9"/>
    <w:rsid w:val="00F43A86"/>
    <w:rsid w:val="00F4568D"/>
    <w:rsid w:val="00F461F9"/>
    <w:rsid w:val="00F47EC4"/>
    <w:rsid w:val="00F514C6"/>
    <w:rsid w:val="00F517E4"/>
    <w:rsid w:val="00F51D0D"/>
    <w:rsid w:val="00F51F5E"/>
    <w:rsid w:val="00F5376E"/>
    <w:rsid w:val="00F5592C"/>
    <w:rsid w:val="00F55C1A"/>
    <w:rsid w:val="00F5783E"/>
    <w:rsid w:val="00F57E74"/>
    <w:rsid w:val="00F60AC4"/>
    <w:rsid w:val="00F6147E"/>
    <w:rsid w:val="00F6270B"/>
    <w:rsid w:val="00F62F9D"/>
    <w:rsid w:val="00F63434"/>
    <w:rsid w:val="00F70A63"/>
    <w:rsid w:val="00F70F35"/>
    <w:rsid w:val="00F71AB6"/>
    <w:rsid w:val="00F720BE"/>
    <w:rsid w:val="00F722FE"/>
    <w:rsid w:val="00F7276D"/>
    <w:rsid w:val="00F731A6"/>
    <w:rsid w:val="00F73EFA"/>
    <w:rsid w:val="00F7428F"/>
    <w:rsid w:val="00F74C32"/>
    <w:rsid w:val="00F758A7"/>
    <w:rsid w:val="00F7632D"/>
    <w:rsid w:val="00F771EF"/>
    <w:rsid w:val="00F80654"/>
    <w:rsid w:val="00F80D95"/>
    <w:rsid w:val="00F81321"/>
    <w:rsid w:val="00F823A2"/>
    <w:rsid w:val="00F8270F"/>
    <w:rsid w:val="00F82AF0"/>
    <w:rsid w:val="00F82BCA"/>
    <w:rsid w:val="00F82BEC"/>
    <w:rsid w:val="00F84F0A"/>
    <w:rsid w:val="00F8609C"/>
    <w:rsid w:val="00F91918"/>
    <w:rsid w:val="00F92726"/>
    <w:rsid w:val="00F92F60"/>
    <w:rsid w:val="00F93DAD"/>
    <w:rsid w:val="00F95BDE"/>
    <w:rsid w:val="00F96426"/>
    <w:rsid w:val="00F96FFE"/>
    <w:rsid w:val="00F97E1A"/>
    <w:rsid w:val="00FA0E8E"/>
    <w:rsid w:val="00FA12E5"/>
    <w:rsid w:val="00FA5788"/>
    <w:rsid w:val="00FA5DEE"/>
    <w:rsid w:val="00FA6551"/>
    <w:rsid w:val="00FA65B6"/>
    <w:rsid w:val="00FA7A07"/>
    <w:rsid w:val="00FB0623"/>
    <w:rsid w:val="00FB07AC"/>
    <w:rsid w:val="00FB146A"/>
    <w:rsid w:val="00FB2017"/>
    <w:rsid w:val="00FB2C01"/>
    <w:rsid w:val="00FB2C6E"/>
    <w:rsid w:val="00FB3E00"/>
    <w:rsid w:val="00FB4A94"/>
    <w:rsid w:val="00FB4BF0"/>
    <w:rsid w:val="00FC1C16"/>
    <w:rsid w:val="00FC3082"/>
    <w:rsid w:val="00FC5A92"/>
    <w:rsid w:val="00FC6E10"/>
    <w:rsid w:val="00FD0977"/>
    <w:rsid w:val="00FD0EC8"/>
    <w:rsid w:val="00FD3F0B"/>
    <w:rsid w:val="00FD471E"/>
    <w:rsid w:val="00FD57ED"/>
    <w:rsid w:val="00FE00E0"/>
    <w:rsid w:val="00FE1BB5"/>
    <w:rsid w:val="00FE2E50"/>
    <w:rsid w:val="00FE5EB7"/>
    <w:rsid w:val="00FE7808"/>
    <w:rsid w:val="00FF2F3E"/>
    <w:rsid w:val="00FF44B8"/>
    <w:rsid w:val="00FF47B1"/>
    <w:rsid w:val="00FF4C05"/>
    <w:rsid w:val="00FF4FFE"/>
    <w:rsid w:val="00FF69DB"/>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o:colormru v:ext="edit" colors="#5f5f5f,#f46f21,#ee1c23,#808285,#c9cacc,#ffc800"/>
    </o:shapedefaults>
    <o:shapelayout v:ext="edit">
      <o:idmap v:ext="edit" data="1"/>
    </o:shapelayout>
  </w:shapeDefaults>
  <w:decimalSymbol w:val="."/>
  <w:listSeparator w:val=","/>
  <w15:docId w15:val="{D3B3B4F8-C70C-41B9-929F-5A0323DA6B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Verdana" w:eastAsia="Times New Roman" w:hAnsi="Verdana" w:cs="Tahoma"/>
        <w:color w:val="000000"/>
        <w:sz w:val="18"/>
        <w:szCs w:val="18"/>
        <w:lang w:val="en-GB" w:eastAsia="en-GB" w:bidi="en-GB"/>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014EA"/>
    <w:pPr>
      <w:suppressAutoHyphens/>
      <w:spacing w:after="220"/>
    </w:pPr>
  </w:style>
  <w:style w:type="paragraph" w:styleId="Heading1">
    <w:name w:val="heading 1"/>
    <w:basedOn w:val="Normal"/>
    <w:next w:val="Indledning"/>
    <w:link w:val="Heading1Char"/>
    <w:qFormat/>
    <w:pPr>
      <w:keepNext/>
      <w:spacing w:after="440" w:line="480" w:lineRule="exact"/>
      <w:outlineLvl w:val="0"/>
    </w:pPr>
    <w:rPr>
      <w:color w:val="808080"/>
      <w:sz w:val="36"/>
      <w:szCs w:val="36"/>
    </w:rPr>
  </w:style>
  <w:style w:type="paragraph" w:styleId="Heading2">
    <w:name w:val="heading 2"/>
    <w:basedOn w:val="Normal"/>
    <w:next w:val="Normal"/>
    <w:link w:val="Heading2Char"/>
    <w:qFormat/>
    <w:pPr>
      <w:keepNext/>
      <w:spacing w:before="440"/>
      <w:outlineLvl w:val="1"/>
    </w:pPr>
    <w:rPr>
      <w:b/>
      <w:sz w:val="22"/>
      <w:szCs w:val="22"/>
    </w:rPr>
  </w:style>
  <w:style w:type="paragraph" w:styleId="Heading3">
    <w:name w:val="heading 3"/>
    <w:basedOn w:val="Normal"/>
    <w:next w:val="Normal"/>
    <w:qFormat/>
    <w:pPr>
      <w:keepNext/>
      <w:spacing w:after="0"/>
      <w:outlineLvl w:val="2"/>
    </w:pPr>
    <w:rPr>
      <w:b/>
    </w:rPr>
  </w:style>
  <w:style w:type="paragraph" w:styleId="Heading4">
    <w:name w:val="heading 4"/>
    <w:basedOn w:val="Normal"/>
    <w:next w:val="Normal"/>
    <w:qFormat/>
    <w:pPr>
      <w:spacing w:after="0"/>
      <w:outlineLvl w:val="3"/>
    </w:pPr>
    <w:rPr>
      <w:i/>
    </w:rPr>
  </w:style>
  <w:style w:type="paragraph" w:styleId="Heading5">
    <w:name w:val="heading 5"/>
    <w:basedOn w:val="Normal"/>
    <w:next w:val="Normal"/>
    <w:qFormat/>
    <w:pPr>
      <w:numPr>
        <w:ilvl w:val="4"/>
        <w:numId w:val="2"/>
      </w:numPr>
      <w:outlineLvl w:val="4"/>
    </w:pPr>
  </w:style>
  <w:style w:type="paragraph" w:styleId="Heading6">
    <w:name w:val="heading 6"/>
    <w:basedOn w:val="Heading5"/>
    <w:next w:val="Normal"/>
    <w:qFormat/>
    <w:pPr>
      <w:numPr>
        <w:ilvl w:val="5"/>
      </w:numPr>
      <w:outlineLvl w:val="5"/>
    </w:pPr>
  </w:style>
  <w:style w:type="paragraph" w:styleId="Heading7">
    <w:name w:val="heading 7"/>
    <w:basedOn w:val="Heading6"/>
    <w:next w:val="Normal"/>
    <w:qFormat/>
    <w:pPr>
      <w:numPr>
        <w:ilvl w:val="6"/>
      </w:numPr>
      <w:outlineLvl w:val="6"/>
    </w:pPr>
  </w:style>
  <w:style w:type="paragraph" w:styleId="Heading8">
    <w:name w:val="heading 8"/>
    <w:basedOn w:val="Heading7"/>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ndledning">
    <w:name w:val="Indledning"/>
    <w:basedOn w:val="Normal"/>
    <w:next w:val="Heading2"/>
    <w:pPr>
      <w:spacing w:after="440"/>
    </w:pPr>
    <w:rPr>
      <w:sz w:val="24"/>
    </w:rPr>
  </w:style>
  <w:style w:type="paragraph" w:customStyle="1" w:styleId="Rapportundertitel">
    <w:name w:val="Rapportundertitel"/>
    <w:basedOn w:val="Normal"/>
    <w:next w:val="Normal"/>
    <w:pPr>
      <w:spacing w:line="480" w:lineRule="exact"/>
    </w:pPr>
    <w:rPr>
      <w:sz w:val="40"/>
      <w:szCs w:val="40"/>
    </w:rPr>
  </w:style>
  <w:style w:type="paragraph" w:customStyle="1" w:styleId="Rapporttitel">
    <w:name w:val="Rapporttitel"/>
    <w:basedOn w:val="Normal"/>
    <w:next w:val="Rapportundertitel"/>
    <w:pPr>
      <w:spacing w:line="480" w:lineRule="exact"/>
    </w:pPr>
    <w:rPr>
      <w:b/>
      <w:sz w:val="40"/>
      <w:szCs w:val="40"/>
    </w:rPr>
  </w:style>
  <w:style w:type="paragraph" w:styleId="Header">
    <w:name w:val="header"/>
    <w:basedOn w:val="Normal"/>
    <w:link w:val="HeaderChar"/>
    <w:rsid w:val="00594B82"/>
    <w:pPr>
      <w:tabs>
        <w:tab w:val="center" w:pos="4819"/>
        <w:tab w:val="right" w:pos="9638"/>
      </w:tabs>
      <w:spacing w:after="0" w:line="240" w:lineRule="exact"/>
      <w:jc w:val="right"/>
    </w:pPr>
    <w:rPr>
      <w:i/>
      <w:sz w:val="12"/>
      <w:szCs w:val="12"/>
    </w:rPr>
  </w:style>
  <w:style w:type="paragraph" w:styleId="Footer">
    <w:name w:val="footer"/>
    <w:basedOn w:val="Normal"/>
    <w:link w:val="FooterChar"/>
    <w:uiPriority w:val="99"/>
    <w:pPr>
      <w:tabs>
        <w:tab w:val="center" w:pos="4819"/>
        <w:tab w:val="right" w:pos="9638"/>
      </w:tabs>
    </w:pPr>
  </w:style>
  <w:style w:type="character" w:styleId="PageNumber">
    <w:name w:val="page number"/>
    <w:basedOn w:val="DefaultParagraphFont"/>
  </w:style>
  <w:style w:type="paragraph" w:styleId="TOC1">
    <w:name w:val="toc 1"/>
    <w:basedOn w:val="Normal"/>
    <w:next w:val="Normal"/>
    <w:uiPriority w:val="39"/>
    <w:rsid w:val="006014EA"/>
    <w:pPr>
      <w:tabs>
        <w:tab w:val="right" w:pos="7371"/>
      </w:tabs>
      <w:spacing w:before="220" w:after="40"/>
      <w:ind w:right="851"/>
    </w:pPr>
    <w:rPr>
      <w:b/>
      <w:sz w:val="14"/>
    </w:rPr>
  </w:style>
  <w:style w:type="paragraph" w:styleId="TOC2">
    <w:name w:val="toc 2"/>
    <w:basedOn w:val="Normal"/>
    <w:next w:val="Normal"/>
    <w:uiPriority w:val="39"/>
    <w:rsid w:val="006014EA"/>
    <w:pPr>
      <w:tabs>
        <w:tab w:val="right" w:pos="7371"/>
      </w:tabs>
      <w:spacing w:after="0"/>
      <w:ind w:right="851"/>
      <w:outlineLvl w:val="1"/>
    </w:pPr>
    <w:rPr>
      <w:sz w:val="14"/>
    </w:rPr>
  </w:style>
  <w:style w:type="paragraph" w:customStyle="1" w:styleId="TypografiIndholdsfortegnelse2Venstre286cmHngende141cm">
    <w:name w:val="Typografi Indholdsfortegnelse 2 + Venstre:  286 cm Hængende:  141 cm"/>
    <w:basedOn w:val="TOC2"/>
    <w:pPr>
      <w:numPr>
        <w:numId w:val="1"/>
      </w:numPr>
      <w:tabs>
        <w:tab w:val="clear" w:pos="1985"/>
        <w:tab w:val="left" w:pos="2410"/>
        <w:tab w:val="right" w:pos="7655"/>
      </w:tabs>
      <w:ind w:left="2438" w:hanging="879"/>
    </w:pPr>
  </w:style>
  <w:style w:type="paragraph" w:styleId="TOC3">
    <w:name w:val="toc 3"/>
    <w:basedOn w:val="Normal"/>
    <w:next w:val="Normal"/>
    <w:uiPriority w:val="39"/>
    <w:rsid w:val="00583D9A"/>
    <w:pPr>
      <w:tabs>
        <w:tab w:val="right" w:pos="7371"/>
      </w:tabs>
      <w:spacing w:before="220" w:after="40"/>
      <w:ind w:right="851"/>
    </w:pPr>
    <w:rPr>
      <w:b/>
    </w:rPr>
  </w:style>
  <w:style w:type="paragraph" w:customStyle="1" w:styleId="Bullets">
    <w:name w:val="Bullets"/>
    <w:basedOn w:val="Normal"/>
    <w:rsid w:val="0045578C"/>
    <w:pPr>
      <w:numPr>
        <w:numId w:val="5"/>
      </w:numPr>
      <w:tabs>
        <w:tab w:val="clear" w:pos="284"/>
        <w:tab w:val="left" w:pos="425"/>
      </w:tabs>
      <w:spacing w:after="0" w:line="240" w:lineRule="exact"/>
      <w:ind w:left="425" w:hanging="425"/>
    </w:pPr>
  </w:style>
  <w:style w:type="paragraph" w:customStyle="1" w:styleId="Forord">
    <w:name w:val="Forord"/>
    <w:basedOn w:val="Normal"/>
  </w:style>
  <w:style w:type="paragraph" w:customStyle="1" w:styleId="Billedetitel">
    <w:name w:val="Billedetitel"/>
    <w:basedOn w:val="Normal"/>
    <w:link w:val="BilledetitelTegn"/>
    <w:rsid w:val="009473C8"/>
    <w:pPr>
      <w:keepNext/>
      <w:keepLines/>
      <w:numPr>
        <w:numId w:val="4"/>
      </w:numPr>
      <w:spacing w:after="180" w:line="240" w:lineRule="exact"/>
    </w:pPr>
    <w:rPr>
      <w:i/>
      <w:iCs/>
      <w:sz w:val="16"/>
    </w:rPr>
  </w:style>
  <w:style w:type="paragraph" w:customStyle="1" w:styleId="Billedetekst">
    <w:name w:val="Billedetekst"/>
    <w:basedOn w:val="Normal"/>
    <w:link w:val="BilledetekstTegn"/>
    <w:pPr>
      <w:spacing w:after="0" w:line="240" w:lineRule="exact"/>
    </w:pPr>
    <w:rPr>
      <w:i/>
      <w:iCs/>
      <w:sz w:val="14"/>
    </w:rPr>
  </w:style>
  <w:style w:type="paragraph" w:customStyle="1" w:styleId="Tabeltitel">
    <w:name w:val="Tabeltitel"/>
    <w:basedOn w:val="Normal"/>
    <w:rsid w:val="000F1955"/>
    <w:pPr>
      <w:keepNext/>
      <w:keepLines/>
      <w:numPr>
        <w:numId w:val="3"/>
      </w:numPr>
      <w:tabs>
        <w:tab w:val="clear" w:pos="709"/>
        <w:tab w:val="left" w:pos="851"/>
      </w:tabs>
      <w:spacing w:after="180"/>
      <w:ind w:left="851" w:hanging="851"/>
    </w:pPr>
    <w:rPr>
      <w:i/>
      <w:iCs/>
      <w:noProof/>
      <w:sz w:val="16"/>
      <w:szCs w:val="14"/>
    </w:rPr>
  </w:style>
  <w:style w:type="paragraph" w:customStyle="1" w:styleId="Tabeltekst">
    <w:name w:val="Tabeltekst"/>
    <w:basedOn w:val="Normal"/>
    <w:next w:val="Normal"/>
    <w:link w:val="TabeltekstTegn"/>
    <w:rsid w:val="008C4937"/>
    <w:pPr>
      <w:spacing w:after="0"/>
    </w:pPr>
    <w:rPr>
      <w:iCs/>
      <w:sz w:val="14"/>
      <w:szCs w:val="22"/>
    </w:rPr>
  </w:style>
  <w:style w:type="paragraph" w:customStyle="1" w:styleId="Grafiktitel">
    <w:name w:val="Grafiktitel"/>
    <w:basedOn w:val="Billedetitel"/>
  </w:style>
  <w:style w:type="paragraph" w:customStyle="1" w:styleId="Grafiktekst">
    <w:name w:val="Grafiktekst"/>
    <w:basedOn w:val="Billedetekst"/>
  </w:style>
  <w:style w:type="paragraph" w:customStyle="1" w:styleId="Bilag">
    <w:name w:val="Bilag"/>
    <w:basedOn w:val="Normal"/>
    <w:pPr>
      <w:spacing w:after="480" w:line="480" w:lineRule="exact"/>
    </w:pPr>
    <w:rPr>
      <w:color w:val="C0C0C0"/>
      <w:sz w:val="36"/>
      <w:szCs w:val="36"/>
    </w:rPr>
  </w:style>
  <w:style w:type="paragraph" w:customStyle="1" w:styleId="BilagOverskrift1">
    <w:name w:val="BilagOverskrift1"/>
    <w:basedOn w:val="Heading1"/>
    <w:next w:val="BilagIndledning"/>
  </w:style>
  <w:style w:type="paragraph" w:customStyle="1" w:styleId="BilagIndledning">
    <w:name w:val="BilagIndledning"/>
    <w:basedOn w:val="Indledning"/>
    <w:next w:val="BilagOverskrift2"/>
  </w:style>
  <w:style w:type="paragraph" w:customStyle="1" w:styleId="BilagOverskrift2">
    <w:name w:val="BilagOverskrift2"/>
    <w:basedOn w:val="Heading2"/>
    <w:next w:val="Normal"/>
    <w:link w:val="BilagOverskrift2Tegn"/>
  </w:style>
  <w:style w:type="paragraph" w:styleId="TOC4">
    <w:name w:val="toc 4"/>
    <w:basedOn w:val="Normal"/>
    <w:next w:val="Normal"/>
    <w:semiHidden/>
    <w:rsid w:val="00583D9A"/>
    <w:pPr>
      <w:tabs>
        <w:tab w:val="right" w:pos="10206"/>
      </w:tabs>
      <w:spacing w:after="0"/>
    </w:pPr>
  </w:style>
  <w:style w:type="character" w:styleId="Hyperlink">
    <w:name w:val="Hyperlink"/>
    <w:uiPriority w:val="99"/>
    <w:rPr>
      <w:color w:val="0000FF"/>
      <w:u w:val="single"/>
    </w:rPr>
  </w:style>
  <w:style w:type="paragraph" w:styleId="FootnoteText">
    <w:name w:val="footnote text"/>
    <w:basedOn w:val="Normal"/>
    <w:link w:val="FootnoteTextChar"/>
    <w:uiPriority w:val="99"/>
    <w:semiHidden/>
    <w:rPr>
      <w:sz w:val="14"/>
    </w:rPr>
  </w:style>
  <w:style w:type="character" w:styleId="FootnoteReference">
    <w:name w:val="footnote reference"/>
    <w:uiPriority w:val="99"/>
    <w:semiHidden/>
    <w:rPr>
      <w:vertAlign w:val="superscript"/>
    </w:rPr>
  </w:style>
  <w:style w:type="paragraph" w:customStyle="1" w:styleId="ListeOverskrift1">
    <w:name w:val="ListeOverskrift1"/>
    <w:basedOn w:val="BilagOverskrift1"/>
    <w:next w:val="Normal"/>
  </w:style>
  <w:style w:type="paragraph" w:styleId="TOC5">
    <w:name w:val="toc 5"/>
    <w:basedOn w:val="TOC3"/>
    <w:next w:val="Normal"/>
    <w:semiHidden/>
  </w:style>
  <w:style w:type="paragraph" w:customStyle="1" w:styleId="TSOverskrift1">
    <w:name w:val="TS Overskrift 1"/>
    <w:basedOn w:val="Heading1"/>
    <w:next w:val="Indledning"/>
    <w:rsid w:val="006C09E1"/>
  </w:style>
  <w:style w:type="paragraph" w:customStyle="1" w:styleId="Resume">
    <w:name w:val="Resume"/>
    <w:basedOn w:val="Indledning"/>
    <w:rsid w:val="00364B21"/>
    <w:pPr>
      <w:spacing w:after="0"/>
    </w:pPr>
  </w:style>
  <w:style w:type="paragraph" w:customStyle="1" w:styleId="TSOverskrift2">
    <w:name w:val="TS Overskrift 2"/>
    <w:basedOn w:val="Heading2"/>
    <w:next w:val="Normal"/>
    <w:link w:val="TSOverskrift2Tegn"/>
    <w:rsid w:val="00260CD7"/>
  </w:style>
  <w:style w:type="paragraph" w:customStyle="1" w:styleId="TSOverskrift3">
    <w:name w:val="TS Overskrift 3"/>
    <w:basedOn w:val="Heading3"/>
    <w:next w:val="Normal"/>
    <w:link w:val="TSOverskrift3Tegn"/>
    <w:rsid w:val="00260CD7"/>
  </w:style>
  <w:style w:type="paragraph" w:customStyle="1" w:styleId="TSOverskrift4">
    <w:name w:val="TS Overskrift 4"/>
    <w:basedOn w:val="Heading4"/>
    <w:next w:val="Normal"/>
    <w:rsid w:val="00260CD7"/>
  </w:style>
  <w:style w:type="paragraph" w:customStyle="1" w:styleId="Spottekst">
    <w:name w:val="Spottekst"/>
    <w:basedOn w:val="Indledning"/>
    <w:rsid w:val="00BC2AD0"/>
    <w:pPr>
      <w:spacing w:after="220"/>
    </w:pPr>
  </w:style>
  <w:style w:type="paragraph" w:customStyle="1" w:styleId="Orange">
    <w:name w:val="Orange"/>
    <w:rsid w:val="006838F0"/>
    <w:pPr>
      <w:spacing w:after="220"/>
    </w:pPr>
  </w:style>
  <w:style w:type="paragraph" w:customStyle="1" w:styleId="Tabelbeskrivelse">
    <w:name w:val="Tabelbeskrivelse"/>
    <w:basedOn w:val="Normal"/>
    <w:rsid w:val="007B22FD"/>
    <w:pPr>
      <w:spacing w:before="140"/>
    </w:pPr>
    <w:rPr>
      <w:i/>
      <w:sz w:val="14"/>
    </w:rPr>
  </w:style>
  <w:style w:type="paragraph" w:customStyle="1" w:styleId="FigureText">
    <w:name w:val="FigureText"/>
    <w:basedOn w:val="Normal"/>
    <w:rsid w:val="008C4937"/>
    <w:pPr>
      <w:pBdr>
        <w:top w:val="single" w:sz="4" w:space="1" w:color="auto"/>
      </w:pBdr>
      <w:spacing w:after="200"/>
    </w:pPr>
    <w:rPr>
      <w:rFonts w:ascii="Palatino Linotype" w:hAnsi="Palatino Linotype"/>
      <w:i/>
      <w:noProof/>
    </w:rPr>
  </w:style>
  <w:style w:type="paragraph" w:customStyle="1" w:styleId="FigureTitle">
    <w:name w:val="FigureTitle"/>
    <w:basedOn w:val="Normal"/>
    <w:rsid w:val="008C4937"/>
    <w:pPr>
      <w:keepNext/>
      <w:keepLines/>
      <w:spacing w:after="200"/>
      <w:ind w:left="1134" w:hanging="1134"/>
    </w:pPr>
    <w:rPr>
      <w:i/>
      <w:sz w:val="16"/>
      <w:szCs w:val="16"/>
    </w:rPr>
  </w:style>
  <w:style w:type="paragraph" w:customStyle="1" w:styleId="Figurtekst">
    <w:name w:val="Figurtekst"/>
    <w:next w:val="Normal"/>
    <w:rsid w:val="008C4937"/>
    <w:pPr>
      <w:keepNext/>
      <w:keepLines/>
      <w:spacing w:before="140" w:after="200"/>
      <w:ind w:left="-113"/>
    </w:pPr>
    <w:rPr>
      <w:i/>
      <w:iCs/>
      <w:sz w:val="14"/>
    </w:rPr>
  </w:style>
  <w:style w:type="paragraph" w:customStyle="1" w:styleId="Figur">
    <w:name w:val="Figur"/>
    <w:rsid w:val="008C4937"/>
    <w:pPr>
      <w:jc w:val="center"/>
    </w:pPr>
    <w:rPr>
      <w:i/>
      <w:iCs/>
      <w:sz w:val="2"/>
      <w:szCs w:val="2"/>
    </w:rPr>
  </w:style>
  <w:style w:type="table" w:styleId="TableGrid">
    <w:name w:val="Table Grid"/>
    <w:basedOn w:val="TableNormal"/>
    <w:uiPriority w:val="59"/>
    <w:rsid w:val="008C49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unktListe">
    <w:name w:val="PunktListe"/>
    <w:basedOn w:val="Normal"/>
    <w:rsid w:val="003E0041"/>
    <w:pPr>
      <w:spacing w:after="0" w:line="280" w:lineRule="atLeast"/>
    </w:pPr>
    <w:rPr>
      <w:sz w:val="20"/>
    </w:rPr>
  </w:style>
  <w:style w:type="paragraph" w:styleId="ListParagraph">
    <w:name w:val="List Paragraph"/>
    <w:basedOn w:val="Normal"/>
    <w:uiPriority w:val="34"/>
    <w:qFormat/>
    <w:rsid w:val="003E0041"/>
    <w:pPr>
      <w:spacing w:after="140" w:line="280" w:lineRule="atLeast"/>
      <w:ind w:left="720"/>
      <w:contextualSpacing/>
    </w:pPr>
    <w:rPr>
      <w:sz w:val="20"/>
    </w:rPr>
  </w:style>
  <w:style w:type="character" w:customStyle="1" w:styleId="FootnoteTextChar">
    <w:name w:val="Footnote Text Char"/>
    <w:link w:val="FootnoteText"/>
    <w:uiPriority w:val="99"/>
    <w:semiHidden/>
    <w:rsid w:val="003E0041"/>
    <w:rPr>
      <w:rFonts w:ascii="Verdana" w:hAnsi="Verdana"/>
      <w:sz w:val="14"/>
    </w:rPr>
  </w:style>
  <w:style w:type="paragraph" w:styleId="BalloonText">
    <w:name w:val="Balloon Text"/>
    <w:basedOn w:val="Normal"/>
    <w:link w:val="BalloonTextChar"/>
    <w:uiPriority w:val="99"/>
    <w:semiHidden/>
    <w:unhideWhenUsed/>
    <w:rsid w:val="003E0041"/>
    <w:pPr>
      <w:spacing w:after="0"/>
    </w:pPr>
    <w:rPr>
      <w:rFonts w:ascii="Tahoma" w:hAnsi="Tahoma"/>
      <w:sz w:val="16"/>
      <w:szCs w:val="16"/>
    </w:rPr>
  </w:style>
  <w:style w:type="character" w:customStyle="1" w:styleId="BalloonTextChar">
    <w:name w:val="Balloon Text Char"/>
    <w:basedOn w:val="DefaultParagraphFont"/>
    <w:link w:val="BalloonText"/>
    <w:uiPriority w:val="99"/>
    <w:semiHidden/>
    <w:rsid w:val="003E0041"/>
    <w:rPr>
      <w:rFonts w:ascii="Tahoma" w:hAnsi="Tahoma" w:cs="Tahoma"/>
      <w:sz w:val="16"/>
      <w:szCs w:val="16"/>
    </w:rPr>
  </w:style>
  <w:style w:type="paragraph" w:customStyle="1" w:styleId="Titeloverskrift">
    <w:name w:val="Titeloverskrift"/>
    <w:basedOn w:val="Heading1"/>
    <w:next w:val="Normal"/>
    <w:rsid w:val="00A45CD2"/>
    <w:pPr>
      <w:spacing w:before="280" w:after="140" w:line="280" w:lineRule="atLeast"/>
      <w:outlineLvl w:val="9"/>
    </w:pPr>
    <w:rPr>
      <w:rFonts w:cs="Arial"/>
      <w:b/>
      <w:bCs/>
      <w:color w:val="auto"/>
      <w:sz w:val="22"/>
      <w:szCs w:val="22"/>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sid w:val="00A45CD2"/>
    <w:rPr>
      <w:rFonts w:ascii="Verdana" w:hAnsi="Verdana"/>
      <w:lang w:eastAsia="en-GB"/>
    </w:rPr>
  </w:style>
  <w:style w:type="paragraph" w:styleId="CommentSubject">
    <w:name w:val="annotation subject"/>
    <w:basedOn w:val="CommentText"/>
    <w:next w:val="CommentText"/>
    <w:link w:val="CommentSubjectChar"/>
    <w:uiPriority w:val="99"/>
    <w:semiHidden/>
    <w:unhideWhenUsed/>
    <w:rsid w:val="007D4FF2"/>
    <w:rPr>
      <w:b/>
      <w:bCs/>
    </w:rPr>
  </w:style>
  <w:style w:type="character" w:customStyle="1" w:styleId="CommentSubjectChar">
    <w:name w:val="Comment Subject Char"/>
    <w:basedOn w:val="CommentTextChar"/>
    <w:link w:val="CommentSubject"/>
    <w:uiPriority w:val="99"/>
    <w:semiHidden/>
    <w:rsid w:val="007D4FF2"/>
    <w:rPr>
      <w:rFonts w:ascii="Verdana" w:hAnsi="Verdana"/>
      <w:b/>
      <w:bCs/>
      <w:lang w:eastAsia="en-GB"/>
    </w:rPr>
  </w:style>
  <w:style w:type="paragraph" w:styleId="Caption">
    <w:name w:val="caption"/>
    <w:basedOn w:val="Normal"/>
    <w:next w:val="Normal"/>
    <w:uiPriority w:val="35"/>
    <w:unhideWhenUsed/>
    <w:qFormat/>
    <w:rsid w:val="00C8237F"/>
    <w:pPr>
      <w:spacing w:after="200"/>
    </w:pPr>
    <w:rPr>
      <w:b/>
      <w:bCs/>
      <w:color w:val="4F81BD" w:themeColor="accent1"/>
    </w:rPr>
  </w:style>
  <w:style w:type="character" w:customStyle="1" w:styleId="TSOverskrift3Tegn">
    <w:name w:val="TS Overskrift 3 Tegn"/>
    <w:link w:val="TSOverskrift3"/>
    <w:rsid w:val="009956E9"/>
    <w:rPr>
      <w:rFonts w:ascii="Verdana" w:hAnsi="Verdana"/>
      <w:b/>
      <w:sz w:val="18"/>
    </w:rPr>
  </w:style>
  <w:style w:type="character" w:customStyle="1" w:styleId="TSOverskrift2Tegn">
    <w:name w:val="TS Overskrift 2 Tegn"/>
    <w:basedOn w:val="DefaultParagraphFont"/>
    <w:link w:val="TSOverskrift2"/>
    <w:rsid w:val="009956E9"/>
    <w:rPr>
      <w:rFonts w:ascii="Verdana" w:hAnsi="Verdana"/>
      <w:b/>
      <w:sz w:val="22"/>
      <w:szCs w:val="22"/>
    </w:rPr>
  </w:style>
  <w:style w:type="character" w:customStyle="1" w:styleId="BilledetitelTegn">
    <w:name w:val="Billedetitel Tegn"/>
    <w:link w:val="Billedetitel"/>
    <w:rsid w:val="009956E9"/>
    <w:rPr>
      <w:rFonts w:ascii="Verdana" w:hAnsi="Verdana"/>
      <w:i/>
      <w:iCs/>
      <w:sz w:val="16"/>
    </w:rPr>
  </w:style>
  <w:style w:type="character" w:customStyle="1" w:styleId="BilledetekstTegn">
    <w:name w:val="Billedetekst Tegn"/>
    <w:link w:val="Billedetekst"/>
    <w:rsid w:val="009956E9"/>
    <w:rPr>
      <w:rFonts w:ascii="Verdana" w:hAnsi="Verdana"/>
      <w:i/>
      <w:iCs/>
      <w:sz w:val="14"/>
    </w:rPr>
  </w:style>
  <w:style w:type="paragraph" w:customStyle="1" w:styleId="liste1">
    <w:name w:val="liste1"/>
    <w:basedOn w:val="Normal"/>
    <w:rsid w:val="002C370B"/>
    <w:pPr>
      <w:spacing w:after="0"/>
      <w:ind w:left="280"/>
    </w:pPr>
    <w:rPr>
      <w:rFonts w:ascii="Tahoma" w:hAnsi="Tahoma"/>
      <w:sz w:val="24"/>
      <w:szCs w:val="24"/>
    </w:rPr>
  </w:style>
  <w:style w:type="paragraph" w:styleId="TOCHeading">
    <w:name w:val="TOC Heading"/>
    <w:basedOn w:val="Heading1"/>
    <w:next w:val="Normal"/>
    <w:uiPriority w:val="39"/>
    <w:unhideWhenUsed/>
    <w:qFormat/>
    <w:rsid w:val="003A6AE4"/>
    <w:pPr>
      <w:keepLines/>
      <w:spacing w:before="480" w:after="0" w:line="276" w:lineRule="auto"/>
      <w:outlineLvl w:val="9"/>
    </w:pPr>
    <w:rPr>
      <w:rFonts w:asciiTheme="majorHAnsi" w:eastAsiaTheme="majorEastAsia" w:hAnsiTheme="majorHAnsi" w:cstheme="majorBidi"/>
      <w:b/>
      <w:bCs/>
      <w:color w:val="365F91" w:themeColor="accent1" w:themeShade="BF"/>
      <w:sz w:val="28"/>
      <w:szCs w:val="28"/>
    </w:rPr>
  </w:style>
  <w:style w:type="table" w:styleId="LightShading-Accent1">
    <w:name w:val="Light Shading Accent 1"/>
    <w:basedOn w:val="TableNormal"/>
    <w:uiPriority w:val="60"/>
    <w:rsid w:val="00D226C6"/>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styleId="NormalWeb">
    <w:name w:val="Normal (Web)"/>
    <w:basedOn w:val="Normal"/>
    <w:uiPriority w:val="99"/>
    <w:semiHidden/>
    <w:unhideWhenUsed/>
    <w:rsid w:val="000824F3"/>
    <w:pPr>
      <w:spacing w:before="100" w:beforeAutospacing="1" w:after="100" w:afterAutospacing="1"/>
    </w:pPr>
    <w:rPr>
      <w:rFonts w:ascii="Times New Roman" w:hAnsi="Times New Roman"/>
      <w:sz w:val="24"/>
      <w:szCs w:val="24"/>
    </w:rPr>
  </w:style>
  <w:style w:type="character" w:customStyle="1" w:styleId="BilagOverskrift2Tegn">
    <w:name w:val="BilagOverskrift2 Tegn"/>
    <w:link w:val="BilagOverskrift2"/>
    <w:locked/>
    <w:rsid w:val="00474822"/>
    <w:rPr>
      <w:rFonts w:ascii="Verdana" w:hAnsi="Verdana"/>
      <w:b/>
      <w:sz w:val="22"/>
      <w:szCs w:val="22"/>
    </w:rPr>
  </w:style>
  <w:style w:type="character" w:customStyle="1" w:styleId="TabeltekstTegn">
    <w:name w:val="Tabeltekst Tegn"/>
    <w:link w:val="Tabeltekst"/>
    <w:rsid w:val="00474822"/>
    <w:rPr>
      <w:rFonts w:ascii="Verdana" w:hAnsi="Verdana"/>
      <w:iCs/>
      <w:sz w:val="14"/>
      <w:szCs w:val="22"/>
    </w:rPr>
  </w:style>
  <w:style w:type="character" w:customStyle="1" w:styleId="Overskrift3Tegn">
    <w:name w:val="Overskrift 3 Tegn"/>
    <w:rsid w:val="00474822"/>
    <w:rPr>
      <w:rFonts w:ascii="Verdana" w:hAnsi="Verdana" w:cs="Times New Roman"/>
      <w:b/>
      <w:sz w:val="18"/>
      <w:lang w:val="en-GB" w:eastAsia="en-GB" w:bidi="en-GB"/>
    </w:rPr>
  </w:style>
  <w:style w:type="paragraph" w:customStyle="1" w:styleId="Default">
    <w:name w:val="Default"/>
    <w:rsid w:val="00CE0128"/>
    <w:pPr>
      <w:autoSpaceDE w:val="0"/>
      <w:autoSpaceDN w:val="0"/>
      <w:adjustRightInd w:val="0"/>
    </w:pPr>
    <w:rPr>
      <w:rFonts w:cs="Verdana"/>
      <w:sz w:val="24"/>
      <w:szCs w:val="24"/>
    </w:rPr>
  </w:style>
  <w:style w:type="character" w:customStyle="1" w:styleId="Heading1Char">
    <w:name w:val="Heading 1 Char"/>
    <w:basedOn w:val="DefaultParagraphFont"/>
    <w:link w:val="Heading1"/>
    <w:rsid w:val="00AF4E56"/>
    <w:rPr>
      <w:rFonts w:ascii="Verdana" w:hAnsi="Verdana"/>
      <w:color w:val="808080"/>
      <w:sz w:val="36"/>
      <w:szCs w:val="36"/>
    </w:rPr>
  </w:style>
  <w:style w:type="character" w:customStyle="1" w:styleId="HeaderChar">
    <w:name w:val="Header Char"/>
    <w:basedOn w:val="DefaultParagraphFont"/>
    <w:link w:val="Header"/>
    <w:rsid w:val="00594B82"/>
    <w:rPr>
      <w:rFonts w:ascii="Verdana" w:hAnsi="Verdana"/>
      <w:i/>
      <w:sz w:val="12"/>
      <w:szCs w:val="12"/>
    </w:rPr>
  </w:style>
  <w:style w:type="character" w:customStyle="1" w:styleId="FooterChar">
    <w:name w:val="Footer Char"/>
    <w:basedOn w:val="DefaultParagraphFont"/>
    <w:link w:val="Footer"/>
    <w:uiPriority w:val="99"/>
    <w:rsid w:val="007977A6"/>
    <w:rPr>
      <w:rFonts w:ascii="Verdana" w:hAnsi="Verdana"/>
      <w:sz w:val="18"/>
    </w:rPr>
  </w:style>
  <w:style w:type="character" w:customStyle="1" w:styleId="Heading2Char">
    <w:name w:val="Heading 2 Char"/>
    <w:basedOn w:val="DefaultParagraphFont"/>
    <w:link w:val="Heading2"/>
    <w:rsid w:val="00176CA9"/>
    <w:rPr>
      <w:rFonts w:ascii="Verdana" w:hAnsi="Verdana"/>
      <w:b/>
      <w:sz w:val="22"/>
      <w:szCs w:val="22"/>
    </w:rPr>
  </w:style>
  <w:style w:type="table" w:styleId="LightShading">
    <w:name w:val="Light Shading"/>
    <w:basedOn w:val="TableNormal"/>
    <w:uiPriority w:val="60"/>
    <w:rsid w:val="00017959"/>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DoNotTranslateExternal1">
    <w:name w:val="DoNotTranslateExternal1"/>
    <w:basedOn w:val="Normal"/>
    <w:qFormat/>
    <w:rsid w:val="00910579"/>
    <w:pPr>
      <w:spacing w:after="0"/>
    </w:pPr>
    <w:rPr>
      <w:sz w:val="16"/>
    </w:rPr>
  </w:style>
  <w:style w:type="paragraph" w:customStyle="1" w:styleId="DoNotTranslateExternal2">
    <w:name w:val="DoNotTranslateExternal2"/>
    <w:basedOn w:val="Normal"/>
    <w:qFormat/>
    <w:rsid w:val="00B824CC"/>
    <w:pPr>
      <w:spacing w:after="0"/>
    </w:pPr>
    <w:rPr>
      <w:rFonts w:ascii="Arial" w:hAnsi="Arial" w:cs="Arial"/>
    </w:rPr>
  </w:style>
  <w:style w:type="paragraph" w:customStyle="1" w:styleId="DoNotTranslateExternal3">
    <w:name w:val="DoNotTranslateExternal3"/>
    <w:basedOn w:val="Normal"/>
    <w:qFormat/>
    <w:rsid w:val="00B824CC"/>
    <w:pPr>
      <w:spacing w:after="0"/>
    </w:pPr>
    <w:rPr>
      <w:rFonts w:ascii="Arial" w:hAnsi="Arial" w:cs="Arial"/>
      <w:color w:val="808080"/>
    </w:rPr>
  </w:style>
  <w:style w:type="paragraph" w:customStyle="1" w:styleId="StyleDefault9ptAfter11pt">
    <w:name w:val="Style Default + 9 pt After:  11 pt"/>
    <w:basedOn w:val="Default"/>
    <w:rsid w:val="006C1B57"/>
    <w:pPr>
      <w:suppressAutoHyphens/>
      <w:spacing w:after="220"/>
    </w:pPr>
    <w:rPr>
      <w:rFonts w:cs="Times New Roman"/>
      <w:sz w:val="18"/>
      <w:szCs w:val="20"/>
    </w:rPr>
  </w:style>
  <w:style w:type="paragraph" w:customStyle="1" w:styleId="DoNotTranslateInternal1">
    <w:name w:val="DoNotTranslateInternal1"/>
    <w:basedOn w:val="Tabeltekst"/>
    <w:qFormat/>
    <w:rsid w:val="00042526"/>
    <w:pPr>
      <w:spacing w:line="276" w:lineRule="auto"/>
    </w:pPr>
  </w:style>
  <w:style w:type="paragraph" w:customStyle="1" w:styleId="DoNotTranslateInternal2">
    <w:name w:val="DoNotTranslateInternal2"/>
    <w:basedOn w:val="Normal"/>
    <w:qFormat/>
    <w:rsid w:val="00042526"/>
    <w:pPr>
      <w:jc w:val="center"/>
    </w:pPr>
    <w:rPr>
      <w:rFonts w:ascii="Arial" w:hAnsi="Arial" w:cs="Arial"/>
      <w:sz w:val="16"/>
      <w:szCs w:val="16"/>
    </w:rPr>
  </w:style>
  <w:style w:type="paragraph" w:customStyle="1" w:styleId="DoNotTranslateInternal3">
    <w:name w:val="DoNotTranslateInternal3"/>
    <w:basedOn w:val="Normal"/>
    <w:qFormat/>
    <w:rsid w:val="001D1164"/>
    <w:pPr>
      <w:spacing w:before="120" w:after="120"/>
      <w:jc w:val="center"/>
    </w:pPr>
    <w:rPr>
      <w:color w:val="000000" w:themeColor="text1" w:themeShade="BF"/>
      <w:sz w:val="17"/>
      <w:szCs w:val="1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96857812">
      <w:bodyDiv w:val="1"/>
      <w:marLeft w:val="0"/>
      <w:marRight w:val="0"/>
      <w:marTop w:val="0"/>
      <w:marBottom w:val="0"/>
      <w:divBdr>
        <w:top w:val="none" w:sz="0" w:space="0" w:color="auto"/>
        <w:left w:val="none" w:sz="0" w:space="0" w:color="auto"/>
        <w:bottom w:val="none" w:sz="0" w:space="0" w:color="auto"/>
        <w:right w:val="none" w:sz="0" w:space="0" w:color="auto"/>
      </w:divBdr>
    </w:div>
    <w:div w:id="754787711">
      <w:bodyDiv w:val="1"/>
      <w:marLeft w:val="0"/>
      <w:marRight w:val="0"/>
      <w:marTop w:val="0"/>
      <w:marBottom w:val="0"/>
      <w:divBdr>
        <w:top w:val="none" w:sz="0" w:space="0" w:color="auto"/>
        <w:left w:val="none" w:sz="0" w:space="0" w:color="auto"/>
        <w:bottom w:val="none" w:sz="0" w:space="0" w:color="auto"/>
        <w:right w:val="none" w:sz="0" w:space="0" w:color="auto"/>
      </w:divBdr>
    </w:div>
    <w:div w:id="913508193">
      <w:bodyDiv w:val="1"/>
      <w:marLeft w:val="0"/>
      <w:marRight w:val="0"/>
      <w:marTop w:val="0"/>
      <w:marBottom w:val="0"/>
      <w:divBdr>
        <w:top w:val="none" w:sz="0" w:space="0" w:color="auto"/>
        <w:left w:val="none" w:sz="0" w:space="0" w:color="auto"/>
        <w:bottom w:val="none" w:sz="0" w:space="0" w:color="auto"/>
        <w:right w:val="none" w:sz="0" w:space="0" w:color="auto"/>
      </w:divBdr>
    </w:div>
    <w:div w:id="945962904">
      <w:bodyDiv w:val="1"/>
      <w:marLeft w:val="0"/>
      <w:marRight w:val="0"/>
      <w:marTop w:val="0"/>
      <w:marBottom w:val="0"/>
      <w:divBdr>
        <w:top w:val="none" w:sz="0" w:space="0" w:color="auto"/>
        <w:left w:val="none" w:sz="0" w:space="0" w:color="auto"/>
        <w:bottom w:val="none" w:sz="0" w:space="0" w:color="auto"/>
        <w:right w:val="none" w:sz="0" w:space="0" w:color="auto"/>
      </w:divBdr>
    </w:div>
    <w:div w:id="1009914365">
      <w:bodyDiv w:val="1"/>
      <w:marLeft w:val="0"/>
      <w:marRight w:val="0"/>
      <w:marTop w:val="0"/>
      <w:marBottom w:val="0"/>
      <w:divBdr>
        <w:top w:val="none" w:sz="0" w:space="0" w:color="auto"/>
        <w:left w:val="none" w:sz="0" w:space="0" w:color="auto"/>
        <w:bottom w:val="none" w:sz="0" w:space="0" w:color="auto"/>
        <w:right w:val="none" w:sz="0" w:space="0" w:color="auto"/>
      </w:divBdr>
    </w:div>
    <w:div w:id="1068384754">
      <w:bodyDiv w:val="1"/>
      <w:marLeft w:val="0"/>
      <w:marRight w:val="0"/>
      <w:marTop w:val="0"/>
      <w:marBottom w:val="0"/>
      <w:divBdr>
        <w:top w:val="none" w:sz="0" w:space="0" w:color="auto"/>
        <w:left w:val="none" w:sz="0" w:space="0" w:color="auto"/>
        <w:bottom w:val="none" w:sz="0" w:space="0" w:color="auto"/>
        <w:right w:val="none" w:sz="0" w:space="0" w:color="auto"/>
      </w:divBdr>
    </w:div>
    <w:div w:id="1213736641">
      <w:bodyDiv w:val="1"/>
      <w:marLeft w:val="0"/>
      <w:marRight w:val="0"/>
      <w:marTop w:val="0"/>
      <w:marBottom w:val="0"/>
      <w:divBdr>
        <w:top w:val="none" w:sz="0" w:space="0" w:color="auto"/>
        <w:left w:val="none" w:sz="0" w:space="0" w:color="auto"/>
        <w:bottom w:val="none" w:sz="0" w:space="0" w:color="auto"/>
        <w:right w:val="none" w:sz="0" w:space="0" w:color="auto"/>
      </w:divBdr>
    </w:div>
    <w:div w:id="1321807767">
      <w:bodyDiv w:val="1"/>
      <w:marLeft w:val="0"/>
      <w:marRight w:val="0"/>
      <w:marTop w:val="0"/>
      <w:marBottom w:val="0"/>
      <w:divBdr>
        <w:top w:val="none" w:sz="0" w:space="0" w:color="auto"/>
        <w:left w:val="none" w:sz="0" w:space="0" w:color="auto"/>
        <w:bottom w:val="none" w:sz="0" w:space="0" w:color="auto"/>
        <w:right w:val="none" w:sz="0" w:space="0" w:color="auto"/>
      </w:divBdr>
    </w:div>
    <w:div w:id="1352367620">
      <w:bodyDiv w:val="1"/>
      <w:marLeft w:val="0"/>
      <w:marRight w:val="0"/>
      <w:marTop w:val="0"/>
      <w:marBottom w:val="0"/>
      <w:divBdr>
        <w:top w:val="none" w:sz="0" w:space="0" w:color="auto"/>
        <w:left w:val="none" w:sz="0" w:space="0" w:color="auto"/>
        <w:bottom w:val="none" w:sz="0" w:space="0" w:color="auto"/>
        <w:right w:val="none" w:sz="0" w:space="0" w:color="auto"/>
      </w:divBdr>
    </w:div>
    <w:div w:id="1366053955">
      <w:bodyDiv w:val="1"/>
      <w:marLeft w:val="0"/>
      <w:marRight w:val="0"/>
      <w:marTop w:val="0"/>
      <w:marBottom w:val="0"/>
      <w:divBdr>
        <w:top w:val="none" w:sz="0" w:space="0" w:color="auto"/>
        <w:left w:val="none" w:sz="0" w:space="0" w:color="auto"/>
        <w:bottom w:val="none" w:sz="0" w:space="0" w:color="auto"/>
        <w:right w:val="none" w:sz="0" w:space="0" w:color="auto"/>
      </w:divBdr>
    </w:div>
    <w:div w:id="1491406757">
      <w:bodyDiv w:val="1"/>
      <w:marLeft w:val="0"/>
      <w:marRight w:val="0"/>
      <w:marTop w:val="0"/>
      <w:marBottom w:val="0"/>
      <w:divBdr>
        <w:top w:val="none" w:sz="0" w:space="0" w:color="auto"/>
        <w:left w:val="none" w:sz="0" w:space="0" w:color="auto"/>
        <w:bottom w:val="none" w:sz="0" w:space="0" w:color="auto"/>
        <w:right w:val="none" w:sz="0" w:space="0" w:color="auto"/>
      </w:divBdr>
    </w:div>
    <w:div w:id="1833059230">
      <w:bodyDiv w:val="1"/>
      <w:marLeft w:val="0"/>
      <w:marRight w:val="0"/>
      <w:marTop w:val="0"/>
      <w:marBottom w:val="0"/>
      <w:divBdr>
        <w:top w:val="none" w:sz="0" w:space="0" w:color="auto"/>
        <w:left w:val="none" w:sz="0" w:space="0" w:color="auto"/>
        <w:bottom w:val="none" w:sz="0" w:space="0" w:color="auto"/>
        <w:right w:val="none" w:sz="0" w:space="0" w:color="auto"/>
      </w:divBdr>
    </w:div>
    <w:div w:id="1888562273">
      <w:bodyDiv w:val="1"/>
      <w:marLeft w:val="0"/>
      <w:marRight w:val="0"/>
      <w:marTop w:val="0"/>
      <w:marBottom w:val="0"/>
      <w:divBdr>
        <w:top w:val="none" w:sz="0" w:space="0" w:color="auto"/>
        <w:left w:val="none" w:sz="0" w:space="0" w:color="auto"/>
        <w:bottom w:val="none" w:sz="0" w:space="0" w:color="auto"/>
        <w:right w:val="none" w:sz="0" w:space="0" w:color="auto"/>
      </w:divBdr>
    </w:div>
    <w:div w:id="1894806126">
      <w:bodyDiv w:val="1"/>
      <w:marLeft w:val="0"/>
      <w:marRight w:val="0"/>
      <w:marTop w:val="0"/>
      <w:marBottom w:val="0"/>
      <w:divBdr>
        <w:top w:val="none" w:sz="0" w:space="0" w:color="auto"/>
        <w:left w:val="none" w:sz="0" w:space="0" w:color="auto"/>
        <w:bottom w:val="none" w:sz="0" w:space="0" w:color="auto"/>
        <w:right w:val="none" w:sz="0" w:space="0" w:color="auto"/>
      </w:divBdr>
    </w:div>
    <w:div w:id="1949658241">
      <w:bodyDiv w:val="1"/>
      <w:marLeft w:val="0"/>
      <w:marRight w:val="0"/>
      <w:marTop w:val="0"/>
      <w:marBottom w:val="0"/>
      <w:divBdr>
        <w:top w:val="none" w:sz="0" w:space="0" w:color="auto"/>
        <w:left w:val="none" w:sz="0" w:space="0" w:color="auto"/>
        <w:bottom w:val="none" w:sz="0" w:space="0" w:color="auto"/>
        <w:right w:val="none" w:sz="0" w:space="0" w:color="auto"/>
      </w:divBdr>
    </w:div>
    <w:div w:id="2013873519">
      <w:bodyDiv w:val="1"/>
      <w:marLeft w:val="0"/>
      <w:marRight w:val="0"/>
      <w:marTop w:val="0"/>
      <w:marBottom w:val="0"/>
      <w:divBdr>
        <w:top w:val="none" w:sz="0" w:space="0" w:color="auto"/>
        <w:left w:val="none" w:sz="0" w:space="0" w:color="auto"/>
        <w:bottom w:val="none" w:sz="0" w:space="0" w:color="auto"/>
        <w:right w:val="none" w:sz="0" w:space="0" w:color="auto"/>
      </w:divBdr>
    </w:div>
    <w:div w:id="21103941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OrganizeInFold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5.xml"/><Relationship Id="rId18" Type="http://schemas.openxmlformats.org/officeDocument/2006/relationships/header" Target="header9.xml"/><Relationship Id="rId26" Type="http://schemas.openxmlformats.org/officeDocument/2006/relationships/chart" Target="charts/chart5.xml"/><Relationship Id="rId39" Type="http://schemas.openxmlformats.org/officeDocument/2006/relationships/hyperlink" Target="http://www.trafikstyrelsen.dk/~/media/Dokumenter/03%20Jernbanesikkerhed/01%20Infrastrukturforvalter/Vejledninger/Vejledning%20i%20sikkerhedsledelse%2007_10_2013.ashx" TargetMode="External"/><Relationship Id="rId3" Type="http://schemas.openxmlformats.org/officeDocument/2006/relationships/styles" Target="styles.xml"/><Relationship Id="rId21" Type="http://schemas.openxmlformats.org/officeDocument/2006/relationships/header" Target="header10.xml"/><Relationship Id="rId34" Type="http://schemas.openxmlformats.org/officeDocument/2006/relationships/header" Target="header15.xml"/><Relationship Id="rId42" Type="http://schemas.openxmlformats.org/officeDocument/2006/relationships/header" Target="header20.xml"/><Relationship Id="rId47"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4.xml"/><Relationship Id="rId17" Type="http://schemas.openxmlformats.org/officeDocument/2006/relationships/header" Target="header8.xml"/><Relationship Id="rId25" Type="http://schemas.openxmlformats.org/officeDocument/2006/relationships/header" Target="header12.xml"/><Relationship Id="rId33" Type="http://schemas.openxmlformats.org/officeDocument/2006/relationships/header" Target="header14.xml"/><Relationship Id="rId38" Type="http://schemas.openxmlformats.org/officeDocument/2006/relationships/chart" Target="charts/chart10.xml"/><Relationship Id="rId46"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chart" Target="charts/chart2.xml"/><Relationship Id="rId29" Type="http://schemas.openxmlformats.org/officeDocument/2006/relationships/chart" Target="charts/chart7.xml"/><Relationship Id="rId41" Type="http://schemas.openxmlformats.org/officeDocument/2006/relationships/header" Target="header19.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24" Type="http://schemas.openxmlformats.org/officeDocument/2006/relationships/header" Target="header11.xml"/><Relationship Id="rId32" Type="http://schemas.openxmlformats.org/officeDocument/2006/relationships/hyperlink" Target="http://www.era.europa.eu/" TargetMode="External"/><Relationship Id="rId37" Type="http://schemas.openxmlformats.org/officeDocument/2006/relationships/header" Target="header17.xml"/><Relationship Id="rId40" Type="http://schemas.openxmlformats.org/officeDocument/2006/relationships/header" Target="header18.xml"/><Relationship Id="rId45" Type="http://schemas.openxmlformats.org/officeDocument/2006/relationships/header" Target="header22.xml"/><Relationship Id="rId5" Type="http://schemas.openxmlformats.org/officeDocument/2006/relationships/webSettings" Target="webSettings.xml"/><Relationship Id="rId15" Type="http://schemas.openxmlformats.org/officeDocument/2006/relationships/header" Target="header7.xml"/><Relationship Id="rId23" Type="http://schemas.openxmlformats.org/officeDocument/2006/relationships/chart" Target="charts/chart4.xml"/><Relationship Id="rId28" Type="http://schemas.openxmlformats.org/officeDocument/2006/relationships/header" Target="header13.xml"/><Relationship Id="rId36" Type="http://schemas.openxmlformats.org/officeDocument/2006/relationships/header" Target="header16.xml"/><Relationship Id="rId10" Type="http://schemas.openxmlformats.org/officeDocument/2006/relationships/image" Target="media/image1.jpg"/><Relationship Id="rId19" Type="http://schemas.openxmlformats.org/officeDocument/2006/relationships/chart" Target="charts/chart1.xml"/><Relationship Id="rId31" Type="http://schemas.openxmlformats.org/officeDocument/2006/relationships/chart" Target="charts/chart9.xml"/><Relationship Id="rId44"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6.xml"/><Relationship Id="rId22" Type="http://schemas.openxmlformats.org/officeDocument/2006/relationships/chart" Target="charts/chart3.xml"/><Relationship Id="rId27" Type="http://schemas.openxmlformats.org/officeDocument/2006/relationships/chart" Target="charts/chart6.xml"/><Relationship Id="rId30" Type="http://schemas.openxmlformats.org/officeDocument/2006/relationships/chart" Target="charts/chart8.xml"/><Relationship Id="rId35" Type="http://schemas.openxmlformats.org/officeDocument/2006/relationships/hyperlink" Target="http://www.havarikommissionen.dk/index.php?option=com_contentbuilder&amp;controller=list&amp;view=list&amp;search_form_id=1&amp;id=1&amp;Itemid=163&amp;lang=da&amp;contentbuilder_download_file=1555d83f16abdd10ff476b4d3af9caf70e47e1ef" TargetMode="External"/><Relationship Id="rId43" Type="http://schemas.openxmlformats.org/officeDocument/2006/relationships/header" Target="header21.xml"/></Relationships>
</file>

<file path=word/_rels/footnotes.xml.rels><?xml version="1.0" encoding="UTF-8" standalone="yes"?>
<Relationships xmlns="http://schemas.openxmlformats.org/package/2006/relationships"><Relationship Id="rId3" Type="http://schemas.openxmlformats.org/officeDocument/2006/relationships/hyperlink" Target="https://erail.era.europa.eu/" TargetMode="External"/><Relationship Id="rId2" Type="http://schemas.openxmlformats.org/officeDocument/2006/relationships/hyperlink" Target="http://www.era.europa.eu/" TargetMode="External"/><Relationship Id="rId1" Type="http://schemas.openxmlformats.org/officeDocument/2006/relationships/hyperlink" Target="http://www.trafikstyrelsen.dk/~/media/Dokumenter/03%20Jernbanesikkerhed/06%20Jernbanen%20fremover/TS_SikkerhedStrategi_2009_Digital.ashx" TargetMode="External"/><Relationship Id="rId5" Type="http://schemas.openxmlformats.org/officeDocument/2006/relationships/hyperlink" Target="https://www.retsinformation.dk/Forms/R0710.aspx?id=170457" TargetMode="External"/><Relationship Id="rId4" Type="http://schemas.openxmlformats.org/officeDocument/2006/relationships/hyperlink" Target="http://www.trafikstyrelsen.dk/~/media/Dokumenter/03%20Jernbanesikkerhed/01%20Infrastrukturforvalter/Tilsyn/Tilsynsstrategi_jernbanesikkerhed_2011.ashx"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rj\AppData\Roaming\Microsoft\Skabeloner\TS\TS%20Intern%20Rapport%202010.dotm"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file:///C:\Users\drj\AppData\Local\Microsoft\Windows\Temporary%20Internet%20Files\Content.Outlook\MEWTZN7B\Bilag%20til%20&#229;rlig%20sikkerhedsrapport%202015%20-%20alle%20h&#230;ndelser.xlsx" TargetMode="External"/></Relationships>
</file>

<file path=word/charts/_rels/chart10.xml.rels><?xml version="1.0" encoding="UTF-8" standalone="yes"?>
<Relationships xmlns="http://schemas.openxmlformats.org/package/2006/relationships"><Relationship Id="rId1" Type="http://schemas.openxmlformats.org/officeDocument/2006/relationships/oleObject" Target="file:///C:\Users\jula\AppData\Local\Microsoft\Windows\Temporary%20Internet%20Files\Content.Outlook\WTJ3JKMI\Modenhedsvurdering%20-%20Udvikling%202013-2014.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jula\AppData\Local\Microsoft\Windows\Temporary%20Internet%20Files\Content.Outlook\WTJ3JKMI\HDBgrafer-rettede.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jula\AppData\Local\Microsoft\Windows\Temporary%20Internet%20Files\Content.Outlook\WTJ3JKMI\HDBgrafer-rettede.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C:\Users\jula\AppData\Local\Microsoft\Windows\Temporary%20Internet%20Files\Content.Outlook\WTJ3JKMI\HDBgrafer-rettede.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C:\Users\jula\AppData\Local\Microsoft\Windows\Temporary%20Internet%20Files\Content.Outlook\WTJ3JKMI\HDBgrafer-rettede.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C:\Users\jula\AppData\Local\Microsoft\Windows\Temporary%20Internet%20Files\Content.Outlook\WTJ3JKMI\Mappe1.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file:///\\tsFILE01\Data\Jernbanesikkerhed\Infrastruktur\drj\sikkerhedsrapport%202014\Excelark%20til%20brug%20til%20rapport%20for%202014.xlsx"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file:///\\tsFILE01\Data\Jernbanesikkerhed\Infrastruktur\drj\sikkerhedsrapport%202014\Excelark%202014%20uden%20rangering%20(ift%20SPAD).xlsx" TargetMode="External"/></Relationships>
</file>

<file path=word/charts/_rels/chart9.xml.rels><?xml version="1.0" encoding="UTF-8" standalone="yes"?>
<Relationships xmlns="http://schemas.openxmlformats.org/package/2006/relationships"><Relationship Id="rId1" Type="http://schemas.openxmlformats.org/officeDocument/2006/relationships/oleObject" Target="file:///\\tsFILE01\Data\Jernbanesikkerhed\Infrastruktur\drj\sikkerhedsrapport%202014\Europ&#230;iske%20tal%20-%20v&#230;sentlige%20personulykker%202006-2013.xls"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5813101742539094E-2"/>
          <c:y val="0.24022948458876267"/>
          <c:w val="0.76477188598380696"/>
          <c:h val="0.376464125612617"/>
        </c:manualLayout>
      </c:layout>
      <c:pieChart>
        <c:varyColors val="1"/>
        <c:ser>
          <c:idx val="0"/>
          <c:order val="0"/>
          <c:explosion val="25"/>
          <c:dLbls>
            <c:spPr>
              <a:noFill/>
              <a:ln>
                <a:noFill/>
              </a:ln>
              <a:effectLst/>
            </c:spPr>
            <c:showLegendKey val="0"/>
            <c:showVal val="1"/>
            <c:showCatName val="0"/>
            <c:showSerName val="0"/>
            <c:showPercent val="0"/>
            <c:showBubbleSize val="0"/>
            <c:showLeaderLines val="1"/>
            <c:extLst xmlns:DataManagerRef="urn:DataManager" xmlns:msxsl="urn:schemas-microsoft-com:xslt" xmlns:p="http://schemas.openxmlformats.org/presentationml/2006/main" xmlns:dgm="http://schemas.openxmlformats.org/drawingml/2006/diagram" xmlns:wps="http://schemas.microsoft.com/office/word/2010/wordprocessingShape" xmlns:wpi="http://schemas.microsoft.com/office/word/2010/wordprocessingInk" xmlns:wpg="http://schemas.microsoft.com/office/word/2010/wordprocessingGroup" xmlns:w14="http://schemas.microsoft.com/office/word/2010/wordml" xmlns:wp14="http://schemas.microsoft.com/office/word/2010/wordprocessingDrawing" xmlns:wpc="http://schemas.microsoft.com/office/word/2010/wordprocessingCanvas" xmlns:pic="http://schemas.openxmlformats.org/drawingml/2006/picture" xmlns:wne="http://schemas.microsoft.com/office/word/2006/wordml" xmlns:w="http://schemas.openxmlformats.org/wordprocessingml/2006/main" xmlns:w10="urn:schemas-microsoft-com:office:word" xmlns:wp="http://schemas.openxmlformats.org/drawingml/2006/wordprocessingDrawing" xmlns:v="urn:schemas-microsoft-com:vml" xmlns:m="http://schemas.openxmlformats.org/officeDocument/2006/math" xmlns:o="urn:schemas-microsoft-com:office:office" xmlns:ve="http://schemas.openxmlformats.org/markup-compatibility/2006">
              <c:ext xmlns:c15="http://schemas.microsoft.com/office/drawing/2012/chart" uri="{CE6537A1-D6FC-4f65-9D91-7224C49458BB}">
                <c15:layout/>
              </c:ext>
            </c:extLst>
          </c:dLbls>
          <c:cat>
            <c:strRef>
              <c:f>Tabel_11!$D$14:$D$16</c:f>
              <c:strCache>
                <c:ptCount val="3"/>
                <c:pt idx="0">
                  <c:v>Væsentlige ulykker</c:v>
                </c:pt>
                <c:pt idx="1">
                  <c:v>Mindre ulykker</c:v>
                </c:pt>
                <c:pt idx="2">
                  <c:v>Andre hændelser</c:v>
                </c:pt>
              </c:strCache>
            </c:strRef>
          </c:cat>
          <c:val>
            <c:numRef>
              <c:f>Tabel_11!$E$14:$E$16</c:f>
              <c:numCache>
                <c:formatCode>0</c:formatCode>
                <c:ptCount val="3"/>
                <c:pt idx="0">
                  <c:v>21</c:v>
                </c:pt>
                <c:pt idx="1">
                  <c:v>325</c:v>
                </c:pt>
                <c:pt idx="2">
                  <c:v>3123</c:v>
                </c:pt>
              </c:numCache>
            </c:numRef>
          </c:val>
        </c:ser>
        <c:dLbls>
          <c:showLegendKey val="0"/>
          <c:showVal val="0"/>
          <c:showCatName val="0"/>
          <c:showSerName val="0"/>
          <c:showPercent val="0"/>
          <c:showBubbleSize val="0"/>
          <c:showLeaderLines val="1"/>
        </c:dLbls>
        <c:firstSliceAng val="0"/>
      </c:pieChart>
    </c:plotArea>
    <c:legend>
      <c:legendPos val="r"/>
      <c:layout>
        <c:manualLayout>
          <c:xMode val="edge"/>
          <c:yMode val="edge"/>
          <c:x val="0.14466197300729056"/>
          <c:y val="0.67001927856363097"/>
          <c:w val="0.66477674604930936"/>
          <c:h val="0.18248809606763755"/>
        </c:manualLayout>
      </c:layout>
      <c:overlay val="0"/>
    </c:legend>
    <c:plotVisOnly val="1"/>
    <c:dispBlanksAs val="gap"/>
    <c:showDLblsOverMax val="0"/>
  </c:chart>
  <c:externalData r:id="rId1">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17"/>
    </mc:Choice>
    <mc:Fallback>
      <c:style val="17"/>
    </mc:Fallback>
  </mc:AlternateContent>
  <c:chart>
    <c:autoTitleDeleted val="1"/>
    <c:plotArea>
      <c:layout/>
      <c:barChart>
        <c:barDir val="bar"/>
        <c:grouping val="clustered"/>
        <c:varyColors val="0"/>
        <c:ser>
          <c:idx val="0"/>
          <c:order val="0"/>
          <c:tx>
            <c:strRef>
              <c:f>'De 5 BL'!$A$19</c:f>
              <c:strCache>
                <c:ptCount val="1"/>
                <c:pt idx="0">
                  <c:v>Score 2014</c:v>
                </c:pt>
              </c:strCache>
            </c:strRef>
          </c:tx>
          <c:invertIfNegative val="0"/>
          <c:dLbls>
            <c:spPr>
              <a:noFill/>
              <a:ln>
                <a:noFill/>
              </a:ln>
              <a:effectLst/>
            </c:spPr>
            <c:dLblPos val="ctr"/>
            <c:showLegendKey val="0"/>
            <c:showVal val="1"/>
            <c:showCatName val="0"/>
            <c:showSerName val="0"/>
            <c:showPercent val="0"/>
            <c:showBubbleSize val="0"/>
            <c:showLeaderLines val="0"/>
            <c:extLst xmlns:DataManagerRef="urn:DataManager" xmlns:msxsl="urn:schemas-microsoft-com:xslt" xmlns:p="http://schemas.openxmlformats.org/presentationml/2006/main" xmlns:dgm="http://schemas.openxmlformats.org/drawingml/2006/diagram" xmlns:wps="http://schemas.microsoft.com/office/word/2010/wordprocessingShape" xmlns:wpi="http://schemas.microsoft.com/office/word/2010/wordprocessingInk" xmlns:wpg="http://schemas.microsoft.com/office/word/2010/wordprocessingGroup" xmlns:w14="http://schemas.microsoft.com/office/word/2010/wordml" xmlns:wp14="http://schemas.microsoft.com/office/word/2010/wordprocessingDrawing" xmlns:wpc="http://schemas.microsoft.com/office/word/2010/wordprocessingCanvas" xmlns:pic="http://schemas.openxmlformats.org/drawingml/2006/picture" xmlns:wne="http://schemas.microsoft.com/office/word/2006/wordml" xmlns:w="http://schemas.openxmlformats.org/wordprocessingml/2006/main" xmlns:w10="urn:schemas-microsoft-com:office:word" xmlns:wp="http://schemas.openxmlformats.org/drawingml/2006/wordprocessingDrawing" xmlns:v="urn:schemas-microsoft-com:vml" xmlns:m="http://schemas.openxmlformats.org/officeDocument/2006/math" xmlns:o="urn:schemas-microsoft-com:office:office" xmlns:ve="http://schemas.openxmlformats.org/markup-compatibility/2006">
              <c:ext xmlns:c15="http://schemas.microsoft.com/office/drawing/2012/chart" uri="{CE6537A1-D6FC-4f65-9D91-7224C49458BB}">
                <c15:layout/>
                <c15:showLeaderLines val="0"/>
              </c:ext>
            </c:extLst>
          </c:dLbls>
          <c:cat>
            <c:strRef>
              <c:f>'De 5 BL'!$B$3:$H$3</c:f>
              <c:strCache>
                <c:ptCount val="7"/>
                <c:pt idx="0">
                  <c:v>Ledelsens evaluering (1-5)</c:v>
                </c:pt>
                <c:pt idx="1">
                  <c:v>Intern revision (1-5)</c:v>
                </c:pt>
                <c:pt idx="2">
                  <c:v>Håndtering af korrigerende og 
forebyggende handlinger (1-5)</c:v>
                </c:pt>
                <c:pt idx="3">
                  <c:v>Hændelsesregistrering (1-5)</c:v>
                </c:pt>
                <c:pt idx="4">
                  <c:v>Implementering af lovkrav (1-4)</c:v>
                </c:pt>
                <c:pt idx="5">
                  <c:v>Mål og handlingsplaner (1-5)</c:v>
                </c:pt>
                <c:pt idx="6">
                  <c:v>Samlet Score (1-5)</c:v>
                </c:pt>
              </c:strCache>
            </c:strRef>
          </c:cat>
          <c:val>
            <c:numRef>
              <c:f>'De 5 BL'!$B$19:$H$19</c:f>
              <c:numCache>
                <c:formatCode>0.0</c:formatCode>
                <c:ptCount val="7"/>
                <c:pt idx="0">
                  <c:v>3.1</c:v>
                </c:pt>
                <c:pt idx="1">
                  <c:v>2.4</c:v>
                </c:pt>
                <c:pt idx="2">
                  <c:v>2.7</c:v>
                </c:pt>
                <c:pt idx="3">
                  <c:v>3.4</c:v>
                </c:pt>
                <c:pt idx="4">
                  <c:v>2.9</c:v>
                </c:pt>
                <c:pt idx="5">
                  <c:v>3.1</c:v>
                </c:pt>
                <c:pt idx="6">
                  <c:v>2.9</c:v>
                </c:pt>
              </c:numCache>
            </c:numRef>
          </c:val>
        </c:ser>
        <c:ser>
          <c:idx val="1"/>
          <c:order val="1"/>
          <c:tx>
            <c:strRef>
              <c:f>'De 5 BL'!$A$20</c:f>
              <c:strCache>
                <c:ptCount val="1"/>
                <c:pt idx="0">
                  <c:v>Score 2013</c:v>
                </c:pt>
              </c:strCache>
            </c:strRef>
          </c:tx>
          <c:invertIfNegative val="0"/>
          <c:dLbls>
            <c:spPr>
              <a:noFill/>
              <a:ln>
                <a:noFill/>
              </a:ln>
              <a:effectLst/>
            </c:spPr>
            <c:dLblPos val="ctr"/>
            <c:showLegendKey val="0"/>
            <c:showVal val="1"/>
            <c:showCatName val="0"/>
            <c:showSerName val="0"/>
            <c:showPercent val="0"/>
            <c:showBubbleSize val="0"/>
            <c:showLeaderLines val="0"/>
            <c:extLst xmlns:DataManagerRef="urn:DataManager" xmlns:msxsl="urn:schemas-microsoft-com:xslt" xmlns:p="http://schemas.openxmlformats.org/presentationml/2006/main" xmlns:dgm="http://schemas.openxmlformats.org/drawingml/2006/diagram" xmlns:wps="http://schemas.microsoft.com/office/word/2010/wordprocessingShape" xmlns:wpi="http://schemas.microsoft.com/office/word/2010/wordprocessingInk" xmlns:wpg="http://schemas.microsoft.com/office/word/2010/wordprocessingGroup" xmlns:w14="http://schemas.microsoft.com/office/word/2010/wordml" xmlns:wp14="http://schemas.microsoft.com/office/word/2010/wordprocessingDrawing" xmlns:wpc="http://schemas.microsoft.com/office/word/2010/wordprocessingCanvas" xmlns:pic="http://schemas.openxmlformats.org/drawingml/2006/picture" xmlns:wne="http://schemas.microsoft.com/office/word/2006/wordml" xmlns:w="http://schemas.openxmlformats.org/wordprocessingml/2006/main" xmlns:w10="urn:schemas-microsoft-com:office:word" xmlns:wp="http://schemas.openxmlformats.org/drawingml/2006/wordprocessingDrawing" xmlns:v="urn:schemas-microsoft-com:vml" xmlns:m="http://schemas.openxmlformats.org/officeDocument/2006/math" xmlns:o="urn:schemas-microsoft-com:office:office" xmlns:ve="http://schemas.openxmlformats.org/markup-compatibility/2006">
              <c:ext xmlns:c15="http://schemas.microsoft.com/office/drawing/2012/chart" uri="{CE6537A1-D6FC-4f65-9D91-7224C49458BB}">
                <c15:layout/>
                <c15:showLeaderLines val="0"/>
              </c:ext>
            </c:extLst>
          </c:dLbls>
          <c:cat>
            <c:strRef>
              <c:f>'De 5 BL'!$B$3:$H$3</c:f>
              <c:strCache>
                <c:ptCount val="7"/>
                <c:pt idx="0">
                  <c:v>Ledelsens evaluering (1-5)</c:v>
                </c:pt>
                <c:pt idx="1">
                  <c:v>Intern revision (1-5)</c:v>
                </c:pt>
                <c:pt idx="2">
                  <c:v>Håndtering af korrigerende og 
forebyggende handlinger (1-5)</c:v>
                </c:pt>
                <c:pt idx="3">
                  <c:v>Hændelsesregistrering (1-5)</c:v>
                </c:pt>
                <c:pt idx="4">
                  <c:v>Implementering af lovkrav (1-4)</c:v>
                </c:pt>
                <c:pt idx="5">
                  <c:v>Mål og handlingsplaner (1-5)</c:v>
                </c:pt>
                <c:pt idx="6">
                  <c:v>Samlet Score (1-5)</c:v>
                </c:pt>
              </c:strCache>
            </c:strRef>
          </c:cat>
          <c:val>
            <c:numRef>
              <c:f>'De 5 BL'!$B$20:$H$20</c:f>
              <c:numCache>
                <c:formatCode>0.0</c:formatCode>
                <c:ptCount val="7"/>
                <c:pt idx="0">
                  <c:v>3.1</c:v>
                </c:pt>
                <c:pt idx="1">
                  <c:v>2.7</c:v>
                </c:pt>
                <c:pt idx="2">
                  <c:v>2.6</c:v>
                </c:pt>
                <c:pt idx="3">
                  <c:v>3.7</c:v>
                </c:pt>
                <c:pt idx="4">
                  <c:v>3.1</c:v>
                </c:pt>
                <c:pt idx="5">
                  <c:v>3.1</c:v>
                </c:pt>
                <c:pt idx="6">
                  <c:v>3</c:v>
                </c:pt>
              </c:numCache>
            </c:numRef>
          </c:val>
        </c:ser>
        <c:dLbls>
          <c:showLegendKey val="0"/>
          <c:showVal val="0"/>
          <c:showCatName val="0"/>
          <c:showSerName val="0"/>
          <c:showPercent val="0"/>
          <c:showBubbleSize val="0"/>
        </c:dLbls>
        <c:gapWidth val="150"/>
        <c:axId val="181878792"/>
        <c:axId val="181885064"/>
      </c:barChart>
      <c:catAx>
        <c:axId val="181878792"/>
        <c:scaling>
          <c:orientation val="minMax"/>
        </c:scaling>
        <c:delete val="0"/>
        <c:axPos val="l"/>
        <c:numFmt formatCode="General" sourceLinked="0"/>
        <c:majorTickMark val="none"/>
        <c:minorTickMark val="none"/>
        <c:tickLblPos val="nextTo"/>
        <c:crossAx val="181885064"/>
        <c:crosses val="autoZero"/>
        <c:auto val="1"/>
        <c:lblAlgn val="ctr"/>
        <c:lblOffset val="100"/>
        <c:noMultiLvlLbl val="0"/>
      </c:catAx>
      <c:valAx>
        <c:axId val="181885064"/>
        <c:scaling>
          <c:orientation val="minMax"/>
          <c:max val="5"/>
          <c:min val="1"/>
        </c:scaling>
        <c:delete val="0"/>
        <c:axPos val="b"/>
        <c:majorGridlines/>
        <c:numFmt formatCode="General" sourceLinked="0"/>
        <c:majorTickMark val="none"/>
        <c:minorTickMark val="none"/>
        <c:tickLblPos val="nextTo"/>
        <c:crossAx val="181878792"/>
        <c:crosses val="autoZero"/>
        <c:crossBetween val="between"/>
        <c:majorUnit val="1"/>
      </c:valAx>
    </c:plotArea>
    <c:legend>
      <c:legendPos val="r"/>
      <c:layout/>
      <c:overlay val="0"/>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xMode val="edge"/>
          <c:yMode val="edge"/>
          <c:x val="8.666666666666667E-2"/>
          <c:y val="0.11229946524064172"/>
          <c:w val="0.88888888888888884"/>
          <c:h val="0.84848484848484851"/>
        </c:manualLayout>
      </c:layout>
      <c:scatterChart>
        <c:scatterStyle val="lineMarker"/>
        <c:varyColors val="0"/>
        <c:ser>
          <c:idx val="0"/>
          <c:order val="0"/>
          <c:tx>
            <c:v>Årligt</c:v>
          </c:tx>
          <c:spPr>
            <a:ln w="3175">
              <a:solidFill>
                <a:srgbClr val="333333"/>
              </a:solidFill>
              <a:prstDash val="solid"/>
            </a:ln>
            <a:effectLst/>
          </c:spPr>
          <c:marker>
            <c:symbol val="square"/>
            <c:size val="4"/>
            <c:spPr>
              <a:solidFill>
                <a:srgbClr val="000000"/>
              </a:solidFill>
              <a:ln>
                <a:solidFill>
                  <a:srgbClr val="000000"/>
                </a:solidFill>
                <a:prstDash val="solid"/>
              </a:ln>
            </c:spPr>
          </c:marker>
          <c:xVal>
            <c:numRef>
              <c:f>Figur_1!$C$5:$C$20</c:f>
              <c:numCache>
                <c:formatCode>General</c:formatCode>
                <c:ptCount val="16"/>
                <c:pt idx="0">
                  <c:v>1999</c:v>
                </c:pt>
                <c:pt idx="1">
                  <c:v>2000</c:v>
                </c:pt>
                <c:pt idx="2">
                  <c:v>2001</c:v>
                </c:pt>
                <c:pt idx="3">
                  <c:v>2002</c:v>
                </c:pt>
                <c:pt idx="4">
                  <c:v>2003</c:v>
                </c:pt>
                <c:pt idx="5">
                  <c:v>2004</c:v>
                </c:pt>
                <c:pt idx="6">
                  <c:v>2005</c:v>
                </c:pt>
                <c:pt idx="7">
                  <c:v>2006</c:v>
                </c:pt>
                <c:pt idx="8">
                  <c:v>2007</c:v>
                </c:pt>
                <c:pt idx="9">
                  <c:v>2008</c:v>
                </c:pt>
                <c:pt idx="10">
                  <c:v>2009</c:v>
                </c:pt>
                <c:pt idx="11">
                  <c:v>2010</c:v>
                </c:pt>
                <c:pt idx="12">
                  <c:v>2011</c:v>
                </c:pt>
                <c:pt idx="13">
                  <c:v>2012</c:v>
                </c:pt>
                <c:pt idx="14">
                  <c:v>2013</c:v>
                </c:pt>
                <c:pt idx="15">
                  <c:v>2014</c:v>
                </c:pt>
              </c:numCache>
            </c:numRef>
          </c:xVal>
          <c:yVal>
            <c:numRef>
              <c:f>Figur_1!$D$5:$D$20</c:f>
              <c:numCache>
                <c:formatCode>0.00E+00</c:formatCode>
                <c:ptCount val="16"/>
                <c:pt idx="0">
                  <c:v>0.24890190336749635</c:v>
                </c:pt>
                <c:pt idx="1">
                  <c:v>0.54172767203513916</c:v>
                </c:pt>
                <c:pt idx="2">
                  <c:v>0.47687861271676296</c:v>
                </c:pt>
                <c:pt idx="3">
                  <c:v>0.32670454545454541</c:v>
                </c:pt>
                <c:pt idx="4">
                  <c:v>0.24523160762942778</c:v>
                </c:pt>
                <c:pt idx="5">
                  <c:v>0.44678055190538768</c:v>
                </c:pt>
                <c:pt idx="6">
                  <c:v>0.39141414141414138</c:v>
                </c:pt>
                <c:pt idx="7">
                  <c:v>0.39751552795031053</c:v>
                </c:pt>
                <c:pt idx="8">
                  <c:v>0.24142312579415501</c:v>
                </c:pt>
                <c:pt idx="9">
                  <c:v>0.26884348421155541</c:v>
                </c:pt>
                <c:pt idx="10">
                  <c:v>0.34083577801852688</c:v>
                </c:pt>
                <c:pt idx="11">
                  <c:v>0.26497723604653967</c:v>
                </c:pt>
                <c:pt idx="12">
                  <c:v>0.23581012568679702</c:v>
                </c:pt>
                <c:pt idx="13">
                  <c:v>0.29953751407826312</c:v>
                </c:pt>
                <c:pt idx="14">
                  <c:v>0.16554333688069056</c:v>
                </c:pt>
                <c:pt idx="15">
                  <c:v>0.24831500532103584</c:v>
                </c:pt>
              </c:numCache>
            </c:numRef>
          </c:yVal>
          <c:smooth val="0"/>
        </c:ser>
        <c:ser>
          <c:idx val="1"/>
          <c:order val="1"/>
          <c:tx>
            <c:v>5-årigt gennemsnit</c:v>
          </c:tx>
          <c:spPr>
            <a:ln w="3175">
              <a:solidFill>
                <a:srgbClr val="333333"/>
              </a:solidFill>
              <a:prstDash val="solid"/>
            </a:ln>
            <a:effectLst/>
          </c:spPr>
          <c:marker>
            <c:symbol val="circle"/>
            <c:size val="4"/>
            <c:spPr>
              <a:solidFill>
                <a:srgbClr val="FFFF00"/>
              </a:solidFill>
              <a:ln>
                <a:solidFill>
                  <a:srgbClr val="000000"/>
                </a:solidFill>
                <a:prstDash val="solid"/>
              </a:ln>
            </c:spPr>
          </c:marker>
          <c:xVal>
            <c:numRef>
              <c:f>Figur_1!$C$21:$C$32</c:f>
              <c:numCache>
                <c:formatCode>General</c:formatCode>
                <c:ptCount val="12"/>
                <c:pt idx="0">
                  <c:v>2003</c:v>
                </c:pt>
                <c:pt idx="1">
                  <c:v>2004</c:v>
                </c:pt>
                <c:pt idx="2">
                  <c:v>2005</c:v>
                </c:pt>
                <c:pt idx="3">
                  <c:v>2006</c:v>
                </c:pt>
                <c:pt idx="4">
                  <c:v>2007</c:v>
                </c:pt>
                <c:pt idx="5">
                  <c:v>2008</c:v>
                </c:pt>
                <c:pt idx="6">
                  <c:v>2009</c:v>
                </c:pt>
                <c:pt idx="7">
                  <c:v>2010</c:v>
                </c:pt>
                <c:pt idx="8">
                  <c:v>2011</c:v>
                </c:pt>
                <c:pt idx="9">
                  <c:v>2012</c:v>
                </c:pt>
                <c:pt idx="10">
                  <c:v>2013</c:v>
                </c:pt>
                <c:pt idx="11">
                  <c:v>2014</c:v>
                </c:pt>
              </c:numCache>
            </c:numRef>
          </c:xVal>
          <c:yVal>
            <c:numRef>
              <c:f>Figur_1!$D$21:$D$32</c:f>
              <c:numCache>
                <c:formatCode>0.00E+00</c:formatCode>
                <c:ptCount val="12"/>
                <c:pt idx="0">
                  <c:v>0.36788886824067435</c:v>
                </c:pt>
                <c:pt idx="1">
                  <c:v>0.40746459794825263</c:v>
                </c:pt>
                <c:pt idx="2">
                  <c:v>0.37740189182405304</c:v>
                </c:pt>
                <c:pt idx="3">
                  <c:v>0.36152927487076258</c:v>
                </c:pt>
                <c:pt idx="4">
                  <c:v>0.3444729909386845</c:v>
                </c:pt>
                <c:pt idx="5">
                  <c:v>0.34919536625511</c:v>
                </c:pt>
                <c:pt idx="6">
                  <c:v>0.32800641147773785</c:v>
                </c:pt>
                <c:pt idx="7">
                  <c:v>0.30271903040421749</c:v>
                </c:pt>
                <c:pt idx="8">
                  <c:v>0.27037794995151476</c:v>
                </c:pt>
                <c:pt idx="9">
                  <c:v>0.28200082760833639</c:v>
                </c:pt>
                <c:pt idx="10">
                  <c:v>0.26134079814216343</c:v>
                </c:pt>
                <c:pt idx="11">
                  <c:v>0.24283664360266527</c:v>
                </c:pt>
              </c:numCache>
            </c:numRef>
          </c:yVal>
          <c:smooth val="0"/>
        </c:ser>
        <c:dLbls>
          <c:showLegendKey val="0"/>
          <c:showVal val="0"/>
          <c:showCatName val="0"/>
          <c:showSerName val="0"/>
          <c:showPercent val="0"/>
          <c:showBubbleSize val="0"/>
        </c:dLbls>
        <c:axId val="180813680"/>
        <c:axId val="181345024"/>
      </c:scatterChart>
      <c:valAx>
        <c:axId val="180813680"/>
        <c:scaling>
          <c:orientation val="minMax"/>
        </c:scaling>
        <c:delete val="0"/>
        <c:axPos val="b"/>
        <c:numFmt formatCode="0" sourceLinked="0"/>
        <c:majorTickMark val="out"/>
        <c:minorTickMark val="none"/>
        <c:tickLblPos val="nextTo"/>
        <c:spPr>
          <a:effectLst/>
        </c:spPr>
        <c:txPr>
          <a:bodyPr/>
          <a:lstStyle/>
          <a:p>
            <a:pPr>
              <a:defRPr sz="800" b="0" i="0" u="none" strike="noStrike" baseline="0">
                <a:latin typeface="Arial"/>
                <a:ea typeface="Arial"/>
                <a:cs typeface="Arial"/>
              </a:defRPr>
            </a:pPr>
            <a:endParaRPr lang="fr-FR"/>
          </a:p>
        </c:txPr>
        <c:crossAx val="181345024"/>
        <c:crosses val="autoZero"/>
        <c:crossBetween val="midCat"/>
      </c:valAx>
      <c:valAx>
        <c:axId val="181345024"/>
        <c:scaling>
          <c:orientation val="minMax"/>
        </c:scaling>
        <c:delete val="0"/>
        <c:axPos val="l"/>
        <c:majorGridlines>
          <c:spPr>
            <a:ln w="3175">
              <a:solidFill>
                <a:srgbClr val="808080"/>
              </a:solidFill>
              <a:prstDash val="sysDash"/>
            </a:ln>
          </c:spPr>
        </c:majorGridlines>
        <c:numFmt formatCode="#,##0.00" sourceLinked="0"/>
        <c:majorTickMark val="out"/>
        <c:minorTickMark val="none"/>
        <c:tickLblPos val="nextTo"/>
        <c:spPr>
          <a:effectLst/>
        </c:spPr>
        <c:txPr>
          <a:bodyPr/>
          <a:lstStyle/>
          <a:p>
            <a:pPr>
              <a:defRPr sz="800" b="0" i="0" u="none" strike="noStrike" baseline="0">
                <a:latin typeface="Arial"/>
                <a:ea typeface="Arial"/>
                <a:cs typeface="Arial"/>
              </a:defRPr>
            </a:pPr>
            <a:endParaRPr lang="fr-FR"/>
          </a:p>
        </c:txPr>
        <c:crossAx val="180813680"/>
        <c:crosses val="autoZero"/>
        <c:crossBetween val="midCat"/>
      </c:valAx>
      <c:spPr>
        <a:solidFill>
          <a:srgbClr val="FFFFFF"/>
        </a:solidFill>
        <a:ln w="12700">
          <a:solidFill>
            <a:srgbClr val="808080"/>
          </a:solidFill>
          <a:prstDash val="solid"/>
        </a:ln>
      </c:spPr>
    </c:plotArea>
    <c:legend>
      <c:legendPos val="r"/>
      <c:layout>
        <c:manualLayout>
          <c:xMode val="edge"/>
          <c:yMode val="edge"/>
          <c:x val="0.67782139001778008"/>
          <c:y val="0.20155792798443664"/>
          <c:w val="0.21393403324584426"/>
          <c:h val="0.14863166168400074"/>
        </c:manualLayout>
      </c:layout>
      <c:overlay val="0"/>
      <c:txPr>
        <a:bodyPr/>
        <a:lstStyle/>
        <a:p>
          <a:pPr>
            <a:defRPr sz="800" b="0" i="0">
              <a:latin typeface="Arial"/>
              <a:ea typeface="Arial"/>
              <a:cs typeface="Arial"/>
            </a:defRPr>
          </a:pPr>
          <a:endParaRPr lang="fr-FR"/>
        </a:p>
      </c:txPr>
    </c:legend>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xMode val="edge"/>
          <c:yMode val="edge"/>
          <c:x val="8.666666666666667E-2"/>
          <c:y val="0.11229946524064172"/>
          <c:w val="0.88888888888888884"/>
          <c:h val="0.84848484848484851"/>
        </c:manualLayout>
      </c:layout>
      <c:barChart>
        <c:barDir val="bar"/>
        <c:grouping val="clustered"/>
        <c:varyColors val="0"/>
        <c:ser>
          <c:idx val="0"/>
          <c:order val="0"/>
          <c:tx>
            <c:v>2014</c:v>
          </c:tx>
          <c:spPr>
            <a:solidFill>
              <a:srgbClr val="000000"/>
            </a:solidFill>
            <a:ln w="12700">
              <a:solidFill>
                <a:srgbClr val="000000"/>
              </a:solidFill>
              <a:prstDash val="solid"/>
            </a:ln>
          </c:spPr>
          <c:invertIfNegative val="0"/>
          <c:cat>
            <c:strRef>
              <c:f>Figur_2!$F$5:$F$10</c:f>
              <c:strCache>
                <c:ptCount val="6"/>
                <c:pt idx="0">
                  <c:v>Kollision</c:v>
                </c:pt>
                <c:pt idx="1">
                  <c:v>Brand</c:v>
                </c:pt>
                <c:pt idx="2">
                  <c:v>Afsporing</c:v>
                </c:pt>
                <c:pt idx="3">
                  <c:v>Anden væsentlig ulykke</c:v>
                </c:pt>
                <c:pt idx="4">
                  <c:v>Ulykke i overkørsel</c:v>
                </c:pt>
                <c:pt idx="5">
                  <c:v>Personpåkørsel</c:v>
                </c:pt>
              </c:strCache>
            </c:strRef>
          </c:cat>
          <c:val>
            <c:numRef>
              <c:f>Figur_2!$D$5:$D$10</c:f>
              <c:numCache>
                <c:formatCode>0.00E+00</c:formatCode>
                <c:ptCount val="6"/>
                <c:pt idx="0">
                  <c:v>0</c:v>
                </c:pt>
                <c:pt idx="1">
                  <c:v>0</c:v>
                </c:pt>
                <c:pt idx="2">
                  <c:v>1.1824524062906469E-2</c:v>
                </c:pt>
                <c:pt idx="3">
                  <c:v>2.3649048125812939E-2</c:v>
                </c:pt>
                <c:pt idx="4">
                  <c:v>5.9122620314532345E-2</c:v>
                </c:pt>
                <c:pt idx="5">
                  <c:v>0.1537188128177841</c:v>
                </c:pt>
              </c:numCache>
            </c:numRef>
          </c:val>
        </c:ser>
        <c:ser>
          <c:idx val="1"/>
          <c:order val="1"/>
          <c:tx>
            <c:v>5-årigt gennemsnit</c:v>
          </c:tx>
          <c:spPr>
            <a:solidFill>
              <a:srgbClr val="FFFF00"/>
            </a:solidFill>
            <a:ln w="12700">
              <a:solidFill>
                <a:srgbClr val="000000"/>
              </a:solidFill>
              <a:prstDash val="solid"/>
            </a:ln>
          </c:spPr>
          <c:invertIfNegative val="0"/>
          <c:cat>
            <c:strRef>
              <c:f>Figur_2!$F$11:$F$16</c:f>
              <c:strCache>
                <c:ptCount val="6"/>
                <c:pt idx="0">
                  <c:v>Kollision</c:v>
                </c:pt>
                <c:pt idx="1">
                  <c:v>Brand</c:v>
                </c:pt>
                <c:pt idx="2">
                  <c:v>Afsporing</c:v>
                </c:pt>
                <c:pt idx="3">
                  <c:v>Anden væsentlig ulykke</c:v>
                </c:pt>
                <c:pt idx="4">
                  <c:v>Ulykke i overkørsel</c:v>
                </c:pt>
                <c:pt idx="5">
                  <c:v>Personpåkørsel</c:v>
                </c:pt>
              </c:strCache>
            </c:strRef>
          </c:cat>
          <c:val>
            <c:numRef>
              <c:f>Figur_2!$D$11:$D$16</c:f>
              <c:numCache>
                <c:formatCode>0.00E+00</c:formatCode>
                <c:ptCount val="6"/>
                <c:pt idx="0">
                  <c:v>7.1632853335535261E-3</c:v>
                </c:pt>
                <c:pt idx="1">
                  <c:v>4.7544013694940752E-3</c:v>
                </c:pt>
                <c:pt idx="2">
                  <c:v>9.5281901461348201E-3</c:v>
                </c:pt>
                <c:pt idx="3">
                  <c:v>2.1384109509086098E-2</c:v>
                </c:pt>
                <c:pt idx="4">
                  <c:v>6.2026706879214466E-2</c:v>
                </c:pt>
                <c:pt idx="5">
                  <c:v>0.13797995036518224</c:v>
                </c:pt>
              </c:numCache>
            </c:numRef>
          </c:val>
        </c:ser>
        <c:dLbls>
          <c:showLegendKey val="0"/>
          <c:showVal val="0"/>
          <c:showCatName val="0"/>
          <c:showSerName val="0"/>
          <c:showPercent val="0"/>
          <c:showBubbleSize val="0"/>
        </c:dLbls>
        <c:gapWidth val="150"/>
        <c:axId val="137914576"/>
        <c:axId val="137914968"/>
      </c:barChart>
      <c:catAx>
        <c:axId val="137914576"/>
        <c:scaling>
          <c:orientation val="minMax"/>
        </c:scaling>
        <c:delete val="0"/>
        <c:axPos val="l"/>
        <c:numFmt formatCode="0" sourceLinked="0"/>
        <c:majorTickMark val="out"/>
        <c:minorTickMark val="none"/>
        <c:tickLblPos val="nextTo"/>
        <c:spPr>
          <a:effectLst/>
        </c:spPr>
        <c:txPr>
          <a:bodyPr/>
          <a:lstStyle/>
          <a:p>
            <a:pPr>
              <a:defRPr sz="800" b="0" i="0" u="none" strike="noStrike" baseline="0">
                <a:latin typeface="Arial"/>
                <a:ea typeface="Arial"/>
                <a:cs typeface="Arial"/>
              </a:defRPr>
            </a:pPr>
            <a:endParaRPr lang="fr-FR"/>
          </a:p>
        </c:txPr>
        <c:crossAx val="137914968"/>
        <c:crosses val="autoZero"/>
        <c:auto val="1"/>
        <c:lblAlgn val="ctr"/>
        <c:lblOffset val="100"/>
        <c:noMultiLvlLbl val="0"/>
      </c:catAx>
      <c:valAx>
        <c:axId val="137914968"/>
        <c:scaling>
          <c:orientation val="minMax"/>
        </c:scaling>
        <c:delete val="0"/>
        <c:axPos val="b"/>
        <c:majorGridlines>
          <c:spPr>
            <a:ln w="3175">
              <a:solidFill>
                <a:srgbClr val="808080"/>
              </a:solidFill>
              <a:prstDash val="sysDash"/>
            </a:ln>
          </c:spPr>
        </c:majorGridlines>
        <c:numFmt formatCode="#,##0.00" sourceLinked="0"/>
        <c:majorTickMark val="out"/>
        <c:minorTickMark val="none"/>
        <c:tickLblPos val="nextTo"/>
        <c:spPr>
          <a:effectLst/>
        </c:spPr>
        <c:txPr>
          <a:bodyPr/>
          <a:lstStyle/>
          <a:p>
            <a:pPr>
              <a:defRPr sz="800" b="0" i="0" u="none" strike="noStrike" baseline="0">
                <a:latin typeface="Arial"/>
                <a:ea typeface="Arial"/>
                <a:cs typeface="Arial"/>
              </a:defRPr>
            </a:pPr>
            <a:endParaRPr lang="fr-FR"/>
          </a:p>
        </c:txPr>
        <c:crossAx val="137914576"/>
        <c:crosses val="autoZero"/>
        <c:crossBetween val="between"/>
      </c:valAx>
      <c:spPr>
        <a:solidFill>
          <a:srgbClr val="FFFFFF"/>
        </a:solidFill>
        <a:ln w="12700">
          <a:solidFill>
            <a:srgbClr val="808080"/>
          </a:solidFill>
          <a:prstDash val="solid"/>
        </a:ln>
      </c:spPr>
    </c:plotArea>
    <c:legend>
      <c:legendPos val="r"/>
      <c:layout>
        <c:manualLayout>
          <c:xMode val="edge"/>
          <c:yMode val="edge"/>
          <c:x val="0.7105285563312147"/>
          <c:y val="0.33525094644204656"/>
          <c:w val="0.23136626825238527"/>
          <c:h val="0.21098636932413373"/>
        </c:manualLayout>
      </c:layout>
      <c:overlay val="0"/>
      <c:txPr>
        <a:bodyPr/>
        <a:lstStyle/>
        <a:p>
          <a:pPr>
            <a:defRPr sz="800" b="0" i="0">
              <a:latin typeface="Arial"/>
              <a:ea typeface="Arial"/>
              <a:cs typeface="Arial"/>
            </a:defRPr>
          </a:pPr>
          <a:endParaRPr lang="fr-FR"/>
        </a:p>
      </c:txPr>
    </c:legend>
    <c:plotVisOnly val="1"/>
    <c:dispBlanksAs val="gap"/>
    <c:showDLblsOverMax val="0"/>
  </c:chart>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xMode val="edge"/>
          <c:yMode val="edge"/>
          <c:x val="8.666666666666667E-2"/>
          <c:y val="0.11229946524064172"/>
          <c:w val="0.88888888888888884"/>
          <c:h val="0.84848484848484851"/>
        </c:manualLayout>
      </c:layout>
      <c:scatterChart>
        <c:scatterStyle val="lineMarker"/>
        <c:varyColors val="0"/>
        <c:ser>
          <c:idx val="0"/>
          <c:order val="0"/>
          <c:tx>
            <c:v>Årligt</c:v>
          </c:tx>
          <c:spPr>
            <a:ln w="3175">
              <a:solidFill>
                <a:srgbClr val="333333"/>
              </a:solidFill>
              <a:prstDash val="solid"/>
            </a:ln>
            <a:effectLst/>
          </c:spPr>
          <c:marker>
            <c:symbol val="square"/>
            <c:size val="4"/>
            <c:spPr>
              <a:solidFill>
                <a:srgbClr val="000000"/>
              </a:solidFill>
              <a:ln>
                <a:solidFill>
                  <a:srgbClr val="000000"/>
                </a:solidFill>
                <a:prstDash val="solid"/>
              </a:ln>
            </c:spPr>
          </c:marker>
          <c:xVal>
            <c:numRef>
              <c:f>Figur_3!$C$5:$C$20</c:f>
              <c:numCache>
                <c:formatCode>General</c:formatCode>
                <c:ptCount val="16"/>
                <c:pt idx="0">
                  <c:v>1999</c:v>
                </c:pt>
                <c:pt idx="1">
                  <c:v>2000</c:v>
                </c:pt>
                <c:pt idx="2">
                  <c:v>2001</c:v>
                </c:pt>
                <c:pt idx="3">
                  <c:v>2002</c:v>
                </c:pt>
                <c:pt idx="4">
                  <c:v>2003</c:v>
                </c:pt>
                <c:pt idx="5">
                  <c:v>2004</c:v>
                </c:pt>
                <c:pt idx="6">
                  <c:v>2005</c:v>
                </c:pt>
                <c:pt idx="7">
                  <c:v>2006</c:v>
                </c:pt>
                <c:pt idx="8">
                  <c:v>2007</c:v>
                </c:pt>
                <c:pt idx="9">
                  <c:v>2008</c:v>
                </c:pt>
                <c:pt idx="10">
                  <c:v>2009</c:v>
                </c:pt>
                <c:pt idx="11">
                  <c:v>2010</c:v>
                </c:pt>
                <c:pt idx="12">
                  <c:v>2011</c:v>
                </c:pt>
                <c:pt idx="13">
                  <c:v>2012</c:v>
                </c:pt>
                <c:pt idx="14">
                  <c:v>2013</c:v>
                </c:pt>
                <c:pt idx="15">
                  <c:v>2014</c:v>
                </c:pt>
              </c:numCache>
            </c:numRef>
          </c:xVal>
          <c:yVal>
            <c:numRef>
              <c:f>Figur_3!$D$5:$D$20</c:f>
              <c:numCache>
                <c:formatCode>0.00E+00</c:formatCode>
                <c:ptCount val="16"/>
                <c:pt idx="0">
                  <c:v>0.13323572474377746</c:v>
                </c:pt>
                <c:pt idx="1">
                  <c:v>0.42898975109809667</c:v>
                </c:pt>
                <c:pt idx="2">
                  <c:v>0.28179190751445088</c:v>
                </c:pt>
                <c:pt idx="3">
                  <c:v>0.27982954545454541</c:v>
                </c:pt>
                <c:pt idx="4">
                  <c:v>0.17302452316076292</c:v>
                </c:pt>
                <c:pt idx="5">
                  <c:v>0.29566360052562418</c:v>
                </c:pt>
                <c:pt idx="6">
                  <c:v>0.22601010101010099</c:v>
                </c:pt>
                <c:pt idx="7">
                  <c:v>0.23850931677018633</c:v>
                </c:pt>
                <c:pt idx="8">
                  <c:v>0.11562897077509529</c:v>
                </c:pt>
                <c:pt idx="9">
                  <c:v>0.15764004301495749</c:v>
                </c:pt>
                <c:pt idx="10">
                  <c:v>0.20084965490377477</c:v>
                </c:pt>
                <c:pt idx="11">
                  <c:v>0.13007973405921039</c:v>
                </c:pt>
                <c:pt idx="12">
                  <c:v>8.6070695875680905E-2</c:v>
                </c:pt>
                <c:pt idx="13">
                  <c:v>0.14617430687019242</c:v>
                </c:pt>
                <c:pt idx="14">
                  <c:v>0.12533995506680856</c:v>
                </c:pt>
                <c:pt idx="15">
                  <c:v>0.17382050372472507</c:v>
                </c:pt>
              </c:numCache>
            </c:numRef>
          </c:yVal>
          <c:smooth val="0"/>
        </c:ser>
        <c:ser>
          <c:idx val="1"/>
          <c:order val="1"/>
          <c:tx>
            <c:v>5-årigt gennemsnit</c:v>
          </c:tx>
          <c:spPr>
            <a:ln w="3175">
              <a:solidFill>
                <a:srgbClr val="333333"/>
              </a:solidFill>
              <a:prstDash val="solid"/>
            </a:ln>
            <a:effectLst/>
          </c:spPr>
          <c:marker>
            <c:symbol val="circle"/>
            <c:size val="4"/>
            <c:spPr>
              <a:solidFill>
                <a:srgbClr val="FFFF00"/>
              </a:solidFill>
              <a:ln>
                <a:solidFill>
                  <a:srgbClr val="000000"/>
                </a:solidFill>
                <a:prstDash val="solid"/>
              </a:ln>
            </c:spPr>
          </c:marker>
          <c:xVal>
            <c:numRef>
              <c:f>Figur_3!$C$21:$C$32</c:f>
              <c:numCache>
                <c:formatCode>General</c:formatCode>
                <c:ptCount val="12"/>
                <c:pt idx="0">
                  <c:v>2003</c:v>
                </c:pt>
                <c:pt idx="1">
                  <c:v>2004</c:v>
                </c:pt>
                <c:pt idx="2">
                  <c:v>2005</c:v>
                </c:pt>
                <c:pt idx="3">
                  <c:v>2006</c:v>
                </c:pt>
                <c:pt idx="4">
                  <c:v>2007</c:v>
                </c:pt>
                <c:pt idx="5">
                  <c:v>2008</c:v>
                </c:pt>
                <c:pt idx="6">
                  <c:v>2009</c:v>
                </c:pt>
                <c:pt idx="7">
                  <c:v>2010</c:v>
                </c:pt>
                <c:pt idx="8">
                  <c:v>2011</c:v>
                </c:pt>
                <c:pt idx="9">
                  <c:v>2012</c:v>
                </c:pt>
                <c:pt idx="10">
                  <c:v>2013</c:v>
                </c:pt>
                <c:pt idx="11">
                  <c:v>2014</c:v>
                </c:pt>
              </c:numCache>
            </c:numRef>
          </c:xVal>
          <c:yVal>
            <c:numRef>
              <c:f>Figur_3!$D$21:$D$32</c:f>
              <c:numCache>
                <c:formatCode>0.00E+00</c:formatCode>
                <c:ptCount val="12"/>
                <c:pt idx="0">
                  <c:v>0.25937429039432669</c:v>
                </c:pt>
                <c:pt idx="1">
                  <c:v>0.29185986555069598</c:v>
                </c:pt>
                <c:pt idx="2">
                  <c:v>0.25126393553309689</c:v>
                </c:pt>
                <c:pt idx="3">
                  <c:v>0.24260741738424399</c:v>
                </c:pt>
                <c:pt idx="4">
                  <c:v>0.20976730244835395</c:v>
                </c:pt>
                <c:pt idx="5">
                  <c:v>0.20669040641919284</c:v>
                </c:pt>
                <c:pt idx="6">
                  <c:v>0.18772761729482296</c:v>
                </c:pt>
                <c:pt idx="7">
                  <c:v>0.16854154390464485</c:v>
                </c:pt>
                <c:pt idx="8">
                  <c:v>0.13805381972574376</c:v>
                </c:pt>
                <c:pt idx="9">
                  <c:v>0.1441628869447632</c:v>
                </c:pt>
                <c:pt idx="10">
                  <c:v>0.13770286935513343</c:v>
                </c:pt>
                <c:pt idx="11">
                  <c:v>0.13229703911932347</c:v>
                </c:pt>
              </c:numCache>
            </c:numRef>
          </c:yVal>
          <c:smooth val="0"/>
        </c:ser>
        <c:dLbls>
          <c:showLegendKey val="0"/>
          <c:showVal val="0"/>
          <c:showCatName val="0"/>
          <c:showSerName val="0"/>
          <c:showPercent val="0"/>
          <c:showBubbleSize val="0"/>
        </c:dLbls>
        <c:axId val="137915752"/>
        <c:axId val="181878008"/>
      </c:scatterChart>
      <c:valAx>
        <c:axId val="137915752"/>
        <c:scaling>
          <c:orientation val="minMax"/>
        </c:scaling>
        <c:delete val="0"/>
        <c:axPos val="b"/>
        <c:numFmt formatCode="0" sourceLinked="0"/>
        <c:majorTickMark val="out"/>
        <c:minorTickMark val="none"/>
        <c:tickLblPos val="nextTo"/>
        <c:spPr>
          <a:effectLst/>
        </c:spPr>
        <c:txPr>
          <a:bodyPr/>
          <a:lstStyle/>
          <a:p>
            <a:pPr>
              <a:defRPr sz="800" b="0" i="0" u="none" strike="noStrike" baseline="0">
                <a:latin typeface="Arial"/>
                <a:ea typeface="Arial"/>
                <a:cs typeface="Arial"/>
              </a:defRPr>
            </a:pPr>
            <a:endParaRPr lang="fr-FR"/>
          </a:p>
        </c:txPr>
        <c:crossAx val="181878008"/>
        <c:crosses val="autoZero"/>
        <c:crossBetween val="midCat"/>
      </c:valAx>
      <c:valAx>
        <c:axId val="181878008"/>
        <c:scaling>
          <c:orientation val="minMax"/>
        </c:scaling>
        <c:delete val="0"/>
        <c:axPos val="l"/>
        <c:majorGridlines>
          <c:spPr>
            <a:ln w="3175">
              <a:solidFill>
                <a:srgbClr val="808080"/>
              </a:solidFill>
              <a:prstDash val="sysDash"/>
            </a:ln>
          </c:spPr>
        </c:majorGridlines>
        <c:numFmt formatCode="#,##0.00" sourceLinked="0"/>
        <c:majorTickMark val="out"/>
        <c:minorTickMark val="none"/>
        <c:tickLblPos val="nextTo"/>
        <c:spPr>
          <a:effectLst/>
        </c:spPr>
        <c:txPr>
          <a:bodyPr/>
          <a:lstStyle/>
          <a:p>
            <a:pPr>
              <a:defRPr sz="800" b="0" i="0" u="none" strike="noStrike" baseline="0">
                <a:latin typeface="Arial"/>
                <a:ea typeface="Arial"/>
                <a:cs typeface="Arial"/>
              </a:defRPr>
            </a:pPr>
            <a:endParaRPr lang="fr-FR"/>
          </a:p>
        </c:txPr>
        <c:crossAx val="137915752"/>
        <c:crosses val="autoZero"/>
        <c:crossBetween val="midCat"/>
      </c:valAx>
      <c:spPr>
        <a:solidFill>
          <a:srgbClr val="FFFFFF"/>
        </a:solidFill>
        <a:ln w="12700">
          <a:solidFill>
            <a:srgbClr val="808080"/>
          </a:solidFill>
          <a:prstDash val="solid"/>
        </a:ln>
      </c:spPr>
    </c:plotArea>
    <c:legend>
      <c:legendPos val="r"/>
      <c:layout>
        <c:manualLayout>
          <c:xMode val="edge"/>
          <c:yMode val="edge"/>
          <c:x val="0.64193818872829933"/>
          <c:y val="0.18726052389427869"/>
          <c:w val="0.23406841344932691"/>
          <c:h val="0.19885535436254859"/>
        </c:manualLayout>
      </c:layout>
      <c:overlay val="0"/>
      <c:txPr>
        <a:bodyPr/>
        <a:lstStyle/>
        <a:p>
          <a:pPr>
            <a:defRPr sz="800" b="0" i="0">
              <a:latin typeface="Arial"/>
              <a:ea typeface="Arial"/>
              <a:cs typeface="Arial"/>
            </a:defRPr>
          </a:pPr>
          <a:endParaRPr lang="fr-FR"/>
        </a:p>
      </c:txPr>
    </c:legend>
    <c:plotVisOnly val="1"/>
    <c:dispBlanksAs val="gap"/>
    <c:showDLblsOverMax val="0"/>
  </c:chart>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7.9024356359991874E-2"/>
          <c:y val="0.1282263112832821"/>
          <c:w val="0.86320643891287785"/>
          <c:h val="0.77814925540724522"/>
        </c:manualLayout>
      </c:layout>
      <c:scatterChart>
        <c:scatterStyle val="lineMarker"/>
        <c:varyColors val="0"/>
        <c:ser>
          <c:idx val="0"/>
          <c:order val="0"/>
          <c:tx>
            <c:v>Dræbte årligt</c:v>
          </c:tx>
          <c:spPr>
            <a:ln w="3175">
              <a:solidFill>
                <a:srgbClr val="333333"/>
              </a:solidFill>
              <a:prstDash val="solid"/>
            </a:ln>
            <a:effectLst/>
          </c:spPr>
          <c:marker>
            <c:symbol val="square"/>
            <c:size val="4"/>
            <c:spPr>
              <a:solidFill>
                <a:srgbClr val="000000"/>
              </a:solidFill>
              <a:ln>
                <a:solidFill>
                  <a:srgbClr val="000000"/>
                </a:solidFill>
                <a:prstDash val="solid"/>
              </a:ln>
            </c:spPr>
          </c:marker>
          <c:xVal>
            <c:numRef>
              <c:f>Figur_4!$C$5:$C$20</c:f>
              <c:numCache>
                <c:formatCode>General</c:formatCode>
                <c:ptCount val="16"/>
                <c:pt idx="0">
                  <c:v>1999</c:v>
                </c:pt>
                <c:pt idx="1">
                  <c:v>2000</c:v>
                </c:pt>
                <c:pt idx="2">
                  <c:v>2001</c:v>
                </c:pt>
                <c:pt idx="3">
                  <c:v>2002</c:v>
                </c:pt>
                <c:pt idx="4">
                  <c:v>2003</c:v>
                </c:pt>
                <c:pt idx="5">
                  <c:v>2004</c:v>
                </c:pt>
                <c:pt idx="6">
                  <c:v>2005</c:v>
                </c:pt>
                <c:pt idx="7">
                  <c:v>2006</c:v>
                </c:pt>
                <c:pt idx="8">
                  <c:v>2007</c:v>
                </c:pt>
                <c:pt idx="9">
                  <c:v>2008</c:v>
                </c:pt>
                <c:pt idx="10">
                  <c:v>2009</c:v>
                </c:pt>
                <c:pt idx="11">
                  <c:v>2010</c:v>
                </c:pt>
                <c:pt idx="12">
                  <c:v>2011</c:v>
                </c:pt>
                <c:pt idx="13">
                  <c:v>2012</c:v>
                </c:pt>
                <c:pt idx="14">
                  <c:v>2013</c:v>
                </c:pt>
                <c:pt idx="15">
                  <c:v>2014</c:v>
                </c:pt>
              </c:numCache>
            </c:numRef>
          </c:xVal>
          <c:yVal>
            <c:numRef>
              <c:f>Figur_4!$D$5:$D$20</c:f>
              <c:numCache>
                <c:formatCode>0.00E+00</c:formatCode>
                <c:ptCount val="16"/>
                <c:pt idx="0">
                  <c:v>3</c:v>
                </c:pt>
                <c:pt idx="1">
                  <c:v>12</c:v>
                </c:pt>
                <c:pt idx="2">
                  <c:v>16</c:v>
                </c:pt>
                <c:pt idx="3">
                  <c:v>22</c:v>
                </c:pt>
                <c:pt idx="4">
                  <c:v>20</c:v>
                </c:pt>
                <c:pt idx="5">
                  <c:v>11</c:v>
                </c:pt>
                <c:pt idx="6">
                  <c:v>14</c:v>
                </c:pt>
                <c:pt idx="7">
                  <c:v>21</c:v>
                </c:pt>
                <c:pt idx="8">
                  <c:v>32</c:v>
                </c:pt>
                <c:pt idx="9">
                  <c:v>24</c:v>
                </c:pt>
                <c:pt idx="10">
                  <c:v>32</c:v>
                </c:pt>
                <c:pt idx="11">
                  <c:v>23</c:v>
                </c:pt>
                <c:pt idx="12">
                  <c:v>26</c:v>
                </c:pt>
                <c:pt idx="13">
                  <c:v>44</c:v>
                </c:pt>
                <c:pt idx="14">
                  <c:v>29</c:v>
                </c:pt>
                <c:pt idx="15">
                  <c:v>31</c:v>
                </c:pt>
              </c:numCache>
            </c:numRef>
          </c:yVal>
          <c:smooth val="0"/>
        </c:ser>
        <c:ser>
          <c:idx val="1"/>
          <c:order val="1"/>
          <c:tx>
            <c:v>Dræbte 5-årigt gennemsnit</c:v>
          </c:tx>
          <c:spPr>
            <a:ln w="3175">
              <a:solidFill>
                <a:srgbClr val="333333"/>
              </a:solidFill>
              <a:prstDash val="solid"/>
            </a:ln>
            <a:effectLst/>
          </c:spPr>
          <c:marker>
            <c:symbol val="circle"/>
            <c:size val="4"/>
            <c:spPr>
              <a:solidFill>
                <a:srgbClr val="FFFF00"/>
              </a:solidFill>
              <a:ln>
                <a:solidFill>
                  <a:srgbClr val="000000"/>
                </a:solidFill>
                <a:prstDash val="solid"/>
              </a:ln>
            </c:spPr>
          </c:marker>
          <c:xVal>
            <c:numRef>
              <c:f>Figur_4!$C$21:$C$32</c:f>
              <c:numCache>
                <c:formatCode>General</c:formatCode>
                <c:ptCount val="12"/>
                <c:pt idx="0">
                  <c:v>2003</c:v>
                </c:pt>
                <c:pt idx="1">
                  <c:v>2004</c:v>
                </c:pt>
                <c:pt idx="2">
                  <c:v>2005</c:v>
                </c:pt>
                <c:pt idx="3">
                  <c:v>2006</c:v>
                </c:pt>
                <c:pt idx="4">
                  <c:v>2007</c:v>
                </c:pt>
                <c:pt idx="5">
                  <c:v>2008</c:v>
                </c:pt>
                <c:pt idx="6">
                  <c:v>2009</c:v>
                </c:pt>
                <c:pt idx="7">
                  <c:v>2010</c:v>
                </c:pt>
                <c:pt idx="8">
                  <c:v>2011</c:v>
                </c:pt>
                <c:pt idx="9">
                  <c:v>2012</c:v>
                </c:pt>
                <c:pt idx="10">
                  <c:v>2013</c:v>
                </c:pt>
                <c:pt idx="11">
                  <c:v>2014</c:v>
                </c:pt>
              </c:numCache>
            </c:numRef>
          </c:xVal>
          <c:yVal>
            <c:numRef>
              <c:f>Figur_4!$D$21:$D$32</c:f>
              <c:numCache>
                <c:formatCode>0.00E+00</c:formatCode>
                <c:ptCount val="12"/>
                <c:pt idx="0">
                  <c:v>14.6</c:v>
                </c:pt>
                <c:pt idx="1">
                  <c:v>16.2</c:v>
                </c:pt>
                <c:pt idx="2">
                  <c:v>16.600000000000001</c:v>
                </c:pt>
                <c:pt idx="3">
                  <c:v>17.600000000000001</c:v>
                </c:pt>
                <c:pt idx="4">
                  <c:v>19.600000000000001</c:v>
                </c:pt>
                <c:pt idx="5">
                  <c:v>20.399999999999999</c:v>
                </c:pt>
                <c:pt idx="6">
                  <c:v>24.6</c:v>
                </c:pt>
                <c:pt idx="7">
                  <c:v>26.4</c:v>
                </c:pt>
                <c:pt idx="8">
                  <c:v>27.4</c:v>
                </c:pt>
                <c:pt idx="9">
                  <c:v>29.8</c:v>
                </c:pt>
                <c:pt idx="10">
                  <c:v>30.8</c:v>
                </c:pt>
                <c:pt idx="11">
                  <c:v>30.6</c:v>
                </c:pt>
              </c:numCache>
            </c:numRef>
          </c:yVal>
          <c:smooth val="0"/>
        </c:ser>
        <c:dLbls>
          <c:showLegendKey val="0"/>
          <c:showVal val="0"/>
          <c:showCatName val="0"/>
          <c:showSerName val="0"/>
          <c:showPercent val="0"/>
          <c:showBubbleSize val="0"/>
        </c:dLbls>
        <c:axId val="181879184"/>
        <c:axId val="181879576"/>
      </c:scatterChart>
      <c:valAx>
        <c:axId val="181879184"/>
        <c:scaling>
          <c:orientation val="minMax"/>
        </c:scaling>
        <c:delete val="0"/>
        <c:axPos val="b"/>
        <c:numFmt formatCode="0" sourceLinked="0"/>
        <c:majorTickMark val="out"/>
        <c:minorTickMark val="none"/>
        <c:tickLblPos val="nextTo"/>
        <c:spPr>
          <a:effectLst/>
        </c:spPr>
        <c:txPr>
          <a:bodyPr/>
          <a:lstStyle/>
          <a:p>
            <a:pPr>
              <a:defRPr sz="800" b="0" i="0" u="none" strike="noStrike" baseline="0">
                <a:latin typeface="Arial"/>
                <a:ea typeface="Arial"/>
                <a:cs typeface="Arial"/>
              </a:defRPr>
            </a:pPr>
            <a:endParaRPr lang="fr-FR"/>
          </a:p>
        </c:txPr>
        <c:crossAx val="181879576"/>
        <c:crosses val="autoZero"/>
        <c:crossBetween val="midCat"/>
      </c:valAx>
      <c:valAx>
        <c:axId val="181879576"/>
        <c:scaling>
          <c:orientation val="minMax"/>
        </c:scaling>
        <c:delete val="0"/>
        <c:axPos val="l"/>
        <c:majorGridlines>
          <c:spPr>
            <a:ln w="3175">
              <a:solidFill>
                <a:srgbClr val="808080"/>
              </a:solidFill>
              <a:prstDash val="sysDash"/>
            </a:ln>
          </c:spPr>
        </c:majorGridlines>
        <c:numFmt formatCode="#,##0" sourceLinked="0"/>
        <c:majorTickMark val="out"/>
        <c:minorTickMark val="none"/>
        <c:tickLblPos val="nextTo"/>
        <c:spPr>
          <a:effectLst/>
        </c:spPr>
        <c:txPr>
          <a:bodyPr/>
          <a:lstStyle/>
          <a:p>
            <a:pPr>
              <a:defRPr sz="800" b="0" i="0" u="none" strike="noStrike" baseline="0">
                <a:latin typeface="Arial"/>
                <a:ea typeface="Arial"/>
                <a:cs typeface="Arial"/>
              </a:defRPr>
            </a:pPr>
            <a:endParaRPr lang="fr-FR"/>
          </a:p>
        </c:txPr>
        <c:crossAx val="181879184"/>
        <c:crosses val="autoZero"/>
        <c:crossBetween val="midCat"/>
      </c:valAx>
      <c:spPr>
        <a:solidFill>
          <a:srgbClr val="FFFFFF"/>
        </a:solidFill>
        <a:ln w="12700">
          <a:solidFill>
            <a:srgbClr val="808080"/>
          </a:solidFill>
          <a:prstDash val="solid"/>
        </a:ln>
      </c:spPr>
    </c:plotArea>
    <c:legend>
      <c:legendPos val="r"/>
      <c:layout>
        <c:manualLayout>
          <c:xMode val="edge"/>
          <c:yMode val="edge"/>
          <c:x val="0.15494356211144683"/>
          <c:y val="0.12897688739170443"/>
          <c:w val="0.34617709391668783"/>
          <c:h val="0.17063530220873624"/>
        </c:manualLayout>
      </c:layout>
      <c:overlay val="0"/>
      <c:txPr>
        <a:bodyPr/>
        <a:lstStyle/>
        <a:p>
          <a:pPr>
            <a:defRPr sz="800" b="0" i="0">
              <a:latin typeface="Arial"/>
              <a:ea typeface="Arial"/>
              <a:cs typeface="Arial"/>
            </a:defRPr>
          </a:pPr>
          <a:endParaRPr lang="fr-FR"/>
        </a:p>
      </c:txPr>
    </c:legend>
    <c:plotVisOnly val="1"/>
    <c:dispBlanksAs val="gap"/>
    <c:showDLblsOverMax val="0"/>
  </c:chart>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xMode val="edge"/>
          <c:yMode val="edge"/>
          <c:x val="8.666666666666667E-2"/>
          <c:y val="0.15329768270944741"/>
          <c:w val="0.88888888888888884"/>
          <c:h val="0.80748663101604279"/>
        </c:manualLayout>
      </c:layout>
      <c:barChart>
        <c:barDir val="bar"/>
        <c:grouping val="clustered"/>
        <c:varyColors val="0"/>
        <c:ser>
          <c:idx val="0"/>
          <c:order val="0"/>
          <c:tx>
            <c:v>Årligt</c:v>
          </c:tx>
          <c:spPr>
            <a:solidFill>
              <a:srgbClr val="000000"/>
            </a:solidFill>
            <a:ln w="12700">
              <a:solidFill>
                <a:srgbClr val="000000"/>
              </a:solidFill>
              <a:prstDash val="solid"/>
            </a:ln>
          </c:spPr>
          <c:invertIfNegative val="0"/>
          <c:cat>
            <c:strRef>
              <c:f>Figur_8!$F$5:$F$10</c:f>
              <c:strCache>
                <c:ptCount val="6"/>
                <c:pt idx="0">
                  <c:v>Afsporing</c:v>
                </c:pt>
                <c:pt idx="1">
                  <c:v>Ulykke i overkørsel</c:v>
                </c:pt>
                <c:pt idx="2">
                  <c:v>Personpåkørsel</c:v>
                </c:pt>
                <c:pt idx="3">
                  <c:v>Brand</c:v>
                </c:pt>
                <c:pt idx="4">
                  <c:v>Anden ikke væsentlig ulykke</c:v>
                </c:pt>
                <c:pt idx="5">
                  <c:v>Kollision</c:v>
                </c:pt>
              </c:strCache>
            </c:strRef>
          </c:cat>
          <c:val>
            <c:numRef>
              <c:f>Figur_8!$D$5:$D$10</c:f>
              <c:numCache>
                <c:formatCode>0.00E+00</c:formatCode>
                <c:ptCount val="6"/>
                <c:pt idx="0">
                  <c:v>1.1824524062906469E-2</c:v>
                </c:pt>
                <c:pt idx="1">
                  <c:v>3.547357218871941E-2</c:v>
                </c:pt>
                <c:pt idx="2">
                  <c:v>0.50845453470497814</c:v>
                </c:pt>
                <c:pt idx="3">
                  <c:v>0.74494501596310758</c:v>
                </c:pt>
                <c:pt idx="4">
                  <c:v>0.9223128769067046</c:v>
                </c:pt>
                <c:pt idx="5">
                  <c:v>1.6199597966181862</c:v>
                </c:pt>
              </c:numCache>
            </c:numRef>
          </c:val>
        </c:ser>
        <c:ser>
          <c:idx val="1"/>
          <c:order val="1"/>
          <c:tx>
            <c:v>5-årigt gennemsnit</c:v>
          </c:tx>
          <c:spPr>
            <a:solidFill>
              <a:srgbClr val="FFFF00"/>
            </a:solidFill>
            <a:ln w="12700">
              <a:solidFill>
                <a:srgbClr val="000000"/>
              </a:solidFill>
              <a:prstDash val="solid"/>
            </a:ln>
          </c:spPr>
          <c:invertIfNegative val="0"/>
          <c:cat>
            <c:strRef>
              <c:f>Figur_8!$F$11:$F$16</c:f>
              <c:strCache>
                <c:ptCount val="6"/>
                <c:pt idx="0">
                  <c:v>Afsporing</c:v>
                </c:pt>
                <c:pt idx="1">
                  <c:v>Ulykke i overkørsel</c:v>
                </c:pt>
                <c:pt idx="2">
                  <c:v>Personpåkørsel</c:v>
                </c:pt>
                <c:pt idx="3">
                  <c:v>Brand</c:v>
                </c:pt>
                <c:pt idx="4">
                  <c:v>Anden ikke væsentlig ulykke</c:v>
                </c:pt>
                <c:pt idx="5">
                  <c:v>Kollision</c:v>
                </c:pt>
              </c:strCache>
            </c:strRef>
          </c:cat>
          <c:val>
            <c:numRef>
              <c:f>Figur_8!$D$11:$D$16</c:f>
              <c:numCache>
                <c:formatCode>0.00E+00</c:formatCode>
                <c:ptCount val="6"/>
                <c:pt idx="0">
                  <c:v>0.23467033659090189</c:v>
                </c:pt>
                <c:pt idx="1">
                  <c:v>9.5434825541457852E-2</c:v>
                </c:pt>
                <c:pt idx="2">
                  <c:v>0.62600969898899339</c:v>
                </c:pt>
                <c:pt idx="3">
                  <c:v>0.95377750908549697</c:v>
                </c:pt>
                <c:pt idx="4">
                  <c:v>0.87523900973377133</c:v>
                </c:pt>
                <c:pt idx="5">
                  <c:v>1.5707942205057319</c:v>
                </c:pt>
              </c:numCache>
            </c:numRef>
          </c:val>
        </c:ser>
        <c:dLbls>
          <c:showLegendKey val="0"/>
          <c:showVal val="0"/>
          <c:showCatName val="0"/>
          <c:showSerName val="0"/>
          <c:showPercent val="0"/>
          <c:showBubbleSize val="0"/>
        </c:dLbls>
        <c:gapWidth val="150"/>
        <c:axId val="181880360"/>
        <c:axId val="181880752"/>
      </c:barChart>
      <c:catAx>
        <c:axId val="181880360"/>
        <c:scaling>
          <c:orientation val="minMax"/>
        </c:scaling>
        <c:delete val="0"/>
        <c:axPos val="l"/>
        <c:numFmt formatCode="0" sourceLinked="0"/>
        <c:majorTickMark val="out"/>
        <c:minorTickMark val="none"/>
        <c:tickLblPos val="nextTo"/>
        <c:spPr>
          <a:effectLst/>
        </c:spPr>
        <c:txPr>
          <a:bodyPr/>
          <a:lstStyle/>
          <a:p>
            <a:pPr>
              <a:defRPr sz="800" b="0" i="0" u="none" strike="noStrike" baseline="0">
                <a:latin typeface="Arial"/>
                <a:ea typeface="Arial"/>
                <a:cs typeface="Arial"/>
              </a:defRPr>
            </a:pPr>
            <a:endParaRPr lang="fr-FR"/>
          </a:p>
        </c:txPr>
        <c:crossAx val="181880752"/>
        <c:crosses val="autoZero"/>
        <c:auto val="1"/>
        <c:lblAlgn val="ctr"/>
        <c:lblOffset val="100"/>
        <c:noMultiLvlLbl val="0"/>
      </c:catAx>
      <c:valAx>
        <c:axId val="181880752"/>
        <c:scaling>
          <c:orientation val="minMax"/>
        </c:scaling>
        <c:delete val="0"/>
        <c:axPos val="b"/>
        <c:majorGridlines>
          <c:spPr>
            <a:ln w="3175">
              <a:solidFill>
                <a:srgbClr val="808080"/>
              </a:solidFill>
              <a:prstDash val="sysDash"/>
            </a:ln>
          </c:spPr>
        </c:majorGridlines>
        <c:numFmt formatCode="#,##0.00" sourceLinked="0"/>
        <c:majorTickMark val="out"/>
        <c:minorTickMark val="none"/>
        <c:tickLblPos val="nextTo"/>
        <c:spPr>
          <a:effectLst/>
        </c:spPr>
        <c:txPr>
          <a:bodyPr/>
          <a:lstStyle/>
          <a:p>
            <a:pPr>
              <a:defRPr sz="800" b="0" i="0" u="none" strike="noStrike" baseline="0">
                <a:latin typeface="Arial"/>
                <a:ea typeface="Arial"/>
                <a:cs typeface="Arial"/>
              </a:defRPr>
            </a:pPr>
            <a:endParaRPr lang="fr-FR"/>
          </a:p>
        </c:txPr>
        <c:crossAx val="181880360"/>
        <c:crosses val="autoZero"/>
        <c:crossBetween val="between"/>
      </c:valAx>
      <c:spPr>
        <a:solidFill>
          <a:srgbClr val="FFFFFF"/>
        </a:solidFill>
        <a:ln w="12700">
          <a:solidFill>
            <a:srgbClr val="808080"/>
          </a:solidFill>
          <a:prstDash val="solid"/>
        </a:ln>
      </c:spPr>
    </c:plotArea>
    <c:legend>
      <c:legendPos val="r"/>
      <c:layout>
        <c:manualLayout>
          <c:xMode val="edge"/>
          <c:yMode val="edge"/>
          <c:x val="0.74896692913385832"/>
          <c:y val="0.34224598930481281"/>
          <c:w val="0.17847069116360453"/>
          <c:h val="0.17002203601555152"/>
        </c:manualLayout>
      </c:layout>
      <c:overlay val="0"/>
      <c:txPr>
        <a:bodyPr/>
        <a:lstStyle/>
        <a:p>
          <a:pPr>
            <a:defRPr sz="800" b="0" i="0">
              <a:latin typeface="Arial"/>
              <a:ea typeface="Arial"/>
              <a:cs typeface="Arial"/>
            </a:defRPr>
          </a:pPr>
          <a:endParaRPr lang="fr-FR"/>
        </a:p>
      </c:txPr>
    </c:legend>
    <c:plotVisOnly val="1"/>
    <c:dispBlanksAs val="gap"/>
    <c:showDLblsOverMax val="0"/>
  </c:chart>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xMode val="edge"/>
          <c:yMode val="edge"/>
          <c:x val="8.666666666666667E-2"/>
          <c:y val="0.15329768270944741"/>
          <c:w val="0.88888888888888884"/>
          <c:h val="0.80748663101604279"/>
        </c:manualLayout>
      </c:layout>
      <c:barChart>
        <c:barDir val="bar"/>
        <c:grouping val="clustered"/>
        <c:varyColors val="0"/>
        <c:ser>
          <c:idx val="0"/>
          <c:order val="0"/>
          <c:tx>
            <c:v>I alt</c:v>
          </c:tx>
          <c:spPr>
            <a:solidFill>
              <a:srgbClr val="000000"/>
            </a:solidFill>
            <a:ln w="12700">
              <a:solidFill>
                <a:srgbClr val="000000"/>
              </a:solidFill>
              <a:prstDash val="solid"/>
            </a:ln>
          </c:spPr>
          <c:invertIfNegative val="0"/>
          <c:cat>
            <c:strRef>
              <c:f>Figur_9!$F$5:$F$9</c:f>
              <c:strCache>
                <c:ptCount val="5"/>
                <c:pt idx="0">
                  <c:v>Solkurver</c:v>
                </c:pt>
                <c:pt idx="1">
                  <c:v>Defekte hjul og aksler</c:v>
                </c:pt>
                <c:pt idx="2">
                  <c:v>Skinnebrud</c:v>
                </c:pt>
                <c:pt idx="3">
                  <c:v>Signalfejl</c:v>
                </c:pt>
                <c:pt idx="4">
                  <c:v>Signalforbikørsler</c:v>
                </c:pt>
              </c:strCache>
            </c:strRef>
          </c:cat>
          <c:val>
            <c:numRef>
              <c:f>Figur_9!$D$5:$D$9</c:f>
              <c:numCache>
                <c:formatCode>0.00E+00</c:formatCode>
                <c:ptCount val="5"/>
                <c:pt idx="0">
                  <c:v>3.547357218871941E-2</c:v>
                </c:pt>
                <c:pt idx="1">
                  <c:v>5.9122620314532345E-2</c:v>
                </c:pt>
                <c:pt idx="2">
                  <c:v>0.4138583422017264</c:v>
                </c:pt>
                <c:pt idx="3">
                  <c:v>0.56757715501951056</c:v>
                </c:pt>
                <c:pt idx="4">
                  <c:v>1.6790824169327185</c:v>
                </c:pt>
              </c:numCache>
            </c:numRef>
          </c:val>
        </c:ser>
        <c:ser>
          <c:idx val="1"/>
          <c:order val="1"/>
          <c:tx>
            <c:v>5-årgt gennemsnit</c:v>
          </c:tx>
          <c:spPr>
            <a:solidFill>
              <a:srgbClr val="FFFF00"/>
            </a:solidFill>
            <a:ln w="12700">
              <a:solidFill>
                <a:srgbClr val="000000"/>
              </a:solidFill>
              <a:prstDash val="solid"/>
            </a:ln>
          </c:spPr>
          <c:invertIfNegative val="0"/>
          <c:cat>
            <c:strRef>
              <c:f>Figur_9!$F$10:$F$14</c:f>
              <c:strCache>
                <c:ptCount val="5"/>
                <c:pt idx="0">
                  <c:v>Solkurver</c:v>
                </c:pt>
                <c:pt idx="1">
                  <c:v>Defekte hjul eller aksler</c:v>
                </c:pt>
                <c:pt idx="2">
                  <c:v>Skinnebrud</c:v>
                </c:pt>
                <c:pt idx="3">
                  <c:v>Signalfejl</c:v>
                </c:pt>
                <c:pt idx="4">
                  <c:v>Signalforbikørsler</c:v>
                </c:pt>
              </c:strCache>
            </c:strRef>
          </c:cat>
          <c:val>
            <c:numRef>
              <c:f>Figur_9!$D$10:$D$14</c:f>
              <c:numCache>
                <c:formatCode>0.00E+00</c:formatCode>
                <c:ptCount val="5"/>
                <c:pt idx="0">
                  <c:v>3.0975666213845749E-2</c:v>
                </c:pt>
                <c:pt idx="1">
                  <c:v>9.7650540049662921E-2</c:v>
                </c:pt>
                <c:pt idx="2">
                  <c:v>0.49310093536906985</c:v>
                </c:pt>
                <c:pt idx="3">
                  <c:v>0.58796322537561374</c:v>
                </c:pt>
                <c:pt idx="4">
                  <c:v>2.3169425129387657</c:v>
                </c:pt>
              </c:numCache>
            </c:numRef>
          </c:val>
        </c:ser>
        <c:dLbls>
          <c:showLegendKey val="0"/>
          <c:showVal val="0"/>
          <c:showCatName val="0"/>
          <c:showSerName val="0"/>
          <c:showPercent val="0"/>
          <c:showBubbleSize val="0"/>
        </c:dLbls>
        <c:gapWidth val="150"/>
        <c:axId val="181881536"/>
        <c:axId val="181881928"/>
      </c:barChart>
      <c:catAx>
        <c:axId val="181881536"/>
        <c:scaling>
          <c:orientation val="minMax"/>
        </c:scaling>
        <c:delete val="0"/>
        <c:axPos val="l"/>
        <c:numFmt formatCode="0" sourceLinked="0"/>
        <c:majorTickMark val="out"/>
        <c:minorTickMark val="none"/>
        <c:tickLblPos val="nextTo"/>
        <c:spPr>
          <a:effectLst/>
        </c:spPr>
        <c:txPr>
          <a:bodyPr/>
          <a:lstStyle/>
          <a:p>
            <a:pPr>
              <a:defRPr sz="800" b="0" i="0" u="none" strike="noStrike" baseline="0">
                <a:latin typeface="Arial"/>
                <a:ea typeface="Arial"/>
                <a:cs typeface="Arial"/>
              </a:defRPr>
            </a:pPr>
            <a:endParaRPr lang="fr-FR"/>
          </a:p>
        </c:txPr>
        <c:crossAx val="181881928"/>
        <c:crosses val="autoZero"/>
        <c:auto val="1"/>
        <c:lblAlgn val="ctr"/>
        <c:lblOffset val="100"/>
        <c:noMultiLvlLbl val="0"/>
      </c:catAx>
      <c:valAx>
        <c:axId val="181881928"/>
        <c:scaling>
          <c:orientation val="minMax"/>
        </c:scaling>
        <c:delete val="0"/>
        <c:axPos val="b"/>
        <c:majorGridlines>
          <c:spPr>
            <a:ln w="3175">
              <a:solidFill>
                <a:srgbClr val="808080"/>
              </a:solidFill>
              <a:prstDash val="sysDash"/>
            </a:ln>
          </c:spPr>
        </c:majorGridlines>
        <c:numFmt formatCode="#,##0.00" sourceLinked="0"/>
        <c:majorTickMark val="out"/>
        <c:minorTickMark val="none"/>
        <c:tickLblPos val="nextTo"/>
        <c:spPr>
          <a:effectLst/>
        </c:spPr>
        <c:txPr>
          <a:bodyPr/>
          <a:lstStyle/>
          <a:p>
            <a:pPr>
              <a:defRPr sz="800" b="0" i="0" u="none" strike="noStrike" baseline="0">
                <a:latin typeface="Arial"/>
                <a:ea typeface="Arial"/>
                <a:cs typeface="Arial"/>
              </a:defRPr>
            </a:pPr>
            <a:endParaRPr lang="fr-FR"/>
          </a:p>
        </c:txPr>
        <c:crossAx val="181881536"/>
        <c:crosses val="autoZero"/>
        <c:crossBetween val="between"/>
      </c:valAx>
      <c:spPr>
        <a:solidFill>
          <a:srgbClr val="FFFFFF"/>
        </a:solidFill>
        <a:ln w="12700">
          <a:solidFill>
            <a:srgbClr val="808080"/>
          </a:solidFill>
          <a:prstDash val="solid"/>
        </a:ln>
      </c:spPr>
    </c:plotArea>
    <c:legend>
      <c:legendPos val="r"/>
      <c:layout>
        <c:manualLayout>
          <c:xMode val="edge"/>
          <c:yMode val="edge"/>
          <c:x val="0.7887277039330387"/>
          <c:y val="0.26218625449596578"/>
          <c:w val="0.17452615923009626"/>
          <c:h val="0.19430125707657597"/>
        </c:manualLayout>
      </c:layout>
      <c:overlay val="0"/>
      <c:txPr>
        <a:bodyPr/>
        <a:lstStyle/>
        <a:p>
          <a:pPr>
            <a:defRPr sz="800" b="0" i="0">
              <a:latin typeface="Arial"/>
              <a:ea typeface="Arial"/>
              <a:cs typeface="Arial"/>
            </a:defRPr>
          </a:pPr>
          <a:endParaRPr lang="fr-FR"/>
        </a:p>
      </c:txPr>
    </c:legend>
    <c:plotVisOnly val="1"/>
    <c:dispBlanksAs val="gap"/>
    <c:showDLblsOverMax val="0"/>
  </c:chart>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1"/>
    </mc:Choice>
    <mc:Fallback>
      <c:style val="1"/>
    </mc:Fallback>
  </mc:AlternateContent>
  <c:chart>
    <c:autoTitleDeleted val="1"/>
    <c:plotArea>
      <c:layout/>
      <c:lineChart>
        <c:grouping val="standard"/>
        <c:varyColors val="0"/>
        <c:ser>
          <c:idx val="1"/>
          <c:order val="0"/>
          <c:tx>
            <c:strRef>
              <c:f>'figur nærvedpåkørsler'!$E$33</c:f>
              <c:strCache>
                <c:ptCount val="1"/>
                <c:pt idx="0">
                  <c:v>Nærvedpåkørsler</c:v>
                </c:pt>
              </c:strCache>
            </c:strRef>
          </c:tx>
          <c:marker>
            <c:spPr>
              <a:solidFill>
                <a:schemeClr val="tx1"/>
              </a:solidFill>
            </c:spPr>
          </c:marker>
          <c:dPt>
            <c:idx val="1"/>
            <c:bubble3D val="0"/>
            <c:spPr>
              <a:ln>
                <a:solidFill>
                  <a:schemeClr val="tx1"/>
                </a:solidFill>
              </a:ln>
            </c:spPr>
          </c:dPt>
          <c:dPt>
            <c:idx val="2"/>
            <c:bubble3D val="0"/>
            <c:spPr>
              <a:ln>
                <a:solidFill>
                  <a:schemeClr val="tx1"/>
                </a:solidFill>
              </a:ln>
            </c:spPr>
          </c:dPt>
          <c:dPt>
            <c:idx val="3"/>
            <c:bubble3D val="0"/>
            <c:spPr>
              <a:ln>
                <a:solidFill>
                  <a:schemeClr val="tx1"/>
                </a:solidFill>
              </a:ln>
            </c:spPr>
          </c:dPt>
          <c:dPt>
            <c:idx val="4"/>
            <c:bubble3D val="0"/>
            <c:spPr>
              <a:ln>
                <a:solidFill>
                  <a:schemeClr val="tx1"/>
                </a:solidFill>
              </a:ln>
            </c:spPr>
          </c:dPt>
          <c:dPt>
            <c:idx val="5"/>
            <c:bubble3D val="0"/>
            <c:spPr>
              <a:ln>
                <a:solidFill>
                  <a:schemeClr val="tx1"/>
                </a:solidFill>
              </a:ln>
            </c:spPr>
          </c:dPt>
          <c:cat>
            <c:numRef>
              <c:f>'figur nærvedpåkørsler'!$D$34:$D$39</c:f>
              <c:numCache>
                <c:formatCode>General</c:formatCode>
                <c:ptCount val="6"/>
                <c:pt idx="0">
                  <c:v>2009</c:v>
                </c:pt>
                <c:pt idx="1">
                  <c:v>2010</c:v>
                </c:pt>
                <c:pt idx="2">
                  <c:v>2011</c:v>
                </c:pt>
                <c:pt idx="3">
                  <c:v>2012</c:v>
                </c:pt>
                <c:pt idx="4">
                  <c:v>2013</c:v>
                </c:pt>
                <c:pt idx="5">
                  <c:v>2014</c:v>
                </c:pt>
              </c:numCache>
            </c:numRef>
          </c:cat>
          <c:val>
            <c:numRef>
              <c:f>'figur nærvedpåkørsler'!$E$34:$E$39</c:f>
              <c:numCache>
                <c:formatCode>General</c:formatCode>
                <c:ptCount val="6"/>
                <c:pt idx="0">
                  <c:v>282</c:v>
                </c:pt>
                <c:pt idx="1">
                  <c:v>327</c:v>
                </c:pt>
                <c:pt idx="2">
                  <c:v>341</c:v>
                </c:pt>
                <c:pt idx="3">
                  <c:v>433</c:v>
                </c:pt>
                <c:pt idx="4">
                  <c:v>612</c:v>
                </c:pt>
                <c:pt idx="5">
                  <c:v>642</c:v>
                </c:pt>
              </c:numCache>
            </c:numRef>
          </c:val>
          <c:smooth val="0"/>
        </c:ser>
        <c:dLbls>
          <c:showLegendKey val="0"/>
          <c:showVal val="0"/>
          <c:showCatName val="0"/>
          <c:showSerName val="0"/>
          <c:showPercent val="0"/>
          <c:showBubbleSize val="0"/>
        </c:dLbls>
        <c:marker val="1"/>
        <c:smooth val="0"/>
        <c:axId val="181882712"/>
        <c:axId val="181883104"/>
      </c:lineChart>
      <c:catAx>
        <c:axId val="181882712"/>
        <c:scaling>
          <c:orientation val="minMax"/>
        </c:scaling>
        <c:delete val="0"/>
        <c:axPos val="b"/>
        <c:numFmt formatCode="General" sourceLinked="1"/>
        <c:majorTickMark val="out"/>
        <c:minorTickMark val="none"/>
        <c:tickLblPos val="nextTo"/>
        <c:crossAx val="181883104"/>
        <c:crosses val="autoZero"/>
        <c:auto val="1"/>
        <c:lblAlgn val="ctr"/>
        <c:lblOffset val="100"/>
        <c:noMultiLvlLbl val="0"/>
      </c:catAx>
      <c:valAx>
        <c:axId val="181883104"/>
        <c:scaling>
          <c:orientation val="minMax"/>
        </c:scaling>
        <c:delete val="0"/>
        <c:axPos val="l"/>
        <c:majorGridlines/>
        <c:numFmt formatCode="General" sourceLinked="1"/>
        <c:majorTickMark val="out"/>
        <c:minorTickMark val="none"/>
        <c:tickLblPos val="nextTo"/>
        <c:crossAx val="181882712"/>
        <c:crosses val="autoZero"/>
        <c:crossBetween val="between"/>
      </c:valAx>
    </c:plotArea>
    <c:plotVisOnly val="1"/>
    <c:dispBlanksAs val="gap"/>
    <c:showDLblsOverMax val="0"/>
  </c:chart>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33"/>
    </mc:Choice>
    <mc:Fallback>
      <c:style val="33"/>
    </mc:Fallback>
  </mc:AlternateContent>
  <c:chart>
    <c:autoTitleDeleted val="0"/>
    <c:plotArea>
      <c:layout>
        <c:manualLayout>
          <c:layoutTarget val="inner"/>
          <c:xMode val="edge"/>
          <c:yMode val="edge"/>
          <c:x val="0.21934213654089185"/>
          <c:y val="1.8628404338302474E-2"/>
          <c:w val="0.73931778202996046"/>
          <c:h val="0.88270676691729322"/>
        </c:manualLayout>
      </c:layout>
      <c:barChart>
        <c:barDir val="bar"/>
        <c:grouping val="clustered"/>
        <c:varyColors val="0"/>
        <c:ser>
          <c:idx val="0"/>
          <c:order val="0"/>
          <c:invertIfNegative val="0"/>
          <c:dPt>
            <c:idx val="12"/>
            <c:invertIfNegative val="0"/>
            <c:bubble3D val="0"/>
            <c:spPr>
              <a:solidFill>
                <a:srgbClr val="0070C0"/>
              </a:solidFill>
            </c:spPr>
          </c:dPt>
          <c:dPt>
            <c:idx val="13"/>
            <c:invertIfNegative val="0"/>
            <c:bubble3D val="0"/>
          </c:dPt>
          <c:dPt>
            <c:idx val="19"/>
            <c:invertIfNegative val="0"/>
            <c:bubble3D val="0"/>
          </c:dPt>
          <c:dPt>
            <c:idx val="20"/>
            <c:invertIfNegative val="0"/>
            <c:bubble3D val="0"/>
          </c:dPt>
          <c:dPt>
            <c:idx val="22"/>
            <c:invertIfNegative val="0"/>
            <c:bubble3D val="0"/>
            <c:spPr>
              <a:solidFill>
                <a:srgbClr val="FF0000"/>
              </a:solidFill>
            </c:spPr>
          </c:dPt>
          <c:dLbls>
            <c:dLbl>
              <c:idx val="12"/>
              <c:layout>
                <c:manualLayout>
                  <c:x val="1.1371712864250177E-2"/>
                  <c:y val="-1.9650305028435693E-3"/>
                </c:manualLayout>
              </c:layout>
              <c:spPr/>
              <c:txPr>
                <a:bodyPr/>
                <a:lstStyle/>
                <a:p>
                  <a:pPr>
                    <a:defRPr/>
                  </a:pPr>
                  <a:endParaRPr lang="fr-FR"/>
                </a:p>
              </c:txPr>
              <c:dLblPos val="outEnd"/>
              <c:showLegendKey val="0"/>
              <c:showVal val="1"/>
              <c:showCatName val="0"/>
              <c:showSerName val="0"/>
              <c:showPercent val="0"/>
              <c:showBubbleSize val="0"/>
              <c:extLst xmlns:DataManagerRef="urn:DataManager" xmlns:msxsl="urn:schemas-microsoft-com:xslt" xmlns:p="http://schemas.openxmlformats.org/presentationml/2006/main" xmlns:dgm="http://schemas.openxmlformats.org/drawingml/2006/diagram" xmlns:wps="http://schemas.microsoft.com/office/word/2010/wordprocessingShape" xmlns:wpi="http://schemas.microsoft.com/office/word/2010/wordprocessingInk" xmlns:wpg="http://schemas.microsoft.com/office/word/2010/wordprocessingGroup" xmlns:w14="http://schemas.microsoft.com/office/word/2010/wordml" xmlns:wp14="http://schemas.microsoft.com/office/word/2010/wordprocessingDrawing" xmlns:wpc="http://schemas.microsoft.com/office/word/2010/wordprocessingCanvas" xmlns:pic="http://schemas.openxmlformats.org/drawingml/2006/picture" xmlns:wne="http://schemas.microsoft.com/office/word/2006/wordml" xmlns:w="http://schemas.openxmlformats.org/wordprocessingml/2006/main" xmlns:w10="urn:schemas-microsoft-com:office:word" xmlns:wp="http://schemas.openxmlformats.org/drawingml/2006/wordprocessingDrawing" xmlns:v="urn:schemas-microsoft-com:vml" xmlns:m="http://schemas.openxmlformats.org/officeDocument/2006/math" xmlns:o="urn:schemas-microsoft-com:office:office" xmlns:ve="http://schemas.openxmlformats.org/markup-compatibility/2006">
                <c:ext xmlns:c15="http://schemas.microsoft.com/office/drawing/2012/chart" uri="{CE6537A1-D6FC-4f65-9D91-7224C49458BB}">
                  <c15:layout/>
                </c:ext>
              </c:extLst>
            </c:dLbl>
            <c:dLbl>
              <c:idx val="22"/>
              <c:layout>
                <c:manualLayout>
                  <c:x val="1.7057569296375266E-2"/>
                  <c:y val="1.9650305028435515E-3"/>
                </c:manualLayout>
              </c:layout>
              <c:tx>
                <c:rich>
                  <a:bodyPr/>
                  <a:lstStyle/>
                  <a:p>
                    <a:pPr>
                      <a:defRPr/>
                    </a:pPr>
                    <a:r>
                      <a:rPr lang="en-US"/>
                      <a:t>0,15</a:t>
                    </a:r>
                  </a:p>
                </c:rich>
              </c:tx>
              <c:spPr/>
              <c:dLblPos val="outEnd"/>
              <c:showLegendKey val="0"/>
              <c:showVal val="0"/>
              <c:showCatName val="0"/>
              <c:showSerName val="0"/>
              <c:showPercent val="0"/>
              <c:showBubbleSize val="0"/>
              <c:extLst xmlns:DataManagerRef="urn:DataManager" xmlns:msxsl="urn:schemas-microsoft-com:xslt" xmlns:p="http://schemas.openxmlformats.org/presentationml/2006/main" xmlns:dgm="http://schemas.openxmlformats.org/drawingml/2006/diagram" xmlns:wps="http://schemas.microsoft.com/office/word/2010/wordprocessingShape" xmlns:wpi="http://schemas.microsoft.com/office/word/2010/wordprocessingInk" xmlns:wpg="http://schemas.microsoft.com/office/word/2010/wordprocessingGroup" xmlns:w14="http://schemas.microsoft.com/office/word/2010/wordml" xmlns:wp14="http://schemas.microsoft.com/office/word/2010/wordprocessingDrawing" xmlns:wpc="http://schemas.microsoft.com/office/word/2010/wordprocessingCanvas" xmlns:pic="http://schemas.openxmlformats.org/drawingml/2006/picture" xmlns:wne="http://schemas.microsoft.com/office/word/2006/wordml" xmlns:w="http://schemas.openxmlformats.org/wordprocessingml/2006/main" xmlns:w10="urn:schemas-microsoft-com:office:word" xmlns:wp="http://schemas.openxmlformats.org/drawingml/2006/wordprocessingDrawing" xmlns:v="urn:schemas-microsoft-com:vml" xmlns:m="http://schemas.openxmlformats.org/officeDocument/2006/math" xmlns:o="urn:schemas-microsoft-com:office:office" xmlns:ve="http://schemas.openxmlformats.org/markup-compatibility/2006">
                <c:ext xmlns:c15="http://schemas.microsoft.com/office/drawing/2012/chart" uri="{CE6537A1-D6FC-4f65-9D91-7224C49458BB}">
                  <c15:layout/>
                </c:ext>
              </c:extLst>
            </c:dLbl>
            <c:spPr>
              <a:noFill/>
              <a:ln>
                <a:noFill/>
              </a:ln>
              <a:effectLst/>
            </c:spPr>
            <c:showLegendKey val="0"/>
            <c:showVal val="0"/>
            <c:showCatName val="0"/>
            <c:showSerName val="0"/>
            <c:showPercent val="0"/>
            <c:showBubbleSize val="0"/>
            <c:extLst xmlns:DataManagerRef="urn:DataManager" xmlns:msxsl="urn:schemas-microsoft-com:xslt" xmlns:p="http://schemas.openxmlformats.org/presentationml/2006/main" xmlns:dgm="http://schemas.openxmlformats.org/drawingml/2006/diagram" xmlns:wps="http://schemas.microsoft.com/office/word/2010/wordprocessingShape" xmlns:wpi="http://schemas.microsoft.com/office/word/2010/wordprocessingInk" xmlns:wpg="http://schemas.microsoft.com/office/word/2010/wordprocessingGroup" xmlns:w14="http://schemas.microsoft.com/office/word/2010/wordml" xmlns:wp14="http://schemas.microsoft.com/office/word/2010/wordprocessingDrawing" xmlns:wpc="http://schemas.microsoft.com/office/word/2010/wordprocessingCanvas" xmlns:pic="http://schemas.openxmlformats.org/drawingml/2006/picture" xmlns:wne="http://schemas.microsoft.com/office/word/2006/wordml" xmlns:w="http://schemas.openxmlformats.org/wordprocessingml/2006/main" xmlns:w10="urn:schemas-microsoft-com:office:word" xmlns:wp="http://schemas.openxmlformats.org/drawingml/2006/wordprocessingDrawing" xmlns:v="urn:schemas-microsoft-com:vml" xmlns:m="http://schemas.openxmlformats.org/officeDocument/2006/math" xmlns:o="urn:schemas-microsoft-com:office:office" xmlns:ve="http://schemas.openxmlformats.org/markup-compatibility/2006">
              <c:ext xmlns:c15="http://schemas.microsoft.com/office/drawing/2012/chart" uri="{CE6537A1-D6FC-4f65-9D91-7224C49458BB}">
                <c15:showLeaderLines val="0"/>
              </c:ext>
            </c:extLst>
          </c:dLbls>
          <c:cat>
            <c:strRef>
              <c:f>Figur!$B$2:$B$27</c:f>
              <c:strCache>
                <c:ptCount val="26"/>
                <c:pt idx="0">
                  <c:v>Litauen</c:v>
                </c:pt>
                <c:pt idx="1">
                  <c:v>Rumænien</c:v>
                </c:pt>
                <c:pt idx="2">
                  <c:v>Polen</c:v>
                </c:pt>
                <c:pt idx="3">
                  <c:v>Slovakiet</c:v>
                </c:pt>
                <c:pt idx="4">
                  <c:v>Grækenland</c:v>
                </c:pt>
                <c:pt idx="5">
                  <c:v>Estland</c:v>
                </c:pt>
                <c:pt idx="6">
                  <c:v>Letland</c:v>
                </c:pt>
                <c:pt idx="7">
                  <c:v>Ungarn</c:v>
                </c:pt>
                <c:pt idx="8">
                  <c:v>Bulgarien</c:v>
                </c:pt>
                <c:pt idx="9">
                  <c:v>Kroatien</c:v>
                </c:pt>
                <c:pt idx="10">
                  <c:v>Portugal</c:v>
                </c:pt>
                <c:pt idx="11">
                  <c:v>Slovenien</c:v>
                </c:pt>
                <c:pt idx="12">
                  <c:v>EU gennemsnit</c:v>
                </c:pt>
                <c:pt idx="13">
                  <c:v>Belgien</c:v>
                </c:pt>
                <c:pt idx="14">
                  <c:v>Spanien</c:v>
                </c:pt>
                <c:pt idx="15">
                  <c:v>Østrig</c:v>
                </c:pt>
                <c:pt idx="16">
                  <c:v>Italien</c:v>
                </c:pt>
                <c:pt idx="17">
                  <c:v>Tjekkiet</c:v>
                </c:pt>
                <c:pt idx="18">
                  <c:v>Finland</c:v>
                </c:pt>
                <c:pt idx="19">
                  <c:v>Sverige</c:v>
                </c:pt>
                <c:pt idx="20">
                  <c:v>Frankrig</c:v>
                </c:pt>
                <c:pt idx="21">
                  <c:v>Tyskland</c:v>
                </c:pt>
                <c:pt idx="22">
                  <c:v>Danmark</c:v>
                </c:pt>
                <c:pt idx="23">
                  <c:v>Holland</c:v>
                </c:pt>
                <c:pt idx="24">
                  <c:v>Storbritannien</c:v>
                </c:pt>
                <c:pt idx="25">
                  <c:v>Irland</c:v>
                </c:pt>
              </c:strCache>
            </c:strRef>
          </c:cat>
          <c:val>
            <c:numRef>
              <c:f>Figur!$C$2:$C$27</c:f>
              <c:numCache>
                <c:formatCode>0.00</c:formatCode>
                <c:ptCount val="26"/>
                <c:pt idx="0">
                  <c:v>1.8389998568095489</c:v>
                </c:pt>
                <c:pt idx="1">
                  <c:v>1.4391437345465687</c:v>
                </c:pt>
                <c:pt idx="2">
                  <c:v>1.4224710955854394</c:v>
                </c:pt>
                <c:pt idx="3">
                  <c:v>1.396416739376382</c:v>
                </c:pt>
                <c:pt idx="4">
                  <c:v>1.350061553653118</c:v>
                </c:pt>
                <c:pt idx="5">
                  <c:v>1.2379750998007635</c:v>
                </c:pt>
                <c:pt idx="6">
                  <c:v>1.0200796399379393</c:v>
                </c:pt>
                <c:pt idx="7">
                  <c:v>0.8710934440733219</c:v>
                </c:pt>
                <c:pt idx="8">
                  <c:v>0.85367786922092326</c:v>
                </c:pt>
                <c:pt idx="9">
                  <c:v>0.78583197351464251</c:v>
                </c:pt>
                <c:pt idx="10">
                  <c:v>0.65464013039315561</c:v>
                </c:pt>
                <c:pt idx="11">
                  <c:v>0.46724347508915376</c:v>
                </c:pt>
                <c:pt idx="12">
                  <c:v>0.32712004302910136</c:v>
                </c:pt>
                <c:pt idx="13">
                  <c:v>0.29686268267717264</c:v>
                </c:pt>
                <c:pt idx="14">
                  <c:v>0.24848385825936364</c:v>
                </c:pt>
                <c:pt idx="15">
                  <c:v>0.24409689295488829</c:v>
                </c:pt>
                <c:pt idx="16">
                  <c:v>0.22475583074862598</c:v>
                </c:pt>
                <c:pt idx="17">
                  <c:v>0.2024322595344224</c:v>
                </c:pt>
                <c:pt idx="18">
                  <c:v>0.18937855642821325</c:v>
                </c:pt>
                <c:pt idx="19">
                  <c:v>0.17765008009626765</c:v>
                </c:pt>
                <c:pt idx="20">
                  <c:v>0.16641744279567577</c:v>
                </c:pt>
                <c:pt idx="21">
                  <c:v>0.15332308675943343</c:v>
                </c:pt>
                <c:pt idx="22">
                  <c:v>0.14966952336355882</c:v>
                </c:pt>
                <c:pt idx="23">
                  <c:v>0.1082158339699663</c:v>
                </c:pt>
                <c:pt idx="24">
                  <c:v>8.0364644818550837E-2</c:v>
                </c:pt>
                <c:pt idx="25">
                  <c:v>7.1483450784548097E-2</c:v>
                </c:pt>
              </c:numCache>
            </c:numRef>
          </c:val>
        </c:ser>
        <c:dLbls>
          <c:showLegendKey val="0"/>
          <c:showVal val="0"/>
          <c:showCatName val="0"/>
          <c:showSerName val="0"/>
          <c:showPercent val="0"/>
          <c:showBubbleSize val="0"/>
        </c:dLbls>
        <c:gapWidth val="150"/>
        <c:axId val="181883888"/>
        <c:axId val="181884280"/>
      </c:barChart>
      <c:catAx>
        <c:axId val="181883888"/>
        <c:scaling>
          <c:orientation val="minMax"/>
        </c:scaling>
        <c:delete val="0"/>
        <c:axPos val="l"/>
        <c:numFmt formatCode="General" sourceLinked="1"/>
        <c:majorTickMark val="out"/>
        <c:minorTickMark val="none"/>
        <c:tickLblPos val="nextTo"/>
        <c:txPr>
          <a:bodyPr rot="0" vert="horz"/>
          <a:lstStyle/>
          <a:p>
            <a:pPr>
              <a:defRPr/>
            </a:pPr>
            <a:endParaRPr lang="fr-FR"/>
          </a:p>
        </c:txPr>
        <c:crossAx val="181884280"/>
        <c:crosses val="autoZero"/>
        <c:auto val="1"/>
        <c:lblAlgn val="ctr"/>
        <c:lblOffset val="100"/>
        <c:tickLblSkip val="1"/>
        <c:tickMarkSkip val="1"/>
        <c:noMultiLvlLbl val="0"/>
      </c:catAx>
      <c:valAx>
        <c:axId val="181884280"/>
        <c:scaling>
          <c:orientation val="minMax"/>
        </c:scaling>
        <c:delete val="0"/>
        <c:axPos val="b"/>
        <c:majorGridlines/>
        <c:title>
          <c:tx>
            <c:rich>
              <a:bodyPr/>
              <a:lstStyle/>
              <a:p>
                <a:pPr>
                  <a:defRPr/>
                </a:pPr>
                <a:r>
                  <a:rPr lang="en-GB"/>
                  <a:t>Number per million train-km</a:t>
                </a:r>
              </a:p>
            </c:rich>
          </c:tx>
          <c:layout>
            <c:manualLayout>
              <c:xMode val="edge"/>
              <c:yMode val="edge"/>
              <c:x val="0.46581283335300427"/>
              <c:y val="0.9458646616541353"/>
            </c:manualLayout>
          </c:layout>
          <c:overlay val="0"/>
        </c:title>
        <c:numFmt formatCode="0.00" sourceLinked="1"/>
        <c:majorTickMark val="out"/>
        <c:minorTickMark val="none"/>
        <c:tickLblPos val="nextTo"/>
        <c:txPr>
          <a:bodyPr rot="0" vert="horz"/>
          <a:lstStyle/>
          <a:p>
            <a:pPr>
              <a:defRPr/>
            </a:pPr>
            <a:endParaRPr lang="fr-FR"/>
          </a:p>
        </c:txPr>
        <c:crossAx val="181883888"/>
        <c:crosses val="autoZero"/>
        <c:crossBetween val="between"/>
      </c:valAx>
    </c:plotArea>
    <c:plotVisOnly val="1"/>
    <c:dispBlanksAs val="gap"/>
    <c:showDLblsOverMax val="0"/>
  </c:chart>
  <c:externalData r:id="rId1">
    <c:autoUpdate val="0"/>
  </c:externalData>
</c:chartSpace>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5F4C93-E074-4499-9733-C027559718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TS Intern Rapport 2010.dotm</Template>
  <TotalTime>55</TotalTime>
  <Pages>60</Pages>
  <Words>19090</Words>
  <Characters>104999</Characters>
  <Application>Microsoft Office Word</Application>
  <DocSecurity>0</DocSecurity>
  <Lines>874</Lines>
  <Paragraphs>247</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Trafikstyrelsen</Company>
  <LinksUpToDate>false</LinksUpToDate>
  <CharactersWithSpaces>123842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Diana Rose Jørgensen</dc:creator>
  <cp:lastModifiedBy>Carmen Afrodita PEREZ</cp:lastModifiedBy>
  <cp:revision>3</cp:revision>
  <cp:lastPrinted>2015-09-30T06:41:00Z</cp:lastPrinted>
  <dcterms:created xsi:type="dcterms:W3CDTF">2015-11-18T17:23:00Z</dcterms:created>
  <dcterms:modified xsi:type="dcterms:W3CDTF">2016-01-28T08:29:00Z</dcterms:modified>
</cp:coreProperties>
</file>