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C2BEC" w:rsidRPr="00915C86" w:rsidP="006C2BEC">
      <w:pPr>
        <w:pStyle w:val="Heading1"/>
        <w:rPr>
          <w:kern w:val="0"/>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rPr>
          <w:rFonts w:ascii="Century Gothic" w:hAnsi="Century Gothic"/>
          <w:b/>
          <w:sz w:val="32"/>
          <w:szCs w:val="32"/>
        </w:rPr>
      </w:pPr>
    </w:p>
    <w:p w:rsidR="006C2BEC" w:rsidRPr="00915C86" w:rsidP="006C2BEC">
      <w:pPr>
        <w:spacing w:before="240" w:after="240"/>
        <w:rPr>
          <w:rFonts w:ascii="Century Gothic" w:hAnsi="Century Gothic"/>
          <w:b/>
          <w:sz w:val="32"/>
          <w:szCs w:val="32"/>
        </w:rPr>
      </w:pPr>
    </w:p>
    <w:p w:rsidR="006C2BEC" w:rsidRPr="00915C86" w:rsidP="006C2BEC">
      <w:pPr>
        <w:spacing w:before="240" w:after="240"/>
        <w:rPr>
          <w:rFonts w:ascii="Century Gothic" w:hAnsi="Century Gothic"/>
          <w:b/>
          <w:sz w:val="32"/>
          <w:szCs w:val="32"/>
        </w:rPr>
      </w:pPr>
      <w:r w:rsidRPr="00915C86">
        <w:rPr>
          <w:rFonts w:ascii="Century Gothic" w:hAnsi="Century Gothic"/>
          <w:b/>
          <w:sz w:val="32"/>
          <w:szCs w:val="32"/>
        </w:rPr>
        <w:t>ANNUAL RAILWAY SAFETY REPORT</w:t>
      </w:r>
    </w:p>
    <w:p w:rsidR="006C2BEC" w:rsidRPr="00915C86" w:rsidP="006C2BEC">
      <w:pPr>
        <w:spacing w:before="240" w:after="240"/>
        <w:rPr>
          <w:rFonts w:ascii="Century Gothic" w:hAnsi="Century Gothic"/>
          <w:b/>
          <w:sz w:val="32"/>
          <w:szCs w:val="32"/>
        </w:rPr>
      </w:pPr>
      <w:r w:rsidRPr="00915C86">
        <w:rPr>
          <w:rFonts w:ascii="Century Gothic" w:hAnsi="Century Gothic"/>
          <w:b/>
          <w:sz w:val="32"/>
          <w:szCs w:val="32"/>
        </w:rPr>
        <w:t>2017</w:t>
      </w:r>
    </w:p>
    <w:p w:rsidR="006C2BEC" w:rsidRPr="00915C86" w:rsidP="006C2BEC">
      <w:pPr>
        <w:spacing w:before="240" w:after="240"/>
        <w:rPr>
          <w:rFonts w:ascii="Century Gothic" w:hAnsi="Century Gothic"/>
          <w:szCs w:val="32"/>
        </w:rPr>
      </w:pPr>
    </w:p>
    <w:p w:rsidR="006C2BEC" w:rsidRPr="00915C86" w:rsidP="006C2BEC">
      <w:pPr>
        <w:pBdr>
          <w:top w:val="single" w:sz="4" w:space="1" w:color="auto"/>
          <w:left w:val="single" w:sz="4" w:space="1" w:color="auto"/>
          <w:bottom w:val="single" w:sz="4" w:space="1" w:color="auto"/>
          <w:right w:val="single" w:sz="4" w:space="1" w:color="auto"/>
          <w:between w:val="single" w:sz="4" w:space="1" w:color="auto"/>
          <w:bar w:val="single" w:sz="4" w:space="0" w:color="auto"/>
        </w:pBdr>
        <w:rPr>
          <w:sz w:val="20"/>
        </w:rPr>
        <w:sectPr w:rsidSect="00B61217">
          <w:headerReference w:type="default" r:id="rId6"/>
          <w:footerReference w:type="default" r:id="rId7"/>
          <w:pgSz w:w="11906" w:h="16838" w:code="9"/>
          <w:pgMar w:top="1440" w:right="1440" w:bottom="1440" w:left="1440" w:header="709" w:footer="709" w:gutter="567"/>
          <w:cols w:space="708"/>
          <w:docGrid w:linePitch="360"/>
        </w:sectPr>
      </w:pPr>
    </w:p>
    <w:p w:rsidR="006C2BEC" w:rsidRPr="00915C86" w:rsidP="006C2BEC">
      <w:pPr>
        <w:pBdr>
          <w:top w:val="single" w:sz="4" w:space="1" w:color="auto"/>
          <w:left w:val="single" w:sz="4" w:space="1" w:color="auto"/>
          <w:bottom w:val="single" w:sz="4" w:space="1" w:color="auto"/>
          <w:right w:val="single" w:sz="4" w:space="1" w:color="auto"/>
          <w:between w:val="single" w:sz="4" w:space="1" w:color="auto"/>
          <w:bar w:val="single" w:sz="4" w:space="0" w:color="auto"/>
        </w:pBdr>
        <w:rPr>
          <w:rFonts w:ascii="Century Gothic" w:hAnsi="Century Gothic"/>
        </w:rPr>
      </w:pPr>
      <w:r w:rsidRPr="00915C86">
        <w:br w:type="page"/>
      </w:r>
    </w:p>
    <w:p w:rsidR="006C2BEC" w:rsidRPr="00915C86" w:rsidP="006C2BEC">
      <w:pPr>
        <w:rPr>
          <w:rFonts w:ascii="Century Gothic" w:hAnsi="Century Gothic"/>
          <w:b/>
          <w:i/>
          <w:sz w:val="28"/>
          <w:szCs w:val="28"/>
        </w:rPr>
      </w:pPr>
      <w:r w:rsidRPr="00915C86">
        <w:rPr>
          <w:rFonts w:ascii="Century Gothic" w:hAnsi="Century Gothic"/>
          <w:b/>
          <w:i/>
          <w:sz w:val="28"/>
          <w:szCs w:val="28"/>
        </w:rPr>
        <w:t>TABLE OF CONTENTS</w:t>
      </w:r>
    </w:p>
    <w:p w:rsidR="003610E1" w:rsidRPr="00915C86" w:rsidP="006C2BEC">
      <w:pPr>
        <w:rPr>
          <w:rFonts w:ascii="Century Gothic" w:hAnsi="Century Gothic"/>
          <w:b/>
          <w:i/>
          <w:sz w:val="28"/>
          <w:szCs w:val="28"/>
        </w:rPr>
      </w:pPr>
    </w:p>
    <w:p w:rsidR="000D4BFB">
      <w:pPr>
        <w:pStyle w:val="TOC1"/>
        <w:tabs>
          <w:tab w:val="right" w:pos="9038"/>
        </w:tabs>
        <w:rPr>
          <w:rFonts w:asciiTheme="minorHAnsi" w:eastAsiaTheme="minorEastAsia" w:hAnsiTheme="minorHAnsi" w:cstheme="minorBidi"/>
          <w:b w:val="0"/>
          <w:noProof/>
          <w:sz w:val="22"/>
          <w:lang w:val="fr-LU" w:eastAsia="fr-LU"/>
        </w:rPr>
      </w:pPr>
      <w:bookmarkStart w:id="0" w:name="_GoBack"/>
      <w:bookmarkEnd w:id="0"/>
      <w:r w:rsidRPr="00915C86">
        <w:rPr>
          <w:b w:val="0"/>
        </w:rPr>
        <w:fldChar w:fldCharType="begin"/>
      </w:r>
      <w:r w:rsidRPr="00915C86">
        <w:rPr>
          <w:b w:val="0"/>
        </w:rPr>
        <w:instrText xml:space="preserve"> TOC \o "1-2" \n \h \z \u </w:instrText>
      </w:r>
      <w:r w:rsidRPr="00915C86">
        <w:rPr>
          <w:b w:val="0"/>
        </w:rPr>
        <w:fldChar w:fldCharType="separate"/>
      </w:r>
      <w:hyperlink w:anchor="_Toc532565542" w:history="1">
        <w:r w:rsidRPr="00606570">
          <w:rPr>
            <w:rStyle w:val="Hyperlink"/>
            <w:noProof/>
          </w:rPr>
          <w:t>PART 1 - INTRODUCTION</w:t>
        </w:r>
      </w:hyperlink>
    </w:p>
    <w:p w:rsidR="000D4BFB">
      <w:pPr>
        <w:pStyle w:val="TOC2"/>
        <w:framePr w:wrap="around"/>
        <w:rPr>
          <w:rFonts w:asciiTheme="minorHAnsi" w:eastAsiaTheme="minorEastAsia" w:hAnsiTheme="minorHAnsi" w:cstheme="minorBidi"/>
          <w:sz w:val="22"/>
          <w:lang w:val="fr-LU" w:eastAsia="fr-LU"/>
        </w:rPr>
      </w:pPr>
      <w:hyperlink w:anchor="_Toc532565543" w:history="1">
        <w:r w:rsidRPr="00606570">
          <w:rPr>
            <w:rStyle w:val="Hyperlink"/>
          </w:rPr>
          <w:t>1.1</w:t>
        </w:r>
        <w:r>
          <w:rPr>
            <w:rFonts w:asciiTheme="minorHAnsi" w:eastAsiaTheme="minorEastAsia" w:hAnsiTheme="minorHAnsi" w:cstheme="minorBidi"/>
            <w:sz w:val="22"/>
            <w:lang w:val="fr-LU" w:eastAsia="fr-LU"/>
          </w:rPr>
          <w:tab/>
        </w:r>
        <w:r w:rsidRPr="00606570">
          <w:rPr>
            <w:rStyle w:val="Hyperlink"/>
          </w:rPr>
          <w:t>Purpose and scope</w:t>
        </w:r>
      </w:hyperlink>
    </w:p>
    <w:p w:rsidR="000D4BFB">
      <w:pPr>
        <w:pStyle w:val="TOC2"/>
        <w:framePr w:wrap="around"/>
        <w:rPr>
          <w:rFonts w:asciiTheme="minorHAnsi" w:eastAsiaTheme="minorEastAsia" w:hAnsiTheme="minorHAnsi" w:cstheme="minorBidi"/>
          <w:sz w:val="22"/>
          <w:lang w:val="fr-LU" w:eastAsia="fr-LU"/>
        </w:rPr>
      </w:pPr>
      <w:hyperlink w:anchor="_Toc532565544" w:history="1">
        <w:r w:rsidRPr="00606570">
          <w:rPr>
            <w:rStyle w:val="Hyperlink"/>
          </w:rPr>
          <w:t>1.2</w:t>
        </w:r>
        <w:r>
          <w:rPr>
            <w:rFonts w:asciiTheme="minorHAnsi" w:eastAsiaTheme="minorEastAsia" w:hAnsiTheme="minorHAnsi" w:cstheme="minorBidi"/>
            <w:sz w:val="22"/>
            <w:lang w:val="fr-LU" w:eastAsia="fr-LU"/>
          </w:rPr>
          <w:tab/>
        </w:r>
        <w:r w:rsidRPr="00606570">
          <w:rPr>
            <w:rStyle w:val="Hyperlink"/>
          </w:rPr>
          <w:t>Main conclusions on the reporting year</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45" w:history="1">
        <w:r w:rsidRPr="00606570">
          <w:rPr>
            <w:rStyle w:val="Hyperlink"/>
            <w:noProof/>
            <w:lang w:val="en-US"/>
          </w:rPr>
          <w:t>PART 2 – ENGLISH SUMMARY</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46" w:history="1">
        <w:r w:rsidRPr="00606570">
          <w:rPr>
            <w:rStyle w:val="Hyperlink"/>
            <w:noProof/>
          </w:rPr>
          <w:t>PART 3 - NATIONAL SAFETY STRATEGY, PROGRAMMES AND INITIATIVES</w:t>
        </w:r>
      </w:hyperlink>
    </w:p>
    <w:p w:rsidR="000D4BFB">
      <w:pPr>
        <w:pStyle w:val="TOC2"/>
        <w:framePr w:wrap="around"/>
        <w:rPr>
          <w:rFonts w:asciiTheme="minorHAnsi" w:eastAsiaTheme="minorEastAsia" w:hAnsiTheme="minorHAnsi" w:cstheme="minorBidi"/>
          <w:sz w:val="22"/>
          <w:lang w:val="fr-LU" w:eastAsia="fr-LU"/>
        </w:rPr>
      </w:pPr>
      <w:hyperlink w:anchor="_Toc532565547" w:history="1">
        <w:r w:rsidRPr="00606570">
          <w:rPr>
            <w:rStyle w:val="Hyperlink"/>
          </w:rPr>
          <w:t xml:space="preserve">3.1 </w:t>
        </w:r>
        <w:r>
          <w:rPr>
            <w:rFonts w:asciiTheme="minorHAnsi" w:eastAsiaTheme="minorEastAsia" w:hAnsiTheme="minorHAnsi" w:cstheme="minorBidi"/>
            <w:sz w:val="22"/>
            <w:lang w:val="fr-LU" w:eastAsia="fr-LU"/>
          </w:rPr>
          <w:tab/>
        </w:r>
        <w:r w:rsidRPr="00606570">
          <w:rPr>
            <w:rStyle w:val="Hyperlink"/>
          </w:rPr>
          <w:t>Objectives and critical areas</w:t>
        </w:r>
      </w:hyperlink>
    </w:p>
    <w:p w:rsidR="000D4BFB">
      <w:pPr>
        <w:pStyle w:val="TOC2"/>
        <w:framePr w:wrap="around"/>
        <w:rPr>
          <w:rFonts w:asciiTheme="minorHAnsi" w:eastAsiaTheme="minorEastAsia" w:hAnsiTheme="minorHAnsi" w:cstheme="minorBidi"/>
          <w:sz w:val="22"/>
          <w:lang w:val="fr-LU" w:eastAsia="fr-LU"/>
        </w:rPr>
      </w:pPr>
      <w:hyperlink w:anchor="_Toc532565548" w:history="1">
        <w:r w:rsidRPr="00606570">
          <w:rPr>
            <w:rStyle w:val="Hyperlink"/>
          </w:rPr>
          <w:t>3.2 Initiatives to mitigate problems relating to the unauthorised presence of pedestrians on the track and for the protection of rail transport users</w:t>
        </w:r>
      </w:hyperlink>
    </w:p>
    <w:p w:rsidR="000D4BFB">
      <w:pPr>
        <w:pStyle w:val="TOC2"/>
        <w:framePr w:wrap="around"/>
        <w:rPr>
          <w:rFonts w:asciiTheme="minorHAnsi" w:eastAsiaTheme="minorEastAsia" w:hAnsiTheme="minorHAnsi" w:cstheme="minorBidi"/>
          <w:sz w:val="22"/>
          <w:lang w:val="fr-LU" w:eastAsia="fr-LU"/>
        </w:rPr>
      </w:pPr>
      <w:hyperlink w:anchor="_Toc532565549" w:history="1">
        <w:r w:rsidRPr="00606570">
          <w:rPr>
            <w:rStyle w:val="Hyperlink"/>
          </w:rPr>
          <w:t>3.3 Level crossing problem mitigation initiatives</w:t>
        </w:r>
      </w:hyperlink>
    </w:p>
    <w:p w:rsidR="000D4BFB">
      <w:pPr>
        <w:pStyle w:val="TOC2"/>
        <w:framePr w:wrap="around"/>
        <w:rPr>
          <w:rFonts w:asciiTheme="minorHAnsi" w:eastAsiaTheme="minorEastAsia" w:hAnsiTheme="minorHAnsi" w:cstheme="minorBidi"/>
          <w:sz w:val="22"/>
          <w:lang w:val="fr-LU" w:eastAsia="fr-LU"/>
        </w:rPr>
      </w:pPr>
      <w:hyperlink w:anchor="_Toc532565550" w:history="1">
        <w:r w:rsidRPr="00606570">
          <w:rPr>
            <w:rStyle w:val="Hyperlink"/>
          </w:rPr>
          <w:t>3.4 Maintenance problem mitigation initiatives</w:t>
        </w:r>
      </w:hyperlink>
    </w:p>
    <w:p w:rsidR="000D4BFB">
      <w:pPr>
        <w:pStyle w:val="TOC2"/>
        <w:framePr w:wrap="around"/>
        <w:rPr>
          <w:rFonts w:asciiTheme="minorHAnsi" w:eastAsiaTheme="minorEastAsia" w:hAnsiTheme="minorHAnsi" w:cstheme="minorBidi"/>
          <w:sz w:val="22"/>
          <w:lang w:val="fr-LU" w:eastAsia="fr-LU"/>
        </w:rPr>
      </w:pPr>
      <w:hyperlink w:anchor="_Toc532565551" w:history="1">
        <w:r w:rsidRPr="00606570">
          <w:rPr>
            <w:rStyle w:val="Hyperlink"/>
          </w:rPr>
          <w:t>3.5</w:t>
        </w:r>
        <w:r>
          <w:rPr>
            <w:rFonts w:asciiTheme="minorHAnsi" w:eastAsiaTheme="minorEastAsia" w:hAnsiTheme="minorHAnsi" w:cstheme="minorBidi"/>
            <w:sz w:val="22"/>
            <w:lang w:val="fr-LU" w:eastAsia="fr-LU"/>
          </w:rPr>
          <w:tab/>
        </w:r>
        <w:r w:rsidRPr="00606570">
          <w:rPr>
            <w:rStyle w:val="Hyperlink"/>
          </w:rPr>
          <w:t>Safety recommendations</w:t>
        </w:r>
      </w:hyperlink>
    </w:p>
    <w:p w:rsidR="000D4BFB">
      <w:pPr>
        <w:pStyle w:val="TOC2"/>
        <w:framePr w:wrap="around"/>
        <w:rPr>
          <w:rFonts w:asciiTheme="minorHAnsi" w:eastAsiaTheme="minorEastAsia" w:hAnsiTheme="minorHAnsi" w:cstheme="minorBidi"/>
          <w:sz w:val="22"/>
          <w:lang w:val="fr-LU" w:eastAsia="fr-LU"/>
        </w:rPr>
      </w:pPr>
      <w:hyperlink w:anchor="_Toc532565552" w:history="1">
        <w:r w:rsidRPr="00606570">
          <w:rPr>
            <w:rStyle w:val="Hyperlink"/>
          </w:rPr>
          <w:t>3.6</w:t>
        </w:r>
        <w:r>
          <w:rPr>
            <w:rFonts w:asciiTheme="minorHAnsi" w:eastAsiaTheme="minorEastAsia" w:hAnsiTheme="minorHAnsi" w:cstheme="minorBidi"/>
            <w:sz w:val="22"/>
            <w:lang w:val="fr-LU" w:eastAsia="fr-LU"/>
          </w:rPr>
          <w:tab/>
        </w:r>
        <w:r w:rsidRPr="00606570">
          <w:rPr>
            <w:rStyle w:val="Hyperlink"/>
          </w:rPr>
          <w:t>Measures implemented unrelated to safety recommendations</w:t>
        </w:r>
      </w:hyperlink>
    </w:p>
    <w:p w:rsidR="000D4BFB">
      <w:pPr>
        <w:pStyle w:val="TOC2"/>
        <w:framePr w:wrap="around"/>
        <w:rPr>
          <w:rFonts w:asciiTheme="minorHAnsi" w:eastAsiaTheme="minorEastAsia" w:hAnsiTheme="minorHAnsi" w:cstheme="minorBidi"/>
          <w:sz w:val="22"/>
          <w:lang w:val="fr-LU" w:eastAsia="fr-LU"/>
        </w:rPr>
      </w:pPr>
      <w:hyperlink w:anchor="_Toc532565553" w:history="1">
        <w:r w:rsidRPr="00606570">
          <w:rPr>
            <w:rStyle w:val="Hyperlink"/>
          </w:rPr>
          <w:t>3.7 Main strategies in ANSF's international activities</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54" w:history="1">
        <w:r w:rsidRPr="00606570">
          <w:rPr>
            <w:rStyle w:val="Hyperlink"/>
            <w:noProof/>
          </w:rPr>
          <w:t>PART 4 – OVERALL RAILWAY SAFETY PERFORMANCE AND STRATEGY</w:t>
        </w:r>
      </w:hyperlink>
    </w:p>
    <w:p w:rsidR="000D4BFB">
      <w:pPr>
        <w:pStyle w:val="TOC2"/>
        <w:framePr w:wrap="around"/>
        <w:rPr>
          <w:rFonts w:asciiTheme="minorHAnsi" w:eastAsiaTheme="minorEastAsia" w:hAnsiTheme="minorHAnsi" w:cstheme="minorBidi"/>
          <w:sz w:val="22"/>
          <w:lang w:val="fr-LU" w:eastAsia="fr-LU"/>
        </w:rPr>
      </w:pPr>
      <w:hyperlink w:anchor="_Toc532565555" w:history="1">
        <w:r w:rsidRPr="00606570">
          <w:rPr>
            <w:rStyle w:val="Hyperlink"/>
          </w:rPr>
          <w:t>4.1 Accident analysis feedback</w:t>
        </w:r>
      </w:hyperlink>
    </w:p>
    <w:p w:rsidR="000D4BFB">
      <w:pPr>
        <w:pStyle w:val="TOC2"/>
        <w:framePr w:wrap="around"/>
        <w:rPr>
          <w:rFonts w:asciiTheme="minorHAnsi" w:eastAsiaTheme="minorEastAsia" w:hAnsiTheme="minorHAnsi" w:cstheme="minorBidi"/>
          <w:sz w:val="22"/>
          <w:lang w:val="fr-LU" w:eastAsia="fr-LU"/>
        </w:rPr>
      </w:pPr>
      <w:hyperlink w:anchor="_Toc532565556" w:history="1">
        <w:r w:rsidRPr="00606570">
          <w:rPr>
            <w:rStyle w:val="Hyperlink"/>
          </w:rPr>
          <w:t>4.2</w:t>
        </w:r>
        <w:r>
          <w:rPr>
            <w:rFonts w:asciiTheme="minorHAnsi" w:eastAsiaTheme="minorEastAsia" w:hAnsiTheme="minorHAnsi" w:cstheme="minorBidi"/>
            <w:sz w:val="22"/>
            <w:lang w:val="fr-LU" w:eastAsia="fr-LU"/>
          </w:rPr>
          <w:tab/>
        </w:r>
        <w:r w:rsidRPr="00606570">
          <w:rPr>
            <w:rStyle w:val="Hyperlink"/>
          </w:rPr>
          <w:t>Analysis of the latest recorded trends</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57" w:history="1">
        <w:r w:rsidRPr="00606570">
          <w:rPr>
            <w:rStyle w:val="Hyperlink"/>
            <w:noProof/>
          </w:rPr>
          <w:t>PART 5 – CERTIFICATIONS AND AUTHORISATIONS</w:t>
        </w:r>
      </w:hyperlink>
    </w:p>
    <w:p w:rsidR="000D4BFB">
      <w:pPr>
        <w:pStyle w:val="TOC2"/>
        <w:framePr w:wrap="around"/>
        <w:rPr>
          <w:rFonts w:asciiTheme="minorHAnsi" w:eastAsiaTheme="minorEastAsia" w:hAnsiTheme="minorHAnsi" w:cstheme="minorBidi"/>
          <w:sz w:val="22"/>
          <w:lang w:val="fr-LU" w:eastAsia="fr-LU"/>
        </w:rPr>
      </w:pPr>
      <w:hyperlink w:anchor="_Toc532565558" w:history="1">
        <w:r w:rsidRPr="00606570">
          <w:rPr>
            <w:rStyle w:val="Hyperlink"/>
          </w:rPr>
          <w:t>5.1</w:t>
        </w:r>
        <w:r>
          <w:rPr>
            <w:rFonts w:asciiTheme="minorHAnsi" w:eastAsiaTheme="minorEastAsia" w:hAnsiTheme="minorHAnsi" w:cstheme="minorBidi"/>
            <w:sz w:val="22"/>
            <w:lang w:val="fr-LU" w:eastAsia="fr-LU"/>
          </w:rPr>
          <w:tab/>
        </w:r>
        <w:r w:rsidRPr="00606570">
          <w:rPr>
            <w:rStyle w:val="Hyperlink"/>
          </w:rPr>
          <w:t>Safety authorisations and certifications</w:t>
        </w:r>
      </w:hyperlink>
    </w:p>
    <w:p w:rsidR="000D4BFB">
      <w:pPr>
        <w:pStyle w:val="TOC2"/>
        <w:framePr w:wrap="around"/>
        <w:rPr>
          <w:rFonts w:asciiTheme="minorHAnsi" w:eastAsiaTheme="minorEastAsia" w:hAnsiTheme="minorHAnsi" w:cstheme="minorBidi"/>
          <w:sz w:val="22"/>
          <w:lang w:val="fr-LU" w:eastAsia="fr-LU"/>
        </w:rPr>
      </w:pPr>
      <w:hyperlink w:anchor="_Toc532565559" w:history="1">
        <w:r w:rsidRPr="00606570">
          <w:rPr>
            <w:rStyle w:val="Hyperlink"/>
          </w:rPr>
          <w:t>5.2</w:t>
        </w:r>
        <w:r>
          <w:rPr>
            <w:rFonts w:asciiTheme="minorHAnsi" w:eastAsiaTheme="minorEastAsia" w:hAnsiTheme="minorHAnsi" w:cstheme="minorBidi"/>
            <w:sz w:val="22"/>
            <w:lang w:val="fr-LU" w:eastAsia="fr-LU"/>
          </w:rPr>
          <w:tab/>
        </w:r>
        <w:r w:rsidRPr="00606570">
          <w:rPr>
            <w:rStyle w:val="Hyperlink"/>
          </w:rPr>
          <w:t>Authorisations for the placing in service of vehicles</w:t>
        </w:r>
      </w:hyperlink>
    </w:p>
    <w:p w:rsidR="000D4BFB">
      <w:pPr>
        <w:pStyle w:val="TOC2"/>
        <w:framePr w:wrap="around"/>
        <w:rPr>
          <w:rFonts w:asciiTheme="minorHAnsi" w:eastAsiaTheme="minorEastAsia" w:hAnsiTheme="minorHAnsi" w:cstheme="minorBidi"/>
          <w:sz w:val="22"/>
          <w:lang w:val="fr-LU" w:eastAsia="fr-LU"/>
        </w:rPr>
      </w:pPr>
      <w:hyperlink w:anchor="_Toc532565560" w:history="1">
        <w:r w:rsidRPr="00606570">
          <w:rPr>
            <w:rStyle w:val="Hyperlink"/>
          </w:rPr>
          <w:t>5.3</w:t>
        </w:r>
        <w:r>
          <w:rPr>
            <w:rFonts w:asciiTheme="minorHAnsi" w:eastAsiaTheme="minorEastAsia" w:hAnsiTheme="minorHAnsi" w:cstheme="minorBidi"/>
            <w:sz w:val="22"/>
            <w:lang w:val="fr-LU" w:eastAsia="fr-LU"/>
          </w:rPr>
          <w:tab/>
        </w:r>
        <w:r w:rsidRPr="00606570">
          <w:rPr>
            <w:rStyle w:val="Hyperlink"/>
          </w:rPr>
          <w:t>Authorisation for the placing into service of fixed structural subsystems, general applications and general signalling products</w:t>
        </w:r>
      </w:hyperlink>
    </w:p>
    <w:p w:rsidR="000D4BFB">
      <w:pPr>
        <w:pStyle w:val="TOC2"/>
        <w:framePr w:wrap="around"/>
        <w:rPr>
          <w:rFonts w:asciiTheme="minorHAnsi" w:eastAsiaTheme="minorEastAsia" w:hAnsiTheme="minorHAnsi" w:cstheme="minorBidi"/>
          <w:sz w:val="22"/>
          <w:lang w:val="fr-LU" w:eastAsia="fr-LU"/>
        </w:rPr>
      </w:pPr>
      <w:hyperlink w:anchor="_Toc532565561" w:history="1">
        <w:r w:rsidRPr="00606570">
          <w:rPr>
            <w:rStyle w:val="Hyperlink"/>
          </w:rPr>
          <w:t>5.4</w:t>
        </w:r>
        <w:r>
          <w:rPr>
            <w:rFonts w:asciiTheme="minorHAnsi" w:eastAsiaTheme="minorEastAsia" w:hAnsiTheme="minorHAnsi" w:cstheme="minorBidi"/>
            <w:sz w:val="22"/>
            <w:lang w:val="fr-LU" w:eastAsia="fr-LU"/>
          </w:rPr>
          <w:tab/>
        </w:r>
        <w:r w:rsidRPr="00606570">
          <w:rPr>
            <w:rStyle w:val="Hyperlink"/>
          </w:rPr>
          <w:t>Guidance for issuing a safety certificate</w:t>
        </w:r>
      </w:hyperlink>
    </w:p>
    <w:p w:rsidR="000D4BFB">
      <w:pPr>
        <w:pStyle w:val="TOC2"/>
        <w:framePr w:wrap="around"/>
        <w:rPr>
          <w:rFonts w:asciiTheme="minorHAnsi" w:eastAsiaTheme="minorEastAsia" w:hAnsiTheme="minorHAnsi" w:cstheme="minorBidi"/>
          <w:sz w:val="22"/>
          <w:lang w:val="fr-LU" w:eastAsia="fr-LU"/>
        </w:rPr>
      </w:pPr>
      <w:hyperlink w:anchor="_Toc532565562" w:history="1">
        <w:r w:rsidRPr="00606570">
          <w:rPr>
            <w:rStyle w:val="Hyperlink"/>
          </w:rPr>
          <w:t>5.5</w:t>
        </w:r>
        <w:r>
          <w:rPr>
            <w:rFonts w:asciiTheme="minorHAnsi" w:eastAsiaTheme="minorEastAsia" w:hAnsiTheme="minorHAnsi" w:cstheme="minorBidi"/>
            <w:sz w:val="22"/>
            <w:lang w:val="fr-LU" w:eastAsia="fr-LU"/>
          </w:rPr>
          <w:tab/>
        </w:r>
        <w:r w:rsidRPr="00606570">
          <w:rPr>
            <w:rStyle w:val="Hyperlink"/>
          </w:rPr>
          <w:t>Contacts with other National Safety Authorities</w:t>
        </w:r>
      </w:hyperlink>
    </w:p>
    <w:p w:rsidR="000D4BFB">
      <w:pPr>
        <w:pStyle w:val="TOC2"/>
        <w:framePr w:wrap="around"/>
        <w:rPr>
          <w:rFonts w:asciiTheme="minorHAnsi" w:eastAsiaTheme="minorEastAsia" w:hAnsiTheme="minorHAnsi" w:cstheme="minorBidi"/>
          <w:sz w:val="22"/>
          <w:lang w:val="fr-LU" w:eastAsia="fr-LU"/>
        </w:rPr>
      </w:pPr>
      <w:hyperlink w:anchor="_Toc532565563" w:history="1">
        <w:r w:rsidRPr="00606570">
          <w:rPr>
            <w:rStyle w:val="Hyperlink"/>
          </w:rPr>
          <w:t>5.6</w:t>
        </w:r>
        <w:r>
          <w:rPr>
            <w:rFonts w:asciiTheme="minorHAnsi" w:eastAsiaTheme="minorEastAsia" w:hAnsiTheme="minorHAnsi" w:cstheme="minorBidi"/>
            <w:sz w:val="22"/>
            <w:lang w:val="fr-LU" w:eastAsia="fr-LU"/>
          </w:rPr>
          <w:tab/>
        </w:r>
        <w:r w:rsidRPr="00606570">
          <w:rPr>
            <w:rStyle w:val="Hyperlink"/>
          </w:rPr>
          <w:t>Exchange of information between ANSF and railway operators</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64" w:history="1">
        <w:r w:rsidRPr="00606570">
          <w:rPr>
            <w:rStyle w:val="Hyperlink"/>
            <w:noProof/>
          </w:rPr>
          <w:t>PART 6 - SUPERVISION</w:t>
        </w:r>
      </w:hyperlink>
    </w:p>
    <w:p w:rsidR="000D4BFB">
      <w:pPr>
        <w:pStyle w:val="TOC2"/>
        <w:framePr w:wrap="around"/>
        <w:rPr>
          <w:rFonts w:asciiTheme="minorHAnsi" w:eastAsiaTheme="minorEastAsia" w:hAnsiTheme="minorHAnsi" w:cstheme="minorBidi"/>
          <w:sz w:val="22"/>
          <w:lang w:val="fr-LU" w:eastAsia="fr-LU"/>
        </w:rPr>
      </w:pPr>
      <w:hyperlink w:anchor="_Toc532565565" w:history="1">
        <w:r w:rsidRPr="00606570">
          <w:rPr>
            <w:rStyle w:val="Hyperlink"/>
          </w:rPr>
          <w:t>6.1</w:t>
        </w:r>
        <w:r>
          <w:rPr>
            <w:rFonts w:asciiTheme="minorHAnsi" w:eastAsiaTheme="minorEastAsia" w:hAnsiTheme="minorHAnsi" w:cstheme="minorBidi"/>
            <w:sz w:val="22"/>
            <w:lang w:val="fr-LU" w:eastAsia="fr-LU"/>
          </w:rPr>
          <w:tab/>
        </w:r>
        <w:r w:rsidRPr="00606570">
          <w:rPr>
            <w:rStyle w:val="Hyperlink"/>
          </w:rPr>
          <w:t>Supervision activity strategy and plan</w:t>
        </w:r>
      </w:hyperlink>
    </w:p>
    <w:p w:rsidR="000D4BFB">
      <w:pPr>
        <w:pStyle w:val="TOC2"/>
        <w:framePr w:wrap="around"/>
        <w:rPr>
          <w:rFonts w:asciiTheme="minorHAnsi" w:eastAsiaTheme="minorEastAsia" w:hAnsiTheme="minorHAnsi" w:cstheme="minorBidi"/>
          <w:sz w:val="22"/>
          <w:lang w:val="fr-LU" w:eastAsia="fr-LU"/>
        </w:rPr>
      </w:pPr>
      <w:hyperlink w:anchor="_Toc532565566" w:history="1">
        <w:r w:rsidRPr="00606570">
          <w:rPr>
            <w:rStyle w:val="Hyperlink"/>
          </w:rPr>
          <w:t>6.2</w:t>
        </w:r>
        <w:r>
          <w:rPr>
            <w:rFonts w:asciiTheme="minorHAnsi" w:eastAsiaTheme="minorEastAsia" w:hAnsiTheme="minorHAnsi" w:cstheme="minorBidi"/>
            <w:sz w:val="22"/>
            <w:lang w:val="fr-LU" w:eastAsia="fr-LU"/>
          </w:rPr>
          <w:tab/>
        </w:r>
        <w:r w:rsidRPr="00606570">
          <w:rPr>
            <w:rStyle w:val="Hyperlink"/>
          </w:rPr>
          <w:t>Human resources and training</w:t>
        </w:r>
      </w:hyperlink>
    </w:p>
    <w:p w:rsidR="000D4BFB">
      <w:pPr>
        <w:pStyle w:val="TOC2"/>
        <w:framePr w:wrap="around"/>
        <w:rPr>
          <w:rFonts w:asciiTheme="minorHAnsi" w:eastAsiaTheme="minorEastAsia" w:hAnsiTheme="minorHAnsi" w:cstheme="minorBidi"/>
          <w:sz w:val="22"/>
          <w:lang w:val="fr-LU" w:eastAsia="fr-LU"/>
        </w:rPr>
      </w:pPr>
      <w:hyperlink w:anchor="_Toc532565567" w:history="1">
        <w:r w:rsidRPr="00606570">
          <w:rPr>
            <w:rStyle w:val="Hyperlink"/>
          </w:rPr>
          <w:t>6.3 Certification of entities in charge of railway freight wagon maintenance</w:t>
        </w:r>
      </w:hyperlink>
    </w:p>
    <w:p w:rsidR="000D4BFB">
      <w:pPr>
        <w:pStyle w:val="TOC2"/>
        <w:framePr w:wrap="around"/>
        <w:rPr>
          <w:rFonts w:asciiTheme="minorHAnsi" w:eastAsiaTheme="minorEastAsia" w:hAnsiTheme="minorHAnsi" w:cstheme="minorBidi"/>
          <w:sz w:val="22"/>
          <w:lang w:val="fr-LU" w:eastAsia="fr-LU"/>
        </w:rPr>
      </w:pPr>
      <w:hyperlink w:anchor="_Toc532565568" w:history="1">
        <w:r w:rsidRPr="00606570">
          <w:rPr>
            <w:rStyle w:val="Hyperlink"/>
          </w:rPr>
          <w:t>6.4</w:t>
        </w:r>
        <w:r>
          <w:rPr>
            <w:rFonts w:asciiTheme="minorHAnsi" w:eastAsiaTheme="minorEastAsia" w:hAnsiTheme="minorHAnsi" w:cstheme="minorBidi"/>
            <w:sz w:val="22"/>
            <w:lang w:val="fr-LU" w:eastAsia="fr-LU"/>
          </w:rPr>
          <w:tab/>
        </w:r>
        <w:r w:rsidRPr="00606570">
          <w:rPr>
            <w:rStyle w:val="Hyperlink"/>
          </w:rPr>
          <w:t>Coordination and cooperation</w:t>
        </w:r>
      </w:hyperlink>
    </w:p>
    <w:p w:rsidR="000D4BFB">
      <w:pPr>
        <w:pStyle w:val="TOC2"/>
        <w:framePr w:wrap="around"/>
        <w:rPr>
          <w:rFonts w:asciiTheme="minorHAnsi" w:eastAsiaTheme="minorEastAsia" w:hAnsiTheme="minorHAnsi" w:cstheme="minorBidi"/>
          <w:sz w:val="22"/>
          <w:lang w:val="fr-LU" w:eastAsia="fr-LU"/>
        </w:rPr>
      </w:pPr>
      <w:hyperlink w:anchor="_Toc532565569" w:history="1">
        <w:r w:rsidRPr="00606570">
          <w:rPr>
            <w:rStyle w:val="Hyperlink"/>
          </w:rPr>
          <w:t>6.5</w:t>
        </w:r>
        <w:r>
          <w:rPr>
            <w:rFonts w:asciiTheme="minorHAnsi" w:eastAsiaTheme="minorEastAsia" w:hAnsiTheme="minorHAnsi" w:cstheme="minorBidi"/>
            <w:sz w:val="22"/>
            <w:lang w:val="fr-LU" w:eastAsia="fr-LU"/>
          </w:rPr>
          <w:tab/>
        </w:r>
        <w:r w:rsidRPr="00606570">
          <w:rPr>
            <w:rStyle w:val="Hyperlink"/>
          </w:rPr>
          <w:t>Findings emerging from supervision activities</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70" w:history="1">
        <w:r w:rsidRPr="00606570">
          <w:rPr>
            <w:rStyle w:val="Hyperlink"/>
            <w:noProof/>
          </w:rPr>
          <w:t>PART 7 – IMPLEMENTATION OF MAIN EUROPEAN PROJECTS</w:t>
        </w:r>
      </w:hyperlink>
    </w:p>
    <w:p w:rsidR="000D4BFB">
      <w:pPr>
        <w:pStyle w:val="TOC2"/>
        <w:framePr w:wrap="around"/>
        <w:rPr>
          <w:rFonts w:asciiTheme="minorHAnsi" w:eastAsiaTheme="minorEastAsia" w:hAnsiTheme="minorHAnsi" w:cstheme="minorBidi"/>
          <w:sz w:val="22"/>
          <w:lang w:val="fr-LU" w:eastAsia="fr-LU"/>
        </w:rPr>
      </w:pPr>
      <w:hyperlink w:anchor="_Toc532565571" w:history="1">
        <w:r w:rsidRPr="00606570">
          <w:rPr>
            <w:rStyle w:val="Hyperlink"/>
          </w:rPr>
          <w:t>7.1</w:t>
        </w:r>
        <w:r>
          <w:rPr>
            <w:rFonts w:asciiTheme="minorHAnsi" w:eastAsiaTheme="minorEastAsia" w:hAnsiTheme="minorHAnsi" w:cstheme="minorBidi"/>
            <w:sz w:val="22"/>
            <w:lang w:val="fr-LU" w:eastAsia="fr-LU"/>
          </w:rPr>
          <w:tab/>
        </w:r>
        <w:r w:rsidRPr="00606570">
          <w:rPr>
            <w:rStyle w:val="Hyperlink"/>
          </w:rPr>
          <w:t>Application of Regulation (EU) No 402/2013 on the common safety method for risk evaluation and assessment</w:t>
        </w:r>
      </w:hyperlink>
    </w:p>
    <w:p w:rsidR="000D4BFB">
      <w:pPr>
        <w:pStyle w:val="TOC2"/>
        <w:framePr w:wrap="around"/>
        <w:rPr>
          <w:rFonts w:asciiTheme="minorHAnsi" w:eastAsiaTheme="minorEastAsia" w:hAnsiTheme="minorHAnsi" w:cstheme="minorBidi"/>
          <w:sz w:val="22"/>
          <w:lang w:val="fr-LU" w:eastAsia="fr-LU"/>
        </w:rPr>
      </w:pPr>
      <w:hyperlink w:anchor="_Toc532565572" w:history="1">
        <w:r w:rsidRPr="00606570">
          <w:rPr>
            <w:rStyle w:val="Hyperlink"/>
          </w:rPr>
          <w:t>7.1.1</w:t>
        </w:r>
        <w:r>
          <w:rPr>
            <w:rFonts w:asciiTheme="minorHAnsi" w:eastAsiaTheme="minorEastAsia" w:hAnsiTheme="minorHAnsi" w:cstheme="minorBidi"/>
            <w:sz w:val="22"/>
            <w:lang w:val="fr-LU" w:eastAsia="fr-LU"/>
          </w:rPr>
          <w:tab/>
        </w:r>
        <w:r w:rsidRPr="00606570">
          <w:rPr>
            <w:rStyle w:val="Hyperlink"/>
          </w:rPr>
          <w:t>Feedback from stakeholders</w:t>
        </w:r>
      </w:hyperlink>
    </w:p>
    <w:p w:rsidR="000D4BFB">
      <w:pPr>
        <w:pStyle w:val="TOC2"/>
        <w:framePr w:wrap="around"/>
        <w:rPr>
          <w:rFonts w:asciiTheme="minorHAnsi" w:eastAsiaTheme="minorEastAsia" w:hAnsiTheme="minorHAnsi" w:cstheme="minorBidi"/>
          <w:sz w:val="22"/>
          <w:lang w:val="fr-LU" w:eastAsia="fr-LU"/>
        </w:rPr>
      </w:pPr>
      <w:hyperlink w:anchor="_Toc532565573" w:history="1">
        <w:r w:rsidRPr="00606570">
          <w:rPr>
            <w:rStyle w:val="Hyperlink"/>
          </w:rPr>
          <w:t>7.2 Application of Regulation (EU) No 1078/2012 on a common safety method for monitoring</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74" w:history="1">
        <w:r w:rsidRPr="00606570">
          <w:rPr>
            <w:rStyle w:val="Hyperlink"/>
            <w:noProof/>
          </w:rPr>
          <w:t>PART 8 – CHANGES IN LEGISLATION</w:t>
        </w:r>
      </w:hyperlink>
    </w:p>
    <w:p w:rsidR="000D4BFB">
      <w:pPr>
        <w:pStyle w:val="TOC2"/>
        <w:framePr w:wrap="around"/>
        <w:rPr>
          <w:rFonts w:asciiTheme="minorHAnsi" w:eastAsiaTheme="minorEastAsia" w:hAnsiTheme="minorHAnsi" w:cstheme="minorBidi"/>
          <w:sz w:val="22"/>
          <w:lang w:val="fr-LU" w:eastAsia="fr-LU"/>
        </w:rPr>
      </w:pPr>
      <w:hyperlink w:anchor="_Toc532565575" w:history="1">
        <w:r w:rsidRPr="00606570">
          <w:rPr>
            <w:rStyle w:val="Hyperlink"/>
          </w:rPr>
          <w:t>8.1</w:t>
        </w:r>
        <w:r>
          <w:rPr>
            <w:rFonts w:asciiTheme="minorHAnsi" w:eastAsiaTheme="minorEastAsia" w:hAnsiTheme="minorHAnsi" w:cstheme="minorBidi"/>
            <w:sz w:val="22"/>
            <w:lang w:val="fr-LU" w:eastAsia="fr-LU"/>
          </w:rPr>
          <w:tab/>
        </w:r>
        <w:r w:rsidRPr="00606570">
          <w:rPr>
            <w:rStyle w:val="Hyperlink"/>
          </w:rPr>
          <w:t>Railway Safety Directive</w:t>
        </w:r>
      </w:hyperlink>
    </w:p>
    <w:p w:rsidR="000D4BFB">
      <w:pPr>
        <w:pStyle w:val="TOC2"/>
        <w:framePr w:wrap="around"/>
        <w:rPr>
          <w:rFonts w:asciiTheme="minorHAnsi" w:eastAsiaTheme="minorEastAsia" w:hAnsiTheme="minorHAnsi" w:cstheme="minorBidi"/>
          <w:sz w:val="22"/>
          <w:lang w:val="fr-LU" w:eastAsia="fr-LU"/>
        </w:rPr>
      </w:pPr>
      <w:hyperlink w:anchor="_Toc532565576" w:history="1">
        <w:r w:rsidRPr="00606570">
          <w:rPr>
            <w:rStyle w:val="Hyperlink"/>
          </w:rPr>
          <w:t>8.2</w:t>
        </w:r>
        <w:r>
          <w:rPr>
            <w:rFonts w:asciiTheme="minorHAnsi" w:eastAsiaTheme="minorEastAsia" w:hAnsiTheme="minorHAnsi" w:cstheme="minorBidi"/>
            <w:sz w:val="22"/>
            <w:lang w:val="fr-LU" w:eastAsia="fr-LU"/>
          </w:rPr>
          <w:tab/>
        </w:r>
        <w:r w:rsidRPr="00606570">
          <w:rPr>
            <w:rStyle w:val="Hyperlink"/>
          </w:rPr>
          <w:t>Changes in legislation and regulation</w:t>
        </w:r>
      </w:hyperlink>
    </w:p>
    <w:p w:rsidR="000D4BFB">
      <w:pPr>
        <w:pStyle w:val="TOC1"/>
        <w:tabs>
          <w:tab w:val="right" w:pos="9038"/>
        </w:tabs>
        <w:rPr>
          <w:rFonts w:asciiTheme="minorHAnsi" w:eastAsiaTheme="minorEastAsia" w:hAnsiTheme="minorHAnsi" w:cstheme="minorBidi"/>
          <w:b w:val="0"/>
          <w:noProof/>
          <w:sz w:val="22"/>
          <w:lang w:val="fr-LU" w:eastAsia="fr-LU"/>
        </w:rPr>
      </w:pPr>
      <w:hyperlink w:anchor="_Toc532565577" w:history="1">
        <w:r w:rsidRPr="00606570">
          <w:rPr>
            <w:rStyle w:val="Hyperlink"/>
            <w:noProof/>
          </w:rPr>
          <w:t>PART 9 – SAFETY CULTURE</w:t>
        </w:r>
      </w:hyperlink>
    </w:p>
    <w:p w:rsidR="006C2BEC" w:rsidRPr="00915C86" w:rsidP="00575D08">
      <w:r w:rsidRPr="00915C86">
        <w:rPr>
          <w:rFonts w:ascii="Century Gothic" w:eastAsia="Calibri" w:hAnsi="Century Gothic" w:cs="Calibri"/>
          <w:b/>
          <w:sz w:val="20"/>
          <w:szCs w:val="22"/>
          <w:lang w:eastAsia="zh-CN"/>
        </w:rPr>
        <w:fldChar w:fldCharType="end"/>
      </w:r>
    </w:p>
    <w:p w:rsidR="006C2BEC" w:rsidRPr="00915C86" w:rsidP="00575D08"/>
    <w:p w:rsidR="00575D08" w:rsidRPr="00915C86" w:rsidP="00575D08"/>
    <w:tbl>
      <w:tblPr>
        <w:tblW w:w="8820" w:type="dxa"/>
        <w:tblInd w:w="108" w:type="dxa"/>
        <w:tblLook w:val="01E0"/>
      </w:tblPr>
      <w:tblGrid>
        <w:gridCol w:w="8820"/>
      </w:tblGrid>
      <w:tr w:rsidTr="003C743A">
        <w:tblPrEx>
          <w:tblW w:w="8820" w:type="dxa"/>
          <w:tblInd w:w="108" w:type="dxa"/>
          <w:tblLook w:val="01E0"/>
        </w:tblPrEx>
        <w:tc>
          <w:tcPr>
            <w:tcW w:w="8820" w:type="dxa"/>
          </w:tcPr>
          <w:p w:rsidR="006C2BEC" w:rsidRPr="00915C86" w:rsidP="003C743A">
            <w:pPr>
              <w:spacing w:before="96" w:beforeLines="40" w:after="96" w:afterLines="40"/>
              <w:rPr>
                <w:rFonts w:ascii="Century Gothic" w:hAnsi="Century Gothic"/>
                <w:b/>
                <w:sz w:val="22"/>
                <w:szCs w:val="22"/>
              </w:rPr>
            </w:pPr>
            <w:r w:rsidRPr="00915C86">
              <w:rPr>
                <w:rFonts w:ascii="Century Gothic" w:hAnsi="Century Gothic"/>
                <w:b/>
                <w:sz w:val="22"/>
                <w:szCs w:val="22"/>
              </w:rPr>
              <w:t>ANNEXES</w:t>
            </w:r>
          </w:p>
        </w:tc>
      </w:tr>
      <w:tr w:rsidTr="003C743A">
        <w:tblPrEx>
          <w:tblW w:w="8820" w:type="dxa"/>
          <w:tblInd w:w="108" w:type="dxa"/>
          <w:tblLook w:val="01E0"/>
        </w:tblPrEx>
        <w:tc>
          <w:tcPr>
            <w:tcW w:w="8820" w:type="dxa"/>
          </w:tcPr>
          <w:p w:rsidR="006C2BEC" w:rsidRPr="00915C86" w:rsidP="003C743A">
            <w:pPr>
              <w:rPr>
                <w:rFonts w:ascii="Century Gothic" w:hAnsi="Century Gothic"/>
                <w:sz w:val="22"/>
                <w:szCs w:val="22"/>
              </w:rPr>
            </w:pPr>
            <w:r w:rsidRPr="00915C86">
              <w:rPr>
                <w:rFonts w:ascii="Century Gothic" w:hAnsi="Century Gothic"/>
                <w:sz w:val="22"/>
                <w:szCs w:val="22"/>
              </w:rPr>
              <w:t xml:space="preserve">Annex A: </w:t>
            </w:r>
            <w:r w:rsidRPr="00915C86">
              <w:rPr>
                <w:rFonts w:ascii="Century Gothic" w:hAnsi="Century Gothic"/>
                <w:sz w:val="22"/>
                <w:szCs w:val="22"/>
              </w:rPr>
              <w:tab/>
              <w:t>Common Safety Indicators</w:t>
            </w:r>
          </w:p>
        </w:tc>
      </w:tr>
      <w:tr w:rsidTr="003C743A">
        <w:tblPrEx>
          <w:tblW w:w="8820" w:type="dxa"/>
          <w:tblInd w:w="108" w:type="dxa"/>
          <w:tblLook w:val="01E0"/>
        </w:tblPrEx>
        <w:tc>
          <w:tcPr>
            <w:tcW w:w="8820" w:type="dxa"/>
          </w:tcPr>
          <w:p w:rsidR="006C2BEC" w:rsidRPr="00915C86" w:rsidP="003C743A">
            <w:pPr>
              <w:rPr>
                <w:rFonts w:ascii="Century Gothic" w:hAnsi="Century Gothic"/>
                <w:sz w:val="22"/>
                <w:szCs w:val="22"/>
              </w:rPr>
            </w:pPr>
            <w:r w:rsidRPr="00915C86">
              <w:rPr>
                <w:rFonts w:ascii="Century Gothic" w:hAnsi="Century Gothic"/>
                <w:sz w:val="22"/>
                <w:szCs w:val="22"/>
              </w:rPr>
              <w:t xml:space="preserve">Annex B: </w:t>
            </w:r>
            <w:r w:rsidRPr="00915C86">
              <w:rPr>
                <w:rFonts w:ascii="Century Gothic" w:hAnsi="Century Gothic"/>
                <w:sz w:val="22"/>
                <w:szCs w:val="22"/>
              </w:rPr>
              <w:tab/>
              <w:t>Changes in legislation</w:t>
            </w:r>
          </w:p>
        </w:tc>
      </w:tr>
    </w:tbl>
    <w:p w:rsidR="006C2BEC" w:rsidRPr="00915C86" w:rsidP="006C2BEC">
      <w:pPr>
        <w:pStyle w:val="Heading1"/>
        <w:tabs>
          <w:tab w:val="num" w:pos="432"/>
        </w:tabs>
        <w:spacing w:before="360" w:after="120"/>
        <w:ind w:left="431" w:hanging="431"/>
        <w:rPr>
          <w:rFonts w:ascii="Century Gothic" w:hAnsi="Century Gothic"/>
          <w:kern w:val="0"/>
        </w:rPr>
      </w:pPr>
      <w:r w:rsidRPr="00915C86">
        <w:br w:type="page"/>
      </w:r>
      <w:bookmarkStart w:id="1" w:name="_Toc532565542"/>
      <w:r w:rsidRPr="00915C86">
        <w:rPr>
          <w:rFonts w:ascii="Century Gothic" w:hAnsi="Century Gothic"/>
        </w:rPr>
        <w:t>PART 1 - INTRODUCTION</w:t>
      </w:r>
      <w:bookmarkEnd w:id="1"/>
    </w:p>
    <w:p w:rsidR="006C2BEC" w:rsidRPr="00915C86" w:rsidP="006C2BEC">
      <w:pPr>
        <w:pStyle w:val="Heading2"/>
        <w:spacing w:after="120"/>
        <w:rPr>
          <w:rFonts w:ascii="Century Gothic" w:hAnsi="Century Gothic"/>
        </w:rPr>
      </w:pPr>
      <w:bookmarkStart w:id="2" w:name="_Toc532565543"/>
      <w:r w:rsidRPr="00915C86">
        <w:rPr>
          <w:rFonts w:ascii="Century Gothic" w:hAnsi="Century Gothic"/>
        </w:rPr>
        <w:t>1.1</w:t>
      </w:r>
      <w:r w:rsidRPr="00915C86">
        <w:rPr>
          <w:rFonts w:ascii="Century Gothic" w:hAnsi="Century Gothic"/>
        </w:rPr>
        <w:tab/>
        <w:t>Purpose and scope</w:t>
      </w:r>
      <w:bookmarkEnd w:id="2"/>
    </w:p>
    <w:p w:rsidR="006C2BEC" w:rsidRPr="00915C86" w:rsidP="006C2BEC">
      <w:pPr>
        <w:pStyle w:val="ListParagraph"/>
        <w:spacing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This document has been prepared in accordance with Article 7 of Legislative Decree No 162 of 10 August 2007 ‘Implementation of Directives 2004/49/EC and 2004/51/EC on safety and on the development of the Community’s railways’, transposing Article 18 of Directive 2004/49/EC.</w:t>
      </w:r>
    </w:p>
    <w:p w:rsidR="006C2BEC" w:rsidRPr="00915C86" w:rsidP="006C2BEC">
      <w:pPr>
        <w:pStyle w:val="ListParagraph"/>
        <w:spacing w:after="0" w:line="240" w:lineRule="auto"/>
        <w:ind w:left="0"/>
        <w:contextualSpacing w:val="0"/>
        <w:rPr>
          <w:rFonts w:ascii="Century Gothic" w:hAnsi="Century Gothic" w:cs="Century Gothic"/>
          <w:sz w:val="20"/>
          <w:szCs w:val="20"/>
        </w:rPr>
      </w:pPr>
      <w:r w:rsidRPr="00915C86">
        <w:rPr>
          <w:rFonts w:ascii="Century Gothic" w:hAnsi="Century Gothic"/>
          <w:sz w:val="20"/>
          <w:szCs w:val="20"/>
        </w:rPr>
        <w:t>It describes the safety performance, recorded during 2017, in the part of the Italian railway system under the competence of the Italian National Railway Safety Agency (hereafter ANSF) and over which ANSF performs regulatory, authorisation and supervision activities.</w:t>
      </w:r>
    </w:p>
    <w:p w:rsidR="006C2BEC" w:rsidRPr="00915C86" w:rsidP="006C2BEC">
      <w:pPr>
        <w:pStyle w:val="ListParagraph"/>
        <w:spacing w:before="120" w:after="0" w:line="240" w:lineRule="auto"/>
        <w:ind w:left="0"/>
        <w:contextualSpacing w:val="0"/>
        <w:rPr>
          <w:rFonts w:ascii="Century Gothic" w:hAnsi="Century Gothic" w:cs="Century Gothic"/>
          <w:sz w:val="20"/>
          <w:szCs w:val="20"/>
        </w:rPr>
      </w:pPr>
      <w:r w:rsidRPr="00915C86">
        <w:rPr>
          <w:rFonts w:ascii="Century Gothic" w:hAnsi="Century Gothic"/>
          <w:sz w:val="20"/>
          <w:szCs w:val="20"/>
        </w:rPr>
        <w:t>With the entry into force of Ministry of Infrastructure and Transport Decree of 5 August 2016, the scope of ANSF was extended to include regional networks interconnected with the national railway infrastructure considered to be of strategic importance for the Italian railway system in addition to the network managed under a concession agreement by RFI (Rete Ferroviaria Italiana S.p.A.).</w:t>
      </w:r>
    </w:p>
    <w:p w:rsidR="006C2BEC" w:rsidRPr="00915C86" w:rsidP="006C2BEC">
      <w:pPr>
        <w:rPr>
          <w:rFonts w:ascii="Century Gothic" w:hAnsi="Century Gothic" w:cs="Century Gothic"/>
          <w:sz w:val="20"/>
          <w:szCs w:val="20"/>
        </w:rPr>
      </w:pPr>
      <w:r w:rsidRPr="00915C86">
        <w:rPr>
          <w:rFonts w:ascii="Century Gothic" w:hAnsi="Century Gothic"/>
          <w:sz w:val="20"/>
          <w:szCs w:val="20"/>
        </w:rPr>
        <w:t>As of 31 December 2017, the following railway operators are authorised by ANSF:</w:t>
      </w:r>
    </w:p>
    <w:p w:rsidR="006C2BEC" w:rsidRPr="00915C86" w:rsidP="006C2BEC">
      <w:pPr>
        <w:numPr>
          <w:ilvl w:val="0"/>
          <w:numId w:val="48"/>
        </w:numPr>
        <w:spacing w:after="0"/>
        <w:rPr>
          <w:rFonts w:ascii="Century Gothic" w:hAnsi="Century Gothic" w:cs="Century Gothic"/>
          <w:sz w:val="20"/>
          <w:szCs w:val="20"/>
        </w:rPr>
      </w:pPr>
      <w:r w:rsidRPr="00915C86">
        <w:rPr>
          <w:rFonts w:ascii="Century Gothic" w:hAnsi="Century Gothic"/>
          <w:b/>
          <w:sz w:val="20"/>
          <w:szCs w:val="20"/>
        </w:rPr>
        <w:t>1</w:t>
      </w:r>
      <w:r w:rsidRPr="00915C86">
        <w:rPr>
          <w:rFonts w:ascii="Century Gothic" w:hAnsi="Century Gothic"/>
          <w:sz w:val="20"/>
          <w:szCs w:val="20"/>
        </w:rPr>
        <w:t xml:space="preserve"> Infrastructure Manager (RFI – Rete Ferroviaria Italiana S.p.A.)</w:t>
      </w:r>
    </w:p>
    <w:p w:rsidR="006C2BEC" w:rsidRPr="00915C86" w:rsidP="006C2BEC">
      <w:pPr>
        <w:numPr>
          <w:ilvl w:val="0"/>
          <w:numId w:val="48"/>
        </w:numPr>
        <w:spacing w:after="0"/>
        <w:rPr>
          <w:rFonts w:ascii="Century Gothic" w:hAnsi="Century Gothic" w:cs="Century Gothic"/>
          <w:sz w:val="20"/>
          <w:szCs w:val="20"/>
        </w:rPr>
      </w:pPr>
      <w:r w:rsidRPr="00915C86">
        <w:rPr>
          <w:rFonts w:ascii="Century Gothic" w:hAnsi="Century Gothic"/>
          <w:b/>
          <w:sz w:val="20"/>
          <w:szCs w:val="20"/>
        </w:rPr>
        <w:t>36</w:t>
      </w:r>
      <w:r w:rsidRPr="00915C86">
        <w:rPr>
          <w:rFonts w:ascii="Century Gothic" w:hAnsi="Century Gothic"/>
          <w:sz w:val="20"/>
          <w:szCs w:val="20"/>
        </w:rPr>
        <w:t xml:space="preserve"> Railway Undertakings</w:t>
      </w:r>
    </w:p>
    <w:p w:rsidR="006C2BEC" w:rsidRPr="00915C86" w:rsidP="006C2BEC">
      <w:pPr>
        <w:numPr>
          <w:ilvl w:val="1"/>
          <w:numId w:val="11"/>
        </w:numPr>
        <w:spacing w:after="0"/>
        <w:ind w:hanging="357"/>
        <w:rPr>
          <w:rFonts w:ascii="Century Gothic" w:hAnsi="Century Gothic" w:cs="Century Gothic"/>
          <w:sz w:val="20"/>
          <w:szCs w:val="20"/>
        </w:rPr>
      </w:pPr>
      <w:r w:rsidRPr="00915C86">
        <w:rPr>
          <w:rFonts w:ascii="Century Gothic" w:hAnsi="Century Gothic"/>
          <w:sz w:val="20"/>
          <w:szCs w:val="20"/>
        </w:rPr>
        <w:t>18 of which for goods transport</w:t>
      </w:r>
    </w:p>
    <w:p w:rsidR="006C2BEC" w:rsidRPr="00915C86" w:rsidP="006C2BEC">
      <w:pPr>
        <w:numPr>
          <w:ilvl w:val="1"/>
          <w:numId w:val="11"/>
        </w:numPr>
        <w:spacing w:after="0"/>
        <w:ind w:hanging="357"/>
        <w:rPr>
          <w:rFonts w:ascii="Century Gothic" w:hAnsi="Century Gothic" w:cs="Century Gothic"/>
          <w:sz w:val="20"/>
          <w:szCs w:val="20"/>
        </w:rPr>
      </w:pPr>
      <w:r w:rsidRPr="00915C86">
        <w:rPr>
          <w:rFonts w:ascii="Century Gothic" w:hAnsi="Century Gothic"/>
          <w:sz w:val="20"/>
          <w:szCs w:val="20"/>
        </w:rPr>
        <w:t>10 of which for passenger transport</w:t>
      </w:r>
    </w:p>
    <w:p w:rsidR="006C2BEC" w:rsidRPr="00915C86" w:rsidP="006C2BEC">
      <w:pPr>
        <w:numPr>
          <w:ilvl w:val="1"/>
          <w:numId w:val="11"/>
        </w:numPr>
        <w:spacing w:after="0"/>
        <w:ind w:hanging="357"/>
        <w:rPr>
          <w:rFonts w:ascii="Century Gothic" w:hAnsi="Century Gothic" w:cs="Century Gothic"/>
          <w:sz w:val="20"/>
          <w:szCs w:val="20"/>
        </w:rPr>
      </w:pPr>
      <w:r w:rsidRPr="00915C86">
        <w:rPr>
          <w:rFonts w:ascii="Century Gothic" w:hAnsi="Century Gothic"/>
          <w:sz w:val="20"/>
          <w:szCs w:val="20"/>
        </w:rPr>
        <w:t>7 of which for goods and passenger transport</w:t>
      </w:r>
    </w:p>
    <w:p w:rsidR="006C2BEC" w:rsidRPr="00915C86" w:rsidP="006C2BEC">
      <w:pPr>
        <w:numPr>
          <w:ilvl w:val="1"/>
          <w:numId w:val="11"/>
        </w:numPr>
        <w:spacing w:after="0"/>
        <w:ind w:hanging="357"/>
        <w:rPr>
          <w:rFonts w:ascii="Century Gothic" w:hAnsi="Century Gothic" w:cs="Century Gothic"/>
          <w:sz w:val="20"/>
          <w:szCs w:val="20"/>
        </w:rPr>
      </w:pPr>
      <w:r w:rsidRPr="00915C86">
        <w:rPr>
          <w:rFonts w:ascii="Century Gothic" w:hAnsi="Century Gothic"/>
          <w:sz w:val="20"/>
          <w:szCs w:val="20"/>
        </w:rPr>
        <w:t>1 for shunting services only.</w:t>
      </w:r>
    </w:p>
    <w:p w:rsidR="006C2BEC" w:rsidRPr="00915C86" w:rsidP="006C2BEC">
      <w:pPr>
        <w:spacing w:before="120"/>
        <w:rPr>
          <w:rFonts w:ascii="Century Gothic" w:hAnsi="Century Gothic"/>
          <w:sz w:val="20"/>
        </w:rPr>
      </w:pPr>
      <w:r w:rsidRPr="00915C86">
        <w:rPr>
          <w:rFonts w:ascii="Century Gothic" w:hAnsi="Century Gothic"/>
          <w:sz w:val="20"/>
        </w:rPr>
        <w:t>2017 saw the continuation of preliminary investigations for the issue of safety certifications or authorisations to entities operating on interconnected regional networks, but no procedure was concluded during 2017. The above Operators continued their activities under provisions issued by previously competent entities.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data in this document refers to the entire network for which ANSF is competent, hereafter identified as (IT Network), and correspond to data relating to the (RFI Network) supplemented by data recorded for the (Interconnected Regional Networks) for 2016 and 2017 only.</w:t>
      </w:r>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 xml:space="preserve">This report, based on the structure of the ‘NSA annual report template - 2017 Report’ (Version 1.0) issued by the European Union Agency for Railways (ERA) on 24 May 2018, was published on the ANSF website </w:t>
      </w:r>
      <w:hyperlink r:id="rId8" w:history="1">
        <w:r w:rsidRPr="00915C86">
          <w:rPr>
            <w:rStyle w:val="Hyperlink"/>
            <w:rFonts w:ascii="Century Gothic" w:hAnsi="Century Gothic"/>
            <w:sz w:val="20"/>
            <w:szCs w:val="20"/>
          </w:rPr>
          <w:t>www.ansf.it</w:t>
        </w:r>
      </w:hyperlink>
      <w:r w:rsidRPr="00915C86">
        <w:rPr>
          <w:rFonts w:ascii="Century Gothic" w:hAnsi="Century Gothic"/>
          <w:sz w:val="20"/>
          <w:szCs w:val="20"/>
        </w:rPr>
        <w:t xml:space="preserve"> and sent to ERA and the Ministry of Infrastructure and Transport.</w:t>
      </w:r>
    </w:p>
    <w:p w:rsidR="006C2BEC" w:rsidRPr="00915C86" w:rsidP="006C2BEC">
      <w:pPr>
        <w:pStyle w:val="Heading2"/>
        <w:spacing w:after="120"/>
        <w:rPr>
          <w:rFonts w:ascii="Century Gothic" w:hAnsi="Century Gothic"/>
        </w:rPr>
      </w:pPr>
      <w:bookmarkStart w:id="3" w:name="_Toc532565544"/>
      <w:r w:rsidRPr="00915C86">
        <w:rPr>
          <w:rFonts w:ascii="Century Gothic" w:hAnsi="Century Gothic"/>
        </w:rPr>
        <w:t>1.2</w:t>
      </w:r>
      <w:r w:rsidRPr="00915C86">
        <w:rPr>
          <w:rFonts w:ascii="Century Gothic" w:hAnsi="Century Gothic"/>
        </w:rPr>
        <w:tab/>
        <w:t>Main conclusions on the reporting year</w:t>
      </w:r>
      <w:bookmarkEnd w:id="3"/>
    </w:p>
    <w:p w:rsidR="006C2BEC" w:rsidRPr="00915C86" w:rsidP="006C2BEC">
      <w:pPr>
        <w:pStyle w:val="ListParagraph"/>
        <w:spacing w:before="120" w:after="0" w:line="240" w:lineRule="auto"/>
        <w:ind w:left="0"/>
        <w:contextualSpacing w:val="0"/>
        <w:rPr>
          <w:rFonts w:ascii="Century Gothic" w:hAnsi="Century Gothic" w:cs="Century Gothic"/>
          <w:sz w:val="20"/>
          <w:szCs w:val="20"/>
        </w:rPr>
      </w:pPr>
      <w:r w:rsidRPr="00915C86">
        <w:rPr>
          <w:rFonts w:ascii="Century Gothic" w:hAnsi="Century Gothic"/>
          <w:sz w:val="20"/>
          <w:szCs w:val="20"/>
        </w:rPr>
        <w:t>A joint analysis of the frequency of occurrence of significant accidents and their consequences in terms of casualties reveals that the system is tending towards the achievement of zero-accident levels, taking into account changes in legislation, technical and scientific progress and serious accident prevention priorities. This aim is in line with measures laid down by ANSF in Decree 4/2012, responding to the provisions of:</w:t>
      </w:r>
    </w:p>
    <w:p w:rsidR="006C2BEC" w:rsidRPr="00915C86" w:rsidP="006C2BEC">
      <w:pPr>
        <w:pStyle w:val="ListParagraph"/>
        <w:numPr>
          <w:ilvl w:val="0"/>
          <w:numId w:val="5"/>
        </w:numPr>
        <w:spacing w:after="120" w:line="240" w:lineRule="auto"/>
        <w:ind w:left="284" w:hanging="284"/>
        <w:rPr>
          <w:rFonts w:ascii="Century Gothic" w:hAnsi="Century Gothic" w:cs="Century Gothic"/>
          <w:sz w:val="20"/>
          <w:szCs w:val="20"/>
        </w:rPr>
      </w:pPr>
      <w:r w:rsidRPr="00915C86">
        <w:rPr>
          <w:rFonts w:ascii="Century Gothic" w:hAnsi="Century Gothic"/>
          <w:sz w:val="20"/>
          <w:szCs w:val="20"/>
        </w:rPr>
        <w:t>Article 8 of Presidential Decree No 753 of 11 July 1980, which states that ‘During operation of the railways, measures and precautions suggested by technical and practical experience shall be adopted to prevent accidents’;</w:t>
      </w:r>
    </w:p>
    <w:p w:rsidR="006C2BEC" w:rsidRPr="00915C86" w:rsidP="006C2BEC">
      <w:pPr>
        <w:pStyle w:val="ListParagraph"/>
        <w:numPr>
          <w:ilvl w:val="0"/>
          <w:numId w:val="5"/>
        </w:numPr>
        <w:spacing w:before="120" w:after="0" w:line="240" w:lineRule="auto"/>
        <w:ind w:left="284" w:hanging="284"/>
        <w:contextualSpacing w:val="0"/>
        <w:rPr>
          <w:rFonts w:ascii="Century Gothic" w:hAnsi="Century Gothic" w:cs="Century Gothic"/>
          <w:sz w:val="20"/>
          <w:szCs w:val="20"/>
        </w:rPr>
      </w:pPr>
      <w:r w:rsidRPr="00915C86">
        <w:rPr>
          <w:rFonts w:ascii="Century Gothic" w:hAnsi="Century Gothic"/>
          <w:sz w:val="20"/>
          <w:szCs w:val="20"/>
        </w:rPr>
        <w:t>Article 1(1) of Legislative Decree No 162 of 10 August 2007, transposing Article 4(1) of Directive 2004/49/EC, which establishes ‘the goal of maintaining and, when reasonably practicable, continuously improving the safety of the Italian railway system, taking into account legal developments and technical and scientific progress, and giving priority to the prevention of serious accidents’.</w:t>
      </w:r>
    </w:p>
    <w:p w:rsidR="006C2BEC" w:rsidRPr="00915C86" w:rsidP="006C2BEC">
      <w:pPr>
        <w:spacing w:before="120" w:after="0"/>
        <w:rPr>
          <w:rFonts w:ascii="Century Gothic" w:hAnsi="Century Gothic" w:cs="Century Gothic"/>
          <w:sz w:val="20"/>
          <w:szCs w:val="20"/>
        </w:rPr>
      </w:pPr>
      <w:r w:rsidRPr="00915C86">
        <w:rPr>
          <w:rFonts w:ascii="Century Gothic" w:hAnsi="Century Gothic"/>
          <w:noProof/>
          <w:sz w:val="20"/>
          <w:szCs w:val="20"/>
          <w:lang w:val="fr-LU" w:eastAsia="fr-LU"/>
        </w:rPr>
        <w:drawing>
          <wp:inline distT="0" distB="0" distL="0" distR="0">
            <wp:extent cx="5745480" cy="3335655"/>
            <wp:effectExtent l="0" t="0" r="7620" b="17145"/>
            <wp:docPr id="12" name="Grafico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BEC" w:rsidRPr="00915C86" w:rsidP="006C2BEC">
      <w:pPr>
        <w:spacing w:before="120" w:after="0"/>
        <w:rPr>
          <w:rFonts w:ascii="Century Gothic" w:hAnsi="Century Gothic" w:cs="Century Gothic"/>
          <w:sz w:val="16"/>
          <w:szCs w:val="14"/>
        </w:rPr>
      </w:pPr>
      <w:r w:rsidRPr="00915C86">
        <w:rPr>
          <w:rFonts w:ascii="Century Gothic" w:hAnsi="Century Gothic"/>
          <w:color w:val="D46306"/>
          <w:sz w:val="16"/>
          <w:szCs w:val="14"/>
        </w:rPr>
        <w:t xml:space="preserve">▀ </w:t>
      </w:r>
      <w:r w:rsidRPr="00915C86">
        <w:rPr>
          <w:rFonts w:ascii="Century Gothic" w:hAnsi="Century Gothic"/>
          <w:sz w:val="16"/>
          <w:szCs w:val="14"/>
        </w:rPr>
        <w:t>data relating to 2016 and 2017 include data recorded on the (RFI Network) and data recorded on (Interconnected Regional Networks).</w:t>
      </w:r>
    </w:p>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graph shows that over the period in question (2005-2017), the overall trend (continuous green arrow) is in line with the overall target (dashed green arrow). However, the 2017 data indicate a critical increase in the trend compared to 2016 due to a rise in significant accidents occurring on the (RFI Network).</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following plot reflects the trend in a qualitative system index calculated as a product of accident rates (significant accidents/Mln tr-km) and effects in terms of casualties (Deaths and severe injuries/Mln tr-km) with reference to the (RFI Network) only.</w:t>
      </w:r>
    </w:p>
    <w:p w:rsidR="006C2BEC" w:rsidRPr="00915C86" w:rsidP="006C2BEC">
      <w:pPr>
        <w:spacing w:before="120"/>
        <w:rPr>
          <w:rFonts w:ascii="Century Gothic" w:hAnsi="Century Gothic" w:cs="Century Gothic"/>
          <w:sz w:val="20"/>
          <w:szCs w:val="20"/>
        </w:rPr>
      </w:pPr>
    </w:p>
    <w:p w:rsidR="006C2BEC" w:rsidRPr="00915C86" w:rsidP="006C2BEC">
      <w:pP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inline distT="0" distB="0" distL="0" distR="0">
                <wp:extent cx="4667250" cy="1488440"/>
                <wp:effectExtent l="0" t="0" r="0" b="0"/>
                <wp:docPr id="1" name="Gruppo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250" cy="1488440"/>
                          <a:chOff x="0" y="0"/>
                          <a:chExt cx="5206636" cy="1920479"/>
                        </a:xfrm>
                      </wpg:grpSpPr>
                      <wps:wsp xmlns:wps="http://schemas.microsoft.com/office/word/2010/wordprocessingShape">
                        <wps:cNvPr id="504449325" name="CasellaDiTesto 11"/>
                        <wps:cNvSpPr txBox="1"/>
                        <wps:spPr>
                          <a:xfrm>
                            <a:off x="0" y="0"/>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2005</w:t>
                              </w:r>
                            </w:p>
                          </w:txbxContent>
                        </wps:txbx>
                        <wps:bodyPr wrap="square" rtlCol="0"/>
                      </wps:wsp>
                      <wpg:grpSp>
                        <wpg:cNvPr id="676277353" name="Gruppo 7"/>
                        <wpg:cNvGrpSpPr/>
                        <wpg:grpSpPr>
                          <a:xfrm>
                            <a:off x="634636" y="169277"/>
                            <a:ext cx="3817257" cy="1407886"/>
                            <a:chOff x="634636" y="169277"/>
                            <a:chExt cx="3817257" cy="1407886"/>
                          </a:xfrm>
                        </wpg:grpSpPr>
                        <wps:wsp xmlns:wps="http://schemas.microsoft.com/office/word/2010/wordprocessingShape">
                          <wps:cNvPr id="1559837050" name="Connettore 1 9"/>
                          <wps:cNvCnPr/>
                          <wps:spPr>
                            <a:xfrm>
                              <a:off x="634636" y="169277"/>
                              <a:ext cx="1331686" cy="1166038"/>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060438197" name="Connettore 1 10"/>
                          <wps:cNvCnPr/>
                          <wps:spPr>
                            <a:xfrm>
                              <a:off x="1975847" y="1335315"/>
                              <a:ext cx="15621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1" name="Connettore 1 11"/>
                          <wps:cNvCnPr/>
                          <wps:spPr>
                            <a:xfrm>
                              <a:off x="3528422" y="1335315"/>
                              <a:ext cx="923471" cy="241848"/>
                            </a:xfrm>
                            <a:prstGeom prst="line">
                              <a:avLst/>
                            </a:prstGeom>
                            <a:ln w="50800"/>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803181844" name="CasellaDiTesto 14"/>
                        <wps:cNvSpPr txBox="1"/>
                        <wps:spPr>
                          <a:xfrm>
                            <a:off x="1401282" y="1286962"/>
                            <a:ext cx="754742"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2009</w:t>
                              </w:r>
                            </w:p>
                          </w:txbxContent>
                        </wps:txbx>
                        <wps:bodyPr wrap="square" rtlCol="0"/>
                      </wps:wsp>
                      <wps:wsp xmlns:wps="http://schemas.microsoft.com/office/word/2010/wordprocessingShape">
                        <wps:cNvPr id="911262928" name="CasellaDiTesto 15"/>
                        <wps:cNvSpPr txBox="1"/>
                        <wps:spPr>
                          <a:xfrm>
                            <a:off x="3148239" y="1359861"/>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2014</w:t>
                              </w:r>
                            </w:p>
                          </w:txbxContent>
                        </wps:txbx>
                        <wps:bodyPr wrap="square" rtlCol="0"/>
                      </wps:wsp>
                      <wps:wsp xmlns:wps="http://schemas.microsoft.com/office/word/2010/wordprocessingShape">
                        <wps:cNvPr id="220516898" name="CasellaDiTesto 16"/>
                        <wps:cNvSpPr txBox="1"/>
                        <wps:spPr>
                          <a:xfrm>
                            <a:off x="4451893" y="1581925"/>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2017</w:t>
                              </w:r>
                            </w:p>
                          </w:txbxContent>
                        </wps:txbx>
                        <wps:bodyPr wrap="square" rtlCol="0"/>
                      </wps:wsp>
                      <wps:wsp xmlns:wps="http://schemas.microsoft.com/office/word/2010/wordprocessingShape">
                        <wps:cNvPr id="15" name="CasellaDiTesto 39"/>
                        <wps:cNvSpPr txBox="1"/>
                        <wps:spPr>
                          <a:xfrm>
                            <a:off x="1300479" y="484169"/>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-53%</w:t>
                              </w:r>
                            </w:p>
                          </w:txbxContent>
                        </wps:txbx>
                        <wps:bodyPr wrap="square" rtlCol="0"/>
                      </wps:wsp>
                      <wps:wsp xmlns:wps="http://schemas.microsoft.com/office/word/2010/wordprocessingShape">
                        <wps:cNvPr id="16" name="CasellaDiTesto 40"/>
                        <wps:cNvSpPr txBox="1"/>
                        <wps:spPr>
                          <a:xfrm>
                            <a:off x="3871123" y="1107721"/>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-27%</w:t>
                              </w:r>
                            </w:p>
                          </w:txbxContent>
                        </wps:txbx>
                        <wps:bodyPr wrap="square" rtlCol="0"/>
                      </wps:wsp>
                    </wpg:wgp>
                  </a:graphicData>
                </a:graphic>
              </wp:inline>
            </w:drawing>
          </mc:Choice>
          <mc:Fallback>
            <w:pict>
              <v:group id="Gruppo 41" o:spid="_x0000_i1025" style="width:367.5pt;height:117.2pt;mso-position-horizontal-relative:char;mso-position-vertical-relative:line" coordsize="52066,19204">
                <v:shapetype id="_x0000_t202" coordsize="21600,21600" o:spt="202" path="m,l,21600r21600,l21600,xe">
                  <v:stroke joinstyle="miter"/>
                  <v:path gradientshapeok="t" o:connecttype="rect"/>
                </v:shapetype>
                <v:shape id="CasellaDiTesto 11" o:spid="_x0000_s1026" type="#_x0000_t202" style="width:7547;height:3385;mso-wrap-style:square;position:absolute;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2005</w:t>
                        </w:r>
                      </w:p>
                    </w:txbxContent>
                  </v:textbox>
                </v:shape>
                <v:group id="Gruppo 7" o:spid="_x0000_s1027" style="width:38172;height:14079;left:6346;position:absolute;top:1692" coordorigin="6346,1692" coordsize="38172,14078">
                  <v:line id="Connettore 1 9" o:spid="_x0000_s1028" style="mso-wrap-style:square;position:absolute;visibility:visible" from="6346,1692" to="19663,13353" o:connectortype="straight" strokecolor="#4579b8" strokeweight="4pt"/>
                  <v:line id="Connettore 1 10" o:spid="_x0000_s1029" style="mso-wrap-style:square;position:absolute;visibility:visible" from="19758,13353" to="35379,13353" o:connectortype="straight" strokecolor="#4579b8" strokeweight="4pt"/>
                  <v:line id="Connettore 1 11" o:spid="_x0000_s1030" style="mso-wrap-style:square;position:absolute;visibility:visible" from="35284,13353" to="44518,15771" o:connectortype="straight" strokecolor="#4579b8" strokeweight="4pt"/>
                </v:group>
                <v:shape id="CasellaDiTesto 14" o:spid="_x0000_s1031" type="#_x0000_t202" style="width:7548;height:3386;left:14012;mso-wrap-style:square;position:absolute;top:12869;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2009</w:t>
                        </w:r>
                      </w:p>
                    </w:txbxContent>
                  </v:textbox>
                </v:shape>
                <v:shape id="CasellaDiTesto 15" o:spid="_x0000_s1032" type="#_x0000_t202" style="width:7547;height:3386;left:31482;mso-wrap-style:square;position:absolute;top:13598;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2014</w:t>
                        </w:r>
                      </w:p>
                    </w:txbxContent>
                  </v:textbox>
                </v:shape>
                <v:shape id="CasellaDiTesto 16" o:spid="_x0000_s1033" type="#_x0000_t202" style="width:7548;height:3385;left:44518;mso-wrap-style:square;position:absolute;top:15819;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2017</w:t>
                        </w:r>
                      </w:p>
                    </w:txbxContent>
                  </v:textbox>
                </v:shape>
                <v:shape id="CasellaDiTesto 39" o:spid="_x0000_s1034" type="#_x0000_t202" style="width:7548;height:3386;left:13004;mso-wrap-style:square;position:absolute;top:4841;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-53%</w:t>
                        </w:r>
                      </w:p>
                    </w:txbxContent>
                  </v:textbox>
                </v:shape>
                <v:shape id="CasellaDiTesto 40" o:spid="_x0000_s1035" type="#_x0000_t202" style="width:7547;height:3385;left:38711;mso-wrap-style:square;position:absolute;top:11077;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-27%</w:t>
                        </w:r>
                      </w:p>
                    </w:txbxContent>
                  </v:textbox>
                </v:shape>
                <w10:wrap type="none"/>
                <w10:anchorlock/>
              </v:group>
            </w:pict>
          </mc:Fallback>
        </mc:AlternateContent>
      </w:r>
    </w:p>
    <w:p w:rsidR="006C2BEC" w:rsidRPr="00915C86" w:rsidP="006C2BEC">
      <w:pPr>
        <w:rPr>
          <w:rFonts w:ascii="Century Gothic" w:hAnsi="Century Gothic" w:cs="Century Gothic"/>
          <w:sz w:val="20"/>
          <w:szCs w:val="20"/>
        </w:rPr>
      </w:pPr>
    </w:p>
    <w:p w:rsidR="006C2BEC" w:rsidRPr="00915C86" w:rsidP="006C2BEC">
      <w:pPr>
        <w:spacing w:before="120"/>
        <w:rPr>
          <w:rFonts w:ascii="Century Gothic" w:hAnsi="Century Gothic"/>
          <w:sz w:val="20"/>
        </w:rPr>
      </w:pPr>
      <w:r w:rsidRPr="00915C86">
        <w:rPr>
          <w:rFonts w:ascii="Century Gothic" w:hAnsi="Century Gothic"/>
          <w:sz w:val="20"/>
        </w:rPr>
        <w:t xml:space="preserve">The first stage (2005-2009) shows a decrease of 53%, linked to improvements in door control equipment, effectiveness of train running protection systems and an increase in safety coverage. During the second stage, covering the period (2009-2014), the index trend is generally stable. Between 2014 and 2017, the decrease was approximately 27% as a result of specific activities linked in particular to action on trespassers, hydrogeological and hydraulic instability and measures taken on level crossings. It has not yet been possible to conduct an equivalent analysis on (Interconnected Regional Networks). During 2017 no certifications or authorisations were issued to entities operating on (Interconnected Regional Networks), which continued to conduct their activities based on authorisations received from the previously competent entities. This failure to issue safety authorisations and certifications is connected </w:t>
      </w:r>
      <w:r w:rsidRPr="00915C86">
        <w:rPr>
          <w:rFonts w:ascii="Century Gothic" w:hAnsi="Century Gothic"/>
          <w:sz w:val="20"/>
        </w:rPr>
        <w:t>with ongoing difficulties experienced by regional infrastructure managers in providing appropriate organisational structures to support safety that are consistent with the context outlined in Legislative Decree No 162 of 10 August 2007.</w:t>
      </w:r>
    </w:p>
    <w:p w:rsidR="006C2BEC" w:rsidRPr="00915C86" w:rsidP="006C2BEC">
      <w:pPr>
        <w:rPr>
          <w:rFonts w:ascii="Century Gothic" w:hAnsi="Century Gothic" w:cs="Century Gothic"/>
          <w:sz w:val="20"/>
          <w:szCs w:val="20"/>
        </w:rPr>
      </w:pPr>
      <w:r w:rsidRPr="00915C86">
        <w:rPr>
          <w:rFonts w:ascii="Century Gothic" w:hAnsi="Century Gothic"/>
          <w:sz w:val="20"/>
          <w:szCs w:val="20"/>
        </w:rPr>
        <w:t>The above scenario, as well as problems highlighted by audit and inspection activities, reveals a need to re-align technological equipment and organisation with parameters met by the national network in order to support the safety of railway operators performing their activities on regional networks.</w:t>
      </w:r>
    </w:p>
    <w:p w:rsidR="006C2BEC" w:rsidRPr="00915C86" w:rsidP="006C2BEC">
      <w:pPr>
        <w:rPr>
          <w:rFonts w:ascii="Century Gothic" w:hAnsi="Century Gothic" w:cs="Century Gothic"/>
          <w:sz w:val="20"/>
          <w:szCs w:val="20"/>
        </w:rPr>
      </w:pPr>
      <w:r w:rsidRPr="00915C86">
        <w:rPr>
          <w:rFonts w:ascii="Century Gothic" w:hAnsi="Century Gothic"/>
          <w:sz w:val="20"/>
          <w:szCs w:val="20"/>
        </w:rPr>
        <w:t>Regarding the railway system as a whole, technical problems still persist. These are specifically linked to infrastructure and vehicle maintenance as well as accidents caused by trespassers, including those occurring at level crossings.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Given the above situation, during 2018 ANSF will continue with activities arising from institutional tasks assigned to it with regard to the issue of safety and standardisation certifications and authorisations. With regard to supervision, it will continue to identify its priorities, adopting a structured risk-based approach. The Agency will also:</w:t>
      </w:r>
    </w:p>
    <w:p w:rsidR="006C2BEC" w:rsidRPr="00915C86" w:rsidP="006C2BEC">
      <w:pPr>
        <w:pStyle w:val="ListParagraph"/>
        <w:numPr>
          <w:ilvl w:val="0"/>
          <w:numId w:val="38"/>
        </w:numPr>
        <w:spacing w:after="0" w:line="240" w:lineRule="auto"/>
        <w:rPr>
          <w:rFonts w:ascii="Century Gothic" w:hAnsi="Century Gothic" w:cs="Century Gothic"/>
          <w:sz w:val="20"/>
          <w:szCs w:val="20"/>
        </w:rPr>
      </w:pPr>
      <w:r w:rsidRPr="00915C86">
        <w:rPr>
          <w:rFonts w:ascii="Century Gothic" w:hAnsi="Century Gothic"/>
          <w:sz w:val="20"/>
          <w:szCs w:val="20"/>
        </w:rPr>
        <w:t>regarding the (Interconnected Regional Networks), be strongly involved in authorisation and certification activities as well as in monitoring and supervision of the new railway system;</w:t>
      </w:r>
    </w:p>
    <w:p w:rsidR="006C2BEC" w:rsidRPr="00915C86" w:rsidP="006C2BEC">
      <w:pPr>
        <w:pStyle w:val="ListParagraph"/>
        <w:numPr>
          <w:ilvl w:val="0"/>
          <w:numId w:val="38"/>
        </w:numPr>
        <w:spacing w:after="0" w:line="240" w:lineRule="auto"/>
        <w:rPr>
          <w:rFonts w:ascii="Century Gothic" w:hAnsi="Century Gothic" w:cs="Century Gothic"/>
          <w:sz w:val="20"/>
          <w:szCs w:val="20"/>
        </w:rPr>
      </w:pPr>
      <w:r w:rsidRPr="00915C86">
        <w:rPr>
          <w:rFonts w:ascii="Century Gothic" w:hAnsi="Century Gothic"/>
          <w:sz w:val="20"/>
          <w:szCs w:val="20"/>
        </w:rPr>
        <w:t>under Decree Law No 148 16/10/2017 converted by Law No 172 of 04/12/2017, continue activity started in 2017, defining technical standards and safety standards applicable to networks that are not operationally connected to the rest of the national railway system (isolated), identifiable because they are characterised by transport services that only involve these networks;</w:t>
      </w:r>
    </w:p>
    <w:p w:rsidR="006C2BEC" w:rsidRPr="00915C86" w:rsidP="006C2BEC">
      <w:pPr>
        <w:pStyle w:val="ListParagraph"/>
        <w:numPr>
          <w:ilvl w:val="0"/>
          <w:numId w:val="38"/>
        </w:numPr>
        <w:spacing w:after="0" w:line="240" w:lineRule="auto"/>
        <w:rPr>
          <w:rFonts w:ascii="Century Gothic" w:hAnsi="Century Gothic" w:cs="Century Gothic"/>
          <w:sz w:val="20"/>
          <w:szCs w:val="20"/>
        </w:rPr>
      </w:pPr>
      <w:r w:rsidRPr="00915C86">
        <w:rPr>
          <w:rFonts w:ascii="Century Gothic" w:hAnsi="Century Gothic"/>
          <w:sz w:val="20"/>
          <w:szCs w:val="20"/>
        </w:rPr>
        <w:t>promote actions resulting from the signing of Framework Agreements between the Ministry of Infrastructure and Transport, ANSF, Assoporti, RFI and ASSTRA to increase safety levels of connections with ports, interports and intermodal terminals;</w:t>
      </w:r>
    </w:p>
    <w:p w:rsidR="006C2BEC" w:rsidRPr="00915C86" w:rsidP="006C2BEC">
      <w:pPr>
        <w:pStyle w:val="ListParagraph"/>
        <w:numPr>
          <w:ilvl w:val="1"/>
          <w:numId w:val="9"/>
        </w:numPr>
        <w:tabs>
          <w:tab w:val="num" w:pos="426"/>
          <w:tab w:val="clear" w:pos="1866"/>
        </w:tabs>
        <w:spacing w:after="0" w:line="240" w:lineRule="auto"/>
        <w:ind w:left="709" w:hanging="283"/>
        <w:rPr>
          <w:rFonts w:ascii="Century Gothic" w:hAnsi="Century Gothic" w:cs="Century Gothic"/>
          <w:sz w:val="20"/>
          <w:szCs w:val="20"/>
        </w:rPr>
      </w:pPr>
      <w:r w:rsidRPr="00915C86">
        <w:rPr>
          <w:rFonts w:ascii="Century Gothic" w:hAnsi="Century Gothic"/>
          <w:sz w:val="20"/>
          <w:szCs w:val="20"/>
        </w:rPr>
        <w:t>continue supervision activities concerning purely railway-related aspects of dangerous goods transport;</w:t>
      </w:r>
    </w:p>
    <w:p w:rsidR="006C2BEC" w:rsidRPr="00915C86" w:rsidP="006C2BEC">
      <w:pPr>
        <w:pStyle w:val="ListParagraph"/>
        <w:numPr>
          <w:ilvl w:val="1"/>
          <w:numId w:val="9"/>
        </w:numPr>
        <w:tabs>
          <w:tab w:val="num" w:pos="426"/>
          <w:tab w:val="clear" w:pos="1866"/>
        </w:tabs>
        <w:spacing w:after="0" w:line="240" w:lineRule="auto"/>
        <w:ind w:left="709" w:hanging="283"/>
        <w:rPr>
          <w:rFonts w:ascii="Century Gothic" w:hAnsi="Century Gothic" w:cs="Century Gothic"/>
          <w:sz w:val="20"/>
          <w:szCs w:val="20"/>
        </w:rPr>
      </w:pPr>
      <w:r w:rsidRPr="00915C86">
        <w:rPr>
          <w:rFonts w:ascii="Century Gothic" w:hAnsi="Century Gothic"/>
          <w:sz w:val="20"/>
          <w:szCs w:val="20"/>
        </w:rPr>
        <w:t>promote a culture of safety in the railway system and integration of the human factor within safety management systems;</w:t>
      </w:r>
    </w:p>
    <w:p w:rsidR="006C2BEC" w:rsidRPr="00915C86" w:rsidP="006C2BEC">
      <w:pPr>
        <w:pStyle w:val="ListParagraph"/>
        <w:numPr>
          <w:ilvl w:val="1"/>
          <w:numId w:val="9"/>
        </w:numPr>
        <w:tabs>
          <w:tab w:val="num" w:pos="426"/>
          <w:tab w:val="clear" w:pos="1866"/>
        </w:tabs>
        <w:spacing w:after="0" w:line="240" w:lineRule="auto"/>
        <w:ind w:left="709" w:hanging="283"/>
        <w:rPr>
          <w:rFonts w:ascii="Century Gothic" w:hAnsi="Century Gothic" w:cs="Century Gothic"/>
          <w:sz w:val="20"/>
          <w:szCs w:val="20"/>
        </w:rPr>
      </w:pPr>
      <w:r w:rsidRPr="00915C86">
        <w:rPr>
          <w:rFonts w:ascii="Century Gothic" w:hAnsi="Century Gothic"/>
          <w:sz w:val="20"/>
          <w:szCs w:val="20"/>
        </w:rPr>
        <w:t>monitor the proper conduct by railway operators of investigations into relevant railway accidents and incidents, aiming in particular to overcome failure to act or lack of co-operation between Operators and in relation to ANSF itself;</w:t>
      </w:r>
    </w:p>
    <w:p w:rsidR="006C2BEC" w:rsidRPr="00915C86" w:rsidP="006C2BEC">
      <w:pPr>
        <w:pStyle w:val="ListParagraph"/>
        <w:numPr>
          <w:ilvl w:val="1"/>
          <w:numId w:val="9"/>
        </w:numPr>
        <w:tabs>
          <w:tab w:val="num" w:pos="426"/>
          <w:tab w:val="clear" w:pos="1866"/>
        </w:tabs>
        <w:spacing w:after="0" w:line="240" w:lineRule="auto"/>
        <w:ind w:left="709" w:hanging="283"/>
        <w:rPr>
          <w:rFonts w:ascii="Century Gothic" w:hAnsi="Century Gothic" w:cs="Century Gothic"/>
          <w:sz w:val="20"/>
          <w:szCs w:val="20"/>
        </w:rPr>
      </w:pPr>
      <w:r w:rsidRPr="00915C86">
        <w:rPr>
          <w:rFonts w:ascii="Century Gothic" w:hAnsi="Century Gothic"/>
          <w:sz w:val="20"/>
          <w:szCs w:val="20"/>
        </w:rPr>
        <w:t>promote cross-border cooperation activities;</w:t>
      </w:r>
    </w:p>
    <w:p w:rsidR="006C2BEC" w:rsidRPr="00915C86" w:rsidP="006C2BEC">
      <w:pPr>
        <w:pStyle w:val="ListParagraph"/>
        <w:numPr>
          <w:ilvl w:val="0"/>
          <w:numId w:val="39"/>
        </w:numPr>
        <w:tabs>
          <w:tab w:val="num" w:pos="426"/>
          <w:tab w:val="left" w:pos="851"/>
          <w:tab w:val="clear" w:pos="1146"/>
        </w:tabs>
        <w:spacing w:after="0" w:line="240" w:lineRule="auto"/>
        <w:ind w:left="709" w:hanging="284"/>
        <w:rPr>
          <w:rFonts w:ascii="Century Gothic" w:hAnsi="Century Gothic" w:cs="Century Gothic"/>
          <w:sz w:val="20"/>
          <w:szCs w:val="20"/>
        </w:rPr>
      </w:pPr>
      <w:r w:rsidRPr="00915C86">
        <w:rPr>
          <w:rFonts w:ascii="Century Gothic" w:hAnsi="Century Gothic"/>
          <w:sz w:val="20"/>
          <w:szCs w:val="20"/>
        </w:rPr>
        <w:t>encourage railway operators to overcome the potential mismatch between production and commercial requirements on the one hand and safety protection on the other – and ensure effective control of their parts of the system;</w:t>
      </w:r>
    </w:p>
    <w:p w:rsidR="006C2BEC" w:rsidRPr="00915C86" w:rsidP="006C2BEC">
      <w:pPr>
        <w:pStyle w:val="ListParagraph"/>
        <w:numPr>
          <w:ilvl w:val="0"/>
          <w:numId w:val="39"/>
        </w:numPr>
        <w:tabs>
          <w:tab w:val="num" w:pos="426"/>
          <w:tab w:val="left" w:pos="851"/>
          <w:tab w:val="clear" w:pos="1146"/>
        </w:tabs>
        <w:spacing w:before="120" w:after="0" w:line="240" w:lineRule="auto"/>
        <w:ind w:left="709" w:hanging="283"/>
        <w:rPr>
          <w:rFonts w:ascii="Century Gothic" w:hAnsi="Century Gothic" w:cs="Century Gothic"/>
          <w:sz w:val="20"/>
          <w:szCs w:val="20"/>
        </w:rPr>
      </w:pPr>
      <w:r w:rsidRPr="00915C86">
        <w:rPr>
          <w:rFonts w:ascii="Century Gothic" w:hAnsi="Century Gothic"/>
          <w:sz w:val="20"/>
          <w:szCs w:val="20"/>
        </w:rPr>
        <w:t>promote opportunities for meeting and dialogue with railway operators.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Railway operators must implement the following priority actions:</w:t>
      </w:r>
    </w:p>
    <w:p w:rsidR="006C2BEC" w:rsidRPr="00915C86" w:rsidP="006C2BEC">
      <w:pPr>
        <w:pStyle w:val="ListParagraph"/>
        <w:numPr>
          <w:ilvl w:val="0"/>
          <w:numId w:val="37"/>
        </w:numPr>
        <w:spacing w:line="240" w:lineRule="auto"/>
        <w:ind w:left="714" w:hanging="357"/>
        <w:rPr>
          <w:rFonts w:ascii="Century Gothic" w:hAnsi="Century Gothic" w:cs="Century Gothic"/>
          <w:sz w:val="20"/>
          <w:szCs w:val="20"/>
        </w:rPr>
      </w:pPr>
      <w:r w:rsidRPr="00915C86">
        <w:rPr>
          <w:rFonts w:ascii="Century Gothic" w:hAnsi="Century Gothic"/>
          <w:sz w:val="20"/>
          <w:szCs w:val="20"/>
        </w:rPr>
        <w:t>align safety levels in all parts of the railway system (Interconnected Regional Networks referred to in Ministerial Decree of 5 August 2016) and bring the technological equipment on the network and vehicles into line with national standards;</w:t>
      </w:r>
    </w:p>
    <w:p w:rsidR="006C2BEC" w:rsidRPr="00915C86" w:rsidP="006C2BEC">
      <w:pPr>
        <w:pStyle w:val="ListParagraph"/>
        <w:numPr>
          <w:ilvl w:val="0"/>
          <w:numId w:val="37"/>
        </w:numPr>
        <w:spacing w:line="240" w:lineRule="auto"/>
        <w:ind w:left="714" w:hanging="357"/>
        <w:rPr>
          <w:rFonts w:ascii="Century Gothic" w:hAnsi="Century Gothic" w:cs="Century Gothic"/>
          <w:sz w:val="20"/>
          <w:szCs w:val="20"/>
        </w:rPr>
      </w:pPr>
      <w:r w:rsidRPr="00915C86">
        <w:rPr>
          <w:rFonts w:ascii="Century Gothic" w:hAnsi="Century Gothic"/>
          <w:sz w:val="20"/>
          <w:szCs w:val="20"/>
        </w:rPr>
        <w:t>ensure the effectiveness of maintenance processes;</w:t>
      </w:r>
    </w:p>
    <w:p w:rsidR="006C2BEC" w:rsidRPr="00915C86" w:rsidP="006C2BEC">
      <w:pPr>
        <w:pStyle w:val="ListParagraph"/>
        <w:numPr>
          <w:ilvl w:val="0"/>
          <w:numId w:val="37"/>
        </w:numPr>
        <w:spacing w:line="240" w:lineRule="auto"/>
        <w:ind w:left="714" w:hanging="357"/>
        <w:rPr>
          <w:rFonts w:ascii="Century Gothic" w:hAnsi="Century Gothic" w:cs="Century Gothic"/>
          <w:sz w:val="20"/>
          <w:szCs w:val="20"/>
        </w:rPr>
      </w:pPr>
      <w:r w:rsidRPr="00915C86">
        <w:rPr>
          <w:rFonts w:ascii="Century Gothic" w:hAnsi="Century Gothic"/>
          <w:sz w:val="20"/>
          <w:szCs w:val="20"/>
        </w:rPr>
        <w:t>limit the number of trespassers on railway lines;</w:t>
      </w:r>
    </w:p>
    <w:p w:rsidR="006C2BEC" w:rsidRPr="00915C86" w:rsidP="006C2BEC">
      <w:pPr>
        <w:pStyle w:val="ListParagraph"/>
        <w:numPr>
          <w:ilvl w:val="0"/>
          <w:numId w:val="37"/>
        </w:numPr>
        <w:spacing w:line="240" w:lineRule="auto"/>
        <w:ind w:left="714" w:hanging="357"/>
        <w:rPr>
          <w:rFonts w:ascii="Century Gothic" w:hAnsi="Century Gothic" w:cs="Century Gothic"/>
          <w:sz w:val="20"/>
          <w:szCs w:val="20"/>
        </w:rPr>
      </w:pPr>
      <w:r w:rsidRPr="00915C86">
        <w:rPr>
          <w:rFonts w:ascii="Century Gothic" w:hAnsi="Century Gothic"/>
          <w:sz w:val="20"/>
          <w:szCs w:val="20"/>
        </w:rPr>
        <w:t>promote a positive culture of safety and integrate the human factor into their systems and into dealings with other operators;</w:t>
      </w:r>
    </w:p>
    <w:p w:rsidR="006C2BEC" w:rsidRPr="00915C86" w:rsidP="006C2BEC">
      <w:pPr>
        <w:pStyle w:val="ListParagraph"/>
        <w:numPr>
          <w:ilvl w:val="0"/>
          <w:numId w:val="37"/>
        </w:numPr>
        <w:spacing w:line="240" w:lineRule="auto"/>
        <w:ind w:left="714" w:hanging="357"/>
        <w:rPr>
          <w:rFonts w:ascii="Century Gothic" w:hAnsi="Century Gothic" w:cs="Century Gothic"/>
          <w:sz w:val="20"/>
          <w:szCs w:val="20"/>
        </w:rPr>
      </w:pPr>
      <w:r w:rsidRPr="00915C86">
        <w:rPr>
          <w:rFonts w:ascii="Century Gothic" w:hAnsi="Century Gothic"/>
          <w:sz w:val="20"/>
          <w:szCs w:val="20"/>
        </w:rPr>
        <w:t>ensure firmer action by railway managers and undertakings with regard to safety, cooperating more effectively and ensuring effective control of their own part of the system as provided by Regulation (EU) 1078/2012.</w:t>
      </w:r>
    </w:p>
    <w:p w:rsidR="006C2BEC" w:rsidRPr="00915C86" w:rsidP="006C2BEC">
      <w:pPr>
        <w:rPr>
          <w:rFonts w:ascii="Century Gothic" w:hAnsi="Century Gothic" w:cs="Century Gothic"/>
          <w:sz w:val="20"/>
          <w:szCs w:val="20"/>
        </w:rPr>
      </w:pPr>
    </w:p>
    <w:p w:rsidR="006C2BEC" w:rsidRPr="00915C86" w:rsidP="006C2BEC">
      <w:pPr>
        <w:pStyle w:val="Heading1"/>
        <w:tabs>
          <w:tab w:val="num" w:pos="432"/>
        </w:tabs>
        <w:spacing w:before="360" w:after="120"/>
        <w:ind w:left="431" w:hanging="431"/>
        <w:rPr>
          <w:rFonts w:ascii="Century Gothic" w:hAnsi="Century Gothic"/>
          <w:kern w:val="0"/>
        </w:rPr>
      </w:pPr>
      <w:bookmarkStart w:id="4" w:name="_Toc532565545"/>
      <w:r w:rsidRPr="00915C86">
        <w:rPr>
          <w:rFonts w:ascii="Century Gothic" w:hAnsi="Century Gothic"/>
          <w:lang w:val="en-US"/>
        </w:rPr>
        <w:t>PART</w:t>
      </w:r>
      <w:r w:rsidRPr="00915C86" w:rsidR="00575D08">
        <w:rPr>
          <w:rFonts w:ascii="Century Gothic" w:hAnsi="Century Gothic"/>
          <w:lang w:val="en-US"/>
        </w:rPr>
        <w:t xml:space="preserve"> 2 – ENGLISH SUMMARY</w:t>
      </w:r>
      <w:bookmarkEnd w:id="4"/>
    </w:p>
    <w:p w:rsidR="006C2BEC" w:rsidRPr="00915C86" w:rsidP="006C2BEC">
      <w:pPr>
        <w:pStyle w:val="ListParagraph"/>
        <w:spacing w:before="120" w:after="0" w:line="240" w:lineRule="auto"/>
        <w:ind w:left="0"/>
        <w:contextualSpacing w:val="0"/>
        <w:rPr>
          <w:rFonts w:ascii="Century Gothic" w:hAnsi="Century Gothic" w:cs="Century Gothic"/>
          <w:sz w:val="20"/>
          <w:szCs w:val="20"/>
        </w:rPr>
      </w:pPr>
      <w:r w:rsidRPr="00915C86">
        <w:rPr>
          <w:rFonts w:ascii="Century Gothic" w:hAnsi="Century Gothic"/>
          <w:sz w:val="20"/>
          <w:szCs w:val="20"/>
          <w:lang w:val="en-US"/>
        </w:rPr>
        <w:t xml:space="preserve">This document is prepared according to article 7 of the Legislative Decree 9 August 2007, No 162 implementing Directive 2004/49/CE e 2004/51/CE. It describes the 2017 safety trend of the Italian railway system being under the responsibility of </w:t>
      </w:r>
      <w:r w:rsidRPr="00915C86">
        <w:rPr>
          <w:rFonts w:ascii="Century Gothic" w:hAnsi="Century Gothic"/>
          <w:iCs/>
          <w:sz w:val="20"/>
          <w:szCs w:val="20"/>
          <w:lang w:val="en-US"/>
        </w:rPr>
        <w:t>ANSF</w:t>
      </w:r>
      <w:r w:rsidRPr="00915C86">
        <w:rPr>
          <w:rFonts w:ascii="Century Gothic" w:hAnsi="Century Gothic"/>
          <w:sz w:val="20"/>
          <w:szCs w:val="20"/>
          <w:lang w:val="en-US"/>
        </w:rPr>
        <w:t>.</w:t>
      </w:r>
    </w:p>
    <w:p w:rsidR="006C2BEC" w:rsidRPr="00915C86" w:rsidP="006C2BEC">
      <w:pPr>
        <w:pStyle w:val="ListParagraph"/>
        <w:spacing w:before="120" w:after="0" w:line="240" w:lineRule="auto"/>
        <w:ind w:left="0"/>
        <w:contextualSpacing w:val="0"/>
        <w:rPr>
          <w:rFonts w:ascii="Century Gothic" w:hAnsi="Century Gothic" w:cs="Century Gothic"/>
          <w:sz w:val="20"/>
          <w:szCs w:val="20"/>
        </w:rPr>
      </w:pPr>
      <w:r w:rsidRPr="00915C86">
        <w:rPr>
          <w:rFonts w:ascii="Century Gothic" w:hAnsi="Century Gothic"/>
          <w:sz w:val="20"/>
          <w:szCs w:val="20"/>
          <w:lang w:val="en-US"/>
        </w:rPr>
        <w:t xml:space="preserve">According to the Decree of the Minister for Infrastructure and Transport of 5 august 2016, the </w:t>
      </w:r>
      <w:r w:rsidRPr="00915C86">
        <w:rPr>
          <w:rFonts w:ascii="Century Gothic" w:hAnsi="Century Gothic"/>
          <w:iCs/>
          <w:sz w:val="20"/>
          <w:szCs w:val="20"/>
          <w:lang w:val="en-US"/>
        </w:rPr>
        <w:t xml:space="preserve">area of </w:t>
      </w:r>
      <w:r w:rsidRPr="00915C86">
        <w:rPr>
          <w:rFonts w:ascii="Century Gothic" w:hAnsi="Century Gothic"/>
          <w:sz w:val="20"/>
          <w:szCs w:val="20"/>
          <w:lang w:val="en-US"/>
        </w:rPr>
        <w:t>jurisdiction of the Italian NSA has been extended to include the interconnected regional rail networks with the national railway infrastructure deemed to be of strategic importance for the Italian railway system. In 2017 no safety authorization to infrastructure managers or safety certifications to railway undertakings on regional networks were issued; pending compliance with the provisions of the Legislative Decree 9 August 2007, No 162 and subsequent amendments, they perform their service on the basis of authorizations issued by the previously competent subjects. At 31/12/2017, the reference railway system being under the responsibility of ANSF was composed as follows:</w:t>
      </w:r>
    </w:p>
    <w:p w:rsidR="006C2BEC" w:rsidRPr="00915C86" w:rsidP="006C2BEC">
      <w:pPr>
        <w:pStyle w:val="ListParagraph"/>
        <w:numPr>
          <w:ilvl w:val="0"/>
          <w:numId w:val="44"/>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lang w:val="en-US"/>
        </w:rPr>
        <w:t>1 Authorized Infrastructure Manager (RFI - Italian Railway Network S.p.A.)</w:t>
      </w:r>
    </w:p>
    <w:p w:rsidR="006C2BEC" w:rsidRPr="00915C86" w:rsidP="006C2BEC">
      <w:pPr>
        <w:pStyle w:val="ListParagraph"/>
        <w:numPr>
          <w:ilvl w:val="0"/>
          <w:numId w:val="44"/>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rPr>
        <w:t>36 Certified railway undertakings</w:t>
      </w:r>
    </w:p>
    <w:p w:rsidR="006C2BEC" w:rsidRPr="00915C86" w:rsidP="006C2BEC">
      <w:pPr>
        <w:pStyle w:val="ListParagraph"/>
        <w:numPr>
          <w:ilvl w:val="1"/>
          <w:numId w:val="45"/>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rPr>
        <w:t>18 freight transport</w:t>
      </w:r>
    </w:p>
    <w:p w:rsidR="006C2BEC" w:rsidRPr="00915C86" w:rsidP="006C2BEC">
      <w:pPr>
        <w:pStyle w:val="ListParagraph"/>
        <w:numPr>
          <w:ilvl w:val="1"/>
          <w:numId w:val="45"/>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rPr>
        <w:t>10 passengers transport</w:t>
      </w:r>
    </w:p>
    <w:p w:rsidR="006C2BEC" w:rsidRPr="00915C86" w:rsidP="006C2BEC">
      <w:pPr>
        <w:pStyle w:val="ListParagraph"/>
        <w:numPr>
          <w:ilvl w:val="1"/>
          <w:numId w:val="45"/>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rPr>
        <w:t>7 freight and passenger transport</w:t>
      </w:r>
    </w:p>
    <w:p w:rsidR="006C2BEC" w:rsidRPr="00915C86" w:rsidP="006C2BEC">
      <w:pPr>
        <w:pStyle w:val="ListParagraph"/>
        <w:numPr>
          <w:ilvl w:val="1"/>
          <w:numId w:val="45"/>
        </w:numPr>
        <w:spacing w:after="0" w:line="240" w:lineRule="auto"/>
        <w:ind w:hanging="357"/>
        <w:contextualSpacing w:val="0"/>
        <w:rPr>
          <w:rFonts w:ascii="Century Gothic" w:hAnsi="Century Gothic" w:cs="Century Gothic"/>
          <w:sz w:val="20"/>
          <w:szCs w:val="20"/>
        </w:rPr>
      </w:pPr>
      <w:r w:rsidRPr="00915C86">
        <w:rPr>
          <w:rFonts w:ascii="Century Gothic" w:hAnsi="Century Gothic"/>
          <w:sz w:val="20"/>
          <w:szCs w:val="20"/>
        </w:rPr>
        <w:t>1 shunting service</w:t>
      </w:r>
    </w:p>
    <w:p w:rsidR="006C2BEC" w:rsidRPr="00915C86" w:rsidP="006C2BEC">
      <w:pPr>
        <w:spacing w:before="120"/>
        <w:rPr>
          <w:rFonts w:ascii="Century Gothic" w:hAnsi="Century Gothic" w:cs="Century Gothic"/>
          <w:iCs/>
          <w:sz w:val="20"/>
          <w:szCs w:val="20"/>
        </w:rPr>
      </w:pPr>
      <w:r w:rsidRPr="00915C86">
        <w:rPr>
          <w:rFonts w:ascii="Century Gothic" w:hAnsi="Century Gothic"/>
          <w:iCs/>
          <w:sz w:val="20"/>
          <w:szCs w:val="20"/>
          <w:lang w:val="en-US"/>
        </w:rPr>
        <w:t>However, the data used in this document refer to the entire network under the jurisdiction of ANSF, hereinafter referred as [IT Network], and correspond to the data relating to the [RFI Railway Network] to which are added the values recorded on [Regional Railway Network] concerning the years 2016 and 2017 only.</w:t>
      </w:r>
    </w:p>
    <w:p w:rsidR="006C2BEC" w:rsidRPr="00915C86" w:rsidP="006C2BEC">
      <w:pPr>
        <w:spacing w:before="120"/>
        <w:rPr>
          <w:rFonts w:ascii="Century Gothic" w:hAnsi="Century Gothic" w:cs="Century Gothic"/>
          <w:iCs/>
          <w:sz w:val="20"/>
          <w:szCs w:val="20"/>
        </w:rPr>
      </w:pPr>
      <w:r w:rsidRPr="00915C86">
        <w:rPr>
          <w:rFonts w:ascii="Century Gothic" w:hAnsi="Century Gothic"/>
          <w:iCs/>
          <w:sz w:val="20"/>
          <w:szCs w:val="20"/>
          <w:lang w:val="en-US"/>
        </w:rPr>
        <w:t>The analysis of the frequency of significant incidents and their consequences in terms of victims (chart below), allows to verify the tendency of the system "to reach zero values of accidents" considering the legislation evolution, technical and scientific progress and the priorities for the prevention of serious accidents. This objective responds to the provisions of the ANSF Decree No 4/2012 in compliance with article 8 of the Decree of the President of the Republic July 11, 1980, No 753 and with article 1, paragraph 1 of the Legislative Decree 9 August 2007, No 162.</w:t>
      </w:r>
    </w:p>
    <w:p w:rsidR="006C2BEC" w:rsidRPr="00915C86" w:rsidP="006C2BEC">
      <w:pPr>
        <w:spacing w:before="120" w:after="0"/>
        <w:jc w:val="center"/>
        <w:rPr>
          <w:rFonts w:ascii="Century Gothic" w:hAnsi="Century Gothic" w:cs="Century Gothic"/>
          <w:sz w:val="20"/>
          <w:szCs w:val="20"/>
        </w:rPr>
      </w:pPr>
      <w:r w:rsidRPr="00915C86">
        <w:rPr>
          <w:rFonts w:ascii="Century Gothic" w:hAnsi="Century Gothic"/>
          <w:noProof/>
          <w:sz w:val="20"/>
          <w:szCs w:val="20"/>
          <w:lang w:val="fr-LU" w:eastAsia="fr-LU"/>
        </w:rPr>
        <w:drawing>
          <wp:inline distT="0" distB="0" distL="0" distR="0">
            <wp:extent cx="5745480" cy="3335655"/>
            <wp:effectExtent l="0" t="0" r="7620" b="17145"/>
            <wp:docPr id="228" name="Grafico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lang w:val="en-US"/>
        </w:rPr>
        <w:t>The previous chart shows that the overall trend (continuous green arrow) is in line with the general goal (dotted green arrow). A further decrease in accidents and related consequences can be pursued by:</w:t>
      </w:r>
    </w:p>
    <w:p w:rsidR="006C2BEC" w:rsidRPr="00915C86" w:rsidP="006C2BEC">
      <w:pPr>
        <w:pStyle w:val="ListParagraph"/>
        <w:numPr>
          <w:ilvl w:val="0"/>
          <w:numId w:val="46"/>
        </w:numPr>
        <w:spacing w:after="0" w:line="240" w:lineRule="auto"/>
        <w:rPr>
          <w:rFonts w:ascii="Century Gothic" w:hAnsi="Century Gothic" w:cs="Century Gothic"/>
          <w:sz w:val="20"/>
          <w:szCs w:val="20"/>
        </w:rPr>
      </w:pPr>
      <w:r w:rsidRPr="00915C86">
        <w:rPr>
          <w:rFonts w:ascii="Century Gothic" w:hAnsi="Century Gothic"/>
          <w:sz w:val="20"/>
          <w:szCs w:val="20"/>
          <w:lang w:val="en-US"/>
        </w:rPr>
        <w:t>reducing the incident linked to the undue crossing of pedestrians, including those occurred at level crossings;</w:t>
      </w:r>
    </w:p>
    <w:p w:rsidR="006C2BEC" w:rsidRPr="00915C86" w:rsidP="006C2BEC">
      <w:pPr>
        <w:pStyle w:val="ListParagraph"/>
        <w:numPr>
          <w:ilvl w:val="0"/>
          <w:numId w:val="46"/>
        </w:numPr>
        <w:spacing w:after="0" w:line="240" w:lineRule="auto"/>
        <w:rPr>
          <w:rFonts w:ascii="Century Gothic" w:hAnsi="Century Gothic" w:cs="Century Gothic"/>
          <w:sz w:val="20"/>
          <w:szCs w:val="20"/>
        </w:rPr>
      </w:pPr>
      <w:r w:rsidRPr="00915C86">
        <w:rPr>
          <w:rFonts w:ascii="Century Gothic" w:hAnsi="Century Gothic"/>
          <w:sz w:val="20"/>
          <w:szCs w:val="20"/>
        </w:rPr>
        <w:t>improving maintenance processes;</w:t>
      </w:r>
    </w:p>
    <w:p w:rsidR="006C2BEC" w:rsidRPr="00915C86" w:rsidP="006C2BEC">
      <w:pPr>
        <w:pStyle w:val="ListParagraph"/>
        <w:numPr>
          <w:ilvl w:val="0"/>
          <w:numId w:val="46"/>
        </w:numPr>
        <w:spacing w:after="0" w:line="240" w:lineRule="auto"/>
        <w:rPr>
          <w:rFonts w:ascii="Century Gothic" w:hAnsi="Century Gothic" w:cs="Century Gothic"/>
          <w:sz w:val="20"/>
          <w:szCs w:val="20"/>
        </w:rPr>
      </w:pPr>
      <w:r w:rsidRPr="00915C86">
        <w:rPr>
          <w:rFonts w:ascii="Century Gothic" w:hAnsi="Century Gothic"/>
          <w:sz w:val="20"/>
          <w:szCs w:val="20"/>
        </w:rPr>
        <w:t>harmonizing technological levels.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lang w:val="en-US"/>
        </w:rPr>
        <w:t>In 2017, 104 accidents occurred, 99 of which on [RFI Railway Network] and 5 of which on [Regional Railway Network]. This value is increasing if compared to 2016 but it is lower than the average value for the period 2007-2017. Except for the "accidents at level crossings" and "collisions of trains against obstacles", the increase above reported is attributable to all the remaining indicators listed in Annex I of Legislative Decree No. 162 of 10 August 2007.</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lang w:val="en-US"/>
        </w:rPr>
        <w:t>In 2017, the category "Accidents to persons involving rolling stock in motion" is the largest one (73%); the second category is "level crossing accidents" even if there is a decrease of about 20% between 2016 and 2017. Casualties identified as people killed and serious injured, decrease in 2017 if compared to 2016: the number of killed people falls from 85 to 55 and the number of serious injured falls from 42 to 37. However the 2016 is significantly influenced by the consequences of the accident occurred in July 2016 between Andria and Corato. The 85% of the victims (49 people killed and 29 seriously injured) are connected to trespassers including cases occurred at level crossings.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lang w:val="en-US"/>
        </w:rPr>
        <w:t>The significant accidents not caused by trespassers are those most closely related to the technical aspects and, in particular, to the malfunctioning of the structural subsystems. The number of the latter is increasing in 2017: there were, in fact, 28 accidents compared to 22 recorded in 2016. The increase recorded in this subset of accidents is mainly due to the increase in accidents related to maintenance problems on vehicles and infrastructure.</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lang w:val="en-US"/>
        </w:rPr>
        <w:t>About the [RFI Network] the following picture represents the trend of a qualitative system index calculated as a product of accident [Significant accidents/Mln tr-km] and effects as casualties [People killed and serious injured/ Mln tr-km].</w:t>
      </w:r>
    </w:p>
    <w:p w:rsidR="006C2BEC" w:rsidRPr="00915C86" w:rsidP="006C2BEC">
      <w:pPr>
        <w:spacing w:before="120"/>
        <w:rPr>
          <w:lang w:val="en"/>
        </w:rPr>
      </w:pPr>
    </w:p>
    <w:p w:rsidR="006C2BEC" w:rsidRPr="00915C86" w:rsidP="006C2BEC">
      <w:pPr>
        <w:spacing w:before="120"/>
      </w:pPr>
      <w:r w:rsidRPr="00915C86">
        <w:rPr>
          <w:noProof/>
          <w:lang w:val="fr-LU" w:eastAsia="fr-LU"/>
        </w:rPr>
        <mc:AlternateContent>
          <mc:Choice Requires="wpg">
            <w:drawing>
              <wp:inline distT="0" distB="0" distL="0" distR="0">
                <wp:extent cx="4667250" cy="1488440"/>
                <wp:effectExtent l="0" t="0" r="0" b="0"/>
                <wp:docPr id="45" name="Gruppo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250" cy="1488440"/>
                          <a:chOff x="0" y="0"/>
                          <a:chExt cx="5206636" cy="1920479"/>
                        </a:xfrm>
                      </wpg:grpSpPr>
                      <wps:wsp xmlns:wps="http://schemas.microsoft.com/office/word/2010/wordprocessingShape">
                        <wps:cNvPr id="48" name="CasellaDiTesto 11"/>
                        <wps:cNvSpPr txBox="1"/>
                        <wps:spPr>
                          <a:xfrm>
                            <a:off x="0" y="0"/>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2005</w:t>
                              </w:r>
                            </w:p>
                          </w:txbxContent>
                        </wps:txbx>
                        <wps:bodyPr wrap="square" rtlCol="0"/>
                      </wps:wsp>
                      <wpg:grpSp>
                        <wpg:cNvPr id="61" name="Gruppo 61"/>
                        <wpg:cNvGrpSpPr/>
                        <wpg:grpSpPr>
                          <a:xfrm>
                            <a:off x="634636" y="169277"/>
                            <a:ext cx="3817257" cy="1407886"/>
                            <a:chOff x="634636" y="169277"/>
                            <a:chExt cx="3817257" cy="1407886"/>
                          </a:xfrm>
                        </wpg:grpSpPr>
                        <wps:wsp xmlns:wps="http://schemas.microsoft.com/office/word/2010/wordprocessingShape">
                          <wps:cNvPr id="196" name="Connettore 1 196"/>
                          <wps:cNvCnPr/>
                          <wps:spPr>
                            <a:xfrm>
                              <a:off x="634636" y="169277"/>
                              <a:ext cx="1331686" cy="1166038"/>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21" name="Connettore 1 221"/>
                          <wps:cNvCnPr/>
                          <wps:spPr>
                            <a:xfrm>
                              <a:off x="1975847" y="1335315"/>
                              <a:ext cx="15621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22" name="Connettore 1 222"/>
                          <wps:cNvCnPr/>
                          <wps:spPr>
                            <a:xfrm>
                              <a:off x="3528422" y="1335315"/>
                              <a:ext cx="923471" cy="241848"/>
                            </a:xfrm>
                            <a:prstGeom prst="line">
                              <a:avLst/>
                            </a:prstGeom>
                            <a:ln w="50800"/>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223" name="CasellaDiTesto 14"/>
                        <wps:cNvSpPr txBox="1"/>
                        <wps:spPr>
                          <a:xfrm>
                            <a:off x="1401282" y="1286962"/>
                            <a:ext cx="754742"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2009</w:t>
                              </w:r>
                            </w:p>
                          </w:txbxContent>
                        </wps:txbx>
                        <wps:bodyPr wrap="square" rtlCol="0"/>
                      </wps:wsp>
                      <wps:wsp xmlns:wps="http://schemas.microsoft.com/office/word/2010/wordprocessingShape">
                        <wps:cNvPr id="224" name="CasellaDiTesto 15"/>
                        <wps:cNvSpPr txBox="1"/>
                        <wps:spPr>
                          <a:xfrm>
                            <a:off x="3148239" y="1359861"/>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2014</w:t>
                              </w:r>
                            </w:p>
                          </w:txbxContent>
                        </wps:txbx>
                        <wps:bodyPr wrap="square" rtlCol="0"/>
                      </wps:wsp>
                      <wps:wsp xmlns:wps="http://schemas.microsoft.com/office/word/2010/wordprocessingShape">
                        <wps:cNvPr id="225" name="CasellaDiTesto 16"/>
                        <wps:cNvSpPr txBox="1"/>
                        <wps:spPr>
                          <a:xfrm>
                            <a:off x="4451893" y="1581925"/>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2017</w:t>
                              </w:r>
                            </w:p>
                          </w:txbxContent>
                        </wps:txbx>
                        <wps:bodyPr wrap="square" rtlCol="0"/>
                      </wps:wsp>
                      <wps:wsp xmlns:wps="http://schemas.microsoft.com/office/word/2010/wordprocessingShape">
                        <wps:cNvPr id="226" name="CasellaDiTesto 39"/>
                        <wps:cNvSpPr txBox="1"/>
                        <wps:spPr>
                          <a:xfrm>
                            <a:off x="1300479" y="484169"/>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-53%</w:t>
                              </w:r>
                            </w:p>
                          </w:txbxContent>
                        </wps:txbx>
                        <wps:bodyPr wrap="square" rtlCol="0"/>
                      </wps:wsp>
                      <wps:wsp xmlns:wps="http://schemas.microsoft.com/office/word/2010/wordprocessingShape">
                        <wps:cNvPr id="227" name="CasellaDiTesto 40"/>
                        <wps:cNvSpPr txBox="1"/>
                        <wps:spPr>
                          <a:xfrm>
                            <a:off x="3871123" y="1107721"/>
                            <a:ext cx="754743" cy="338554"/>
                          </a:xfrm>
                          <a:prstGeom prst="rect">
                            <a:avLst/>
                          </a:prstGeom>
                          <a:noFill/>
                        </wps:spPr>
                        <wps:txb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-27%</w:t>
                              </w:r>
                            </w:p>
                          </w:txbxContent>
                        </wps:txbx>
                        <wps:bodyPr wrap="square" rtlCol="0"/>
                      </wps:wsp>
                    </wpg:wgp>
                  </a:graphicData>
                </a:graphic>
              </wp:inline>
            </w:drawing>
          </mc:Choice>
          <mc:Fallback>
            <w:pict>
              <v:group id="_x0000_i1036" style="width:367.5pt;height:117.2pt;mso-position-horizontal-relative:char;mso-position-vertical-relative:line" coordsize="52066,19204">
                <v:shape id="CasellaDiTesto 11" o:spid="_x0000_s1037" type="#_x0000_t202" style="width:7547;height:3385;mso-wrap-style:square;position:absolute;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2005</w:t>
                        </w:r>
                      </w:p>
                    </w:txbxContent>
                  </v:textbox>
                </v:shape>
                <v:group id="Gruppo 61" o:spid="_x0000_s1038" style="width:38172;height:14079;left:6346;position:absolute;top:1692" coordorigin="6346,1692" coordsize="38172,14078">
                  <v:line id="Connettore 1 196" o:spid="_x0000_s1039" style="mso-wrap-style:square;position:absolute;visibility:visible" from="6346,1692" to="19663,13353" o:connectortype="straight" strokecolor="#4579b8" strokeweight="4pt"/>
                  <v:line id="Connettore 1 221" o:spid="_x0000_s1040" style="mso-wrap-style:square;position:absolute;visibility:visible" from="19758,13353" to="35379,13353" o:connectortype="straight" strokecolor="#4579b8" strokeweight="4pt"/>
                  <v:line id="Connettore 1 222" o:spid="_x0000_s1041" style="mso-wrap-style:square;position:absolute;visibility:visible" from="35284,13353" to="44518,15771" o:connectortype="straight" strokecolor="#4579b8" strokeweight="4pt"/>
                </v:group>
                <v:shape id="CasellaDiTesto 14" o:spid="_x0000_s1042" type="#_x0000_t202" style="width:7548;height:3386;left:14012;mso-wrap-style:square;position:absolute;top:12869;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2009</w:t>
                        </w:r>
                      </w:p>
                    </w:txbxContent>
                  </v:textbox>
                </v:shape>
                <v:shape id="CasellaDiTesto 15" o:spid="_x0000_s1043" type="#_x0000_t202" style="width:7547;height:3386;left:31482;mso-wrap-style:square;position:absolute;top:13598;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2014</w:t>
                        </w:r>
                      </w:p>
                    </w:txbxContent>
                  </v:textbox>
                </v:shape>
                <v:shape id="CasellaDiTesto 16" o:spid="_x0000_s1044" type="#_x0000_t202" style="width:7548;height:3385;left:44518;mso-wrap-style:square;position:absolute;top:15819;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006600"/>
                            <w:sz w:val="20"/>
                            <w:szCs w:val="20"/>
                          </w:rPr>
                        </w:pPr>
                        <w:r w:rsidRPr="00915C86">
                          <w:rPr>
                            <w:rFonts w:ascii="Century Gothic" w:hAnsi="Century Gothic"/>
                            <w:b/>
                            <w:bCs/>
                            <w:color w:val="006600"/>
                            <w:sz w:val="20"/>
                            <w:szCs w:val="20"/>
                          </w:rPr>
                          <w:t>2017</w:t>
                        </w:r>
                      </w:p>
                    </w:txbxContent>
                  </v:textbox>
                </v:shape>
                <v:shape id="CasellaDiTesto 39" o:spid="_x0000_s1045" type="#_x0000_t202" style="width:7548;height:3386;left:13004;mso-wrap-style:square;position:absolute;top:4841;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-53%</w:t>
                        </w:r>
                      </w:p>
                    </w:txbxContent>
                  </v:textbox>
                </v:shape>
                <v:shape id="CasellaDiTesto 40" o:spid="_x0000_s1046" type="#_x0000_t202" style="width:7547;height:3385;left:38711;mso-wrap-style:square;position:absolute;top:11077;visibility:visible;v-text-anchor:top" filled="f" stroked="f">
                  <v:textbox>
                    <w:txbxContent>
                      <w:p w:rsidR="00575D08" w:rsidRPr="00915C86" w:rsidP="006C2BEC">
                        <w:pPr>
                          <w:pStyle w:val="NormalWeb"/>
                          <w:spacing w:before="0" w:beforeAutospacing="0" w:after="0" w:afterAutospacing="0"/>
                          <w:rPr>
                            <w:rFonts w:ascii="Century Gothic" w:hAnsi="Century Gothic" w:cstheme="minorBidi"/>
                            <w:b/>
                            <w:bCs/>
                            <w:color w:val="FA6F06"/>
                            <w:sz w:val="20"/>
                            <w:szCs w:val="20"/>
                          </w:rPr>
                        </w:pPr>
                        <w:r w:rsidRPr="00915C86">
                          <w:rPr>
                            <w:rFonts w:ascii="Century Gothic" w:hAnsi="Century Gothic"/>
                            <w:b/>
                            <w:bCs/>
                            <w:color w:val="FA6F06"/>
                            <w:sz w:val="20"/>
                            <w:szCs w:val="20"/>
                          </w:rPr>
                          <w:t>-27%</w:t>
                        </w:r>
                      </w:p>
                    </w:txbxContent>
                  </v:textbox>
                </v:shape>
                <w10:wrap type="none"/>
                <w10:anchorlock/>
              </v:group>
            </w:pict>
          </mc:Fallback>
        </mc:AlternateContent>
      </w:r>
    </w:p>
    <w:p w:rsidR="006C2BEC" w:rsidRPr="00915C86" w:rsidP="006C2BEC">
      <w:pPr>
        <w:spacing w:before="120"/>
        <w:rPr>
          <w:lang w:val="en"/>
        </w:rPr>
      </w:pP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lang w:val="en-US"/>
        </w:rPr>
        <w:t>In the first period [2005-2009] the index decreases by 53% in association with door control equipment, effectiveness of the ATP systems, increases in safety coverage. In the second period [2009-2014] the index shows a generally stable trend. Between 2014 and 2017 the index decreases by 27% as a result of specific activities on trespassers, hydrogeological and hydraulic instability and actions implemented on level crossings. It is not yet possible to carry out an equivalent analysis referring only to [Regional Railway Network] to date.</w:t>
      </w:r>
    </w:p>
    <w:p w:rsidR="006C2BEC" w:rsidRPr="00915C86" w:rsidP="006C2BEC">
      <w:pPr>
        <w:spacing w:after="0"/>
        <w:jc w:val="left"/>
        <w:rPr>
          <w:rFonts w:ascii="Century Gothic" w:hAnsi="Century Gothic" w:cs="Century Gothic"/>
          <w:sz w:val="20"/>
          <w:szCs w:val="20"/>
        </w:rPr>
      </w:pPr>
      <w:r w:rsidRPr="00915C86">
        <w:rPr>
          <w:rFonts w:ascii="Century Gothic" w:hAnsi="Century Gothic"/>
          <w:sz w:val="20"/>
          <w:szCs w:val="20"/>
          <w:lang w:val="en-US"/>
        </w:rPr>
        <w:t>All this premised, the objectives of ANSF for 2018 are confirmed and they aim for:</w:t>
      </w:r>
    </w:p>
    <w:p w:rsidR="006C2BEC" w:rsidRPr="00915C86" w:rsidP="006C2BEC">
      <w:pPr>
        <w:pStyle w:val="ListParagraph"/>
        <w:numPr>
          <w:ilvl w:val="0"/>
          <w:numId w:val="47"/>
        </w:numPr>
        <w:spacing w:after="0" w:line="240" w:lineRule="auto"/>
        <w:ind w:left="714" w:hanging="357"/>
        <w:jc w:val="left"/>
        <w:rPr>
          <w:rFonts w:ascii="Century Gothic" w:hAnsi="Century Gothic" w:cs="Century Gothic"/>
          <w:sz w:val="20"/>
          <w:szCs w:val="20"/>
        </w:rPr>
      </w:pPr>
      <w:r w:rsidRPr="00915C86">
        <w:rPr>
          <w:rFonts w:ascii="Century Gothic" w:hAnsi="Century Gothic"/>
          <w:sz w:val="20"/>
          <w:szCs w:val="20"/>
          <w:lang w:val="en-US"/>
        </w:rPr>
        <w:t>aligning safety levels in all parts of the railway system;</w:t>
      </w:r>
    </w:p>
    <w:p w:rsidR="006C2BEC" w:rsidRPr="00915C86" w:rsidP="006C2BEC">
      <w:pPr>
        <w:pStyle w:val="ListParagraph"/>
        <w:numPr>
          <w:ilvl w:val="0"/>
          <w:numId w:val="47"/>
        </w:numPr>
        <w:spacing w:after="0" w:line="240" w:lineRule="auto"/>
        <w:ind w:left="714" w:hanging="357"/>
        <w:jc w:val="left"/>
        <w:rPr>
          <w:rFonts w:ascii="Century Gothic" w:hAnsi="Century Gothic" w:cs="Century Gothic"/>
          <w:sz w:val="20"/>
          <w:szCs w:val="20"/>
        </w:rPr>
      </w:pPr>
      <w:r w:rsidRPr="00915C86">
        <w:rPr>
          <w:rFonts w:ascii="Century Gothic" w:hAnsi="Century Gothic"/>
          <w:sz w:val="20"/>
          <w:szCs w:val="20"/>
          <w:lang w:val="en-US"/>
        </w:rPr>
        <w:t>protecting the effectiveness of maintenance processes;</w:t>
      </w:r>
    </w:p>
    <w:p w:rsidR="006C2BEC" w:rsidRPr="00915C86" w:rsidP="006C2BEC">
      <w:pPr>
        <w:pStyle w:val="ListParagraph"/>
        <w:numPr>
          <w:ilvl w:val="0"/>
          <w:numId w:val="47"/>
        </w:numPr>
        <w:spacing w:after="0" w:line="240" w:lineRule="auto"/>
        <w:ind w:left="714" w:hanging="357"/>
        <w:jc w:val="left"/>
        <w:rPr>
          <w:rFonts w:ascii="Century Gothic" w:hAnsi="Century Gothic" w:cs="Century Gothic"/>
          <w:sz w:val="20"/>
          <w:szCs w:val="20"/>
        </w:rPr>
      </w:pPr>
      <w:r w:rsidRPr="00915C86">
        <w:rPr>
          <w:rFonts w:ascii="Century Gothic" w:hAnsi="Century Gothic"/>
          <w:sz w:val="20"/>
          <w:szCs w:val="20"/>
          <w:lang w:val="en-US"/>
        </w:rPr>
        <w:t>reducing the number of undue crossings of the railway area;</w:t>
      </w:r>
    </w:p>
    <w:p w:rsidR="006C2BEC" w:rsidRPr="00915C86" w:rsidP="006C2BEC">
      <w:pPr>
        <w:pStyle w:val="ListParagraph"/>
        <w:numPr>
          <w:ilvl w:val="0"/>
          <w:numId w:val="47"/>
        </w:numPr>
        <w:spacing w:after="0" w:line="240" w:lineRule="auto"/>
        <w:ind w:left="714" w:hanging="357"/>
        <w:jc w:val="left"/>
        <w:rPr>
          <w:rFonts w:ascii="Century Gothic" w:hAnsi="Century Gothic" w:cs="Century Gothic"/>
          <w:sz w:val="20"/>
          <w:szCs w:val="20"/>
        </w:rPr>
      </w:pPr>
      <w:r w:rsidRPr="00915C86">
        <w:rPr>
          <w:rFonts w:ascii="Century Gothic" w:hAnsi="Century Gothic"/>
          <w:sz w:val="20"/>
          <w:szCs w:val="20"/>
          <w:lang w:val="en-US"/>
        </w:rPr>
        <w:t>promoting of "Safety Culture".</w:t>
      </w:r>
    </w:p>
    <w:p w:rsidR="006C2BEC" w:rsidRPr="00915C86" w:rsidP="006C2BEC">
      <w:pPr>
        <w:spacing w:before="120"/>
        <w:rPr>
          <w:rFonts w:ascii="Century Gothic" w:hAnsi="Century Gothic" w:cs="Century Gothic"/>
          <w:sz w:val="20"/>
          <w:szCs w:val="20"/>
          <w:lang w:val="en-US"/>
        </w:rPr>
      </w:pPr>
    </w:p>
    <w:p w:rsidR="006C2BEC" w:rsidRPr="00915C86" w:rsidP="006C2BEC">
      <w:pPr>
        <w:spacing w:before="120"/>
        <w:rPr>
          <w:rFonts w:ascii="Century Gothic" w:hAnsi="Century Gothic" w:cs="Century Gothic"/>
          <w:sz w:val="20"/>
          <w:szCs w:val="20"/>
          <w:lang w:val="en-US"/>
        </w:rPr>
      </w:pPr>
    </w:p>
    <w:p w:rsidR="006C2BEC" w:rsidRPr="00915C86" w:rsidP="006C2BEC">
      <w:pPr>
        <w:pStyle w:val="Heading1"/>
        <w:tabs>
          <w:tab w:val="num" w:pos="432"/>
        </w:tabs>
        <w:spacing w:before="360" w:after="120"/>
        <w:ind w:left="431" w:hanging="431"/>
        <w:rPr>
          <w:rFonts w:ascii="Century Gothic" w:hAnsi="Century Gothic"/>
          <w:kern w:val="0"/>
        </w:rPr>
      </w:pPr>
      <w:bookmarkStart w:id="5" w:name="_Toc532565546"/>
      <w:r w:rsidRPr="00915C86">
        <w:rPr>
          <w:rFonts w:ascii="Century Gothic" w:hAnsi="Century Gothic"/>
        </w:rPr>
        <w:t xml:space="preserve">PART </w:t>
      </w:r>
      <w:r w:rsidRPr="00915C86" w:rsidR="00575D08">
        <w:rPr>
          <w:rFonts w:ascii="Century Gothic" w:hAnsi="Century Gothic"/>
        </w:rPr>
        <w:t>3 - NATIONAL SAFETY STRATEGY, PROGRAMMES AND INITIATIVES</w:t>
      </w:r>
      <w:bookmarkEnd w:id="5"/>
    </w:p>
    <w:p w:rsidR="006C2BEC" w:rsidRPr="00915C86" w:rsidP="006C2BEC">
      <w:pPr>
        <w:pStyle w:val="Heading2"/>
        <w:spacing w:before="0" w:after="0"/>
        <w:rPr>
          <w:rFonts w:ascii="Century Gothic" w:hAnsi="Century Gothic"/>
        </w:rPr>
      </w:pPr>
      <w:bookmarkStart w:id="6" w:name="_Toc532565547"/>
      <w:r w:rsidRPr="00915C86">
        <w:rPr>
          <w:rFonts w:ascii="Century Gothic" w:hAnsi="Century Gothic"/>
        </w:rPr>
        <w:t xml:space="preserve">3.1 </w:t>
      </w:r>
      <w:r w:rsidRPr="00915C86">
        <w:rPr>
          <w:rFonts w:ascii="Century Gothic" w:hAnsi="Century Gothic"/>
        </w:rPr>
        <w:tab/>
        <w:t>Objectives and critical areas</w:t>
      </w:r>
      <w:bookmarkEnd w:id="6"/>
    </w:p>
    <w:p w:rsidR="006C2BEC" w:rsidRPr="00915C86" w:rsidP="006C2BEC">
      <w:pPr>
        <w:pStyle w:val="ListParagraph"/>
        <w:spacing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Every year, the Ministry of Infrastructure and Transport sets ANSF goals to be met when fulfilling tasks assigned by the applicable regulatory framework and their achievement is measured in a quantitative manner. In 2017, all the goals were met.</w:t>
      </w:r>
    </w:p>
    <w:p w:rsidR="006C2BEC" w:rsidRPr="00915C86" w:rsidP="006C2BEC">
      <w:pPr>
        <w:pStyle w:val="ListParagraph"/>
        <w:spacing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By 15 July each year, ANSF in turn notifies the infrastructure manager and the railway undertakings of objectives and critical areas within the railway system to allow the drawing up of an annual safety plan for the following year: priority areas that the railway operators must focus on are identified based on data from ANSF’s supervision activities and aspects notified by the railway operators in their annual safety report. In some cases, problem-solving activities may be carried out on a multi-annual basis.</w:t>
      </w:r>
    </w:p>
    <w:p w:rsidR="006C2BEC" w:rsidRPr="00915C86" w:rsidP="006C2BEC">
      <w:pPr>
        <w:pStyle w:val="ListParagraph"/>
        <w:spacing w:after="0" w:line="240" w:lineRule="auto"/>
        <w:ind w:left="0"/>
        <w:contextualSpacing w:val="0"/>
        <w:rPr>
          <w:rFonts w:ascii="Century Gothic" w:hAnsi="Century Gothic" w:cs="Century Gothic"/>
          <w:sz w:val="20"/>
          <w:szCs w:val="20"/>
        </w:rPr>
      </w:pPr>
      <w:r w:rsidRPr="00915C86">
        <w:rPr>
          <w:rFonts w:ascii="Century Gothic" w:hAnsi="Century Gothic"/>
          <w:sz w:val="20"/>
          <w:szCs w:val="20"/>
        </w:rPr>
        <w:t>For 2017, ANSF called on railway operators, with the involvement of their partners (builders, contractors, maintenance managers, owners, neighbouring network managers, foreign railway undertakings and so on), to ensure their safety plans included projects and activities to resolve problems emerging from their own risk analyses, which were:</w:t>
      </w:r>
    </w:p>
    <w:p w:rsidR="006C2BEC" w:rsidRPr="00915C86" w:rsidP="006C2BEC">
      <w:pPr>
        <w:numPr>
          <w:ilvl w:val="0"/>
          <w:numId w:val="23"/>
        </w:numPr>
        <w:spacing w:after="0"/>
        <w:ind w:left="426"/>
        <w:contextualSpacing/>
        <w:rPr>
          <w:rFonts w:ascii="Century Gothic" w:hAnsi="Century Gothic" w:cs="Century Gothic"/>
          <w:sz w:val="20"/>
          <w:szCs w:val="20"/>
        </w:rPr>
      </w:pPr>
      <w:r w:rsidRPr="00915C86">
        <w:rPr>
          <w:rFonts w:ascii="Century Gothic" w:hAnsi="Century Gothic"/>
          <w:sz w:val="20"/>
          <w:szCs w:val="20"/>
        </w:rPr>
        <w:t>reported in memos from previous years on railway safety objectives and critical areas;</w:t>
      </w:r>
    </w:p>
    <w:p w:rsidR="006C2BEC" w:rsidRPr="00915C86" w:rsidP="006C2BEC">
      <w:pPr>
        <w:numPr>
          <w:ilvl w:val="0"/>
          <w:numId w:val="23"/>
        </w:numPr>
        <w:spacing w:after="0"/>
        <w:ind w:left="426"/>
        <w:contextualSpacing/>
        <w:jc w:val="left"/>
        <w:rPr>
          <w:rFonts w:ascii="Century Gothic" w:hAnsi="Century Gothic" w:cs="Century Gothic"/>
          <w:sz w:val="20"/>
          <w:szCs w:val="20"/>
        </w:rPr>
      </w:pPr>
      <w:r w:rsidRPr="00915C86">
        <w:rPr>
          <w:rFonts w:ascii="Century Gothic" w:hAnsi="Century Gothic"/>
          <w:sz w:val="20"/>
          <w:szCs w:val="20"/>
        </w:rPr>
        <w:t>indicated in the ‘Preliminary report on railway safety’;</w:t>
      </w:r>
    </w:p>
    <w:p w:rsidR="006C2BEC" w:rsidRPr="00915C86" w:rsidP="006C2BEC">
      <w:pPr>
        <w:numPr>
          <w:ilvl w:val="0"/>
          <w:numId w:val="23"/>
        </w:numPr>
        <w:spacing w:after="0"/>
        <w:ind w:left="426"/>
        <w:contextualSpacing/>
        <w:rPr>
          <w:rFonts w:ascii="Century Gothic" w:hAnsi="Century Gothic" w:cs="Century Gothic"/>
          <w:sz w:val="20"/>
          <w:szCs w:val="20"/>
        </w:rPr>
      </w:pPr>
      <w:r w:rsidRPr="00915C86">
        <w:rPr>
          <w:rFonts w:ascii="Century Gothic" w:hAnsi="Century Gothic"/>
          <w:sz w:val="20"/>
          <w:szCs w:val="20"/>
        </w:rPr>
        <w:t>reported by ANSF following an analysis of accidents or incidents, inspection activities or audits indicated in recommendations of the Directorate General for Railway and Maritime Investigations or stemming from international safety alerts.</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In 2017, the same long-term objective of achieving zero-accident and zero-maintenance-problem rates was pursued, together with an improvement in railway traffic safety, where feasible.</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In particular, the railway operators were required, each within their own field of competence, to:</w:t>
      </w:r>
    </w:p>
    <w:p w:rsidR="006C2BEC" w:rsidRPr="00915C86" w:rsidP="006C2BEC">
      <w:pPr>
        <w:pStyle w:val="ListParagraph"/>
        <w:numPr>
          <w:ilvl w:val="0"/>
          <w:numId w:val="24"/>
        </w:numPr>
        <w:spacing w:after="0" w:line="240" w:lineRule="auto"/>
        <w:rPr>
          <w:rFonts w:ascii="Century Gothic" w:hAnsi="Century Gothic" w:cs="Century Gothic"/>
          <w:sz w:val="20"/>
          <w:szCs w:val="20"/>
        </w:rPr>
      </w:pPr>
      <w:r w:rsidRPr="00915C86">
        <w:rPr>
          <w:rFonts w:ascii="Century Gothic" w:hAnsi="Century Gothic"/>
          <w:sz w:val="20"/>
          <w:szCs w:val="20"/>
        </w:rPr>
        <w:t>improve their methodological approach to the safety management system;</w:t>
      </w:r>
    </w:p>
    <w:p w:rsidR="006C2BEC" w:rsidRPr="00915C86" w:rsidP="006C2BEC">
      <w:pPr>
        <w:pStyle w:val="ListParagraph"/>
        <w:numPr>
          <w:ilvl w:val="0"/>
          <w:numId w:val="24"/>
        </w:numPr>
        <w:spacing w:before="120" w:after="0" w:line="240" w:lineRule="auto"/>
        <w:rPr>
          <w:rFonts w:ascii="Century Gothic" w:hAnsi="Century Gothic" w:cs="Century Gothic"/>
          <w:sz w:val="20"/>
          <w:szCs w:val="20"/>
        </w:rPr>
      </w:pPr>
      <w:r w:rsidRPr="00915C86">
        <w:rPr>
          <w:rFonts w:ascii="Century Gothic" w:hAnsi="Century Gothic"/>
          <w:sz w:val="20"/>
          <w:szCs w:val="20"/>
        </w:rPr>
        <w:t>ensure the proper maintenance of infrastructure and railway vehicles;</w:t>
      </w:r>
    </w:p>
    <w:p w:rsidR="006C2BEC" w:rsidRPr="00915C86" w:rsidP="006C2BEC">
      <w:pPr>
        <w:pStyle w:val="ListParagraph"/>
        <w:numPr>
          <w:ilvl w:val="0"/>
          <w:numId w:val="24"/>
        </w:numPr>
        <w:spacing w:before="120" w:after="0" w:line="240" w:lineRule="auto"/>
        <w:rPr>
          <w:rFonts w:ascii="Century Gothic" w:hAnsi="Century Gothic" w:cs="Century Gothic"/>
          <w:sz w:val="20"/>
          <w:szCs w:val="20"/>
        </w:rPr>
      </w:pPr>
      <w:r w:rsidRPr="00915C86">
        <w:rPr>
          <w:rFonts w:ascii="Century Gothic" w:hAnsi="Century Gothic"/>
          <w:sz w:val="20"/>
          <w:szCs w:val="20"/>
        </w:rPr>
        <w:t>reduce the impact of human error on safety processes;</w:t>
      </w:r>
    </w:p>
    <w:p w:rsidR="006C2BEC" w:rsidRPr="00915C86" w:rsidP="006C2BEC">
      <w:pPr>
        <w:pStyle w:val="ListParagraph"/>
        <w:numPr>
          <w:ilvl w:val="0"/>
          <w:numId w:val="24"/>
        </w:numPr>
        <w:spacing w:before="120" w:after="0" w:line="240" w:lineRule="auto"/>
        <w:rPr>
          <w:rFonts w:ascii="Century Gothic" w:hAnsi="Century Gothic" w:cs="Century Gothic"/>
          <w:sz w:val="20"/>
          <w:szCs w:val="20"/>
        </w:rPr>
      </w:pPr>
      <w:r w:rsidRPr="00915C86">
        <w:rPr>
          <w:rFonts w:ascii="Century Gothic" w:hAnsi="Century Gothic"/>
          <w:sz w:val="20"/>
          <w:szCs w:val="20"/>
        </w:rPr>
        <w:t>mitigate risks derived from third-party activities;</w:t>
      </w:r>
    </w:p>
    <w:p w:rsidR="006C2BEC" w:rsidRPr="00915C86" w:rsidP="006C2BEC">
      <w:pPr>
        <w:pStyle w:val="ListParagraph"/>
        <w:numPr>
          <w:ilvl w:val="0"/>
          <w:numId w:val="24"/>
        </w:numPr>
        <w:spacing w:before="120" w:after="0" w:line="240" w:lineRule="auto"/>
        <w:rPr>
          <w:rFonts w:ascii="Century Gothic" w:hAnsi="Century Gothic" w:cs="Century Gothic"/>
          <w:sz w:val="20"/>
          <w:szCs w:val="20"/>
        </w:rPr>
      </w:pPr>
      <w:r w:rsidRPr="00915C86">
        <w:rPr>
          <w:rFonts w:ascii="Century Gothic" w:hAnsi="Century Gothic"/>
          <w:sz w:val="20"/>
          <w:szCs w:val="20"/>
        </w:rPr>
        <w:t>make the best use of the available support technologies;</w:t>
      </w:r>
    </w:p>
    <w:p w:rsidR="006C2BEC" w:rsidRPr="00915C86" w:rsidP="006C2BEC">
      <w:pPr>
        <w:pStyle w:val="ListParagraph"/>
        <w:numPr>
          <w:ilvl w:val="0"/>
          <w:numId w:val="24"/>
        </w:numPr>
        <w:spacing w:before="120" w:after="0" w:line="240" w:lineRule="auto"/>
        <w:rPr>
          <w:rFonts w:ascii="Century Gothic" w:hAnsi="Century Gothic" w:cs="Century Gothic"/>
          <w:sz w:val="20"/>
          <w:szCs w:val="20"/>
        </w:rPr>
      </w:pPr>
      <w:r w:rsidRPr="00915C86">
        <w:rPr>
          <w:rFonts w:ascii="Century Gothic" w:hAnsi="Century Gothic"/>
          <w:sz w:val="20"/>
          <w:szCs w:val="20"/>
        </w:rPr>
        <w:t>resolve specific problems:</w:t>
      </w:r>
    </w:p>
    <w:p w:rsidR="006C2BEC" w:rsidRPr="00915C86" w:rsidP="006C2BEC">
      <w:pPr>
        <w:pStyle w:val="ListParagraph"/>
        <w:numPr>
          <w:ilvl w:val="1"/>
          <w:numId w:val="25"/>
        </w:numPr>
        <w:spacing w:before="120" w:after="0" w:line="240" w:lineRule="auto"/>
        <w:rPr>
          <w:rFonts w:ascii="Century Gothic" w:hAnsi="Century Gothic" w:cs="Century Gothic"/>
          <w:sz w:val="20"/>
          <w:szCs w:val="20"/>
        </w:rPr>
      </w:pPr>
      <w:r w:rsidRPr="00915C86">
        <w:rPr>
          <w:rFonts w:ascii="Century Gothic" w:hAnsi="Century Gothic"/>
          <w:sz w:val="20"/>
          <w:szCs w:val="20"/>
        </w:rPr>
        <w:t>ensure the efficacy of vehicle safety performance checking and monitoring activities;</w:t>
      </w:r>
    </w:p>
    <w:p w:rsidR="006C2BEC" w:rsidRPr="00915C86" w:rsidP="006C2BEC">
      <w:pPr>
        <w:pStyle w:val="ListParagraph"/>
        <w:numPr>
          <w:ilvl w:val="1"/>
          <w:numId w:val="25"/>
        </w:numPr>
        <w:spacing w:before="120" w:after="0" w:line="240" w:lineRule="auto"/>
        <w:rPr>
          <w:rFonts w:ascii="Century Gothic" w:hAnsi="Century Gothic" w:cs="Century Gothic"/>
          <w:sz w:val="20"/>
          <w:szCs w:val="20"/>
        </w:rPr>
      </w:pPr>
      <w:r w:rsidRPr="00915C86">
        <w:rPr>
          <w:rFonts w:ascii="Century Gothic" w:hAnsi="Century Gothic"/>
          <w:sz w:val="20"/>
          <w:szCs w:val="20"/>
        </w:rPr>
        <w:t>ensure proper management of safety performance supply and control;</w:t>
      </w:r>
    </w:p>
    <w:p w:rsidR="006C2BEC" w:rsidRPr="00915C86" w:rsidP="006C2BEC">
      <w:pPr>
        <w:pStyle w:val="ListParagraph"/>
        <w:numPr>
          <w:ilvl w:val="1"/>
          <w:numId w:val="25"/>
        </w:numPr>
        <w:spacing w:before="120" w:after="0" w:line="240" w:lineRule="auto"/>
        <w:rPr>
          <w:rFonts w:ascii="Century Gothic" w:hAnsi="Century Gothic" w:cs="Century Gothic"/>
          <w:sz w:val="20"/>
          <w:szCs w:val="20"/>
        </w:rPr>
      </w:pPr>
      <w:r w:rsidRPr="00915C86">
        <w:rPr>
          <w:rFonts w:ascii="Century Gothic" w:hAnsi="Century Gothic"/>
          <w:sz w:val="20"/>
          <w:szCs w:val="20"/>
        </w:rPr>
        <w:t>ensure that transfer of materials between depots and stations takes place using a train and not by shunting;</w:t>
      </w:r>
    </w:p>
    <w:p w:rsidR="006C2BEC" w:rsidRPr="00915C86" w:rsidP="006C2BEC">
      <w:pPr>
        <w:pStyle w:val="ListParagraph"/>
        <w:numPr>
          <w:ilvl w:val="1"/>
          <w:numId w:val="25"/>
        </w:numPr>
        <w:spacing w:before="120" w:after="0" w:line="240" w:lineRule="auto"/>
        <w:rPr>
          <w:rFonts w:ascii="Century Gothic" w:hAnsi="Century Gothic" w:cs="Century Gothic"/>
          <w:sz w:val="20"/>
          <w:szCs w:val="20"/>
        </w:rPr>
      </w:pPr>
      <w:r w:rsidRPr="00915C86">
        <w:rPr>
          <w:rFonts w:ascii="Century Gothic" w:hAnsi="Century Gothic"/>
          <w:sz w:val="20"/>
          <w:szCs w:val="20"/>
        </w:rPr>
        <w:t>take effective action on sites subject to hydrogeological instability and on engineering structures;</w:t>
      </w:r>
    </w:p>
    <w:p w:rsidR="006C2BEC" w:rsidRPr="00915C86" w:rsidP="006C2BEC">
      <w:pPr>
        <w:pStyle w:val="ListParagraph"/>
        <w:numPr>
          <w:ilvl w:val="1"/>
          <w:numId w:val="25"/>
        </w:numPr>
        <w:tabs>
          <w:tab w:val="left" w:pos="4253"/>
        </w:tabs>
        <w:spacing w:before="120" w:line="240" w:lineRule="auto"/>
        <w:rPr>
          <w:rFonts w:ascii="Century Gothic" w:hAnsi="Century Gothic" w:cs="Century Gothic"/>
          <w:sz w:val="20"/>
          <w:szCs w:val="20"/>
        </w:rPr>
      </w:pPr>
      <w:r w:rsidRPr="00915C86">
        <w:rPr>
          <w:rFonts w:ascii="Century Gothic" w:hAnsi="Century Gothic"/>
          <w:sz w:val="20"/>
          <w:szCs w:val="20"/>
        </w:rPr>
        <w:t>complete the regulatory reorganisation;</w:t>
      </w:r>
    </w:p>
    <w:p w:rsidR="006C2BEC" w:rsidRPr="00915C86" w:rsidP="006C2BEC">
      <w:pPr>
        <w:pStyle w:val="ListParagraph"/>
        <w:numPr>
          <w:ilvl w:val="1"/>
          <w:numId w:val="25"/>
        </w:numPr>
        <w:tabs>
          <w:tab w:val="left" w:pos="4253"/>
        </w:tabs>
        <w:spacing w:before="120" w:line="240" w:lineRule="auto"/>
        <w:rPr>
          <w:rFonts w:ascii="Century Gothic" w:hAnsi="Century Gothic" w:cs="Century Gothic"/>
          <w:sz w:val="20"/>
          <w:szCs w:val="20"/>
        </w:rPr>
      </w:pPr>
      <w:r w:rsidRPr="00915C86">
        <w:rPr>
          <w:rFonts w:ascii="Century Gothic" w:hAnsi="Century Gothic"/>
          <w:sz w:val="20"/>
          <w:szCs w:val="20"/>
        </w:rPr>
        <w:t>meet standards for the placing into service of structural ground subsystems;</w:t>
      </w:r>
    </w:p>
    <w:p w:rsidR="006C2BEC" w:rsidRPr="00915C86" w:rsidP="006C2BEC">
      <w:pPr>
        <w:pStyle w:val="ListParagraph"/>
        <w:numPr>
          <w:ilvl w:val="1"/>
          <w:numId w:val="25"/>
        </w:numPr>
        <w:tabs>
          <w:tab w:val="left" w:pos="4253"/>
        </w:tabs>
        <w:spacing w:before="120" w:line="240" w:lineRule="auto"/>
        <w:rPr>
          <w:rFonts w:ascii="Century Gothic" w:hAnsi="Century Gothic" w:cs="Century Gothic"/>
          <w:sz w:val="20"/>
          <w:szCs w:val="20"/>
        </w:rPr>
      </w:pPr>
      <w:r w:rsidRPr="00915C86">
        <w:rPr>
          <w:rFonts w:ascii="Century Gothic" w:hAnsi="Century Gothic"/>
          <w:sz w:val="20"/>
          <w:szCs w:val="20"/>
        </w:rPr>
        <w:t>ensure proper assignment of roles and responsibilities within the organisations of entities responsible for safety, clarifying the relationship between entities involved in shunting and in the management of dangerous goods.</w:t>
      </w:r>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The Agency also noted that projects and activities falling under the above points require monitoring activities in accordance with instruments provided for in Regulation (EU) 1078/2012.</w:t>
      </w:r>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With regard to the main areas of intervention emerging from the analysis of significant accidents, the actions that ANSF has undertaken or called on the railway operators to adopt are set out below.</w:t>
      </w:r>
    </w:p>
    <w:p w:rsidR="006C2BEC" w:rsidRPr="00915C86" w:rsidP="006C2BEC">
      <w:pPr>
        <w:pStyle w:val="Heading2"/>
        <w:spacing w:before="0" w:after="0"/>
        <w:rPr>
          <w:rFonts w:ascii="Century Gothic" w:hAnsi="Century Gothic"/>
        </w:rPr>
      </w:pPr>
      <w:bookmarkStart w:id="7" w:name="_Toc532565548"/>
      <w:r w:rsidRPr="00915C86">
        <w:rPr>
          <w:rFonts w:ascii="Century Gothic" w:hAnsi="Century Gothic"/>
        </w:rPr>
        <w:t>3.2 Initiatives to mitigate problems relating to the unauthorised presence of pedestrians on the track and for the protection of rail transport users</w:t>
      </w:r>
      <w:bookmarkEnd w:id="7"/>
    </w:p>
    <w:p w:rsidR="006C2BEC" w:rsidRPr="00915C86" w:rsidP="006C2BEC">
      <w:pPr>
        <w:pStyle w:val="BodyTextIndent3"/>
        <w:spacing w:before="120"/>
        <w:ind w:left="0"/>
        <w:rPr>
          <w:rFonts w:ascii="Century Gothic" w:hAnsi="Century Gothic"/>
          <w:noProof/>
          <w:sz w:val="20"/>
        </w:rPr>
      </w:pPr>
      <w:r w:rsidRPr="00915C86">
        <w:rPr>
          <w:rFonts w:ascii="Century Gothic" w:hAnsi="Century Gothic"/>
          <w:sz w:val="20"/>
        </w:rPr>
        <w:t>During 2017, ANSF continued initiatives for sharing rules of conduct underpinning railway safety, cooperating with other institutions including the State Police Railway Police Service (POLFER) with which it drew up a special Memorandum of Understanding in 2010. In particular, in order to teach young people an aware, responsible and safe approach to rail transport, ANSF has developed a communication strategy with POLFER and two sports federations affiliated to CONI: the Italian Rugby Federation (FIR) and the Italian Basketball Federation (FIPAV). During 2017, three days of events were held with FIR and six with FIPAV, involving the participation of approximately 17 000 young people.</w:t>
      </w:r>
    </w:p>
    <w:p w:rsidR="006C2BEC" w:rsidRPr="00915C86" w:rsidP="006C2BEC">
      <w:pPr>
        <w:pStyle w:val="BodyTextIndent3"/>
        <w:spacing w:before="120"/>
        <w:ind w:left="0"/>
        <w:rPr>
          <w:rFonts w:ascii="Century Gothic" w:hAnsi="Century Gothic"/>
          <w:noProof/>
          <w:sz w:val="20"/>
        </w:rPr>
      </w:pPr>
      <w:r w:rsidRPr="00915C86">
        <w:rPr>
          <w:rFonts w:ascii="Century Gothic" w:hAnsi="Century Gothic"/>
          <w:sz w:val="20"/>
        </w:rPr>
        <w:t>A project entitled ‘Prima… vera educazione ferroviaria_Piemonte a.s. 2016-2017’ [First... real railway education_Piedmont a.s.) was implemented, directly involving approximately 1 200 young people. The Agency held five events in Piedmontese secondary schools and another seven events were staged by POLFER. Thirty-two schoolchildren took part in an associated competition.</w:t>
      </w:r>
    </w:p>
    <w:p w:rsidR="006C2BEC" w:rsidRPr="00915C86" w:rsidP="006C2BEC">
      <w:pPr>
        <w:pStyle w:val="BodyTextIndent3"/>
        <w:spacing w:before="120"/>
        <w:ind w:left="0"/>
        <w:rPr>
          <w:rFonts w:ascii="Century Gothic" w:hAnsi="Century Gothic" w:cs="Century Gothic"/>
          <w:sz w:val="20"/>
          <w:szCs w:val="20"/>
        </w:rPr>
      </w:pPr>
      <w:r w:rsidRPr="00915C86">
        <w:rPr>
          <w:rFonts w:ascii="Century Gothic" w:hAnsi="Century Gothic"/>
          <w:sz w:val="20"/>
          <w:szCs w:val="20"/>
        </w:rPr>
        <w:t>Production work was completed on an advert that will form a basis for a broader communication campaign on railway safety issues to combat improper behaviour at stations, along tracks and on board trains. The advert was broadcast as a public service announcement on RAI networks and transmitted via the internet and on billboards and posters. The video is aimed especially at young people: it is made in the style of a cartoon with characters from the world of sport who already feature in a TV series familiar to this audience.</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These campaigns achieve positive medium and long-term effects and must therefore be associated with short-term measures for passive protection of railway premises. For this reason, Infrastructure Managers must offer further commitment and local institutions and authorities must be made more aware of their responsibilities. It would be appropriate to encourage partnerships between institutions to carry out:</w:t>
      </w:r>
    </w:p>
    <w:p w:rsidR="006C2BEC" w:rsidRPr="00915C86" w:rsidP="006C2BEC">
      <w:pPr>
        <w:pStyle w:val="ListParagraph"/>
        <w:numPr>
          <w:ilvl w:val="0"/>
          <w:numId w:val="26"/>
        </w:numPr>
        <w:spacing w:after="0" w:line="240" w:lineRule="auto"/>
        <w:contextualSpacing w:val="0"/>
        <w:rPr>
          <w:rFonts w:ascii="Century Gothic" w:hAnsi="Century Gothic" w:cs="Century Gothic"/>
          <w:sz w:val="20"/>
          <w:szCs w:val="20"/>
        </w:rPr>
      </w:pPr>
      <w:r w:rsidRPr="00915C86">
        <w:rPr>
          <w:rFonts w:ascii="Century Gothic" w:hAnsi="Century Gothic"/>
          <w:sz w:val="20"/>
          <w:szCs w:val="20"/>
        </w:rPr>
        <w:t>an analysis of railway area usability and permeability conditions;</w:t>
      </w:r>
    </w:p>
    <w:p w:rsidR="006C2BEC" w:rsidRPr="00915C86" w:rsidP="006C2BEC">
      <w:pPr>
        <w:pStyle w:val="ListParagraph"/>
        <w:numPr>
          <w:ilvl w:val="0"/>
          <w:numId w:val="26"/>
        </w:numPr>
        <w:spacing w:after="0" w:line="240" w:lineRule="auto"/>
        <w:contextualSpacing w:val="0"/>
        <w:rPr>
          <w:rFonts w:ascii="Century Gothic" w:hAnsi="Century Gothic" w:cs="Century Gothic"/>
          <w:sz w:val="20"/>
          <w:szCs w:val="20"/>
        </w:rPr>
      </w:pPr>
      <w:r w:rsidRPr="00915C86">
        <w:rPr>
          <w:rFonts w:ascii="Century Gothic" w:hAnsi="Century Gothic"/>
          <w:sz w:val="20"/>
          <w:szCs w:val="20"/>
        </w:rPr>
        <w:t>an assessment of the effectiveness of the pedestrian/vehicular road system present near railway areas.</w:t>
      </w:r>
    </w:p>
    <w:p w:rsidR="006C2BEC" w:rsidRPr="00915C86" w:rsidP="006C2B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contextualSpacing/>
        <w:rPr>
          <w:rFonts w:ascii="Century Gothic" w:hAnsi="Century Gothic" w:cs="Century Gothic"/>
          <w:sz w:val="20"/>
          <w:szCs w:val="20"/>
        </w:rPr>
      </w:pPr>
      <w:r w:rsidRPr="00915C86">
        <w:rPr>
          <w:rFonts w:ascii="Century Gothic" w:hAnsi="Century Gothic"/>
          <w:sz w:val="20"/>
          <w:szCs w:val="20"/>
        </w:rPr>
        <w:t>To combat the phenomenon of trespassing, ANSF called upon the Infrastructure Manager RFI, with the cooperation of Railway Undertakings, to perform the following specific actions:</w:t>
      </w:r>
    </w:p>
    <w:p w:rsidR="006C2BEC" w:rsidRPr="00915C86" w:rsidP="006C2BEC">
      <w:pPr>
        <w:pStyle w:val="ListParagraph"/>
        <w:numPr>
          <w:ilvl w:val="0"/>
          <w:numId w:val="28"/>
        </w:numPr>
        <w:tabs>
          <w:tab w:val="left" w:pos="352"/>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analyse the usability and permeability conditions of railway areas in order to assess the effectiveness of pedestrian/vehicular road systems near railways and identify points with highest event frequencies to define the planning of structural operations for mitigating the phenomenon (mobile barriers to protect construction sites, other actions aimed at constructing fences, powered barriers at station platforms and so on);</w:t>
      </w:r>
    </w:p>
    <w:p w:rsidR="006C2BEC" w:rsidRPr="00915C86" w:rsidP="006C2BEC">
      <w:pPr>
        <w:pStyle w:val="ListParagraph"/>
        <w:numPr>
          <w:ilvl w:val="0"/>
          <w:numId w:val="28"/>
        </w:numPr>
        <w:tabs>
          <w:tab w:val="left" w:pos="352"/>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cooperation with locally involved institutions;</w:t>
      </w:r>
    </w:p>
    <w:p w:rsidR="006C2BEC" w:rsidRPr="00915C86" w:rsidP="006C2BEC">
      <w:pPr>
        <w:pStyle w:val="ListParagraph"/>
        <w:numPr>
          <w:ilvl w:val="0"/>
          <w:numId w:val="28"/>
        </w:numPr>
        <w:tabs>
          <w:tab w:val="left" w:pos="352"/>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implementation of information and educational campaigns.</w:t>
      </w:r>
    </w:p>
    <w:p w:rsidR="006C2BEC" w:rsidRPr="00915C86" w:rsidP="006C2BEC">
      <w:pPr>
        <w:pStyle w:val="Heading2"/>
        <w:spacing w:before="360" w:after="120"/>
        <w:rPr>
          <w:rFonts w:ascii="Century Gothic" w:hAnsi="Century Gothic"/>
        </w:rPr>
      </w:pPr>
      <w:bookmarkStart w:id="8" w:name="_Toc532565549"/>
      <w:r w:rsidRPr="00915C86">
        <w:rPr>
          <w:rFonts w:ascii="Century Gothic" w:hAnsi="Century Gothic"/>
        </w:rPr>
        <w:t>3.3 Level crossing problem mitigation initiatives</w:t>
      </w:r>
      <w:bookmarkEnd w:id="8"/>
    </w:p>
    <w:p w:rsidR="006C2BEC" w:rsidRPr="00915C86" w:rsidP="006C2BEC">
      <w:pPr>
        <w:suppressAutoHyphens/>
        <w:spacing w:before="120" w:after="0"/>
        <w:rPr>
          <w:rFonts w:ascii="Century Gothic" w:hAnsi="Century Gothic" w:cs="Century Gothic"/>
          <w:sz w:val="20"/>
          <w:szCs w:val="20"/>
        </w:rPr>
      </w:pPr>
      <w:r w:rsidRPr="00915C86">
        <w:rPr>
          <w:rFonts w:ascii="Century Gothic" w:hAnsi="Century Gothic"/>
          <w:sz w:val="20"/>
          <w:szCs w:val="20"/>
        </w:rPr>
        <w:t xml:space="preserve">State-funded level crossing (LC) removal activities have led to a decrease of almost 55% in the number of LCs on the (RFI network) over the last 27 years (1990-2017). As of 31/12/2017, 4518 units remained out of the initial 9992. There has been an overall decrease of 102 units (of which 33 public LCs and 69 private LCs) compared to the corresponding figure at 31 December 2016. This has come about due to an ongoing project entitled ‘Suppression of public and privately-managed LCs’ as well as the decommissioning of some sections/lines, and overall changes in </w:t>
      </w:r>
      <w:r w:rsidRPr="00915C86">
        <w:rPr>
          <w:rFonts w:ascii="Century Gothic" w:hAnsi="Century Gothic"/>
          <w:sz w:val="20"/>
          <w:szCs w:val="20"/>
        </w:rPr>
        <w:t>the network layout with consequent changes in the associated technological equipment. On average, approximately 200 systems have been removed over the last 10 years, corresponding to approximately 2% of the initial total.</w:t>
      </w:r>
    </w:p>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On the (RFI Network) between 2007 and 2017, the achieved reduction of approximately 28% of units was reflected by a reduction of approximately 42% in significant accidents occurring at LCs.</w:t>
      </w:r>
    </w:p>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This activity is limited by the cost and complexity and implementation times of alternative work required for complete removal of LCs. The next step toward increasing the safety of existing LCs is therefore to equip them with technological devices and maintain the high professional standards of staff.</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 technical and technological actions requested by ANSF are as follows:</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equipping LCs managed by users with a technological system for opening on demand subject to absence of trains in transit;</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ensuring the efficiency of devices in use;</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improving LC circuit layouts;</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equipping LCs with systems for detecting obstacles between barriers (mainly cars stranded between barriers);</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installing barriers that pedestrians cannot get around, that do not give rise to a risk of becoming entangled when raised;</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resolving specific problems relating to parallelism between road and railway.</w:t>
      </w:r>
    </w:p>
    <w:p w:rsidR="006C2BEC" w:rsidRPr="00915C86" w:rsidP="006C2BEC">
      <w:pPr>
        <w:suppressAutoHyphens/>
        <w:spacing w:before="120" w:after="0"/>
        <w:rPr>
          <w:rFonts w:ascii="Century Gothic" w:hAnsi="Century Gothic" w:cs="Century Gothic"/>
          <w:sz w:val="20"/>
          <w:szCs w:val="20"/>
        </w:rPr>
      </w:pPr>
      <w:r w:rsidRPr="00915C86">
        <w:rPr>
          <w:rFonts w:ascii="Century Gothic" w:hAnsi="Century Gothic"/>
          <w:sz w:val="20"/>
          <w:szCs w:val="20"/>
        </w:rPr>
        <w:t>With this in mind, the RFI Infrastructure Manager has, in particular:</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equipped 227 LCs with PAI-PL (integrated automatic protection-LC) and/or TV-PL (television display-LC) devices, and is planning to equip further LCs at a rate of 100 units/year;</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testing has started on an electronic pedal device for level crossings (PEPL). This system is designed to ensure that the barriers do not open for a set time and then only when the train has left the appropriate binary circuit (BC). In 2017, the first equipment plan was completed with the installation of 120 devices, with plans to equip further LCs at a rate of 320 units/year;</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testing started on modular structures (aprons) deterring pedestrians and cyclists from passing under the barriers of a closed LC. It is planned to equip 200 LCs/year;</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work has started to convert 59 half-barrier LCs currently present on the network at a rate of 15 LC/year;</w:t>
      </w:r>
    </w:p>
    <w:p w:rsidR="006C2BEC" w:rsidRPr="00915C86" w:rsidP="006C2BEC">
      <w:pPr>
        <w:pStyle w:val="ListParagraph"/>
        <w:numPr>
          <w:ilvl w:val="0"/>
          <w:numId w:val="27"/>
        </w:numPr>
        <w:tabs>
          <w:tab w:val="num" w:pos="142"/>
          <w:tab w:val="clear" w:pos="1146"/>
        </w:tab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checks are being carried out on roadside warning signs required by the highway code throughout the network.</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However, it should be stressed that most level crossing accidents are linked to road traffic offences or in any case to improper behaviour by road users. The awareness of road users must therefore be improved through specific information and education campaigns. We must also ensure that those approaching LCs are aware of the context and specific risks they are about to encounter and therefore:</w:t>
      </w:r>
    </w:p>
    <w:p w:rsidR="006C2BEC" w:rsidRPr="00915C86" w:rsidP="006C2BEC">
      <w:pPr>
        <w:pStyle w:val="ListParagraph"/>
        <w:numPr>
          <w:ilvl w:val="0"/>
          <w:numId w:val="29"/>
        </w:numPr>
        <w:suppressAutoHyphens/>
        <w:spacing w:after="0" w:line="240" w:lineRule="auto"/>
        <w:ind w:left="567" w:hanging="425"/>
        <w:rPr>
          <w:rFonts w:ascii="Century Gothic" w:hAnsi="Century Gothic" w:cs="Century Gothic"/>
          <w:sz w:val="20"/>
          <w:szCs w:val="20"/>
        </w:rPr>
      </w:pPr>
      <w:r w:rsidRPr="00915C86">
        <w:rPr>
          <w:rFonts w:ascii="Century Gothic" w:hAnsi="Century Gothic"/>
          <w:sz w:val="20"/>
          <w:szCs w:val="20"/>
        </w:rPr>
        <w:t>guarantee that the roadside signals are present and properly visible;</w:t>
      </w:r>
    </w:p>
    <w:p w:rsidR="006C2BEC" w:rsidRPr="00915C86" w:rsidP="006C2BEC">
      <w:pPr>
        <w:numPr>
          <w:ilvl w:val="0"/>
          <w:numId w:val="29"/>
        </w:numPr>
        <w:spacing w:after="0"/>
        <w:ind w:left="567" w:hanging="425"/>
        <w:rPr>
          <w:rFonts w:ascii="Century Gothic" w:hAnsi="Century Gothic" w:cs="Century Gothic"/>
          <w:sz w:val="20"/>
          <w:szCs w:val="20"/>
        </w:rPr>
      </w:pPr>
      <w:r w:rsidRPr="00915C86">
        <w:rPr>
          <w:rFonts w:ascii="Century Gothic" w:hAnsi="Century Gothic"/>
          <w:sz w:val="20"/>
          <w:szCs w:val="20"/>
        </w:rPr>
        <w:t>change the local road system where possible;</w:t>
      </w:r>
    </w:p>
    <w:p w:rsidR="006C2BEC" w:rsidRPr="00915C86" w:rsidP="006C2BEC">
      <w:pPr>
        <w:numPr>
          <w:ilvl w:val="0"/>
          <w:numId w:val="29"/>
        </w:numPr>
        <w:spacing w:after="0"/>
        <w:ind w:left="567" w:hanging="425"/>
        <w:rPr>
          <w:rFonts w:ascii="Century Gothic" w:hAnsi="Century Gothic" w:cs="Century Gothic"/>
          <w:sz w:val="20"/>
          <w:szCs w:val="20"/>
        </w:rPr>
      </w:pPr>
      <w:r w:rsidRPr="00915C86">
        <w:rPr>
          <w:rFonts w:ascii="Century Gothic" w:hAnsi="Century Gothic"/>
          <w:sz w:val="20"/>
          <w:szCs w:val="20"/>
        </w:rPr>
        <w:t>install rumble strips or speed-reduction devices.</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Similar action must also be taken on LCs on (Interconnected Regional Networks), given the density of crossings present. On these networks, a reduction of approximately 200 units was recorded between 2016 and 2017. ANSF is obtaining further information on this subject.</w:t>
      </w:r>
    </w:p>
    <w:p w:rsidR="006C2BEC" w:rsidRPr="00915C86" w:rsidP="006C2BEC">
      <w:pPr>
        <w:pStyle w:val="Heading2"/>
        <w:spacing w:before="360" w:after="120"/>
        <w:rPr>
          <w:rFonts w:ascii="Century Gothic" w:hAnsi="Century Gothic"/>
        </w:rPr>
      </w:pPr>
      <w:bookmarkStart w:id="9" w:name="_Toc532565550"/>
      <w:r w:rsidRPr="00915C86">
        <w:rPr>
          <w:rFonts w:ascii="Century Gothic" w:hAnsi="Century Gothic"/>
        </w:rPr>
        <w:t>3.4 Maintenance problem mitigation initiatives</w:t>
      </w:r>
      <w:bookmarkEnd w:id="9"/>
    </w:p>
    <w:p w:rsidR="006C2BEC" w:rsidRPr="00915C86" w:rsidP="006C2BEC">
      <w:pPr>
        <w:rPr>
          <w:rFonts w:ascii="Century Gothic" w:hAnsi="Century Gothic" w:cs="Century Gothic"/>
          <w:sz w:val="20"/>
          <w:szCs w:val="20"/>
        </w:rPr>
      </w:pPr>
      <w:r w:rsidRPr="00915C86">
        <w:rPr>
          <w:rFonts w:ascii="Century Gothic" w:hAnsi="Century Gothic"/>
          <w:sz w:val="20"/>
          <w:szCs w:val="20"/>
        </w:rPr>
        <w:t>Although vehicle-side and infrastructure-side maintenance problems have fallen since last year in absolute terms, they are still at the route of approximately one third of all accidents and accident ‘precursors’.</w:t>
      </w:r>
    </w:p>
    <w:p w:rsidR="006C2BEC" w:rsidRPr="00915C86" w:rsidP="006C2BEC">
      <w:pPr>
        <w:rPr>
          <w:rFonts w:ascii="Century Gothic" w:hAnsi="Century Gothic" w:cs="Century Gothic"/>
          <w:sz w:val="20"/>
          <w:szCs w:val="20"/>
        </w:rPr>
      </w:pPr>
      <w:r w:rsidRPr="00915C86">
        <w:rPr>
          <w:rFonts w:ascii="Century Gothic" w:hAnsi="Century Gothic"/>
          <w:sz w:val="20"/>
          <w:szCs w:val="20"/>
        </w:rPr>
        <w:t>ANSF included among its supervision priorities the verification of maintenance processes and training of staff in charge, organising targeted audits and inspections and asking for feedback following accidents and incidents.</w:t>
      </w:r>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Among the objectives and critical areas for 2017, ANSF also identified improvement of maintenance activities as an area of intervention for railway operators to be developed within the Safety Plans by:</w:t>
      </w:r>
    </w:p>
    <w:p w:rsidR="006C2BEC" w:rsidRPr="00915C86" w:rsidP="006C2BEC">
      <w:pPr>
        <w:pStyle w:val="ListParagraph"/>
        <w:numPr>
          <w:ilvl w:val="1"/>
          <w:numId w:val="30"/>
        </w:numPr>
        <w:spacing w:after="0" w:line="240" w:lineRule="auto"/>
        <w:ind w:left="567" w:hanging="357"/>
        <w:rPr>
          <w:rFonts w:ascii="Century Gothic" w:hAnsi="Century Gothic" w:cs="Century Gothic"/>
          <w:sz w:val="20"/>
          <w:szCs w:val="20"/>
        </w:rPr>
      </w:pPr>
      <w:r w:rsidRPr="00915C86">
        <w:rPr>
          <w:rFonts w:ascii="Century Gothic" w:hAnsi="Century Gothic"/>
          <w:sz w:val="20"/>
          <w:szCs w:val="20"/>
        </w:rPr>
        <w:t>thorough work organisation;</w:t>
      </w:r>
    </w:p>
    <w:p w:rsidR="006C2BEC" w:rsidRPr="00915C86" w:rsidP="006C2BEC">
      <w:pPr>
        <w:pStyle w:val="ListParagraph"/>
        <w:numPr>
          <w:ilvl w:val="1"/>
          <w:numId w:val="30"/>
        </w:numPr>
        <w:spacing w:before="120" w:after="0" w:line="240" w:lineRule="auto"/>
        <w:ind w:left="567"/>
        <w:rPr>
          <w:rFonts w:ascii="Century Gothic" w:hAnsi="Century Gothic" w:cs="Century Gothic"/>
          <w:sz w:val="20"/>
          <w:szCs w:val="20"/>
        </w:rPr>
      </w:pPr>
      <w:r w:rsidRPr="00915C86">
        <w:rPr>
          <w:rFonts w:ascii="Century Gothic" w:hAnsi="Century Gothic"/>
          <w:sz w:val="20"/>
          <w:szCs w:val="20"/>
        </w:rPr>
        <w:t>verifying extensive application of internal procedures;</w:t>
      </w:r>
    </w:p>
    <w:p w:rsidR="006C2BEC" w:rsidRPr="00915C86" w:rsidP="006C2BEC">
      <w:pPr>
        <w:pStyle w:val="ListParagraph"/>
        <w:numPr>
          <w:ilvl w:val="1"/>
          <w:numId w:val="30"/>
        </w:numPr>
        <w:spacing w:before="120" w:after="0" w:line="240" w:lineRule="auto"/>
        <w:ind w:left="567"/>
        <w:rPr>
          <w:rFonts w:ascii="Century Gothic" w:hAnsi="Century Gothic" w:cs="Century Gothic"/>
          <w:sz w:val="20"/>
          <w:szCs w:val="20"/>
        </w:rPr>
      </w:pPr>
      <w:r w:rsidRPr="00915C86">
        <w:rPr>
          <w:rFonts w:ascii="Century Gothic" w:hAnsi="Century Gothic"/>
          <w:sz w:val="20"/>
          <w:szCs w:val="20"/>
        </w:rPr>
        <w:t>optimising staff training;</w:t>
      </w:r>
    </w:p>
    <w:p w:rsidR="006C2BEC" w:rsidRPr="00915C86" w:rsidP="006C2BEC">
      <w:pPr>
        <w:pStyle w:val="ListParagraph"/>
        <w:numPr>
          <w:ilvl w:val="1"/>
          <w:numId w:val="30"/>
        </w:numPr>
        <w:spacing w:before="120" w:after="0" w:line="240" w:lineRule="auto"/>
        <w:ind w:left="567"/>
        <w:rPr>
          <w:rFonts w:ascii="Century Gothic" w:hAnsi="Century Gothic" w:cs="Century Gothic"/>
          <w:sz w:val="20"/>
          <w:szCs w:val="20"/>
        </w:rPr>
      </w:pPr>
      <w:r w:rsidRPr="00915C86">
        <w:rPr>
          <w:rFonts w:ascii="Century Gothic" w:hAnsi="Century Gothic"/>
          <w:sz w:val="20"/>
          <w:szCs w:val="20"/>
        </w:rPr>
        <w:t>making working instruments more user-friendly;</w:t>
      </w:r>
    </w:p>
    <w:p w:rsidR="006C2BEC" w:rsidRPr="00915C86" w:rsidP="006C2BEC">
      <w:pPr>
        <w:pStyle w:val="ListParagraph"/>
        <w:numPr>
          <w:ilvl w:val="1"/>
          <w:numId w:val="30"/>
        </w:numPr>
        <w:spacing w:before="120" w:after="0" w:line="240" w:lineRule="auto"/>
        <w:ind w:left="567"/>
        <w:rPr>
          <w:rFonts w:ascii="Century Gothic" w:hAnsi="Century Gothic" w:cs="Century Gothic"/>
          <w:sz w:val="20"/>
          <w:szCs w:val="20"/>
        </w:rPr>
      </w:pPr>
      <w:r w:rsidRPr="00915C86">
        <w:rPr>
          <w:rFonts w:ascii="Century Gothic" w:hAnsi="Century Gothic"/>
          <w:sz w:val="20"/>
          <w:szCs w:val="20"/>
        </w:rPr>
        <w:t>adopting internal systems to monitor the implementation of maintenance and control the part outsourced to external entities;</w:t>
      </w:r>
    </w:p>
    <w:p w:rsidR="006C2BEC" w:rsidRPr="00915C86" w:rsidP="006C2BEC">
      <w:pPr>
        <w:pStyle w:val="ListParagraph"/>
        <w:numPr>
          <w:ilvl w:val="1"/>
          <w:numId w:val="30"/>
        </w:numPr>
        <w:spacing w:before="120" w:after="0" w:line="240" w:lineRule="auto"/>
        <w:ind w:left="567"/>
        <w:rPr>
          <w:rFonts w:ascii="Century Gothic" w:hAnsi="Century Gothic" w:cs="Century Gothic"/>
          <w:sz w:val="20"/>
          <w:szCs w:val="20"/>
        </w:rPr>
      </w:pPr>
      <w:r w:rsidRPr="00915C86">
        <w:rPr>
          <w:rFonts w:ascii="Century Gothic" w:hAnsi="Century Gothic"/>
          <w:sz w:val="20"/>
          <w:szCs w:val="20"/>
        </w:rPr>
        <w:t>ensuring a sounder foundation for safety interventions by:</w:t>
      </w:r>
    </w:p>
    <w:p w:rsidR="006C2BEC" w:rsidRPr="00915C86" w:rsidP="006C2BEC">
      <w:pPr>
        <w:pStyle w:val="ListParagraph"/>
        <w:numPr>
          <w:ilvl w:val="2"/>
          <w:numId w:val="31"/>
        </w:numPr>
        <w:spacing w:before="120" w:after="0" w:line="240" w:lineRule="auto"/>
        <w:ind w:left="993"/>
        <w:rPr>
          <w:rFonts w:ascii="Century Gothic" w:hAnsi="Century Gothic" w:cs="Century Gothic"/>
          <w:sz w:val="20"/>
          <w:szCs w:val="20"/>
        </w:rPr>
      </w:pPr>
      <w:r w:rsidRPr="00915C86">
        <w:rPr>
          <w:rFonts w:ascii="Century Gothic" w:hAnsi="Century Gothic"/>
          <w:sz w:val="20"/>
          <w:szCs w:val="20"/>
        </w:rPr>
        <w:t>cooperation between railway operators and between the latter and other entities (entities in charge of maintenance, owners and builders);</w:t>
      </w:r>
    </w:p>
    <w:p w:rsidR="006C2BEC" w:rsidRPr="00915C86" w:rsidP="006C2BEC">
      <w:pPr>
        <w:pStyle w:val="ListParagraph"/>
        <w:numPr>
          <w:ilvl w:val="2"/>
          <w:numId w:val="31"/>
        </w:numPr>
        <w:spacing w:before="120" w:after="0" w:line="240" w:lineRule="auto"/>
        <w:ind w:left="993"/>
        <w:rPr>
          <w:rFonts w:ascii="Century Gothic" w:hAnsi="Century Gothic" w:cs="Century Gothic"/>
          <w:sz w:val="20"/>
          <w:szCs w:val="20"/>
        </w:rPr>
      </w:pPr>
      <w:r w:rsidRPr="00915C86">
        <w:rPr>
          <w:rFonts w:ascii="Century Gothic" w:hAnsi="Century Gothic"/>
          <w:sz w:val="20"/>
          <w:szCs w:val="20"/>
        </w:rPr>
        <w:t>information exchange;</w:t>
      </w:r>
    </w:p>
    <w:p w:rsidR="006C2BEC" w:rsidRPr="00915C86" w:rsidP="006C2BEC">
      <w:pPr>
        <w:pStyle w:val="ListParagraph"/>
        <w:numPr>
          <w:ilvl w:val="2"/>
          <w:numId w:val="31"/>
        </w:numPr>
        <w:spacing w:before="120" w:after="0" w:line="240" w:lineRule="auto"/>
        <w:ind w:left="993"/>
        <w:rPr>
          <w:rFonts w:ascii="Century Gothic" w:hAnsi="Century Gothic" w:cs="Century Gothic"/>
          <w:sz w:val="20"/>
          <w:szCs w:val="20"/>
        </w:rPr>
      </w:pPr>
      <w:r w:rsidRPr="00915C86">
        <w:rPr>
          <w:rFonts w:ascii="Century Gothic" w:hAnsi="Century Gothic"/>
          <w:sz w:val="20"/>
          <w:szCs w:val="20"/>
        </w:rPr>
        <w:t>better contractual basis for relevant aspects;</w:t>
      </w:r>
    </w:p>
    <w:p w:rsidR="006C2BEC" w:rsidRPr="00915C86" w:rsidP="006C2BEC">
      <w:pPr>
        <w:pStyle w:val="ListParagraph"/>
        <w:numPr>
          <w:ilvl w:val="2"/>
          <w:numId w:val="31"/>
        </w:numPr>
        <w:spacing w:before="120" w:after="0" w:line="240" w:lineRule="auto"/>
        <w:ind w:left="993"/>
        <w:rPr>
          <w:rFonts w:ascii="Century Gothic" w:hAnsi="Century Gothic" w:cs="Century Gothic"/>
          <w:sz w:val="20"/>
          <w:szCs w:val="20"/>
        </w:rPr>
      </w:pPr>
      <w:r w:rsidRPr="00915C86">
        <w:rPr>
          <w:rFonts w:ascii="Century Gothic" w:hAnsi="Century Gothic"/>
          <w:sz w:val="20"/>
          <w:szCs w:val="20"/>
        </w:rPr>
        <w:t>joint examination of common issues, particularly those underlying accidents.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Although this document refers to 2017, mention should be made of initiatives adopted in 2018, including in the wake of the accident in Pioltello. ANSF issued a circular addressed to all Railway Operators on the matter and issued further specific provisions to the RFI Infrastructure Manager, defining immediate short and long-term actions aimed at a comprehensive review of internal processes that would guarantee effective supervision of maintenance processes for which it is competent.</w:t>
      </w:r>
    </w:p>
    <w:p w:rsidR="006C2BEC" w:rsidRPr="00915C86" w:rsidP="006C2BEC">
      <w:pPr>
        <w:rPr>
          <w:rFonts w:ascii="Century Gothic" w:hAnsi="Century Gothic" w:cs="Century Gothic"/>
          <w:sz w:val="20"/>
          <w:szCs w:val="20"/>
        </w:rPr>
      </w:pPr>
      <w:r w:rsidRPr="00915C86">
        <w:rPr>
          <w:rFonts w:ascii="Century Gothic" w:hAnsi="Century Gothic"/>
          <w:sz w:val="20"/>
          <w:szCs w:val="20"/>
        </w:rPr>
        <w:t>By issuing ‘Guidelines for certifying Entities in Charge of Maintenance of railway vehicles (excluding freight wagons)’, ANSF has also created a tool to modulate the application of Regulation 445/2011 in settings not covered by the Regulation, in order to ensure uniform application of operational standards and procedures. During 2017, ANSF monitored the application of the tool provided to operators and this led to the issue of eight certifications to entities in charge of maintenance by the certified bodies.</w:t>
      </w:r>
    </w:p>
    <w:p w:rsidR="006C2BEC" w:rsidRPr="00915C86" w:rsidP="006C2BEC">
      <w:pPr>
        <w:rPr>
          <w:rFonts w:ascii="Century Gothic" w:hAnsi="Century Gothic"/>
          <w:sz w:val="20"/>
          <w:szCs w:val="20"/>
        </w:rPr>
      </w:pPr>
      <w:r w:rsidRPr="00915C86">
        <w:rPr>
          <w:rFonts w:ascii="Century Gothic" w:hAnsi="Century Gothic"/>
          <w:sz w:val="20"/>
          <w:szCs w:val="20"/>
        </w:rPr>
        <w:t>In 2017, the ‘Guidelines for the certification of Maintenance Workshops for railway vehicles other than wagons’ rev.01 of 19/12/2017 were issued, to provide certification bodies with common guidelines for assessing maintenance facilities on a standard basis in accordance with Regulation (EU) No 445/2011 and other applicable legislation.</w:t>
      </w:r>
    </w:p>
    <w:p w:rsidR="006C2BEC" w:rsidRPr="00915C86" w:rsidP="006C2BEC">
      <w:pPr>
        <w:rPr>
          <w:rFonts w:ascii="Century Gothic" w:hAnsi="Century Gothic" w:cs="Century Gothic"/>
          <w:sz w:val="20"/>
          <w:szCs w:val="20"/>
        </w:rPr>
      </w:pPr>
      <w:r w:rsidRPr="00915C86">
        <w:rPr>
          <w:rFonts w:ascii="Century Gothic" w:hAnsi="Century Gothic"/>
          <w:sz w:val="20"/>
          <w:szCs w:val="20"/>
        </w:rPr>
        <w:t>ANSF used the Safety Alert to transmit critical information on the life-cycle of components used in European contexts and also obtained reports from other NSAs. In 2017, five cases were processed and can be found in the appropriate section of the website (</w:t>
      </w:r>
      <w:hyperlink r:id="rId8" w:history="1">
        <w:r w:rsidRPr="00915C86">
          <w:rPr>
            <w:rFonts w:ascii="Century Gothic" w:hAnsi="Century Gothic"/>
            <w:sz w:val="20"/>
            <w:szCs w:val="20"/>
          </w:rPr>
          <w:t>www.ansf.it</w:t>
        </w:r>
      </w:hyperlink>
      <w:r w:rsidRPr="00915C86">
        <w:rPr>
          <w:rFonts w:ascii="Century Gothic" w:hAnsi="Century Gothic"/>
          <w:sz w:val="20"/>
          <w:szCs w:val="20"/>
        </w:rPr>
        <w:t>). The following specific cases arose from problems identified within Italy:</w:t>
      </w:r>
    </w:p>
    <w:p w:rsidR="006C2BEC" w:rsidRPr="00915C86" w:rsidP="006C2BEC">
      <w:pPr>
        <w:pStyle w:val="ListParagraph"/>
        <w:numPr>
          <w:ilvl w:val="0"/>
          <w:numId w:val="8"/>
        </w:numPr>
        <w:autoSpaceDE w:val="0"/>
        <w:autoSpaceDN w:val="0"/>
        <w:adjustRightInd w:val="0"/>
        <w:spacing w:line="240" w:lineRule="exact"/>
        <w:ind w:left="426" w:hanging="294"/>
        <w:rPr>
          <w:rFonts w:ascii="Century Gothic" w:hAnsi="Century Gothic"/>
          <w:sz w:val="20"/>
          <w:szCs w:val="20"/>
        </w:rPr>
      </w:pPr>
      <w:r w:rsidRPr="00915C86">
        <w:rPr>
          <w:rFonts w:ascii="Century Gothic" w:hAnsi="Century Gothic"/>
          <w:sz w:val="20"/>
          <w:szCs w:val="20"/>
        </w:rPr>
        <w:t>at the Novara Boschetto, following the derailment of a vehicle included in a shunting formation, the axle of the derailed vehicle failed. Pending clear identification of the causes, following the first findings, axles of the same type made by the same manufacturer were taken out of service, and in the meantime a top speed of 60 km/h was imposed for vehicles equipped with this type of axle, their use in conjunction with trains carrying dangerous goods being prohibited;</w:t>
      </w:r>
    </w:p>
    <w:p w:rsidR="006C2BEC" w:rsidRPr="00915C86" w:rsidP="006C2BEC">
      <w:pPr>
        <w:pStyle w:val="ListParagraph"/>
        <w:numPr>
          <w:ilvl w:val="0"/>
          <w:numId w:val="8"/>
        </w:numPr>
        <w:autoSpaceDE w:val="0"/>
        <w:autoSpaceDN w:val="0"/>
        <w:adjustRightInd w:val="0"/>
        <w:spacing w:line="240" w:lineRule="exact"/>
        <w:ind w:left="426" w:hanging="294"/>
        <w:rPr>
          <w:rFonts w:ascii="Century Gothic" w:hAnsi="Century Gothic"/>
          <w:sz w:val="20"/>
          <w:szCs w:val="20"/>
        </w:rPr>
      </w:pPr>
      <w:r w:rsidRPr="00915C86">
        <w:rPr>
          <w:rFonts w:ascii="Century Gothic" w:hAnsi="Century Gothic"/>
          <w:sz w:val="20"/>
          <w:szCs w:val="20"/>
        </w:rPr>
        <w:t xml:space="preserve">at Giulianova, vehicle wheel failure was identified following the triggering of a hotbox detector (HBD). The Railway Undertakings were asked to alert their operating staff and to increase checks, taking any further measures necessary to ensure the safe operation of their part of the system. Owners were asked to check whether their wagons were fitted with wheels that were part of the same casting run as the wheel concerned or otherwise manufactured by the same manufacturer, implementing all the necessary checks. The JNS (Joint Network Secretariat) procedure was activated at ERA with the aim of identifying harmonised measures to mitigate short and long-term risk and analyse the problem more </w:t>
      </w:r>
      <w:r w:rsidRPr="00915C86">
        <w:rPr>
          <w:rFonts w:ascii="Century Gothic" w:hAnsi="Century Gothic"/>
          <w:sz w:val="20"/>
          <w:szCs w:val="20"/>
        </w:rPr>
        <w:t>thoroughly. The JNS produced short-term risk mitigation measures harmonised at European level and began the process of analysing the causes.</w:t>
      </w:r>
    </w:p>
    <w:p w:rsidR="006C2BEC" w:rsidRPr="00915C86" w:rsidP="006C2BEC">
      <w:pPr>
        <w:pStyle w:val="Heading2"/>
        <w:spacing w:before="360" w:after="120"/>
        <w:rPr>
          <w:rFonts w:ascii="Century Gothic" w:hAnsi="Century Gothic"/>
        </w:rPr>
      </w:pPr>
      <w:bookmarkStart w:id="10" w:name="_Toc532565551"/>
      <w:r w:rsidRPr="00915C86">
        <w:rPr>
          <w:rFonts w:ascii="Century Gothic" w:hAnsi="Century Gothic"/>
        </w:rPr>
        <w:t>3.5</w:t>
      </w:r>
      <w:r w:rsidRPr="00915C86">
        <w:rPr>
          <w:rFonts w:ascii="Century Gothic" w:hAnsi="Century Gothic"/>
        </w:rPr>
        <w:tab/>
        <w:t>Safety recommendations</w:t>
      </w:r>
      <w:bookmarkEnd w:id="10"/>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ANSF, in accordance with Article 24(2) of Legislative Decree No 162 of 10 August 2007, takes due account of safety recommendations issued by the Italian investigative body (the Directorate General for Railway and Maritime Investigations established within the Ministry of Infrastructure and Transport) and takes steps to ensure they are translated into specific measures.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In accordance with paragraph 3 of the above Article, ANSF also notifies the investigative body at least once a year of measures adopted or planned with regard to the recommendations issued.</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A list of recommendations received during 2017 is given below.</w:t>
      </w:r>
    </w:p>
    <w:tbl>
      <w:tblPr>
        <w:tblStyle w:val="TableGrid"/>
        <w:tblW w:w="0" w:type="auto"/>
        <w:jc w:val="center"/>
        <w:tblLayout w:type="fixed"/>
        <w:tblLook w:val="04A0"/>
      </w:tblPr>
      <w:tblGrid>
        <w:gridCol w:w="2092"/>
        <w:gridCol w:w="7259"/>
      </w:tblGrid>
      <w:tr w:rsidTr="003C743A">
        <w:tblPrEx>
          <w:tblW w:w="0" w:type="auto"/>
          <w:jc w:val="center"/>
          <w:tblLayout w:type="fixed"/>
          <w:tblLook w:val="04A0"/>
        </w:tblPrEx>
        <w:trPr>
          <w:trHeight w:val="20"/>
          <w:jc w:val="center"/>
        </w:trPr>
        <w:tc>
          <w:tcPr>
            <w:tcW w:w="2092" w:type="dxa"/>
            <w:shd w:val="clear" w:color="auto" w:fill="D9D9D9" w:themeFill="background1" w:themeFillShade="D9"/>
          </w:tcPr>
          <w:p w:rsidR="006C2BEC" w:rsidRPr="00915C86" w:rsidP="003C743A">
            <w:pPr>
              <w:spacing w:before="120"/>
              <w:rPr>
                <w:rFonts w:ascii="Century Gothic" w:hAnsi="Century Gothic" w:cs="Century Gothic"/>
                <w:b/>
                <w:sz w:val="18"/>
                <w:szCs w:val="20"/>
              </w:rPr>
            </w:pPr>
            <w:r w:rsidRPr="00915C86">
              <w:rPr>
                <w:rFonts w:ascii="Century Gothic" w:hAnsi="Century Gothic"/>
                <w:b/>
                <w:sz w:val="18"/>
                <w:szCs w:val="20"/>
              </w:rPr>
              <w:t>Safety recommendation</w:t>
            </w:r>
          </w:p>
        </w:tc>
        <w:tc>
          <w:tcPr>
            <w:tcW w:w="7259" w:type="dxa"/>
            <w:shd w:val="clear" w:color="auto" w:fill="D9D9D9" w:themeFill="background1" w:themeFillShade="D9"/>
          </w:tcPr>
          <w:p w:rsidR="006C2BEC" w:rsidRPr="00915C86" w:rsidP="003C743A">
            <w:pPr>
              <w:spacing w:before="120" w:line="240" w:lineRule="exact"/>
              <w:rPr>
                <w:rFonts w:ascii="Century Gothic" w:hAnsi="Century Gothic"/>
                <w:b/>
                <w:sz w:val="18"/>
                <w:szCs w:val="20"/>
              </w:rPr>
            </w:pPr>
            <w:r w:rsidRPr="00915C86">
              <w:rPr>
                <w:rFonts w:ascii="Century Gothic" w:hAnsi="Century Gothic"/>
                <w:b/>
                <w:sz w:val="18"/>
                <w:szCs w:val="20"/>
              </w:rPr>
              <w:t>DIGIFEMA (Directorate General for Railway and Maritime Investigations) safety recommendations on the ‘collision between working equipment in the Fortezza – Bressanone section of the Verona - Brennero line on 25/04/2017’ (Document Ref 3835/DIGIFEMA/2017 of 18/12/2017)</w:t>
            </w:r>
          </w:p>
        </w:tc>
      </w:tr>
      <w:tr w:rsidTr="003C743A">
        <w:tblPrEx>
          <w:tblW w:w="0" w:type="auto"/>
          <w:jc w:val="center"/>
          <w:tblLayout w:type="fixed"/>
          <w:tblLook w:val="04A0"/>
        </w:tblPrEx>
        <w:trPr>
          <w:trHeight w:val="20"/>
          <w:jc w:val="center"/>
        </w:trPr>
        <w:tc>
          <w:tcPr>
            <w:tcW w:w="2092" w:type="dxa"/>
          </w:tcPr>
          <w:p w:rsidR="006C2BEC" w:rsidRPr="00915C86" w:rsidP="003C743A">
            <w:pPr>
              <w:spacing w:before="120"/>
              <w:rPr>
                <w:rFonts w:ascii="Century Gothic" w:hAnsi="Century Gothic" w:cs="Century Gothic"/>
                <w:sz w:val="18"/>
                <w:szCs w:val="18"/>
              </w:rPr>
            </w:pPr>
            <w:r w:rsidRPr="00915C86">
              <w:rPr>
                <w:rFonts w:ascii="Century Gothic" w:hAnsi="Century Gothic"/>
                <w:sz w:val="18"/>
                <w:szCs w:val="18"/>
              </w:rPr>
              <w:t>Safety measure</w:t>
            </w:r>
          </w:p>
        </w:tc>
        <w:tc>
          <w:tcPr>
            <w:tcW w:w="7259" w:type="dxa"/>
          </w:tcPr>
          <w:p w:rsidR="006C2BEC" w:rsidRPr="00915C86" w:rsidP="003C743A">
            <w:pPr>
              <w:spacing w:before="60" w:line="240" w:lineRule="exact"/>
              <w:ind w:left="63"/>
              <w:rPr>
                <w:rFonts w:ascii="Century Gothic" w:hAnsi="Century Gothic"/>
                <w:i/>
                <w:noProof/>
                <w:sz w:val="18"/>
                <w:szCs w:val="18"/>
              </w:rPr>
            </w:pPr>
            <w:r w:rsidRPr="00915C86">
              <w:rPr>
                <w:rFonts w:ascii="Century Gothic" w:hAnsi="Century Gothic"/>
                <w:i/>
                <w:sz w:val="18"/>
                <w:szCs w:val="18"/>
                <w:u w:val="single"/>
              </w:rPr>
              <w:t>Recommendation No 1:</w:t>
            </w:r>
            <w:r w:rsidRPr="00915C86">
              <w:rPr>
                <w:rFonts w:ascii="Century Gothic" w:hAnsi="Century Gothic"/>
                <w:i/>
                <w:sz w:val="18"/>
                <w:szCs w:val="18"/>
              </w:rPr>
              <w:t xml:space="preserve"> The National Railway Safety Agency and the Ministry of Infrastructure and Transport Directorate General for transport systems with fixed installations and local public transport are advised to ensure that Infrastructure Managers make staff in charge of carrying out brake tests on working equipment aware of the need to carry out a brake test and ensure that procedures to be carried out by the above staff are properly implemented.</w:t>
            </w:r>
          </w:p>
          <w:p w:rsidR="006C2BEC" w:rsidRPr="00915C86" w:rsidP="003C743A">
            <w:pPr>
              <w:spacing w:line="240" w:lineRule="exact"/>
              <w:ind w:left="63"/>
              <w:rPr>
                <w:rFonts w:ascii="Century Gothic" w:hAnsi="Century Gothic"/>
                <w:i/>
                <w:noProof/>
                <w:sz w:val="18"/>
                <w:szCs w:val="18"/>
              </w:rPr>
            </w:pPr>
            <w:r w:rsidRPr="00915C86">
              <w:rPr>
                <w:rFonts w:ascii="Century Gothic" w:hAnsi="Century Gothic"/>
                <w:i/>
                <w:sz w:val="18"/>
                <w:szCs w:val="18"/>
              </w:rPr>
              <w:t>In particular RFI S.p.A. must consider including a specific reference to the IEFCA in the ICMO (Work Equipment Traffic Instruction) once checks have been carried out.</w:t>
            </w:r>
          </w:p>
          <w:p w:rsidR="006C2BEC" w:rsidRPr="00915C86" w:rsidP="003C743A">
            <w:pPr>
              <w:spacing w:before="60" w:line="240" w:lineRule="exact"/>
              <w:ind w:left="63"/>
              <w:rPr>
                <w:rFonts w:ascii="Century Gothic" w:hAnsi="Century Gothic"/>
                <w:i/>
                <w:noProof/>
                <w:sz w:val="18"/>
                <w:szCs w:val="18"/>
              </w:rPr>
            </w:pPr>
            <w:r w:rsidRPr="00915C86">
              <w:rPr>
                <w:rFonts w:ascii="Century Gothic" w:hAnsi="Century Gothic"/>
                <w:i/>
                <w:sz w:val="18"/>
                <w:szCs w:val="18"/>
                <w:u w:val="single"/>
              </w:rPr>
              <w:t>Recommendation No 2:</w:t>
            </w:r>
            <w:r w:rsidRPr="00915C86">
              <w:rPr>
                <w:rFonts w:ascii="Century Gothic" w:hAnsi="Century Gothic"/>
                <w:i/>
                <w:sz w:val="18"/>
                <w:szCs w:val="18"/>
              </w:rPr>
              <w:t>The National Railway Safety Agency and the Ministry of Infrastructure and Transport Directorate General for transport systems with fixed installations and local public transport are advised to ensure that Infrastructure Managers make staff in charge of checking work equipment permitted to travel on their networks aware of the importance of visual checks on vehicles, with particular reference to safety components.</w:t>
            </w:r>
          </w:p>
          <w:p w:rsidR="006C2BEC" w:rsidRPr="00915C86" w:rsidP="003C743A">
            <w:pPr>
              <w:spacing w:before="60" w:line="240" w:lineRule="exact"/>
              <w:rPr>
                <w:rFonts w:ascii="Century Gothic" w:hAnsi="Century Gothic"/>
                <w:i/>
                <w:noProof/>
                <w:sz w:val="18"/>
                <w:szCs w:val="18"/>
              </w:rPr>
            </w:pPr>
            <w:r w:rsidRPr="00915C86">
              <w:rPr>
                <w:rFonts w:ascii="Century Gothic" w:hAnsi="Century Gothic"/>
                <w:i/>
                <w:sz w:val="18"/>
                <w:szCs w:val="18"/>
                <w:u w:val="single"/>
              </w:rPr>
              <w:t>Recommendation No 3:</w:t>
            </w:r>
            <w:r w:rsidRPr="00915C86">
              <w:rPr>
                <w:rFonts w:ascii="Century Gothic" w:hAnsi="Century Gothic"/>
                <w:i/>
                <w:sz w:val="18"/>
                <w:szCs w:val="18"/>
              </w:rPr>
              <w:t xml:space="preserve"> The National Railway Safety Agency and the Ministry of Infrastructure and Transport Directorate General for transport systems with fixed installations and local public transport are advised to ensure that railway undertakings that transfer work equipment in train formations check that the relevant operating standards are being properly applied.</w:t>
            </w:r>
          </w:p>
          <w:p w:rsidR="006C2BEC" w:rsidRPr="00915C86" w:rsidP="003C743A">
            <w:pPr>
              <w:spacing w:before="60" w:line="240" w:lineRule="exact"/>
              <w:rPr>
                <w:rFonts w:ascii="Century Gothic" w:hAnsi="Century Gothic"/>
                <w:i/>
                <w:noProof/>
                <w:sz w:val="18"/>
                <w:szCs w:val="18"/>
              </w:rPr>
            </w:pPr>
            <w:r w:rsidRPr="00915C86">
              <w:rPr>
                <w:rFonts w:ascii="Century Gothic" w:hAnsi="Century Gothic"/>
                <w:i/>
                <w:sz w:val="18"/>
                <w:szCs w:val="18"/>
                <w:u w:val="single"/>
              </w:rPr>
              <w:t>Recommendation No 4:</w:t>
            </w:r>
            <w:r w:rsidRPr="00915C86">
              <w:rPr>
                <w:rFonts w:ascii="Century Gothic" w:hAnsi="Century Gothic"/>
                <w:i/>
                <w:sz w:val="18"/>
                <w:szCs w:val="18"/>
              </w:rPr>
              <w:t xml:space="preserve"> The National Railway Safety Agency and the Ministry of Infrastructure and Transport Directorate General for transport systems with fixed installations and local public transport are advised to ensure that Infrastructure Operators ensure that modifications to work equipment are authorised beforehand and properly recorded in handbooks and maintenance manuals, increasing the relevant checks in accordance with current procedures.</w:t>
            </w:r>
          </w:p>
          <w:p w:rsidR="006C2BEC" w:rsidRPr="00915C86" w:rsidP="003C743A">
            <w:pPr>
              <w:spacing w:before="120"/>
              <w:rPr>
                <w:rFonts w:ascii="Century Gothic" w:hAnsi="Century Gothic"/>
                <w:sz w:val="18"/>
                <w:szCs w:val="18"/>
              </w:rPr>
            </w:pPr>
            <w:r w:rsidRPr="00915C86">
              <w:rPr>
                <w:rFonts w:ascii="Century Gothic" w:hAnsi="Century Gothic"/>
                <w:sz w:val="18"/>
                <w:szCs w:val="18"/>
              </w:rPr>
              <w:t>This Agency sent the above recommendations to the railway Infrastructure Managers and to the Railway Undertakings by means of Document Ref ANSF 3732/2018 of 27/02/2018, calling on regional Infrastructure Managers to take into account the above recommendations when issuing provisions and specifications and during the process of adapting their systems to the requirements of ANSF Decree 4/2012 and its annexes.</w:t>
            </w:r>
          </w:p>
          <w:p w:rsidR="006C2BEC" w:rsidRPr="00915C86" w:rsidP="003C743A">
            <w:pPr>
              <w:spacing w:before="120"/>
              <w:rPr>
                <w:rFonts w:ascii="Century Gothic" w:hAnsi="Century Gothic"/>
                <w:sz w:val="18"/>
                <w:szCs w:val="18"/>
              </w:rPr>
            </w:pPr>
            <w:r w:rsidRPr="00915C86">
              <w:rPr>
                <w:rFonts w:ascii="Century Gothic" w:hAnsi="Century Gothic"/>
                <w:sz w:val="18"/>
                <w:szCs w:val="18"/>
              </w:rPr>
              <w:t>With regard to recommendation No 1, the RFI Infrastructure Manager was asked to introduce a specific reference to the IEFCA (Instruction on operation of automatic continuous braking for RFI trains) in parts of the ICMO (Works Equipment Traffic Instruction) governing work equipment brake testing. The RFI Infrastructure Manager was also asked to start a process of assessing procedures and systems regulating railway work site management activities to increase the related safety levels and implement requirements concerning work site interference with railway traffic.</w:t>
            </w:r>
          </w:p>
        </w:tc>
      </w:tr>
      <w:tr w:rsidTr="003C743A">
        <w:tblPrEx>
          <w:tblW w:w="0" w:type="auto"/>
          <w:jc w:val="center"/>
          <w:tblLayout w:type="fixed"/>
          <w:tblLook w:val="04A0"/>
        </w:tblPrEx>
        <w:trPr>
          <w:trHeight w:val="20"/>
          <w:jc w:val="center"/>
        </w:trPr>
        <w:tc>
          <w:tcPr>
            <w:tcW w:w="2092" w:type="dxa"/>
          </w:tcPr>
          <w:p w:rsidR="006C2BEC" w:rsidRPr="00915C86" w:rsidP="003C743A">
            <w:pPr>
              <w:spacing w:before="120"/>
              <w:rPr>
                <w:rFonts w:ascii="Century Gothic" w:hAnsi="Century Gothic" w:cs="Century Gothic"/>
                <w:sz w:val="20"/>
                <w:szCs w:val="20"/>
              </w:rPr>
            </w:pPr>
            <w:r w:rsidRPr="00915C86">
              <w:rPr>
                <w:rFonts w:ascii="Century Gothic" w:hAnsi="Century Gothic"/>
                <w:sz w:val="20"/>
                <w:szCs w:val="20"/>
              </w:rPr>
              <w:t>Implementation status</w:t>
            </w:r>
          </w:p>
        </w:tc>
        <w:tc>
          <w:tcPr>
            <w:tcW w:w="7259" w:type="dxa"/>
          </w:tcPr>
          <w:p w:rsidR="006C2BEC" w:rsidRPr="00915C86" w:rsidP="003C743A">
            <w:pPr>
              <w:pStyle w:val="ListParagraph"/>
              <w:spacing w:before="120" w:line="240" w:lineRule="exact"/>
              <w:ind w:left="0"/>
              <w:rPr>
                <w:rFonts w:ascii="Century Gothic" w:hAnsi="Century Gothic"/>
                <w:sz w:val="18"/>
                <w:szCs w:val="18"/>
              </w:rPr>
            </w:pPr>
            <w:r w:rsidRPr="00915C86">
              <w:rPr>
                <w:rFonts w:ascii="Century Gothic" w:hAnsi="Century Gothic"/>
                <w:sz w:val="18"/>
                <w:szCs w:val="18"/>
              </w:rPr>
              <w:t>The Agency has not yet received exhaustive feedback from all railway operators.</w:t>
            </w:r>
          </w:p>
        </w:tc>
      </w:tr>
      <w:tr w:rsidTr="003C743A">
        <w:tblPrEx>
          <w:tblW w:w="0" w:type="auto"/>
          <w:jc w:val="center"/>
          <w:tblLayout w:type="fixed"/>
          <w:tblLook w:val="04A0"/>
        </w:tblPrEx>
        <w:trPr>
          <w:trHeight w:val="20"/>
          <w:jc w:val="center"/>
        </w:trPr>
        <w:tc>
          <w:tcPr>
            <w:tcW w:w="2092" w:type="dxa"/>
            <w:shd w:val="clear" w:color="auto" w:fill="D9D9D9" w:themeFill="background1" w:themeFillShade="D9"/>
          </w:tcPr>
          <w:p w:rsidR="006C2BEC" w:rsidRPr="00915C86" w:rsidP="003C743A">
            <w:pPr>
              <w:spacing w:before="120"/>
              <w:rPr>
                <w:rFonts w:ascii="Century Gothic" w:hAnsi="Century Gothic" w:cs="Century Gothic"/>
                <w:b/>
                <w:sz w:val="18"/>
                <w:szCs w:val="20"/>
              </w:rPr>
            </w:pPr>
            <w:r w:rsidRPr="00915C86">
              <w:rPr>
                <w:rFonts w:ascii="Century Gothic" w:hAnsi="Century Gothic"/>
                <w:b/>
                <w:sz w:val="18"/>
                <w:szCs w:val="20"/>
              </w:rPr>
              <w:t>Safety recommendation</w:t>
            </w:r>
          </w:p>
        </w:tc>
        <w:tc>
          <w:tcPr>
            <w:tcW w:w="7259" w:type="dxa"/>
            <w:shd w:val="clear" w:color="auto" w:fill="D9D9D9" w:themeFill="background1" w:themeFillShade="D9"/>
          </w:tcPr>
          <w:p w:rsidR="006C2BEC" w:rsidRPr="00915C86" w:rsidP="003C743A">
            <w:pPr>
              <w:spacing w:before="120"/>
              <w:rPr>
                <w:rFonts w:ascii="Century Gothic" w:hAnsi="Century Gothic" w:cs="Century Gothic"/>
                <w:b/>
                <w:sz w:val="18"/>
                <w:szCs w:val="20"/>
              </w:rPr>
            </w:pPr>
            <w:r w:rsidRPr="00915C86">
              <w:rPr>
                <w:rFonts w:ascii="Century Gothic" w:hAnsi="Century Gothic"/>
                <w:b/>
                <w:sz w:val="18"/>
                <w:szCs w:val="20"/>
              </w:rPr>
              <w:t>DIGIFEMA safety recommendations regarding the ‘Collision between trains on 12/07/2016 between the stations of Andria and Corato on the Ferrotramviaria S.p.A. Bari-Barletta line’ (Document Ref. 3897/DGIFEMA/2017 of 20/12/2017)</w:t>
            </w:r>
          </w:p>
        </w:tc>
      </w:tr>
      <w:tr w:rsidTr="003C743A">
        <w:tblPrEx>
          <w:tblW w:w="0" w:type="auto"/>
          <w:jc w:val="center"/>
          <w:tblLayout w:type="fixed"/>
          <w:tblLook w:val="04A0"/>
        </w:tblPrEx>
        <w:trPr>
          <w:trHeight w:val="20"/>
          <w:jc w:val="center"/>
        </w:trPr>
        <w:tc>
          <w:tcPr>
            <w:tcW w:w="2092" w:type="dxa"/>
          </w:tcPr>
          <w:p w:rsidR="006C2BEC" w:rsidRPr="00915C86" w:rsidP="003C743A">
            <w:pPr>
              <w:spacing w:before="120"/>
              <w:rPr>
                <w:rFonts w:ascii="Century Gothic" w:hAnsi="Century Gothic" w:cs="Century Gothic"/>
                <w:sz w:val="18"/>
                <w:szCs w:val="18"/>
              </w:rPr>
            </w:pPr>
            <w:r w:rsidRPr="00915C86">
              <w:rPr>
                <w:rFonts w:ascii="Century Gothic" w:hAnsi="Century Gothic"/>
                <w:sz w:val="18"/>
                <w:szCs w:val="18"/>
              </w:rPr>
              <w:t>Safety measure</w:t>
            </w:r>
          </w:p>
        </w:tc>
        <w:tc>
          <w:tcPr>
            <w:tcW w:w="7259" w:type="dxa"/>
          </w:tcPr>
          <w:p w:rsidR="006C2BEC" w:rsidRPr="00915C86" w:rsidP="003C743A">
            <w:pPr>
              <w:spacing w:before="60" w:line="240" w:lineRule="exact"/>
              <w:rPr>
                <w:rFonts w:ascii="Century Gothic" w:hAnsi="Century Gothic"/>
                <w:i/>
                <w:noProof/>
                <w:sz w:val="18"/>
                <w:szCs w:val="18"/>
              </w:rPr>
            </w:pPr>
            <w:r w:rsidRPr="00915C86">
              <w:rPr>
                <w:rFonts w:ascii="Century Gothic" w:hAnsi="Century Gothic"/>
                <w:i/>
                <w:sz w:val="18"/>
                <w:szCs w:val="18"/>
                <w:u w:val="single"/>
              </w:rPr>
              <w:t>Recommendation No 5:</w:t>
            </w:r>
            <w:r w:rsidRPr="00915C86">
              <w:rPr>
                <w:rFonts w:ascii="Century Gothic" w:hAnsi="Century Gothic"/>
                <w:i/>
                <w:sz w:val="18"/>
                <w:szCs w:val="18"/>
              </w:rPr>
              <w:t xml:space="preserve"> The National Railway Safety Agency and the Ministry of Infrastructure and Transport Directorate General for transport systems with fixed installations and local public transport are advised to take steps to ensure, for railways for which they are competent, that railway undertakings using the telephone block system ensure that Traffic Protocols have been drawn up in a manner consistent with the actual status of rolling stock managed by the Local Manager, avoiding the presence of uncompleted sections of the register that refer to vehicles no longer present within the station.</w:t>
            </w:r>
          </w:p>
          <w:p w:rsidR="006C2BEC" w:rsidRPr="00915C86" w:rsidP="003C743A">
            <w:pPr>
              <w:spacing w:before="60" w:line="240" w:lineRule="exact"/>
              <w:rPr>
                <w:rFonts w:ascii="Century Gothic" w:hAnsi="Century Gothic"/>
                <w:i/>
                <w:noProof/>
                <w:sz w:val="18"/>
                <w:szCs w:val="18"/>
              </w:rPr>
            </w:pPr>
            <w:r w:rsidRPr="00915C86">
              <w:rPr>
                <w:rFonts w:ascii="Century Gothic" w:hAnsi="Century Gothic"/>
                <w:i/>
                <w:sz w:val="18"/>
                <w:szCs w:val="18"/>
                <w:u w:val="single"/>
              </w:rPr>
              <w:t>Recommendation No 6:</w:t>
            </w:r>
            <w:r w:rsidRPr="00915C86">
              <w:rPr>
                <w:rFonts w:ascii="Century Gothic" w:hAnsi="Century Gothic"/>
                <w:i/>
                <w:sz w:val="18"/>
                <w:szCs w:val="18"/>
              </w:rPr>
              <w:t xml:space="preserve"> The National Railway Safety Agency is advised to take steps to ensure that Ferrotramviaria S.p.A. adopts measures designed to prevent third parties (passengers and unauthorised personnel) from accessing premises designated for staff working in the Local Manager’s room.</w:t>
            </w:r>
          </w:p>
          <w:p w:rsidR="006C2BEC" w:rsidRPr="00915C86" w:rsidP="003C743A">
            <w:pPr>
              <w:spacing w:before="60" w:line="240" w:lineRule="exact"/>
              <w:rPr>
                <w:rFonts w:ascii="Century Gothic" w:hAnsi="Century Gothic"/>
                <w:i/>
                <w:noProof/>
                <w:sz w:val="18"/>
                <w:szCs w:val="18"/>
              </w:rPr>
            </w:pPr>
            <w:r w:rsidRPr="00915C86">
              <w:rPr>
                <w:rFonts w:ascii="Century Gothic" w:hAnsi="Century Gothic"/>
                <w:i/>
                <w:sz w:val="18"/>
                <w:szCs w:val="18"/>
                <w:u w:val="single"/>
              </w:rPr>
              <w:t>Recommendation No 7:</w:t>
            </w:r>
            <w:r w:rsidRPr="00915C86">
              <w:rPr>
                <w:rFonts w:ascii="Century Gothic" w:hAnsi="Century Gothic"/>
                <w:i/>
                <w:sz w:val="18"/>
                <w:szCs w:val="18"/>
              </w:rPr>
              <w:t xml:space="preserve"> The National Railway Safety Agency and the Ministry of Infrastructure and Transport Directorate General for transport systems with fixed installations and local public transport are advised to take steps to ensure, for railways for which they are competent, that infrastructure managers and railway undertakings implement appropriate audit/inspection activities on staff performing safety duties with the aim of maintaining skills.</w:t>
            </w:r>
          </w:p>
          <w:p w:rsidR="006C2BEC" w:rsidRPr="00915C86" w:rsidP="003C743A">
            <w:pPr>
              <w:spacing w:after="0"/>
              <w:rPr>
                <w:rFonts w:ascii="Century Gothic" w:hAnsi="Century Gothic"/>
                <w:noProof/>
                <w:sz w:val="18"/>
                <w:szCs w:val="18"/>
              </w:rPr>
            </w:pPr>
            <w:r w:rsidRPr="00915C86">
              <w:rPr>
                <w:rFonts w:ascii="Century Gothic" w:hAnsi="Century Gothic"/>
                <w:sz w:val="18"/>
                <w:szCs w:val="18"/>
              </w:rPr>
              <w:t>The above recommendations were sent to the Infrastructure Managers and Railway Undertakings by means of Document Ref. ANSF 0009349/2018 of 07/06/2018, specifying:</w:t>
            </w:r>
          </w:p>
          <w:p w:rsidR="006C2BEC" w:rsidRPr="00915C86" w:rsidP="003C743A">
            <w:pPr>
              <w:pStyle w:val="ListParagraph"/>
              <w:numPr>
                <w:ilvl w:val="0"/>
                <w:numId w:val="32"/>
              </w:numPr>
              <w:spacing w:after="0" w:line="240" w:lineRule="auto"/>
              <w:ind w:left="283" w:hanging="215"/>
              <w:rPr>
                <w:rFonts w:ascii="Century Gothic" w:hAnsi="Century Gothic"/>
                <w:sz w:val="18"/>
                <w:szCs w:val="18"/>
              </w:rPr>
            </w:pPr>
            <w:r w:rsidRPr="00915C86">
              <w:rPr>
                <w:rFonts w:ascii="Century Gothic" w:hAnsi="Century Gothic"/>
                <w:sz w:val="18"/>
                <w:szCs w:val="18"/>
              </w:rPr>
              <w:t>with regard to recommendation No 4, that using the telephone block system under normal operating conditions is not in line with the safety principles established in the ‘Railway traffic regulation’ issued by means of ANSF Decree No 4/2012. Pending the necessary technological updates or if the telephone block is used under downgraded conditions, railway operators must therefore conduct a risk assessment of the need to introduce specific measures designed to mitigate errors in recording train completeness;</w:t>
            </w:r>
          </w:p>
          <w:p w:rsidR="006C2BEC" w:rsidRPr="00915C86" w:rsidP="003C743A">
            <w:pPr>
              <w:pStyle w:val="ListParagraph"/>
              <w:numPr>
                <w:ilvl w:val="0"/>
                <w:numId w:val="32"/>
              </w:numPr>
              <w:spacing w:after="120" w:line="240" w:lineRule="auto"/>
              <w:ind w:left="283" w:hanging="215"/>
              <w:contextualSpacing w:val="0"/>
              <w:rPr>
                <w:rFonts w:ascii="Century Gothic" w:hAnsi="Century Gothic"/>
                <w:sz w:val="18"/>
                <w:szCs w:val="18"/>
              </w:rPr>
            </w:pPr>
            <w:r w:rsidRPr="00915C86">
              <w:rPr>
                <w:rFonts w:ascii="Century Gothic" w:hAnsi="Century Gothic"/>
                <w:sz w:val="18"/>
                <w:szCs w:val="18"/>
              </w:rPr>
              <w:t>with regard to recommendations No 5 and 7, that each railway operator must provide feedback on regular monitoring methods and activities carried out to maintain the skills of staff performing safety duties and on the proper implementation of tasks assigned as an integral part of the skills management system.</w:t>
            </w:r>
          </w:p>
          <w:p w:rsidR="006C2BEC" w:rsidRPr="00915C86" w:rsidP="003C743A">
            <w:pPr>
              <w:pStyle w:val="ListParagraph"/>
              <w:spacing w:before="120" w:line="240" w:lineRule="auto"/>
              <w:ind w:left="0"/>
              <w:rPr>
                <w:rFonts w:ascii="Century Gothic" w:hAnsi="Century Gothic"/>
                <w:sz w:val="18"/>
                <w:szCs w:val="18"/>
              </w:rPr>
            </w:pPr>
            <w:r w:rsidRPr="00915C86">
              <w:rPr>
                <w:rFonts w:ascii="Century Gothic" w:hAnsi="Century Gothic"/>
                <w:sz w:val="18"/>
                <w:szCs w:val="18"/>
              </w:rPr>
              <w:t>Lastly, recommendation No 6 has been extended to all railway operators for service premises for which it is competent.</w:t>
            </w:r>
          </w:p>
        </w:tc>
      </w:tr>
      <w:tr w:rsidTr="003C743A">
        <w:tblPrEx>
          <w:tblW w:w="0" w:type="auto"/>
          <w:jc w:val="center"/>
          <w:tblLayout w:type="fixed"/>
          <w:tblLook w:val="04A0"/>
        </w:tblPrEx>
        <w:trPr>
          <w:trHeight w:val="20"/>
          <w:jc w:val="center"/>
        </w:trPr>
        <w:tc>
          <w:tcPr>
            <w:tcW w:w="2092" w:type="dxa"/>
          </w:tcPr>
          <w:p w:rsidR="006C2BEC" w:rsidRPr="00915C86" w:rsidP="003C743A">
            <w:pPr>
              <w:spacing w:before="120"/>
              <w:rPr>
                <w:rFonts w:ascii="Century Gothic" w:hAnsi="Century Gothic" w:cs="Century Gothic"/>
                <w:sz w:val="18"/>
                <w:szCs w:val="18"/>
              </w:rPr>
            </w:pPr>
            <w:r w:rsidRPr="00915C86">
              <w:rPr>
                <w:rFonts w:ascii="Century Gothic" w:hAnsi="Century Gothic"/>
                <w:sz w:val="18"/>
                <w:szCs w:val="18"/>
              </w:rPr>
              <w:t>Implementation status</w:t>
            </w:r>
          </w:p>
        </w:tc>
        <w:tc>
          <w:tcPr>
            <w:tcW w:w="7259" w:type="dxa"/>
          </w:tcPr>
          <w:p w:rsidR="006C2BEC" w:rsidRPr="00915C86" w:rsidP="003C743A">
            <w:pPr>
              <w:spacing w:before="120"/>
              <w:rPr>
                <w:rFonts w:ascii="Century Gothic" w:hAnsi="Century Gothic"/>
                <w:noProof/>
                <w:sz w:val="18"/>
                <w:szCs w:val="18"/>
              </w:rPr>
            </w:pPr>
            <w:r w:rsidRPr="00915C86">
              <w:rPr>
                <w:rFonts w:ascii="Century Gothic" w:hAnsi="Century Gothic"/>
                <w:sz w:val="18"/>
                <w:szCs w:val="18"/>
              </w:rPr>
              <w:t>The Agency is waiting for subsequent feedback from Railway Undertakings and Infrastructure Managers.</w:t>
            </w:r>
          </w:p>
        </w:tc>
      </w:tr>
    </w:tbl>
    <w:p w:rsidR="006C2BEC" w:rsidRPr="00915C86" w:rsidP="006C2BEC">
      <w:pPr>
        <w:pStyle w:val="Heading2"/>
        <w:spacing w:before="360" w:after="120"/>
        <w:rPr>
          <w:rFonts w:ascii="Century Gothic" w:hAnsi="Century Gothic"/>
        </w:rPr>
      </w:pPr>
      <w:bookmarkStart w:id="11" w:name="_Toc532565552"/>
      <w:r w:rsidRPr="00915C86">
        <w:rPr>
          <w:rFonts w:ascii="Century Gothic" w:hAnsi="Century Gothic"/>
        </w:rPr>
        <w:t>3.6</w:t>
      </w:r>
      <w:r w:rsidRPr="00915C86">
        <w:rPr>
          <w:rFonts w:ascii="Century Gothic" w:hAnsi="Century Gothic"/>
        </w:rPr>
        <w:tab/>
        <w:t>Measures implemented unrelated to safety recommendations</w:t>
      </w:r>
      <w:bookmarkEnd w:id="11"/>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ANSF continued to promote actions begun in 2016 with regard to maintenance processes, shunting, passenger train boarding and alighting doors, hydrogeological disruption, unauthorised crossing of tracks and level crossings. These actions are supplemented by those given in the following table:</w:t>
      </w:r>
    </w:p>
    <w:tbl>
      <w:tblPr>
        <w:tblStyle w:val="TableGrid"/>
        <w:tblW w:w="0" w:type="auto"/>
        <w:tblInd w:w="-5" w:type="dxa"/>
        <w:tblLayout w:type="fixed"/>
        <w:tblLook w:val="04A0"/>
      </w:tblPr>
      <w:tblGrid>
        <w:gridCol w:w="3119"/>
        <w:gridCol w:w="6237"/>
      </w:tblGrid>
      <w:tr w:rsidTr="003C743A">
        <w:tblPrEx>
          <w:tblW w:w="0" w:type="auto"/>
          <w:tblInd w:w="-5" w:type="dxa"/>
          <w:tblLayout w:type="fixed"/>
          <w:tblLook w:val="04A0"/>
        </w:tblPrEx>
        <w:trPr>
          <w:trHeight w:val="20"/>
        </w:trPr>
        <w:tc>
          <w:tcPr>
            <w:tcW w:w="3119" w:type="dxa"/>
            <w:shd w:val="clear" w:color="auto" w:fill="D9D9D9" w:themeFill="background1" w:themeFillShade="D9"/>
          </w:tcPr>
          <w:p w:rsidR="006C2BEC" w:rsidRPr="00915C86" w:rsidP="003C743A">
            <w:pPr>
              <w:rPr>
                <w:rFonts w:ascii="Century Gothic" w:hAnsi="Century Gothic" w:cs="Century Gothic"/>
                <w:sz w:val="18"/>
                <w:szCs w:val="20"/>
              </w:rPr>
            </w:pPr>
            <w:r w:rsidRPr="00915C86">
              <w:rPr>
                <w:rFonts w:ascii="Century Gothic" w:hAnsi="Century Gothic"/>
                <w:sz w:val="18"/>
                <w:szCs w:val="20"/>
              </w:rPr>
              <w:t>Sector of interest</w:t>
            </w:r>
          </w:p>
        </w:tc>
        <w:tc>
          <w:tcPr>
            <w:tcW w:w="6237" w:type="dxa"/>
            <w:shd w:val="clear" w:color="auto" w:fill="D9D9D9" w:themeFill="background1" w:themeFillShade="D9"/>
          </w:tcPr>
          <w:p w:rsidR="006C2BEC" w:rsidRPr="00915C86" w:rsidP="003C743A">
            <w:pPr>
              <w:rPr>
                <w:rFonts w:ascii="Century Gothic" w:hAnsi="Century Gothic" w:cs="Century Gothic"/>
                <w:sz w:val="18"/>
                <w:szCs w:val="20"/>
              </w:rPr>
            </w:pPr>
            <w:r w:rsidRPr="00915C86">
              <w:rPr>
                <w:rFonts w:ascii="Century Gothic" w:hAnsi="Century Gothic"/>
                <w:sz w:val="18"/>
                <w:szCs w:val="20"/>
              </w:rPr>
              <w:t>Development of railway culture.</w:t>
            </w:r>
          </w:p>
        </w:tc>
      </w:tr>
      <w:tr w:rsidTr="003C743A">
        <w:tblPrEx>
          <w:tblW w:w="0" w:type="auto"/>
          <w:tblInd w:w="-5" w:type="dxa"/>
          <w:tblLayout w:type="fixed"/>
          <w:tblLook w:val="04A0"/>
        </w:tblPrEx>
        <w:trPr>
          <w:trHeight w:val="20"/>
        </w:trPr>
        <w:tc>
          <w:tcPr>
            <w:tcW w:w="9356" w:type="dxa"/>
            <w:gridSpan w:val="2"/>
          </w:tcPr>
          <w:p w:rsidR="006C2BEC" w:rsidRPr="00915C86" w:rsidP="003C743A">
            <w:pPr>
              <w:pStyle w:val="ListParagraph"/>
              <w:numPr>
                <w:ilvl w:val="0"/>
                <w:numId w:val="32"/>
              </w:numPr>
              <w:spacing w:after="0" w:line="240" w:lineRule="auto"/>
              <w:ind w:left="459"/>
              <w:rPr>
                <w:rFonts w:ascii="Century Gothic" w:hAnsi="Century Gothic" w:cs="Century Gothic"/>
                <w:sz w:val="18"/>
                <w:szCs w:val="20"/>
              </w:rPr>
            </w:pPr>
            <w:r w:rsidRPr="00915C86">
              <w:rPr>
                <w:rFonts w:ascii="Century Gothic" w:hAnsi="Century Gothic"/>
                <w:sz w:val="18"/>
                <w:szCs w:val="20"/>
              </w:rPr>
              <w:t>Two meetings with trade union organisations on the implementation status of regulatory reorganisation by operators and their additional notifications;</w:t>
            </w:r>
          </w:p>
          <w:p w:rsidR="006C2BEC" w:rsidRPr="00915C86" w:rsidP="003C743A">
            <w:pPr>
              <w:pStyle w:val="ListParagraph"/>
              <w:numPr>
                <w:ilvl w:val="0"/>
                <w:numId w:val="32"/>
              </w:numPr>
              <w:spacing w:after="0" w:line="240" w:lineRule="auto"/>
              <w:ind w:left="459" w:hanging="357"/>
              <w:rPr>
                <w:rFonts w:ascii="Century Gothic" w:hAnsi="Century Gothic" w:cs="Century Gothic"/>
                <w:sz w:val="18"/>
                <w:szCs w:val="20"/>
              </w:rPr>
            </w:pPr>
            <w:r w:rsidRPr="00915C86">
              <w:rPr>
                <w:rFonts w:ascii="Century Gothic" w:hAnsi="Century Gothic"/>
                <w:sz w:val="18"/>
                <w:szCs w:val="20"/>
              </w:rPr>
              <w:t>Training of staff operating within POLFER.</w:t>
            </w:r>
          </w:p>
        </w:tc>
      </w:tr>
      <w:tr w:rsidTr="003C743A">
        <w:tblPrEx>
          <w:tblW w:w="0" w:type="auto"/>
          <w:tblInd w:w="-5" w:type="dxa"/>
          <w:tblLayout w:type="fixed"/>
          <w:tblLook w:val="04A0"/>
        </w:tblPrEx>
        <w:trPr>
          <w:trHeight w:val="20"/>
        </w:trPr>
        <w:tc>
          <w:tcPr>
            <w:tcW w:w="3119" w:type="dxa"/>
            <w:shd w:val="clear" w:color="auto" w:fill="D9D9D9" w:themeFill="background1" w:themeFillShade="D9"/>
          </w:tcPr>
          <w:p w:rsidR="006C2BEC" w:rsidRPr="00915C86" w:rsidP="003C743A">
            <w:pPr>
              <w:rPr>
                <w:rFonts w:ascii="Century Gothic" w:hAnsi="Century Gothic" w:cs="Century Gothic"/>
                <w:sz w:val="18"/>
                <w:szCs w:val="20"/>
              </w:rPr>
            </w:pPr>
            <w:r w:rsidRPr="00915C86">
              <w:rPr>
                <w:rFonts w:ascii="Century Gothic" w:hAnsi="Century Gothic"/>
                <w:sz w:val="18"/>
                <w:szCs w:val="20"/>
              </w:rPr>
              <w:t>Sector of interest</w:t>
            </w:r>
          </w:p>
        </w:tc>
        <w:tc>
          <w:tcPr>
            <w:tcW w:w="6237" w:type="dxa"/>
            <w:shd w:val="clear" w:color="auto" w:fill="D9D9D9" w:themeFill="background1" w:themeFillShade="D9"/>
          </w:tcPr>
          <w:p w:rsidR="006C2BEC" w:rsidRPr="00915C86" w:rsidP="003C743A">
            <w:pPr>
              <w:rPr>
                <w:rFonts w:ascii="Century Gothic" w:hAnsi="Century Gothic" w:cs="Century Gothic"/>
                <w:sz w:val="18"/>
                <w:szCs w:val="20"/>
              </w:rPr>
            </w:pPr>
            <w:r w:rsidRPr="00915C86">
              <w:rPr>
                <w:rFonts w:ascii="Century Gothic" w:hAnsi="Century Gothic"/>
                <w:sz w:val="18"/>
                <w:szCs w:val="20"/>
              </w:rPr>
              <w:t>Regulation of standardisation processes and measures.</w:t>
            </w:r>
          </w:p>
        </w:tc>
      </w:tr>
      <w:tr w:rsidTr="003C743A">
        <w:tblPrEx>
          <w:tblW w:w="0" w:type="auto"/>
          <w:tblInd w:w="-5" w:type="dxa"/>
          <w:tblLayout w:type="fixed"/>
          <w:tblLook w:val="04A0"/>
        </w:tblPrEx>
        <w:trPr>
          <w:trHeight w:val="20"/>
        </w:trPr>
        <w:tc>
          <w:tcPr>
            <w:tcW w:w="9356" w:type="dxa"/>
            <w:gridSpan w:val="2"/>
            <w:tcBorders>
              <w:bottom w:val="nil"/>
            </w:tcBorders>
            <w:shd w:val="clear" w:color="auto" w:fill="auto"/>
          </w:tcPr>
          <w:p w:rsidR="006C2BEC" w:rsidRPr="00915C86" w:rsidP="003C743A">
            <w:pPr>
              <w:pStyle w:val="Heading3"/>
              <w:numPr>
                <w:ilvl w:val="0"/>
                <w:numId w:val="32"/>
              </w:numPr>
              <w:spacing w:before="0"/>
              <w:outlineLvl w:val="2"/>
              <w:rPr>
                <w:rFonts w:ascii="Century Gothic" w:hAnsi="Century Gothic" w:cs="Century Gothic"/>
                <w:b w:val="0"/>
                <w:i w:val="0"/>
                <w:sz w:val="18"/>
                <w:szCs w:val="18"/>
              </w:rPr>
            </w:pPr>
            <w:r w:rsidRPr="00915C86">
              <w:rPr>
                <w:rFonts w:ascii="Century Gothic" w:hAnsi="Century Gothic"/>
                <w:b w:val="0"/>
                <w:i w:val="0"/>
                <w:sz w:val="18"/>
                <w:szCs w:val="18"/>
              </w:rPr>
              <w:t>‘Guidelines for the issue of authorisations for the placing in service of vehicles and structural subsystems and authorisation for the use of general applications, general products and components’ (Guideline No 1/2017)</w:t>
            </w:r>
          </w:p>
          <w:p w:rsidR="006C2BEC" w:rsidRPr="00915C86" w:rsidP="003C743A">
            <w:pPr>
              <w:pStyle w:val="Heading3"/>
              <w:numPr>
                <w:ilvl w:val="0"/>
                <w:numId w:val="32"/>
              </w:numPr>
              <w:spacing w:before="0"/>
              <w:outlineLvl w:val="2"/>
              <w:rPr>
                <w:rFonts w:ascii="Century Gothic" w:hAnsi="Century Gothic" w:cs="Century Gothic"/>
                <w:b w:val="0"/>
                <w:i w:val="0"/>
                <w:sz w:val="18"/>
                <w:szCs w:val="18"/>
              </w:rPr>
            </w:pPr>
            <w:r w:rsidRPr="00915C86">
              <w:rPr>
                <w:rFonts w:ascii="Century Gothic" w:hAnsi="Century Gothic"/>
                <w:b w:val="0"/>
                <w:i w:val="0"/>
                <w:sz w:val="18"/>
                <w:szCs w:val="18"/>
              </w:rPr>
              <w:t>‘Guidelines for the certification of Maintenance Workshops for railway vehicles other than wagons’, rev. 01 of 19/12/2017</w:t>
            </w:r>
          </w:p>
          <w:p w:rsidR="006C2BEC" w:rsidRPr="00915C86" w:rsidP="003C743A">
            <w:pPr>
              <w:numPr>
                <w:ilvl w:val="0"/>
                <w:numId w:val="32"/>
              </w:numPr>
              <w:spacing w:before="100" w:beforeAutospacing="1" w:after="100" w:afterAutospacing="1"/>
              <w:rPr>
                <w:rFonts w:ascii="Century Gothic" w:hAnsi="Century Gothic" w:cs="Century Gothic"/>
                <w:sz w:val="18"/>
                <w:szCs w:val="18"/>
              </w:rPr>
            </w:pPr>
            <w:r w:rsidRPr="00915C86">
              <w:rPr>
                <w:rFonts w:ascii="Century Gothic" w:hAnsi="Century Gothic"/>
                <w:sz w:val="18"/>
                <w:szCs w:val="18"/>
              </w:rPr>
              <w:t>ANSF Document No</w:t>
            </w:r>
            <w:hyperlink r:id="rId11" w:history="1">
              <w:r w:rsidRPr="00915C86">
                <w:rPr>
                  <w:rFonts w:ascii="Century Gothic" w:hAnsi="Century Gothic"/>
                  <w:sz w:val="18"/>
                  <w:szCs w:val="18"/>
                </w:rPr>
                <w:t> 000196/2017 of 10/01/2017</w:t>
              </w:r>
            </w:hyperlink>
            <w:r w:rsidRPr="00915C86">
              <w:rPr>
                <w:rFonts w:ascii="Century Gothic" w:hAnsi="Century Gothic"/>
                <w:sz w:val="18"/>
                <w:szCs w:val="18"/>
              </w:rPr>
              <w:t> regarding ‘Implementation of points 4.6 and 4.7 of the Technical Specification for Interoperability for the ‘Operation And Traffic Management’ Subsystem set out in the Annex to Decision 2012/757/EU and amended by Commission Regulation (EU) 2015/995 of 8 June 2015. Adoption of principles introduced by the Technical Specification for Interoperability in national standards</w:t>
            </w:r>
          </w:p>
          <w:p w:rsidR="006C2BEC" w:rsidRPr="00915C86" w:rsidP="003C743A">
            <w:pPr>
              <w:numPr>
                <w:ilvl w:val="0"/>
                <w:numId w:val="32"/>
              </w:numPr>
              <w:spacing w:before="120" w:after="0"/>
              <w:ind w:left="782" w:hanging="357"/>
              <w:rPr>
                <w:rFonts w:ascii="Century Gothic" w:hAnsi="Century Gothic" w:cs="Century Gothic"/>
                <w:sz w:val="18"/>
                <w:szCs w:val="18"/>
              </w:rPr>
            </w:pPr>
            <w:r w:rsidRPr="00915C86">
              <w:rPr>
                <w:rFonts w:ascii="Century Gothic" w:hAnsi="Century Gothic"/>
                <w:sz w:val="18"/>
                <w:szCs w:val="18"/>
              </w:rPr>
              <w:t>ANSF Document Ref</w:t>
            </w:r>
            <w:hyperlink r:id="rId12" w:history="1">
              <w:r w:rsidRPr="00915C86">
                <w:rPr>
                  <w:rFonts w:ascii="Century Gothic" w:hAnsi="Century Gothic"/>
                  <w:sz w:val="18"/>
                  <w:szCs w:val="18"/>
                </w:rPr>
                <w:t>010338/2017</w:t>
              </w:r>
            </w:hyperlink>
            <w:r w:rsidRPr="00915C86">
              <w:rPr>
                <w:rFonts w:ascii="Century Gothic" w:hAnsi="Century Gothic"/>
                <w:sz w:val="18"/>
                <w:szCs w:val="18"/>
              </w:rPr>
              <w:t xml:space="preserve"> ‘Amendment of national standards, guidelines and clarifications for referral for medical examination and for certification of requirements. - Application of ANSF Document No 196/2017 of 10/01/2017 – ‘Implementation of points 4.6 and 4.7 of the Technical Specification for Interoperability for the ‘Operation And Traffic Management’ Subsystem set out in the Annex to Decision 2012/757/EU and amended by Commission Regulation (EU) 2015/995 of 8 June 2015. Adoption of principles introduced by the Technical Specification for Interoperability in national standards</w:t>
            </w:r>
          </w:p>
        </w:tc>
      </w:tr>
      <w:tr w:rsidTr="003C743A">
        <w:tblPrEx>
          <w:tblW w:w="0" w:type="auto"/>
          <w:tblInd w:w="-5" w:type="dxa"/>
          <w:tblLayout w:type="fixed"/>
          <w:tblLook w:val="04A0"/>
        </w:tblPrEx>
        <w:trPr>
          <w:trHeight w:val="20"/>
        </w:trPr>
        <w:tc>
          <w:tcPr>
            <w:tcW w:w="9356" w:type="dxa"/>
            <w:gridSpan w:val="2"/>
            <w:tcBorders>
              <w:top w:val="nil"/>
              <w:left w:val="single" w:sz="4" w:space="0" w:color="auto"/>
              <w:bottom w:val="single" w:sz="4" w:space="0" w:color="auto"/>
              <w:right w:val="single" w:sz="4" w:space="0" w:color="auto"/>
            </w:tcBorders>
          </w:tcPr>
          <w:p w:rsidR="006C2BEC" w:rsidRPr="00915C86" w:rsidP="003C743A">
            <w:pPr>
              <w:numPr>
                <w:ilvl w:val="0"/>
                <w:numId w:val="32"/>
              </w:numPr>
              <w:spacing w:before="120" w:after="100" w:afterAutospacing="1"/>
              <w:ind w:left="782" w:hanging="357"/>
              <w:rPr>
                <w:rFonts w:ascii="Century Gothic" w:hAnsi="Century Gothic" w:cs="Century Gothic"/>
                <w:sz w:val="18"/>
                <w:szCs w:val="18"/>
              </w:rPr>
            </w:pPr>
            <w:r w:rsidRPr="00915C86">
              <w:rPr>
                <w:rFonts w:ascii="Century Gothic" w:hAnsi="Century Gothic"/>
                <w:sz w:val="18"/>
                <w:szCs w:val="18"/>
              </w:rPr>
              <w:t>ANSF Document No</w:t>
            </w:r>
            <w:hyperlink r:id="rId13" w:history="1">
              <w:r w:rsidRPr="00915C86">
                <w:rPr>
                  <w:rFonts w:ascii="Century Gothic" w:hAnsi="Century Gothic"/>
                  <w:sz w:val="18"/>
                  <w:szCs w:val="18"/>
                </w:rPr>
                <w:t> 003351/2017 of 27/03/2017</w:t>
              </w:r>
            </w:hyperlink>
            <w:r w:rsidRPr="00915C86">
              <w:rPr>
                <w:rFonts w:ascii="Century Gothic" w:hAnsi="Century Gothic"/>
                <w:sz w:val="18"/>
                <w:szCs w:val="18"/>
              </w:rPr>
              <w:t> regarding change to implementation times of ANSF Document Ref 000196/2017 of 10/01/2017 - ‘Implementation of points 4.6 and 4.7 of the Technical Specification for Interoperability for the ‘Operation And Traffic Management’ Subsystem set out in the Annex to Decision 2012/757/EU and amended by Commission Regulation (EU) 2015/995 of 8 June 2015. Adoption of principles introduced by the Technical Specification for Interoperability in national standards</w:t>
            </w:r>
          </w:p>
          <w:p w:rsidR="006C2BEC" w:rsidRPr="00915C86" w:rsidP="003C743A">
            <w:pPr>
              <w:numPr>
                <w:ilvl w:val="0"/>
                <w:numId w:val="32"/>
              </w:numPr>
              <w:spacing w:before="120" w:after="100" w:afterAutospacing="1"/>
              <w:rPr>
                <w:rFonts w:ascii="Century Gothic" w:hAnsi="Century Gothic" w:cs="Century Gothic"/>
                <w:sz w:val="18"/>
                <w:szCs w:val="18"/>
              </w:rPr>
            </w:pPr>
            <w:r w:rsidRPr="00915C86">
              <w:rPr>
                <w:rFonts w:ascii="Century Gothic" w:hAnsi="Century Gothic"/>
                <w:sz w:val="18"/>
                <w:szCs w:val="18"/>
              </w:rPr>
              <w:t>ANSF Document No </w:t>
            </w:r>
            <w:hyperlink r:id="rId14" w:history="1">
              <w:r w:rsidRPr="00915C86">
                <w:rPr>
                  <w:rFonts w:ascii="Century Gothic" w:hAnsi="Century Gothic"/>
                  <w:sz w:val="18"/>
                  <w:szCs w:val="18"/>
                </w:rPr>
                <w:t>010343/2017</w:t>
              </w:r>
            </w:hyperlink>
            <w:r w:rsidRPr="00915C86">
              <w:rPr>
                <w:rFonts w:ascii="Century Gothic" w:hAnsi="Century Gothic"/>
                <w:sz w:val="18"/>
                <w:szCs w:val="18"/>
              </w:rPr>
              <w:t xml:space="preserve"> ‘Accreditation of instructors and examiners for the safety activity of "Train preparation" PDT and "Train crewing" ADT as referred to in ANSF Document Ref 000196/2017 of 10/1/2017’</w:t>
            </w:r>
          </w:p>
          <w:p w:rsidR="006C2BEC" w:rsidRPr="00915C86" w:rsidP="003C743A">
            <w:pPr>
              <w:numPr>
                <w:ilvl w:val="0"/>
                <w:numId w:val="32"/>
              </w:numPr>
              <w:spacing w:before="120" w:after="100" w:afterAutospacing="1"/>
              <w:rPr>
                <w:rFonts w:ascii="Century Gothic" w:hAnsi="Century Gothic" w:cs="Century Gothic"/>
                <w:sz w:val="18"/>
                <w:szCs w:val="18"/>
              </w:rPr>
            </w:pPr>
            <w:r w:rsidRPr="00915C86">
              <w:rPr>
                <w:rFonts w:ascii="Century Gothic" w:hAnsi="Century Gothic"/>
                <w:sz w:val="18"/>
                <w:szCs w:val="18"/>
              </w:rPr>
              <w:t>ANSF Document No </w:t>
            </w:r>
            <w:hyperlink r:id="rId15" w:history="1">
              <w:r w:rsidRPr="00915C86">
                <w:rPr>
                  <w:rFonts w:ascii="Century Gothic" w:hAnsi="Century Gothic"/>
                  <w:sz w:val="18"/>
                  <w:szCs w:val="18"/>
                </w:rPr>
                <w:t>003748/2017</w:t>
              </w:r>
            </w:hyperlink>
            <w:r w:rsidRPr="00915C86">
              <w:rPr>
                <w:rFonts w:ascii="Century Gothic" w:hAnsi="Century Gothic"/>
                <w:sz w:val="18"/>
                <w:szCs w:val="18"/>
              </w:rPr>
              <w:t xml:space="preserve"> concerning the need for railway operators to adopt appropriate technical and regulatory measures aimed at the timely achievement and immobilisation of trains stopped on the line</w:t>
            </w:r>
          </w:p>
          <w:p w:rsidR="006C2BEC" w:rsidRPr="00915C86" w:rsidP="003C743A">
            <w:pPr>
              <w:numPr>
                <w:ilvl w:val="0"/>
                <w:numId w:val="32"/>
              </w:numPr>
              <w:spacing w:before="120" w:after="100" w:afterAutospacing="1"/>
              <w:rPr>
                <w:rFonts w:ascii="Century Gothic" w:hAnsi="Century Gothic" w:cs="Century Gothic"/>
                <w:sz w:val="18"/>
                <w:szCs w:val="18"/>
              </w:rPr>
            </w:pPr>
            <w:r w:rsidRPr="00915C86">
              <w:rPr>
                <w:rFonts w:ascii="Century Gothic" w:hAnsi="Century Gothic"/>
                <w:sz w:val="18"/>
                <w:szCs w:val="18"/>
              </w:rPr>
              <w:t xml:space="preserve"> ANSF Document No </w:t>
            </w:r>
            <w:hyperlink r:id="rId16" w:history="1">
              <w:r w:rsidRPr="00915C86">
                <w:rPr>
                  <w:rFonts w:ascii="Century Gothic" w:hAnsi="Century Gothic"/>
                  <w:sz w:val="18"/>
                  <w:szCs w:val="18"/>
                </w:rPr>
                <w:t>001766/2017</w:t>
              </w:r>
            </w:hyperlink>
            <w:r w:rsidRPr="00915C86">
              <w:rPr>
                <w:rFonts w:ascii="Century Gothic" w:hAnsi="Century Gothic"/>
                <w:sz w:val="18"/>
                <w:szCs w:val="18"/>
              </w:rPr>
              <w:t xml:space="preserve"> concerning types of movement permitted in the Italian railway system according to current regulations (including goods terminals, intermodal terminals, ports and interports).</w:t>
            </w:r>
          </w:p>
          <w:p w:rsidR="006C2BEC" w:rsidRPr="00915C86" w:rsidP="003C743A">
            <w:pPr>
              <w:numPr>
                <w:ilvl w:val="0"/>
                <w:numId w:val="32"/>
              </w:numPr>
              <w:spacing w:before="120" w:after="100" w:afterAutospacing="1"/>
              <w:ind w:left="782" w:hanging="357"/>
              <w:jc w:val="left"/>
              <w:rPr>
                <w:rFonts w:ascii="Century Gothic" w:hAnsi="Century Gothic" w:cs="Century Gothic"/>
                <w:sz w:val="18"/>
                <w:szCs w:val="18"/>
              </w:rPr>
            </w:pPr>
            <w:r w:rsidRPr="00915C86">
              <w:rPr>
                <w:rFonts w:ascii="Century Gothic" w:hAnsi="Century Gothic"/>
                <w:sz w:val="18"/>
                <w:szCs w:val="18"/>
              </w:rPr>
              <w:t>ANSF Document No </w:t>
            </w:r>
            <w:hyperlink r:id="rId17" w:history="1">
              <w:r w:rsidRPr="00915C86">
                <w:rPr>
                  <w:rFonts w:ascii="Century Gothic" w:hAnsi="Century Gothic"/>
                  <w:sz w:val="18"/>
                  <w:szCs w:val="18"/>
                </w:rPr>
                <w:t>008472/2017</w:t>
              </w:r>
            </w:hyperlink>
            <w:r w:rsidRPr="00915C86">
              <w:rPr>
                <w:rFonts w:ascii="Century Gothic" w:hAnsi="Century Gothic"/>
                <w:sz w:val="18"/>
                <w:szCs w:val="18"/>
              </w:rPr>
              <w:t xml:space="preserve"> ‘Arrangements for ANSF Decree No 01/2016 – Notification of processes to upgrade existing vehicles to the requirements of RFI Regulations No 1/2003 and No 30/2007 – Clarifications’</w:t>
            </w:r>
          </w:p>
          <w:p w:rsidR="006C2BEC" w:rsidRPr="00915C86" w:rsidP="003C743A">
            <w:pPr>
              <w:numPr>
                <w:ilvl w:val="0"/>
                <w:numId w:val="32"/>
              </w:numPr>
              <w:spacing w:before="120" w:after="100" w:afterAutospacing="1"/>
              <w:ind w:left="782" w:hanging="357"/>
              <w:jc w:val="left"/>
              <w:rPr>
                <w:rFonts w:ascii="Century Gothic" w:hAnsi="Century Gothic" w:cs="Century Gothic"/>
                <w:sz w:val="18"/>
                <w:szCs w:val="18"/>
              </w:rPr>
            </w:pPr>
            <w:r w:rsidRPr="00915C86">
              <w:rPr>
                <w:rFonts w:ascii="Century Gothic" w:hAnsi="Century Gothic"/>
                <w:sz w:val="18"/>
                <w:szCs w:val="18"/>
              </w:rPr>
              <w:t>ANSF Document No </w:t>
            </w:r>
            <w:hyperlink r:id="rId18" w:history="1">
              <w:r w:rsidRPr="00915C86">
                <w:rPr>
                  <w:rFonts w:ascii="Century Gothic" w:hAnsi="Century Gothic"/>
                  <w:sz w:val="18"/>
                  <w:szCs w:val="18"/>
                </w:rPr>
                <w:t>008267/2017</w:t>
              </w:r>
            </w:hyperlink>
            <w:r w:rsidRPr="00915C86">
              <w:rPr>
                <w:rFonts w:ascii="Century Gothic" w:hAnsi="Century Gothic"/>
                <w:sz w:val="18"/>
                <w:szCs w:val="18"/>
              </w:rPr>
              <w:t xml:space="preserve"> ‘Migration from the system in force on the lines referred to in Ministerial Decree of 5 August 2016 until 15 September 2016, to "Standards for the qualification of staff employed in railway traffic safety activities’ issued by the Agency by means of ANSF Decree No 4/2012 of 9 August 2012</w:t>
            </w:r>
          </w:p>
          <w:p w:rsidR="006C2BEC" w:rsidRPr="00915C86" w:rsidP="003C743A">
            <w:pPr>
              <w:numPr>
                <w:ilvl w:val="0"/>
                <w:numId w:val="32"/>
              </w:numPr>
              <w:spacing w:before="120" w:after="100" w:afterAutospacing="1"/>
              <w:ind w:left="782" w:hanging="357"/>
              <w:rPr>
                <w:rFonts w:ascii="Century Gothic" w:hAnsi="Century Gothic" w:cs="Century Gothic"/>
                <w:sz w:val="18"/>
                <w:szCs w:val="18"/>
              </w:rPr>
            </w:pPr>
            <w:r w:rsidRPr="00915C86">
              <w:rPr>
                <w:rFonts w:ascii="Century Gothic" w:hAnsi="Century Gothic"/>
                <w:sz w:val="18"/>
                <w:szCs w:val="18"/>
              </w:rPr>
              <w:t>ANSF Document No </w:t>
            </w:r>
            <w:hyperlink r:id="rId19" w:history="1">
              <w:r w:rsidRPr="00915C86">
                <w:rPr>
                  <w:rFonts w:ascii="Century Gothic" w:hAnsi="Century Gothic"/>
                  <w:sz w:val="18"/>
                  <w:szCs w:val="18"/>
                </w:rPr>
                <w:t>004554/2017</w:t>
              </w:r>
            </w:hyperlink>
            <w:r w:rsidRPr="00915C86">
              <w:rPr>
                <w:rFonts w:ascii="Century Gothic" w:hAnsi="Century Gothic"/>
                <w:sz w:val="18"/>
                <w:szCs w:val="18"/>
              </w:rPr>
              <w:t xml:space="preserve"> regarding the standards in Presidential Decree No 53 of 11 July 1980 that are no longer applicable to the railways referred to in Minister of Infrastructure and Transport Decree of 5 August 2016, with particular reference to standards concerning the distances between objects and railway lines and crossings and railway line parallelism</w:t>
            </w:r>
          </w:p>
          <w:p w:rsidR="006C2BEC" w:rsidRPr="00915C86" w:rsidP="003C743A">
            <w:pPr>
              <w:pStyle w:val="ListParagraph"/>
              <w:numPr>
                <w:ilvl w:val="0"/>
                <w:numId w:val="32"/>
              </w:numPr>
              <w:spacing w:before="240" w:after="120" w:line="240" w:lineRule="auto"/>
              <w:ind w:left="782" w:hanging="357"/>
              <w:rPr>
                <w:rFonts w:ascii="Century Gothic" w:hAnsi="Century Gothic" w:cs="Century Gothic"/>
                <w:sz w:val="18"/>
                <w:szCs w:val="18"/>
              </w:rPr>
            </w:pPr>
            <w:hyperlink r:id="rId20" w:history="1">
              <w:r w:rsidRPr="00915C86" w:rsidR="00575D08">
                <w:rPr>
                  <w:rFonts w:ascii="Century Gothic" w:hAnsi="Century Gothic"/>
                  <w:sz w:val="18"/>
                  <w:szCs w:val="18"/>
                </w:rPr>
                <w:t>Circular containing operating instructions for the imposition of sanctions by ANSF (Ref 0014110 of 27/12/2017)</w:t>
              </w:r>
            </w:hyperlink>
          </w:p>
          <w:p w:rsidR="006C2BEC" w:rsidRPr="00915C86" w:rsidP="003C743A">
            <w:pPr>
              <w:pStyle w:val="Heading3"/>
              <w:numPr>
                <w:ilvl w:val="0"/>
                <w:numId w:val="32"/>
              </w:numPr>
              <w:spacing w:before="0" w:after="0"/>
              <w:ind w:left="782" w:hanging="357"/>
              <w:outlineLvl w:val="2"/>
              <w:rPr>
                <w:rFonts w:ascii="Century Gothic" w:hAnsi="Century Gothic" w:cs="Century Gothic"/>
                <w:b w:val="0"/>
                <w:i w:val="0"/>
                <w:sz w:val="18"/>
                <w:szCs w:val="18"/>
              </w:rPr>
            </w:pPr>
            <w:hyperlink r:id="rId21" w:history="1">
              <w:r w:rsidRPr="00915C86" w:rsidR="00575D08">
                <w:rPr>
                  <w:rFonts w:ascii="Century Gothic" w:hAnsi="Century Gothic"/>
                  <w:b w:val="0"/>
                  <w:i w:val="0"/>
                  <w:sz w:val="18"/>
                  <w:szCs w:val="18"/>
                </w:rPr>
                <w:t>Framework Agreement</w:t>
              </w:r>
            </w:hyperlink>
            <w:r w:rsidRPr="00915C86" w:rsidR="00575D08">
              <w:rPr>
                <w:rFonts w:ascii="Century Gothic" w:hAnsi="Century Gothic"/>
                <w:b w:val="0"/>
                <w:i w:val="0"/>
                <w:sz w:val="18"/>
                <w:szCs w:val="18"/>
              </w:rPr>
              <w:t xml:space="preserve"> for the development and safety of rail links with ports – Signed on 12/12/2017 by the Ministry of Infrastructure and Transport, ANSF, RFI, Assoporti and ASSTRA</w:t>
            </w:r>
          </w:p>
        </w:tc>
      </w:tr>
    </w:tbl>
    <w:p w:rsidR="006C2BEC" w:rsidRPr="00915C86" w:rsidP="006C2BEC">
      <w:pPr>
        <w:pStyle w:val="Heading2"/>
        <w:spacing w:before="360" w:after="120"/>
        <w:rPr>
          <w:rFonts w:ascii="Century Gothic" w:hAnsi="Century Gothic"/>
        </w:rPr>
      </w:pPr>
      <w:bookmarkStart w:id="12" w:name="_Toc532565553"/>
      <w:r w:rsidRPr="00915C86">
        <w:rPr>
          <w:rFonts w:ascii="Century Gothic" w:hAnsi="Century Gothic"/>
        </w:rPr>
        <w:t>3.7 Main strategies in ANSF's international activities</w:t>
      </w:r>
      <w:bookmarkEnd w:id="12"/>
    </w:p>
    <w:p w:rsidR="006C2BEC" w:rsidRPr="00915C86" w:rsidP="006C2BEC">
      <w:pPr>
        <w:autoSpaceDE w:val="0"/>
        <w:autoSpaceDN w:val="0"/>
        <w:adjustRightInd w:val="0"/>
        <w:rPr>
          <w:rFonts w:ascii="Century Gothic" w:hAnsi="Century Gothic" w:cs="Arial"/>
          <w:bCs/>
          <w:sz w:val="20"/>
          <w:szCs w:val="20"/>
        </w:rPr>
      </w:pPr>
      <w:r w:rsidRPr="00915C86">
        <w:rPr>
          <w:rFonts w:ascii="Century Gothic" w:hAnsi="Century Gothic"/>
          <w:bCs/>
          <w:sz w:val="20"/>
          <w:szCs w:val="20"/>
        </w:rPr>
        <w:t>In accordance with Ministry of Infrastructure and Transport (MIT) guidelines, in 2017 ANSF oversaw relationships with ERA in the field of railway safety and interoperability and participated in groups specially set up within ERA, by agreement with the MIT Directorate General for Transport and Railway Infrastructure.</w:t>
      </w:r>
    </w:p>
    <w:p w:rsidR="006C2BEC" w:rsidRPr="00915C86" w:rsidP="006C2BEC">
      <w:pPr>
        <w:autoSpaceDE w:val="0"/>
        <w:autoSpaceDN w:val="0"/>
        <w:adjustRightInd w:val="0"/>
        <w:spacing w:after="0"/>
        <w:rPr>
          <w:rFonts w:ascii="Century Gothic" w:hAnsi="Century Gothic"/>
          <w:sz w:val="20"/>
          <w:szCs w:val="20"/>
        </w:rPr>
      </w:pPr>
      <w:r w:rsidRPr="00915C86">
        <w:rPr>
          <w:rFonts w:ascii="Century Gothic" w:hAnsi="Century Gothic"/>
          <w:sz w:val="20"/>
          <w:szCs w:val="20"/>
        </w:rPr>
        <w:t>ANSF provided the Directorate General for Transport and Railway Infrastructure with technical support:</w:t>
      </w:r>
    </w:p>
    <w:p w:rsidR="006C2BEC" w:rsidRPr="00915C86" w:rsidP="006C2BEC">
      <w:pPr>
        <w:pStyle w:val="ListParagraph"/>
        <w:numPr>
          <w:ilvl w:val="0"/>
          <w:numId w:val="6"/>
        </w:numPr>
        <w:spacing w:after="120" w:line="240" w:lineRule="auto"/>
        <w:ind w:left="426"/>
        <w:rPr>
          <w:rFonts w:ascii="Century Gothic" w:hAnsi="Century Gothic" w:cs="Century Gothic"/>
          <w:sz w:val="20"/>
          <w:szCs w:val="20"/>
        </w:rPr>
      </w:pPr>
      <w:r w:rsidRPr="00915C86">
        <w:rPr>
          <w:rFonts w:ascii="Century Gothic" w:hAnsi="Century Gothic"/>
          <w:sz w:val="20"/>
          <w:szCs w:val="20"/>
        </w:rPr>
        <w:t>for the participation and training of the Italian posting to the European Commission and the Committee made up of Representatives of Member States (RISC);</w:t>
      </w:r>
    </w:p>
    <w:p w:rsidR="006C2BEC" w:rsidRPr="00915C86" w:rsidP="006C2BEC">
      <w:pPr>
        <w:pStyle w:val="ListParagraph"/>
        <w:numPr>
          <w:ilvl w:val="0"/>
          <w:numId w:val="6"/>
        </w:numPr>
        <w:spacing w:after="120" w:line="240" w:lineRule="auto"/>
        <w:ind w:left="425" w:hanging="357"/>
        <w:rPr>
          <w:rFonts w:ascii="Century Gothic" w:hAnsi="Century Gothic" w:cs="Century Gothic"/>
          <w:sz w:val="20"/>
          <w:szCs w:val="20"/>
        </w:rPr>
      </w:pPr>
      <w:r w:rsidRPr="00915C86">
        <w:rPr>
          <w:rFonts w:ascii="Century Gothic" w:hAnsi="Century Gothic"/>
          <w:sz w:val="20"/>
          <w:szCs w:val="20"/>
        </w:rPr>
        <w:t>in groups established by the European Commission dedicated to implementation of the fourth Railway Package;</w:t>
      </w:r>
    </w:p>
    <w:p w:rsidR="006C2BEC" w:rsidRPr="00915C86" w:rsidP="006C2BEC">
      <w:pPr>
        <w:pStyle w:val="ListParagraph"/>
        <w:numPr>
          <w:ilvl w:val="0"/>
          <w:numId w:val="6"/>
        </w:numPr>
        <w:spacing w:after="120" w:line="240" w:lineRule="auto"/>
        <w:ind w:left="425" w:hanging="357"/>
        <w:rPr>
          <w:rFonts w:ascii="Century Gothic" w:hAnsi="Century Gothic" w:cs="Century Gothic"/>
          <w:sz w:val="20"/>
          <w:szCs w:val="20"/>
        </w:rPr>
      </w:pPr>
      <w:r w:rsidRPr="00915C86">
        <w:rPr>
          <w:rFonts w:ascii="Century Gothic" w:hAnsi="Century Gothic"/>
          <w:sz w:val="20"/>
          <w:szCs w:val="20"/>
        </w:rPr>
        <w:t>for Rail Freight Corridors as set out in Regulation (EU) No 913/2010.</w:t>
      </w:r>
    </w:p>
    <w:p w:rsidR="006C2BEC" w:rsidRPr="00915C86" w:rsidP="006C2BEC">
      <w:pPr>
        <w:tabs>
          <w:tab w:val="num" w:pos="1985"/>
        </w:tabs>
        <w:autoSpaceDE w:val="0"/>
        <w:autoSpaceDN w:val="0"/>
        <w:adjustRightInd w:val="0"/>
        <w:rPr>
          <w:rFonts w:ascii="Century Gothic" w:hAnsi="Century Gothic" w:cs="Arial"/>
          <w:bCs/>
          <w:sz w:val="20"/>
          <w:szCs w:val="20"/>
        </w:rPr>
      </w:pPr>
      <w:r w:rsidRPr="00915C86">
        <w:rPr>
          <w:rFonts w:ascii="Century Gothic" w:hAnsi="Century Gothic"/>
          <w:bCs/>
          <w:sz w:val="20"/>
          <w:szCs w:val="20"/>
        </w:rPr>
        <w:t>In all the committees in which it participated, ANSF encouraged the adoption of common harmonised measures by all national authorities, notwithstanding the possibility of adopting emergency measures in situations prejudicial to safety. The presence of ANSF in the ERA Group for the issue of new regulations on CSM, Conformity Assessment and Supervision (and related Guidelines) and in the Joint Network Secretariat for the Quick Response Procedure is particularly significant in this context.</w:t>
      </w:r>
    </w:p>
    <w:p w:rsidR="006C2BEC" w:rsidRPr="00915C86" w:rsidP="006C2BEC">
      <w:pPr>
        <w:pStyle w:val="Heading1"/>
        <w:tabs>
          <w:tab w:val="num" w:pos="432"/>
        </w:tabs>
        <w:spacing w:before="360" w:after="120"/>
        <w:ind w:left="431" w:hanging="431"/>
        <w:rPr>
          <w:rFonts w:ascii="Century Gothic" w:hAnsi="Century Gothic"/>
          <w:kern w:val="0"/>
        </w:rPr>
      </w:pPr>
      <w:bookmarkStart w:id="13" w:name="_Toc532565554"/>
      <w:r w:rsidRPr="00915C86">
        <w:rPr>
          <w:rFonts w:ascii="Century Gothic" w:hAnsi="Century Gothic"/>
        </w:rPr>
        <w:t>PART 4 – OVERALL RAILWAY SAFETY PERFORMANCE AND STRATEGY</w:t>
      </w:r>
      <w:bookmarkEnd w:id="13"/>
    </w:p>
    <w:p w:rsidR="006C2BEC" w:rsidRPr="00915C86" w:rsidP="006C2BEC">
      <w:pPr>
        <w:pStyle w:val="Heading2"/>
        <w:spacing w:before="0" w:after="0"/>
        <w:rPr>
          <w:rFonts w:ascii="Century Gothic" w:hAnsi="Century Gothic"/>
        </w:rPr>
      </w:pPr>
      <w:bookmarkStart w:id="14" w:name="_Toc532565555"/>
      <w:r w:rsidRPr="00915C86">
        <w:rPr>
          <w:rFonts w:ascii="Century Gothic" w:hAnsi="Century Gothic"/>
        </w:rPr>
        <w:t>4.1 Accident analysis feedback</w:t>
      </w:r>
      <w:bookmarkEnd w:id="14"/>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The following table shows the trend in significant accidents</w:t>
      </w:r>
      <w:r>
        <w:rPr>
          <w:rFonts w:ascii="Century Gothic" w:hAnsi="Century Gothic" w:cs="Century Gothic"/>
          <w:sz w:val="20"/>
          <w:szCs w:val="20"/>
          <w:vertAlign w:val="superscript"/>
        </w:rPr>
        <w:footnoteReference w:id="2"/>
      </w:r>
      <w:r w:rsidRPr="00915C86">
        <w:rPr>
          <w:rFonts w:ascii="Century Gothic" w:hAnsi="Century Gothic"/>
          <w:sz w:val="20"/>
          <w:szCs w:val="20"/>
        </w:rPr>
        <w:t xml:space="preserve"> recorded during the period 2007-2017 throughout the entire network for which ANSF is competent, hereafter referred to as the (IT Network).</w:t>
      </w:r>
    </w:p>
    <w:tbl>
      <w:tblPr>
        <w:tblW w:w="9356" w:type="dxa"/>
        <w:jc w:val="center"/>
        <w:tblLayout w:type="fixed"/>
        <w:tblCellMar>
          <w:left w:w="70" w:type="dxa"/>
          <w:right w:w="70" w:type="dxa"/>
        </w:tblCellMar>
        <w:tblLook w:val="04A0"/>
      </w:tblPr>
      <w:tblGrid>
        <w:gridCol w:w="1102"/>
        <w:gridCol w:w="1592"/>
        <w:gridCol w:w="567"/>
        <w:gridCol w:w="567"/>
        <w:gridCol w:w="567"/>
        <w:gridCol w:w="567"/>
        <w:gridCol w:w="567"/>
        <w:gridCol w:w="567"/>
        <w:gridCol w:w="567"/>
        <w:gridCol w:w="567"/>
        <w:gridCol w:w="567"/>
        <w:gridCol w:w="807"/>
        <w:gridCol w:w="752"/>
      </w:tblGrid>
      <w:tr w:rsidTr="003C743A">
        <w:tblPrEx>
          <w:tblW w:w="9356" w:type="dxa"/>
          <w:jc w:val="center"/>
          <w:tblLayout w:type="fixed"/>
          <w:tblCellMar>
            <w:left w:w="70" w:type="dxa"/>
            <w:right w:w="70" w:type="dxa"/>
          </w:tblCellMar>
          <w:tblLook w:val="04A0"/>
        </w:tblPrEx>
        <w:trPr>
          <w:trHeight w:val="20"/>
          <w:jc w:val="center"/>
        </w:trPr>
        <w:tc>
          <w:tcPr>
            <w:tcW w:w="1102" w:type="dxa"/>
            <w:tcBorders>
              <w:top w:val="nil"/>
              <w:left w:val="nil"/>
              <w:bottom w:val="single" w:sz="4" w:space="0" w:color="auto"/>
              <w:right w:val="nil"/>
            </w:tcBorders>
            <w:shd w:val="clear" w:color="auto" w:fill="FFFFFF" w:themeFill="background1"/>
            <w:noWrap/>
            <w:vAlign w:val="bottom"/>
            <w:hideMark/>
          </w:tcPr>
          <w:p w:rsidR="006C2BEC" w:rsidRPr="00915C86" w:rsidP="003C743A">
            <w:pPr>
              <w:spacing w:after="0"/>
              <w:jc w:val="left"/>
              <w:rPr>
                <w:rFonts w:ascii="Century Gothic" w:hAnsi="Century Gothic" w:cs="Century Gothic"/>
                <w:b/>
                <w:color w:val="FFFFFF" w:themeColor="background1"/>
                <w:sz w:val="20"/>
                <w:szCs w:val="20"/>
              </w:rPr>
            </w:pPr>
          </w:p>
        </w:tc>
        <w:tc>
          <w:tcPr>
            <w:tcW w:w="1592" w:type="dxa"/>
            <w:tcBorders>
              <w:top w:val="nil"/>
              <w:left w:val="nil"/>
              <w:bottom w:val="single" w:sz="4" w:space="0" w:color="auto"/>
              <w:right w:val="single" w:sz="4" w:space="0" w:color="auto"/>
            </w:tcBorders>
            <w:shd w:val="clear" w:color="auto" w:fill="FFFFFF" w:themeFill="background1"/>
            <w:noWrap/>
            <w:vAlign w:val="bottom"/>
            <w:hideMark/>
          </w:tcPr>
          <w:p w:rsidR="006C2BEC" w:rsidRPr="00915C86" w:rsidP="003C743A">
            <w:pPr>
              <w:spacing w:after="0"/>
              <w:jc w:val="left"/>
              <w:rPr>
                <w:rFonts w:ascii="Century Gothic" w:hAnsi="Century Gothic" w:cs="Century Gothic"/>
                <w:b/>
                <w:color w:val="FFFFFF" w:themeColor="background1"/>
                <w:sz w:val="20"/>
                <w:szCs w:val="20"/>
              </w:rPr>
            </w:pPr>
          </w:p>
        </w:tc>
        <w:tc>
          <w:tcPr>
            <w:tcW w:w="6662" w:type="dxa"/>
            <w:gridSpan w:val="11"/>
            <w:tcBorders>
              <w:top w:val="single" w:sz="4" w:space="0" w:color="auto"/>
              <w:left w:val="single" w:sz="4" w:space="0" w:color="auto"/>
              <w:bottom w:val="single" w:sz="4" w:space="0" w:color="auto"/>
              <w:right w:val="single" w:sz="4" w:space="0" w:color="000000"/>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SIGNIFICANT ACCIDENTS</w:t>
            </w:r>
          </w:p>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(IT Network)</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2007</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2008</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2009</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2010</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2011</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2012</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2013</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2014</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2015</w:t>
            </w:r>
          </w:p>
        </w:tc>
        <w:tc>
          <w:tcPr>
            <w:tcW w:w="80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2016 (*)</w:t>
            </w:r>
          </w:p>
        </w:tc>
        <w:tc>
          <w:tcPr>
            <w:tcW w:w="752"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2017 (*)</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Train collisions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Train collisions with railway vehicles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Train collisions with obstacles within the clearance gauge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Train derailments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Level-crossing accidents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19</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Accidents to persons caused by rolling stock in motion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67</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75</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Fires in rolling stock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Other types of accident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r>
      <w:tr w:rsidTr="003C743A">
        <w:tblPrEx>
          <w:tblW w:w="9356" w:type="dxa"/>
          <w:jc w:val="center"/>
          <w:tblLayout w:type="fixed"/>
          <w:tblCellMar>
            <w:left w:w="70" w:type="dxa"/>
            <w:right w:w="70" w:type="dxa"/>
          </w:tblCellMar>
          <w:tblLook w:val="04A0"/>
        </w:tblPrEx>
        <w:trPr>
          <w:trHeight w:val="20"/>
          <w:jc w:val="center"/>
        </w:trPr>
        <w:tc>
          <w:tcPr>
            <w:tcW w:w="2694" w:type="dxa"/>
            <w:gridSpan w:val="2"/>
            <w:tcBorders>
              <w:top w:val="single" w:sz="4" w:space="0" w:color="auto"/>
              <w:left w:val="single" w:sz="4" w:space="0" w:color="auto"/>
              <w:right w:val="single" w:sz="4" w:space="0" w:color="auto"/>
            </w:tcBorders>
            <w:shd w:val="clear" w:color="auto" w:fill="0070C0"/>
            <w:vAlign w:val="center"/>
            <w:hideMark/>
          </w:tcPr>
          <w:p w:rsidR="006C2BEC" w:rsidRPr="00915C86" w:rsidP="003C743A">
            <w:pPr>
              <w:spacing w:after="0"/>
              <w:jc w:val="left"/>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TOTAL</w:t>
            </w:r>
          </w:p>
        </w:tc>
        <w:tc>
          <w:tcPr>
            <w:tcW w:w="567" w:type="dxa"/>
            <w:tcBorders>
              <w:top w:val="single" w:sz="4" w:space="0" w:color="auto"/>
              <w:left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121</w:t>
            </w:r>
          </w:p>
        </w:tc>
        <w:tc>
          <w:tcPr>
            <w:tcW w:w="567" w:type="dxa"/>
            <w:tcBorders>
              <w:top w:val="single" w:sz="4" w:space="0" w:color="auto"/>
              <w:left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103</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93</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100</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106</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106</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98</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109</w:t>
            </w:r>
          </w:p>
        </w:tc>
        <w:tc>
          <w:tcPr>
            <w:tcW w:w="56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98</w:t>
            </w:r>
          </w:p>
        </w:tc>
        <w:tc>
          <w:tcPr>
            <w:tcW w:w="807"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99</w:t>
            </w:r>
          </w:p>
        </w:tc>
        <w:tc>
          <w:tcPr>
            <w:tcW w:w="752" w:type="dxa"/>
            <w:tcBorders>
              <w:top w:val="single" w:sz="4" w:space="0" w:color="auto"/>
              <w:left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104</w:t>
            </w:r>
          </w:p>
        </w:tc>
      </w:tr>
      <w:tr w:rsidTr="003C743A">
        <w:tblPrEx>
          <w:tblW w:w="9356" w:type="dxa"/>
          <w:jc w:val="center"/>
          <w:tblLayout w:type="fixed"/>
          <w:tblCellMar>
            <w:left w:w="70" w:type="dxa"/>
            <w:right w:w="70" w:type="dxa"/>
          </w:tblCellMar>
          <w:tblLook w:val="04A0"/>
        </w:tblPrEx>
        <w:trPr>
          <w:trHeight w:val="20"/>
          <w:jc w:val="center"/>
        </w:trPr>
        <w:tc>
          <w:tcPr>
            <w:tcW w:w="9356" w:type="dxa"/>
            <w:gridSpan w:val="13"/>
            <w:shd w:val="clear" w:color="auto" w:fill="auto"/>
            <w:vAlign w:val="bottom"/>
            <w:hideMark/>
          </w:tcPr>
          <w:p w:rsidR="006C2BEC" w:rsidRPr="00915C86" w:rsidP="003C743A">
            <w:pPr>
              <w:spacing w:before="120" w:after="0"/>
              <w:rPr>
                <w:rFonts w:ascii="Century Gothic" w:hAnsi="Century Gothic" w:cs="Century Gothic"/>
                <w:sz w:val="14"/>
                <w:szCs w:val="14"/>
              </w:rPr>
            </w:pPr>
            <w:r w:rsidRPr="00915C86">
              <w:rPr>
                <w:rFonts w:ascii="Century Gothic" w:hAnsi="Century Gothic"/>
                <w:sz w:val="14"/>
                <w:szCs w:val="14"/>
              </w:rPr>
              <w:t>(*) The data relating to 2016 and 2017 include data recorded on the (RFI Network) and data recorded on (Interconnected Regional Networks).</w:t>
            </w:r>
          </w:p>
          <w:p w:rsidR="006C2BEC" w:rsidRPr="00915C86" w:rsidP="003C743A">
            <w:pPr>
              <w:rPr>
                <w:rFonts w:ascii="Century Gothic" w:hAnsi="Century Gothic" w:cs="Century Gothic"/>
                <w:sz w:val="14"/>
                <w:szCs w:val="14"/>
              </w:rPr>
            </w:pPr>
            <w:r w:rsidRPr="00915C86">
              <w:rPr>
                <w:rFonts w:ascii="Century Gothic" w:hAnsi="Century Gothic"/>
                <w:sz w:val="14"/>
                <w:szCs w:val="14"/>
              </w:rPr>
              <w:t>(**) ‘other accidents’ means all accidents not covered by the previous cases such as derailments and impacts during shunting or by work equipment and hazardous goods spillages.</w:t>
            </w:r>
          </w:p>
          <w:p w:rsidR="006C2BEC" w:rsidRPr="00915C86" w:rsidP="003C743A">
            <w:pPr>
              <w:rPr>
                <w:rFonts w:ascii="Century Gothic" w:hAnsi="Century Gothic" w:cs="Century Gothic"/>
                <w:sz w:val="20"/>
                <w:szCs w:val="20"/>
              </w:rPr>
            </w:pPr>
            <w:r w:rsidRPr="00915C86">
              <w:rPr>
                <w:rFonts w:ascii="Century Gothic" w:hAnsi="Century Gothic"/>
                <w:sz w:val="20"/>
                <w:szCs w:val="20"/>
              </w:rPr>
              <w:t>The admittedly low level of sample data shows that the railway accident rate on (Interconnected Regional Networks) over the last decade shows consistent data dispersion around the individual accident types referred to in the Common Safety Indicators (CSI) shown in Annex 1 of Legislative Decree No 162 of 10 August 2007. The most critical conditions are associated with ‘level crossing accidents’ and ‘accidents to persons caused by rolling stock in motion’, as is the case for the (RFI Network), but also with ‘train collisions with railway vehicles’. This condition reveals the need to take action on critical structural issues present in the (Interconnected Regional Network) system.</w:t>
            </w:r>
          </w:p>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As the following graph referring to the (IT Network) shows, in 2017 the number of significant accidents per millions of train-km showed a slight increase compared to 2016, although it was below the average value recorded in the reference period. As the above table shows, an increase was recorded in all accident categories, with the exception of ‘level crossing accidents’ and ‘train collisions with obstacles’. In particular, it was found that:</w:t>
            </w:r>
          </w:p>
          <w:p w:rsidR="006C2BEC" w:rsidRPr="00915C86" w:rsidP="003C743A">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the most frequent accidents are still associated with ‘accidents to persons caused by rolling stock in motion’, which rose 4% compared to 2016, and the incidence on the annual total was more or less unchanged between 2016 and 2017;</w:t>
            </w:r>
          </w:p>
          <w:p w:rsidR="006C2BEC" w:rsidRPr="00915C86" w:rsidP="003C743A">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‘Level crossing accidents’ showed a decrease of approximately 20% between 2016 and 2017, and the incidents on the annual total of significant accidents dropped from 15% in 2016 to 12% in 2017.</w:t>
            </w:r>
          </w:p>
        </w:tc>
      </w:tr>
    </w:tbl>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58240" behindDoc="0" locked="0" layoutInCell="1" allowOverlap="1">
                <wp:simplePos x="0" y="0"/>
                <wp:positionH relativeFrom="column">
                  <wp:posOffset>3847135</wp:posOffset>
                </wp:positionH>
                <wp:positionV relativeFrom="paragraph">
                  <wp:posOffset>1211275</wp:posOffset>
                </wp:positionV>
                <wp:extent cx="826567" cy="1455649"/>
                <wp:effectExtent l="0" t="0" r="0" b="0"/>
                <wp:wrapNone/>
                <wp:docPr id="8" name="Gruppo 8"/>
                <wp:cNvGraphicFramePr/>
                <a:graphic xmlns:a="http://schemas.openxmlformats.org/drawingml/2006/main">
                  <a:graphicData uri="http://schemas.microsoft.com/office/word/2010/wordprocessingGroup">
                    <wpg:wgp xmlns:wpg="http://schemas.microsoft.com/office/word/2010/wordprocessingGroup">
                      <wpg:cNvGrpSpPr/>
                      <wpg:grpSpPr>
                        <a:xfrm>
                          <a:off x="0" y="0"/>
                          <a:ext cx="826567" cy="1455649"/>
                          <a:chOff x="0" y="0"/>
                          <a:chExt cx="826567" cy="1455649"/>
                        </a:xfrm>
                      </wpg:grpSpPr>
                      <wps:wsp xmlns:wps="http://schemas.microsoft.com/office/word/2010/wordprocessingShape">
                        <wps:cNvPr id="217" name="Casella di testo 2"/>
                        <wps:cNvSpPr txBox="1">
                          <a:spLocks noChangeArrowheads="1"/>
                        </wps:cNvSpPr>
                        <wps:spPr bwMode="auto">
                          <a:xfrm>
                            <a:off x="0" y="102413"/>
                            <a:ext cx="394970" cy="226695"/>
                          </a:xfrm>
                          <a:prstGeom prst="rect">
                            <a:avLst/>
                          </a:prstGeom>
                          <a:noFill/>
                          <a:ln w="9525">
                            <a:noFill/>
                            <a:miter lim="800000"/>
                            <a:headEnd/>
                            <a:tailEnd/>
                          </a:ln>
                        </wps:spPr>
                        <wps:txbx>
                          <w:txbxContent>
                            <w:p w:rsidR="00575D08" w:rsidRPr="00915C86" w:rsidP="006C2BEC">
                              <w:pPr>
                                <w:rPr>
                                  <w:rFonts w:ascii="Century Gothic" w:hAnsi="Century Gothic"/>
                                  <w:b/>
                                  <w:sz w:val="14"/>
                                  <w:szCs w:val="16"/>
                                </w:rPr>
                              </w:pPr>
                              <w:r w:rsidRPr="00915C86">
                                <w:rPr>
                                  <w:rFonts w:ascii="Century Gothic" w:hAnsi="Century Gothic"/>
                                  <w:b/>
                                  <w:sz w:val="14"/>
                                  <w:szCs w:val="16"/>
                                </w:rPr>
                                <w:t>99</w:t>
                              </w:r>
                            </w:p>
                          </w:txbxContent>
                        </wps:txbx>
                        <wps:bodyPr rot="0" vert="horz" wrap="square" anchor="t" anchorCtr="0"/>
                      </wps:wsp>
                      <wps:wsp xmlns:wps="http://schemas.microsoft.com/office/word/2010/wordprocessingShape">
                        <wps:cNvPr id="1029208646" name="Casella di testo 2"/>
                        <wps:cNvSpPr txBox="1">
                          <a:spLocks noChangeArrowheads="1"/>
                        </wps:cNvSpPr>
                        <wps:spPr bwMode="auto">
                          <a:xfrm>
                            <a:off x="263347" y="0"/>
                            <a:ext cx="394970" cy="226695"/>
                          </a:xfrm>
                          <a:prstGeom prst="rect">
                            <a:avLst/>
                          </a:prstGeom>
                          <a:noFill/>
                          <a:ln w="9525">
                            <a:noFill/>
                            <a:miter lim="800000"/>
                            <a:headEnd/>
                            <a:tailEnd/>
                          </a:ln>
                        </wps:spPr>
                        <wps:txbx>
                          <w:txbxContent>
                            <w:p w:rsidR="00575D08" w:rsidRPr="00915C86" w:rsidP="006C2BEC">
                              <w:pPr>
                                <w:rPr>
                                  <w:rFonts w:ascii="Century Gothic" w:hAnsi="Century Gothic"/>
                                  <w:b/>
                                  <w:sz w:val="14"/>
                                  <w:szCs w:val="16"/>
                                </w:rPr>
                              </w:pPr>
                              <w:r w:rsidRPr="00915C86">
                                <w:rPr>
                                  <w:rFonts w:ascii="Century Gothic" w:hAnsi="Century Gothic"/>
                                  <w:b/>
                                  <w:sz w:val="14"/>
                                  <w:szCs w:val="16"/>
                                </w:rPr>
                                <w:t>104</w:t>
                              </w:r>
                            </w:p>
                          </w:txbxContent>
                        </wps:txbx>
                        <wps:bodyPr rot="0" vert="horz" wrap="square" anchor="t" anchorCtr="0"/>
                      </wps:wsp>
                      <wpg:grpSp>
                        <wpg:cNvPr id="442993122" name="Gruppo 6"/>
                        <wpg:cNvGrpSpPr/>
                        <wpg:grpSpPr>
                          <a:xfrm>
                            <a:off x="160934" y="1228954"/>
                            <a:ext cx="665633" cy="226695"/>
                            <a:chOff x="0" y="0"/>
                            <a:chExt cx="665633" cy="226695"/>
                          </a:xfrm>
                        </wpg:grpSpPr>
                        <wps:wsp xmlns:wps="http://schemas.microsoft.com/office/word/2010/wordprocessingShape">
                          <wps:cNvPr id="434210090" name="Casella di testo 2"/>
                          <wps:cNvSpPr txBox="1">
                            <a:spLocks noChangeArrowheads="1"/>
                          </wps:cNvSpPr>
                          <wps:spPr bwMode="auto">
                            <a:xfrm>
                              <a:off x="0" y="7315"/>
                              <a:ext cx="234086" cy="190195"/>
                            </a:xfrm>
                            <a:prstGeom prst="rect">
                              <a:avLst/>
                            </a:prstGeom>
                            <a:noFill/>
                            <a:ln w="9525">
                              <a:noFill/>
                              <a:miter lim="800000"/>
                              <a:headEnd/>
                              <a:tailEnd/>
                            </a:ln>
                          </wps:spPr>
                          <wps:txbx>
                            <w:txbxContent>
                              <w:p w:rsidR="00575D08" w:rsidRPr="00915C86" w:rsidP="006C2BEC">
                                <w:pPr>
                                  <w:rPr>
                                    <w:rFonts w:ascii="Century Gothic" w:hAnsi="Century Gothic"/>
                                    <w:b/>
                                    <w:sz w:val="14"/>
                                    <w:szCs w:val="16"/>
                                  </w:rPr>
                                </w:pPr>
                                <w:r w:rsidRPr="00915C86">
                                  <w:rPr>
                                    <w:rFonts w:ascii="Century Gothic" w:hAnsi="Century Gothic"/>
                                    <w:b/>
                                    <w:sz w:val="14"/>
                                    <w:szCs w:val="16"/>
                                  </w:rPr>
                                  <w:t>*</w:t>
                                </w:r>
                              </w:p>
                            </w:txbxContent>
                          </wps:txbx>
                          <wps:bodyPr rot="0" vert="horz" wrap="square" anchor="t" anchorCtr="0"/>
                        </wps:wsp>
                        <wps:wsp xmlns:wps="http://schemas.microsoft.com/office/word/2010/wordprocessingShape">
                          <wps:cNvPr id="1705786507" name="Casella di testo 2"/>
                          <wps:cNvSpPr txBox="1">
                            <a:spLocks noChangeArrowheads="1"/>
                          </wps:cNvSpPr>
                          <wps:spPr bwMode="auto">
                            <a:xfrm>
                              <a:off x="270663" y="0"/>
                              <a:ext cx="394970" cy="226695"/>
                            </a:xfrm>
                            <a:prstGeom prst="rect">
                              <a:avLst/>
                            </a:prstGeom>
                            <a:noFill/>
                            <a:ln w="9525">
                              <a:noFill/>
                              <a:miter lim="800000"/>
                              <a:headEnd/>
                              <a:tailEnd/>
                            </a:ln>
                          </wps:spPr>
                          <wps:txbx>
                            <w:txbxContent>
                              <w:p w:rsidR="00575D08" w:rsidRPr="00915C86" w:rsidP="006C2BEC">
                                <w:pPr>
                                  <w:rPr>
                                    <w:rFonts w:ascii="Century Gothic" w:hAnsi="Century Gothic"/>
                                    <w:b/>
                                    <w:sz w:val="14"/>
                                    <w:szCs w:val="16"/>
                                  </w:rPr>
                                </w:pPr>
                                <w:r w:rsidRPr="00915C86">
                                  <w:rPr>
                                    <w:rFonts w:ascii="Century Gothic" w:hAnsi="Century Gothic"/>
                                    <w:b/>
                                    <w:sz w:val="14"/>
                                    <w:szCs w:val="16"/>
                                  </w:rPr>
                                  <w:t>*</w:t>
                                </w:r>
                              </w:p>
                            </w:txbxContent>
                          </wps:txbx>
                          <wps:bodyPr rot="0" vert="horz" wrap="square" anchor="t" anchorCtr="0"/>
                        </wps:wsp>
                      </wpg:grpSp>
                    </wpg:wgp>
                  </a:graphicData>
                </a:graphic>
              </wp:anchor>
            </w:drawing>
          </mc:Choice>
          <mc:Fallback>
            <w:pict>
              <v:group id="Gruppo 8" o:spid="_x0000_s1047" style="width:65.1pt;height:114.6pt;margin-top:95.4pt;margin-left:302.9pt;position:absolute;z-index:251659264" coordsize="8265,14556">
                <v:shape id="_x0000_s1048" type="#_x0000_t202" style="width:3949;height:2267;mso-wrap-style:square;position:absolute;top:1024;visibility:visible;v-text-anchor:top" filled="f" stroked="f">
                  <v:textbox>
                    <w:txbxContent>
                      <w:p w:rsidR="00575D08" w:rsidRPr="00915C86" w:rsidP="006C2BEC">
                        <w:pPr>
                          <w:rPr>
                            <w:rFonts w:ascii="Century Gothic" w:hAnsi="Century Gothic"/>
                            <w:b/>
                            <w:sz w:val="14"/>
                            <w:szCs w:val="16"/>
                          </w:rPr>
                        </w:pPr>
                        <w:r w:rsidRPr="00915C86">
                          <w:rPr>
                            <w:rFonts w:ascii="Century Gothic" w:hAnsi="Century Gothic"/>
                            <w:b/>
                            <w:sz w:val="14"/>
                            <w:szCs w:val="16"/>
                          </w:rPr>
                          <w:t>99</w:t>
                        </w:r>
                      </w:p>
                    </w:txbxContent>
                  </v:textbox>
                </v:shape>
                <v:shape id="_x0000_s1049" type="#_x0000_t202" style="width:3950;height:2266;left:2633;mso-wrap-style:square;position:absolute;visibility:visible;v-text-anchor:top" filled="f" stroked="f">
                  <v:textbox>
                    <w:txbxContent>
                      <w:p w:rsidR="00575D08" w:rsidRPr="00915C86" w:rsidP="006C2BEC">
                        <w:pPr>
                          <w:rPr>
                            <w:rFonts w:ascii="Century Gothic" w:hAnsi="Century Gothic"/>
                            <w:b/>
                            <w:sz w:val="14"/>
                            <w:szCs w:val="16"/>
                          </w:rPr>
                        </w:pPr>
                        <w:r w:rsidRPr="00915C86">
                          <w:rPr>
                            <w:rFonts w:ascii="Century Gothic" w:hAnsi="Century Gothic"/>
                            <w:b/>
                            <w:sz w:val="14"/>
                            <w:szCs w:val="16"/>
                          </w:rPr>
                          <w:t>104</w:t>
                        </w:r>
                      </w:p>
                    </w:txbxContent>
                  </v:textbox>
                </v:shape>
                <v:group id="Gruppo 6" o:spid="_x0000_s1050" style="width:6656;height:2267;left:1609;position:absolute;top:12289" coordsize="6656,2266">
                  <v:shape id="_x0000_s1051" type="#_x0000_t202" style="width:2340;height:1902;mso-wrap-style:square;position:absolute;top:73;visibility:visible;v-text-anchor:top" filled="f" stroked="f">
                    <v:textbox>
                      <w:txbxContent>
                        <w:p w:rsidR="00575D08" w:rsidRPr="00915C86" w:rsidP="006C2BEC">
                          <w:pPr>
                            <w:rPr>
                              <w:rFonts w:ascii="Century Gothic" w:hAnsi="Century Gothic"/>
                              <w:b/>
                              <w:sz w:val="14"/>
                              <w:szCs w:val="16"/>
                            </w:rPr>
                          </w:pPr>
                          <w:r w:rsidRPr="00915C86">
                            <w:rPr>
                              <w:rFonts w:ascii="Century Gothic" w:hAnsi="Century Gothic"/>
                              <w:b/>
                              <w:sz w:val="14"/>
                              <w:szCs w:val="16"/>
                            </w:rPr>
                            <w:t>*</w:t>
                          </w:r>
                        </w:p>
                      </w:txbxContent>
                    </v:textbox>
                  </v:shape>
                  <v:shape id="_x0000_s1052" type="#_x0000_t202" style="width:3950;height:2266;left:2706;mso-wrap-style:square;position:absolute;visibility:visible;v-text-anchor:top" filled="f" stroked="f">
                    <v:textbox>
                      <w:txbxContent>
                        <w:p w:rsidR="00575D08" w:rsidRPr="00915C86" w:rsidP="006C2BEC">
                          <w:pPr>
                            <w:rPr>
                              <w:rFonts w:ascii="Century Gothic" w:hAnsi="Century Gothic"/>
                              <w:b/>
                              <w:sz w:val="14"/>
                              <w:szCs w:val="16"/>
                            </w:rPr>
                          </w:pPr>
                          <w:r w:rsidRPr="00915C86">
                            <w:rPr>
                              <w:rFonts w:ascii="Century Gothic" w:hAnsi="Century Gothic"/>
                              <w:b/>
                              <w:sz w:val="14"/>
                              <w:szCs w:val="16"/>
                            </w:rPr>
                            <w:t>*</w:t>
                          </w:r>
                        </w:p>
                      </w:txbxContent>
                    </v:textbox>
                  </v:shape>
                </v:group>
              </v:group>
            </w:pict>
          </mc:Fallback>
        </mc:AlternateContent>
      </w:r>
      <w:r w:rsidRPr="00915C86">
        <w:rPr>
          <w:rFonts w:ascii="Century Gothic" w:hAnsi="Century Gothic"/>
          <w:noProof/>
          <w:sz w:val="20"/>
          <w:szCs w:val="20"/>
          <w:lang w:val="fr-LU" w:eastAsia="fr-LU"/>
        </w:rPr>
        <w:drawing>
          <wp:inline distT="0" distB="0" distL="0" distR="0">
            <wp:extent cx="4165600" cy="2967355"/>
            <wp:effectExtent l="0" t="0" r="6350" b="4445"/>
            <wp:docPr id="31" name="Gra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C2BEC" w:rsidRPr="00915C86" w:rsidP="006C2BEC">
      <w:pPr>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INCIDENTI SIGNIFICATIVI</w:t>
            </w:r>
          </w:p>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[Rete IT]</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SIGNIFICANT ACCIDENTS</w:t>
            </w:r>
          </w:p>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(IT Network)</w:t>
            </w:r>
          </w:p>
        </w:tc>
      </w:tr>
      <w:tr w:rsidTr="003C743A">
        <w:tblPrEx>
          <w:tblW w:w="9038" w:type="dxa"/>
          <w:tblLook w:val="04A0"/>
        </w:tblPrEx>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n° INCIDENTI SIGNIFICATIVI/Mln tr-km</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NO OF SIGNIFICANT ACCIDENTS/million tr-km</w:t>
            </w:r>
          </w:p>
        </w:tc>
      </w:tr>
      <w:tr w:rsidTr="003C743A">
        <w:tblPrEx>
          <w:tblW w:w="9038" w:type="dxa"/>
          <w:tblLook w:val="04A0"/>
        </w:tblPrEx>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n° INCIDENTI SIGNIFICATIVI</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NO OF SIGNIFICANT ACCIDENTS</w:t>
            </w:r>
          </w:p>
        </w:tc>
      </w:tr>
      <w:tr w:rsidTr="003C743A">
        <w:tblPrEx>
          <w:tblW w:w="9038" w:type="dxa"/>
          <w:tblLook w:val="04A0"/>
        </w:tblPrEx>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lang w:val="es-ES_tradnl"/>
              </w:rPr>
              <w:t>[Rete RFI]</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(RFI network)</w:t>
            </w:r>
          </w:p>
        </w:tc>
      </w:tr>
      <w:tr w:rsidTr="003C743A">
        <w:tblPrEx>
          <w:tblW w:w="9038" w:type="dxa"/>
          <w:tblLook w:val="04A0"/>
        </w:tblPrEx>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lang w:val="es-ES_tradnl"/>
              </w:rPr>
              <w:t>[Reti Regionali]</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(Regional Networks)</w:t>
            </w:r>
          </w:p>
        </w:tc>
      </w:tr>
    </w:tbl>
    <w:p w:rsidR="006C2BEC" w:rsidRPr="00915C86" w:rsidP="006C2BEC">
      <w:pPr>
        <w:spacing w:before="120"/>
        <w:rPr>
          <w:rFonts w:ascii="Century Gothic" w:hAnsi="Century Gothic" w:cs="Century Gothic"/>
          <w:sz w:val="20"/>
          <w:szCs w:val="20"/>
        </w:rPr>
      </w:pP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When the significant accidents recorded in 2017 are broken down based on the main cause, the vast majority, i.e. 73%, were associated with unauthorised presence on or crossing of the railway track by pedestrians, including cases occurring at level crossings.</w:t>
      </w:r>
    </w:p>
    <w:p w:rsidR="006C2BEC" w:rsidRPr="00915C86" w:rsidP="006C2BEC">
      <w:pPr>
        <w:spacing w:before="120"/>
        <w:rPr>
          <w:rFonts w:ascii="Century Gothic" w:hAnsi="Century Gothic" w:cs="Century Gothic"/>
          <w:sz w:val="20"/>
          <w:szCs w:val="20"/>
        </w:rPr>
      </w:pPr>
      <w:r w:rsidRPr="00915C86">
        <w:rPr>
          <w:rFonts w:ascii="Century Gothic" w:hAnsi="Century Gothic"/>
          <w:noProof/>
          <w:sz w:val="20"/>
          <w:szCs w:val="20"/>
          <w:lang w:val="fr-LU" w:eastAsia="fr-LU"/>
        </w:rPr>
        <w:drawing>
          <wp:inline distT="0" distB="0" distL="0" distR="0">
            <wp:extent cx="5925553" cy="4526155"/>
            <wp:effectExtent l="0" t="0" r="0" b="8255"/>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8937" name="Picture 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28142" cy="4528132"/>
                    </a:xfrm>
                    <a:prstGeom prst="rect">
                      <a:avLst/>
                    </a:prstGeom>
                    <a:noFill/>
                    <a:ln>
                      <a:noFill/>
                    </a:ln>
                  </pic:spPr>
                </pic:pic>
              </a:graphicData>
            </a:graphic>
          </wp:inline>
        </w:drawing>
      </w:r>
    </w:p>
    <w:p w:rsidR="006C2BEC" w:rsidRPr="00915C86" w:rsidP="006C2BEC">
      <w:pPr>
        <w:spacing w:before="120" w:after="0"/>
        <w:rPr>
          <w:rFonts w:ascii="Century Gothic" w:hAnsi="Century Gothic" w:cs="Century Gothic"/>
          <w:sz w:val="20"/>
          <w:szCs w:val="20"/>
        </w:rPr>
      </w:pPr>
    </w:p>
    <w:tbl>
      <w:tblPr>
        <w:tblStyle w:val="TableGrid"/>
        <w:tblW w:w="9038" w:type="dxa"/>
        <w:jc w:val="center"/>
        <w:tblLook w:val="04A0"/>
      </w:tblPr>
      <w:tblGrid>
        <w:gridCol w:w="4519"/>
        <w:gridCol w:w="4519"/>
      </w:tblGrid>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DITRIBUZIONE PERCENTUALE DEGLI INCIDENTI SIGNIFICATIVI RISPETTO ALLE CAUSE</w:t>
            </w:r>
            <w:r w:rsidRPr="00915C86">
              <w:rPr>
                <w:rFonts w:ascii="Century Gothic" w:hAnsi="Century Gothic"/>
                <w:sz w:val="20"/>
                <w:szCs w:val="20"/>
              </w:rPr>
              <w:br/>
              <w:t>armo 2017 [Rete IT]</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PERCENTAGE DISTRIBUTION OF SIGNIFICANT ACCIDENTS BY CAUSE</w:t>
            </w:r>
            <w:r w:rsidRPr="00915C86">
              <w:rPr>
                <w:rFonts w:ascii="Century Gothic" w:hAnsi="Century Gothic"/>
                <w:sz w:val="20"/>
                <w:szCs w:val="20"/>
              </w:rPr>
              <w:br/>
              <w:t>2017 (IT Network)</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dissesto idrogeologico</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hydrogeological disruption</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indebita salita/discesa dal treno</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unauthorised boarding/alighting from train</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manutenzione</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maintenance</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errata esecuzione procedure di esercizio/manovra</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incorrect execution of operation/shunting procedures</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urto contro veicoli stradali</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collisions with road vehicles</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indebita presenza pedoni</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trespassing by pedestrians</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DISTRIBUZIONE PERCENTUALE DELLE VITTIME {MORTI e FERITI GRAVI)</w:t>
            </w:r>
            <w:r w:rsidRPr="00915C86">
              <w:rPr>
                <w:rFonts w:ascii="Century Gothic" w:hAnsi="Century Gothic"/>
                <w:sz w:val="20"/>
                <w:szCs w:val="20"/>
              </w:rPr>
              <w:br/>
              <w:t>anno 2017 [Rete IT]</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PERCENTAGE DISTRIBUTION OF CASUALTIES (DEATH AND SERIOUS INJURIES)</w:t>
            </w:r>
            <w:r w:rsidRPr="00915C86">
              <w:rPr>
                <w:rFonts w:ascii="Century Gothic" w:hAnsi="Century Gothic"/>
                <w:sz w:val="20"/>
                <w:szCs w:val="20"/>
              </w:rPr>
              <w:br/>
              <w:t>2017 (IT Network)</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gli incidenti significativi nel 2017. Il dato, attestandosi al di sotto del valore medio nazionale del periodo 2007-2017, segna un incremento rispetto al 2016.</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Significant accidents in 2017. The result was below the national average value during the period 2007-2017 but showed an increase compared to 2016.</w:t>
            </w:r>
          </w:p>
        </w:tc>
      </w:tr>
      <w:tr w:rsidTr="003C743A">
        <w:tblPrEx>
          <w:tblW w:w="9038" w:type="dxa"/>
          <w:jc w:val="center"/>
          <w:tblLook w:val="04A0"/>
        </w:tblPrEx>
        <w:trPr>
          <w:jc w:val="center"/>
        </w:trPr>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+5 rispetto al 2016</w:t>
            </w:r>
          </w:p>
        </w:tc>
        <w:tc>
          <w:tcPr>
            <w:tcW w:w="4519" w:type="dxa"/>
          </w:tcPr>
          <w:p w:rsidR="006C2BEC" w:rsidRPr="00915C86" w:rsidP="003C743A">
            <w:pPr>
              <w:spacing w:after="0"/>
              <w:rPr>
                <w:rFonts w:ascii="Century Gothic" w:hAnsi="Century Gothic" w:cs="Century Gothic"/>
                <w:sz w:val="20"/>
                <w:szCs w:val="20"/>
              </w:rPr>
            </w:pPr>
            <w:r w:rsidRPr="00915C86">
              <w:rPr>
                <w:rFonts w:ascii="Century Gothic" w:hAnsi="Century Gothic"/>
                <w:sz w:val="20"/>
                <w:szCs w:val="20"/>
              </w:rPr>
              <w:t>+5 compared to 2016</w:t>
            </w:r>
          </w:p>
        </w:tc>
      </w:tr>
      <w:tr w:rsidTr="003C743A">
        <w:tblPrEx>
          <w:tblW w:w="9038" w:type="dxa"/>
          <w:jc w:val="center"/>
          <w:tblLook w:val="04A0"/>
        </w:tblPrEx>
        <w:trPr>
          <w:jc w:val="center"/>
        </w:trPr>
        <w:tc>
          <w:tcPr>
            <w:tcW w:w="4519" w:type="dxa"/>
          </w:tcPr>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causati dall'indebita presenza dl pedon sui binari. Si tratta della principale causa di morte con ľ 85% delle vittime complessive (morti e feriti gravi) del 2017.</w:t>
            </w:r>
          </w:p>
        </w:tc>
        <w:tc>
          <w:tcPr>
            <w:tcW w:w="4519" w:type="dxa"/>
          </w:tcPr>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caused by pedestrians trespassing on tracks. This was the main cause of death with 85% of overall casualties (deaths and serious injuries) in 2017.</w:t>
            </w:r>
          </w:p>
        </w:tc>
      </w:tr>
      <w:tr w:rsidTr="003C743A">
        <w:tblPrEx>
          <w:tblW w:w="9038" w:type="dxa"/>
          <w:jc w:val="center"/>
          <w:tblLook w:val="04A0"/>
        </w:tblPrEx>
        <w:trPr>
          <w:jc w:val="center"/>
        </w:trPr>
        <w:tc>
          <w:tcPr>
            <w:tcW w:w="4519" w:type="dxa"/>
          </w:tcPr>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-1 rispetto al 2016</w:t>
            </w:r>
          </w:p>
        </w:tc>
        <w:tc>
          <w:tcPr>
            <w:tcW w:w="4519" w:type="dxa"/>
          </w:tcPr>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-1 compared to 2016</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dovuti ad indebite salite o discese da</w:t>
            </w:r>
          </w:p>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treno in movimento.</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caused by unauthorised boarding or alighting from</w:t>
            </w:r>
          </w:p>
          <w:p w:rsidR="006C2BEC" w:rsidRPr="00915C86" w:rsidP="003C743A">
            <w:pPr>
              <w:pStyle w:val="Bodytext21"/>
              <w:widowControl/>
              <w:shd w:val="clear" w:color="auto" w:fill="auto"/>
              <w:spacing w:after="0" w:line="240" w:lineRule="auto"/>
              <w:jc w:val="both"/>
              <w:rPr>
                <w:rFonts w:ascii="Century Gothic" w:hAnsi="Century Gothic" w:cs="Century Gothic"/>
                <w:sz w:val="20"/>
                <w:szCs w:val="20"/>
              </w:rPr>
            </w:pPr>
            <w:r w:rsidRPr="00915C86">
              <w:rPr>
                <w:rFonts w:ascii="Century Gothic" w:hAnsi="Century Gothic"/>
                <w:sz w:val="20"/>
                <w:szCs w:val="20"/>
              </w:rPr>
              <w:t>a moving train.</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+2 rispetto al 2016</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+2 compared to 2016</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dovuti all’errata esecuzione di procedure ferroviarie [esercizio e manovre).</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due to incorrect execution of railway procedures (operation and shunting).</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rispetto al 2016</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compared to 2016</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da collegare alla manutenzione.</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concerned with maintenance.</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+7 rispetto al 2016</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+7 compared to 2016</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provocati da veicoli stradali sulla sede ferroviaria</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caused by road vehicles on the railway track</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rispetto al 2016</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compared to 2016</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conseguenza del dissesto idrogeologico</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consequence of hydrogeological disruption</w:t>
            </w:r>
          </w:p>
        </w:tc>
      </w:tr>
      <w:tr w:rsidTr="003C743A">
        <w:tblPrEx>
          <w:tblW w:w="9038" w:type="dxa"/>
          <w:jc w:val="center"/>
          <w:tblLook w:val="04A0"/>
        </w:tblPrEx>
        <w:trPr>
          <w:jc w:val="center"/>
        </w:trPr>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rispetto al 2016</w:t>
            </w:r>
          </w:p>
        </w:tc>
        <w:tc>
          <w:tcPr>
            <w:tcW w:w="4519" w:type="dxa"/>
          </w:tcPr>
          <w:p w:rsidR="006C2BEC" w:rsidRPr="00915C86" w:rsidP="003C743A">
            <w:pPr>
              <w:pStyle w:val="Bodytext21"/>
              <w:shd w:val="clear" w:color="auto" w:fill="auto"/>
              <w:spacing w:after="0" w:line="240" w:lineRule="auto"/>
              <w:rPr>
                <w:rFonts w:ascii="Century Gothic" w:hAnsi="Century Gothic" w:cs="Century Gothic"/>
                <w:sz w:val="20"/>
                <w:szCs w:val="20"/>
              </w:rPr>
            </w:pPr>
            <w:r w:rsidRPr="00915C86">
              <w:rPr>
                <w:rFonts w:ascii="Century Gothic" w:hAnsi="Century Gothic"/>
                <w:sz w:val="20"/>
                <w:szCs w:val="20"/>
              </w:rPr>
              <w:t>-3 compared to 2016</w:t>
            </w:r>
          </w:p>
        </w:tc>
      </w:tr>
    </w:tbl>
    <w:p w:rsidR="006C2BEC" w:rsidRPr="00915C86" w:rsidP="006C2BEC">
      <w:pPr>
        <w:spacing w:before="120" w:after="0"/>
        <w:rPr>
          <w:rFonts w:ascii="Century Gothic" w:hAnsi="Century Gothic" w:cs="Century Gothic"/>
          <w:sz w:val="20"/>
          <w:szCs w:val="20"/>
        </w:rPr>
      </w:pP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In general, on the (IT Network), it emerged that:</w:t>
      </w:r>
    </w:p>
    <w:p w:rsidR="006C2BEC" w:rsidRPr="00915C86" w:rsidP="006C2BEC">
      <w:pPr>
        <w:pStyle w:val="ListParagraph"/>
        <w:numPr>
          <w:ilvl w:val="0"/>
          <w:numId w:val="7"/>
        </w:numPr>
        <w:spacing w:before="120" w:after="0" w:line="240" w:lineRule="auto"/>
        <w:ind w:left="714" w:hanging="357"/>
        <w:contextualSpacing w:val="0"/>
        <w:rPr>
          <w:rFonts w:ascii="Century Gothic" w:hAnsi="Century Gothic" w:cs="Century Gothic"/>
          <w:sz w:val="20"/>
          <w:szCs w:val="20"/>
        </w:rPr>
      </w:pPr>
      <w:r w:rsidRPr="00915C86">
        <w:rPr>
          <w:rFonts w:ascii="Century Gothic" w:hAnsi="Century Gothic"/>
          <w:sz w:val="20"/>
          <w:szCs w:val="20"/>
        </w:rPr>
        <w:t>out of 104 accidents recorded as significant, 10 were classified as such solely on the basis of related costs (over EUR 150 000) and one accident because it had stopped traffic for longer than six hours;</w:t>
      </w:r>
    </w:p>
    <w:p w:rsidR="006C2BEC" w:rsidRPr="00915C86" w:rsidP="006C2BEC">
      <w:pPr>
        <w:numPr>
          <w:ilvl w:val="0"/>
          <w:numId w:val="7"/>
        </w:numPr>
        <w:spacing w:after="0"/>
        <w:ind w:left="714" w:hanging="357"/>
        <w:rPr>
          <w:rFonts w:ascii="Century Gothic" w:hAnsi="Century Gothic" w:cs="Century Gothic"/>
          <w:sz w:val="20"/>
          <w:szCs w:val="20"/>
        </w:rPr>
      </w:pPr>
      <w:r w:rsidRPr="00915C86">
        <w:rPr>
          <w:rFonts w:ascii="Century Gothic" w:hAnsi="Century Gothic"/>
          <w:sz w:val="20"/>
          <w:szCs w:val="20"/>
        </w:rPr>
        <w:t>the number of collisions with pedestrians, including those taking place at level crossings, during the period (2005-2017) was relatively constant in absolute terms, but represented 73% in 2017, rising from approximately 64% of the total in 2005, which can be attributed to the reduction in other causes. The overall number of casualties corresponds to 85% of the total, amounting to 49 fatalities and 29 injuries;</w:t>
      </w:r>
    </w:p>
    <w:p w:rsidR="006C2BEC" w:rsidRPr="00915C86" w:rsidP="006C2BEC">
      <w:pPr>
        <w:numPr>
          <w:ilvl w:val="0"/>
          <w:numId w:val="7"/>
        </w:numPr>
        <w:spacing w:after="0"/>
        <w:ind w:left="714" w:hanging="357"/>
        <w:rPr>
          <w:rFonts w:ascii="Century Gothic" w:hAnsi="Century Gothic" w:cs="Century Gothic"/>
          <w:sz w:val="20"/>
          <w:szCs w:val="20"/>
        </w:rPr>
      </w:pPr>
      <w:r w:rsidRPr="00915C86">
        <w:rPr>
          <w:rFonts w:ascii="Century Gothic" w:hAnsi="Century Gothic"/>
          <w:sz w:val="20"/>
          <w:szCs w:val="20"/>
        </w:rPr>
        <w:t>in 2017, apart from accidents caused by trespassing by pedestrians, 28 accidents were due to ‘technical reasons’, in other words malfunction of railway subsystems (infrastructure, track equipment, signalling and safety systems). This marked an increase compared to the 22 accidents recorded in 2016.</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Casualties recorded on the (IT Network) in 2017 decreased compared to 2016: the number of deaths fell from 85 to 55 and the number of severe injuries from 42 to 37. The marked reduction of 35 casualties recorded between 2016 and 2017 is strongly influenced by data recorded during the last two years on (Interconnected Regional Networks) and particularly relating to the Corato accident in 2016. The situation highlights the effect of a single accident but above all emphasises the heterogeneity of the two railway systems considered.</w:t>
      </w:r>
    </w:p>
    <w:tbl>
      <w:tblPr>
        <w:tblW w:w="0" w:type="auto"/>
        <w:jc w:val="center"/>
        <w:tblLayout w:type="fixed"/>
        <w:tblCellMar>
          <w:left w:w="70" w:type="dxa"/>
          <w:right w:w="70" w:type="dxa"/>
        </w:tblCellMar>
        <w:tblLook w:val="04A0"/>
      </w:tblPr>
      <w:tblGrid>
        <w:gridCol w:w="2585"/>
        <w:gridCol w:w="595"/>
        <w:gridCol w:w="595"/>
        <w:gridCol w:w="595"/>
        <w:gridCol w:w="595"/>
        <w:gridCol w:w="595"/>
        <w:gridCol w:w="595"/>
        <w:gridCol w:w="595"/>
        <w:gridCol w:w="595"/>
        <w:gridCol w:w="595"/>
        <w:gridCol w:w="849"/>
        <w:gridCol w:w="850"/>
      </w:tblGrid>
      <w:tr w:rsidTr="003C743A">
        <w:tblPrEx>
          <w:tblW w:w="0" w:type="auto"/>
          <w:jc w:val="center"/>
          <w:tblLayout w:type="fixed"/>
          <w:tblCellMar>
            <w:left w:w="70" w:type="dxa"/>
            <w:right w:w="70" w:type="dxa"/>
          </w:tblCellMar>
          <w:tblLook w:val="04A0"/>
        </w:tblPrEx>
        <w:trPr>
          <w:trHeight w:val="20"/>
          <w:jc w:val="center"/>
        </w:trPr>
        <w:tc>
          <w:tcPr>
            <w:tcW w:w="2585" w:type="dxa"/>
            <w:tcBorders>
              <w:bottom w:val="single" w:sz="4" w:space="0" w:color="auto"/>
              <w:right w:val="single" w:sz="4" w:space="0" w:color="auto"/>
            </w:tcBorders>
            <w:shd w:val="clear" w:color="auto" w:fill="auto"/>
            <w:noWrap/>
            <w:vAlign w:val="bottom"/>
            <w:hideMark/>
          </w:tcPr>
          <w:p w:rsidR="006C2BEC" w:rsidRPr="00915C86" w:rsidP="003C743A">
            <w:pPr>
              <w:keepNext/>
              <w:spacing w:after="0"/>
              <w:jc w:val="left"/>
              <w:rPr>
                <w:rFonts w:ascii="Century Gothic" w:hAnsi="Century Gothic" w:cs="Century Gothic"/>
                <w:b/>
                <w:color w:val="FFFFFF" w:themeColor="background1"/>
                <w:sz w:val="16"/>
                <w:szCs w:val="16"/>
              </w:rPr>
            </w:pPr>
          </w:p>
        </w:tc>
        <w:tc>
          <w:tcPr>
            <w:tcW w:w="7054" w:type="dxa"/>
            <w:gridSpan w:val="11"/>
            <w:tcBorders>
              <w:bottom w:val="single" w:sz="4" w:space="0" w:color="auto"/>
              <w:right w:val="single" w:sz="4" w:space="0" w:color="auto"/>
            </w:tcBorders>
            <w:shd w:val="clear" w:color="auto" w:fill="0070C0"/>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CASUALTIES (fatalities and serious injuries) IN RAILWAY ACCIDENTS (1 fatality = 1 serious injury)</w:t>
            </w:r>
          </w:p>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(IT Network)</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center"/>
              <w:rPr>
                <w:rFonts w:ascii="Century Gothic" w:hAnsi="Century Gothic" w:cs="Century Gothic"/>
                <w:b/>
                <w:color w:val="FFFFFF" w:themeColor="background1"/>
                <w:sz w:val="16"/>
                <w:szCs w:val="16"/>
              </w:rPr>
            </w:pP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2007</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2008</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2009</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2010</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2011</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2012</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2013</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2014</w:t>
            </w:r>
          </w:p>
        </w:tc>
        <w:tc>
          <w:tcPr>
            <w:tcW w:w="595"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2015</w:t>
            </w:r>
          </w:p>
        </w:tc>
        <w:tc>
          <w:tcPr>
            <w:tcW w:w="849"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2016 (*)</w:t>
            </w:r>
          </w:p>
        </w:tc>
        <w:tc>
          <w:tcPr>
            <w:tcW w:w="850"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2017 (*)</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Train collisions</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Train derailment</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LC accidents (including those involving pedestrians)</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18</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15</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18</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17</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16</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16</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Accidents to persons caused by rolling stock in motion</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76</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67</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76</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Fires in rolling stock</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C2BEC" w:rsidRPr="00915C86" w:rsidP="003C743A">
            <w:pPr>
              <w:spacing w:after="0"/>
              <w:jc w:val="left"/>
              <w:rPr>
                <w:rFonts w:ascii="Century Gothic" w:hAnsi="Century Gothic" w:cs="Century Gothic"/>
                <w:sz w:val="16"/>
                <w:szCs w:val="16"/>
              </w:rPr>
            </w:pPr>
            <w:r w:rsidRPr="00915C86">
              <w:rPr>
                <w:rFonts w:ascii="Century Gothic" w:hAnsi="Century Gothic"/>
                <w:sz w:val="16"/>
                <w:szCs w:val="16"/>
              </w:rPr>
              <w:t>Other</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r>
      <w:tr w:rsidTr="003C743A">
        <w:tblPrEx>
          <w:tblW w:w="0" w:type="auto"/>
          <w:jc w:val="center"/>
          <w:tblLayout w:type="fixed"/>
          <w:tblCellMar>
            <w:left w:w="70" w:type="dxa"/>
            <w:right w:w="70" w:type="dxa"/>
          </w:tblCellMar>
          <w:tblLook w:val="04A0"/>
        </w:tblPrEx>
        <w:trPr>
          <w:trHeight w:val="20"/>
          <w:jc w:val="center"/>
        </w:trPr>
        <w:tc>
          <w:tcPr>
            <w:tcW w:w="2585" w:type="dxa"/>
            <w:tcBorders>
              <w:top w:val="single" w:sz="4" w:space="0" w:color="auto"/>
              <w:left w:val="single" w:sz="4" w:space="0" w:color="auto"/>
              <w:bottom w:val="single" w:sz="4" w:space="0" w:color="000000"/>
              <w:right w:val="single" w:sz="4" w:space="0" w:color="auto"/>
            </w:tcBorders>
            <w:shd w:val="clear" w:color="auto" w:fill="0070C0"/>
            <w:vAlign w:val="center"/>
            <w:hideMark/>
          </w:tcPr>
          <w:p w:rsidR="006C2BEC" w:rsidRPr="00915C86" w:rsidP="003C743A">
            <w:pPr>
              <w:spacing w:after="0"/>
              <w:jc w:val="left"/>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TOTAL</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104</w:t>
            </w:r>
          </w:p>
        </w:tc>
        <w:tc>
          <w:tcPr>
            <w:tcW w:w="595" w:type="dxa"/>
            <w:tcBorders>
              <w:top w:val="single" w:sz="4" w:space="0" w:color="auto"/>
              <w:left w:val="single" w:sz="4" w:space="0" w:color="auto"/>
              <w:bottom w:val="single" w:sz="4" w:space="0" w:color="000000"/>
              <w:right w:val="single" w:sz="4" w:space="0" w:color="auto"/>
            </w:tcBorders>
            <w:shd w:val="clear" w:color="auto" w:fill="0070C0"/>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92</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126</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100</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98</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107</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94</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94</w:t>
            </w:r>
          </w:p>
        </w:tc>
        <w:tc>
          <w:tcPr>
            <w:tcW w:w="595"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83</w:t>
            </w:r>
          </w:p>
        </w:tc>
        <w:tc>
          <w:tcPr>
            <w:tcW w:w="849"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127</w:t>
            </w:r>
          </w:p>
        </w:tc>
        <w:tc>
          <w:tcPr>
            <w:tcW w:w="850" w:type="dxa"/>
            <w:tcBorders>
              <w:top w:val="single" w:sz="4" w:space="0" w:color="auto"/>
              <w:left w:val="single" w:sz="4" w:space="0" w:color="auto"/>
              <w:bottom w:val="single" w:sz="4" w:space="0" w:color="000000"/>
              <w:right w:val="single" w:sz="4" w:space="0" w:color="auto"/>
            </w:tcBorders>
            <w:shd w:val="clear" w:color="auto" w:fill="0070C0"/>
            <w:noWrap/>
            <w:vAlign w:val="center"/>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92</w:t>
            </w:r>
          </w:p>
        </w:tc>
      </w:tr>
      <w:tr w:rsidTr="003C743A">
        <w:tblPrEx>
          <w:tblW w:w="0" w:type="auto"/>
          <w:jc w:val="center"/>
          <w:tblLayout w:type="fixed"/>
          <w:tblCellMar>
            <w:left w:w="70" w:type="dxa"/>
            <w:right w:w="70" w:type="dxa"/>
          </w:tblCellMar>
          <w:tblLook w:val="04A0"/>
        </w:tblPrEx>
        <w:trPr>
          <w:trHeight w:val="20"/>
          <w:jc w:val="center"/>
        </w:trPr>
        <w:tc>
          <w:tcPr>
            <w:tcW w:w="9639" w:type="dxa"/>
            <w:gridSpan w:val="12"/>
            <w:tcBorders>
              <w:top w:val="single" w:sz="4" w:space="0" w:color="000000"/>
            </w:tcBorders>
            <w:shd w:val="clear" w:color="auto" w:fill="auto"/>
            <w:vAlign w:val="center"/>
          </w:tcPr>
          <w:p w:rsidR="006C2BEC" w:rsidRPr="00915C86" w:rsidP="003C743A">
            <w:pPr>
              <w:rPr>
                <w:rFonts w:ascii="Century Gothic" w:hAnsi="Century Gothic" w:cs="Century Gothic"/>
                <w:sz w:val="16"/>
                <w:szCs w:val="16"/>
              </w:rPr>
            </w:pPr>
            <w:r w:rsidRPr="00915C86">
              <w:rPr>
                <w:rFonts w:ascii="Century Gothic" w:hAnsi="Century Gothic"/>
                <w:sz w:val="16"/>
                <w:szCs w:val="16"/>
              </w:rPr>
              <w:t>(*) data relating to 2016 and 2017 include data recorded on the (Interconnected Regional Networks).</w:t>
            </w:r>
          </w:p>
        </w:tc>
      </w:tr>
    </w:tbl>
    <w:p w:rsidR="006C2BEC" w:rsidRPr="00915C86" w:rsidP="006C2BEC">
      <w:pPr>
        <w:pStyle w:val="Heading2"/>
        <w:spacing w:before="360" w:after="120"/>
        <w:rPr>
          <w:rFonts w:ascii="Century Gothic" w:hAnsi="Century Gothic"/>
        </w:rPr>
      </w:pPr>
      <w:bookmarkStart w:id="15" w:name="_Toc532565556"/>
      <w:r w:rsidRPr="00915C86">
        <w:rPr>
          <w:rFonts w:ascii="Century Gothic" w:hAnsi="Century Gothic"/>
        </w:rPr>
        <w:t>4.2</w:t>
      </w:r>
      <w:r w:rsidRPr="00915C86">
        <w:rPr>
          <w:rFonts w:ascii="Century Gothic" w:hAnsi="Century Gothic"/>
        </w:rPr>
        <w:tab/>
        <w:t>Analysis of the latest recorded trends</w:t>
      </w:r>
      <w:bookmarkEnd w:id="15"/>
    </w:p>
    <w:p w:rsidR="006C2BEC" w:rsidRPr="00915C86" w:rsidP="006C2BEC">
      <w:pPr>
        <w:rPr>
          <w:rFonts w:ascii="Century Gothic" w:hAnsi="Century Gothic" w:cs="Century Gothic"/>
          <w:sz w:val="20"/>
          <w:szCs w:val="20"/>
        </w:rPr>
      </w:pPr>
      <w:r w:rsidRPr="00915C86">
        <w:rPr>
          <w:rFonts w:ascii="Century Gothic" w:hAnsi="Century Gothic"/>
          <w:sz w:val="20"/>
          <w:szCs w:val="20"/>
        </w:rPr>
        <w:t>This part describes trends recorded in individual casualty and accident categories on the (IT network). Part B.1.1 shows data obtained from an analysis of the overall accident rate.</w:t>
      </w:r>
    </w:p>
    <w:tbl>
      <w:tblPr>
        <w:tblW w:w="0" w:type="auto"/>
        <w:jc w:val="center"/>
        <w:tblLayout w:type="fixed"/>
        <w:tblCellMar>
          <w:left w:w="70" w:type="dxa"/>
          <w:right w:w="70" w:type="dxa"/>
        </w:tblCellMar>
        <w:tblLook w:val="04A0"/>
      </w:tblPr>
      <w:tblGrid>
        <w:gridCol w:w="2409"/>
        <w:gridCol w:w="567"/>
        <w:gridCol w:w="567"/>
        <w:gridCol w:w="567"/>
        <w:gridCol w:w="567"/>
        <w:gridCol w:w="567"/>
        <w:gridCol w:w="567"/>
        <w:gridCol w:w="567"/>
        <w:gridCol w:w="567"/>
        <w:gridCol w:w="567"/>
        <w:gridCol w:w="787"/>
        <w:gridCol w:w="787"/>
      </w:tblGrid>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nil"/>
              <w:bottom w:val="nil"/>
              <w:right w:val="nil"/>
            </w:tcBorders>
            <w:shd w:val="clear" w:color="auto" w:fill="auto"/>
            <w:noWrap/>
            <w:vAlign w:val="bottom"/>
            <w:hideMark/>
          </w:tcPr>
          <w:p w:rsidR="006C2BEC" w:rsidRPr="00915C86" w:rsidP="003C743A">
            <w:pPr>
              <w:spacing w:after="0"/>
              <w:jc w:val="left"/>
              <w:rPr>
                <w:rFonts w:ascii="Century Gothic" w:hAnsi="Century Gothic" w:cs="Century Gothic"/>
                <w:color w:val="000000" w:themeColor="text1"/>
                <w:sz w:val="16"/>
                <w:szCs w:val="16"/>
              </w:rPr>
            </w:pPr>
          </w:p>
        </w:tc>
        <w:tc>
          <w:tcPr>
            <w:tcW w:w="6677" w:type="dxa"/>
            <w:gridSpan w:val="11"/>
            <w:tcBorders>
              <w:top w:val="single" w:sz="4" w:space="0" w:color="auto"/>
              <w:left w:val="single" w:sz="4" w:space="0" w:color="auto"/>
              <w:bottom w:val="single" w:sz="4" w:space="0" w:color="auto"/>
              <w:right w:val="single" w:sz="4" w:space="0" w:color="auto"/>
            </w:tcBorders>
            <w:shd w:val="clear" w:color="auto" w:fill="0070C0"/>
          </w:tcPr>
          <w:p w:rsidR="006C2BEC" w:rsidRPr="00915C86" w:rsidP="003C743A">
            <w:pPr>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CASUALTIES - CATEGORIES OF PERSONS</w:t>
            </w:r>
            <w:r w:rsidRPr="00915C86">
              <w:rPr>
                <w:rFonts w:ascii="Century Gothic" w:hAnsi="Century Gothic"/>
                <w:b/>
                <w:color w:val="FFFFFF" w:themeColor="background1"/>
                <w:sz w:val="16"/>
                <w:szCs w:val="16"/>
              </w:rPr>
              <w:br/>
              <w:t>(IT Network)</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nil"/>
              <w:bottom w:val="nil"/>
              <w:right w:val="single" w:sz="4" w:space="0" w:color="auto"/>
            </w:tcBorders>
            <w:shd w:val="clear" w:color="auto" w:fill="auto"/>
            <w:vAlign w:val="center"/>
            <w:hideMark/>
          </w:tcPr>
          <w:p w:rsidR="006C2BEC" w:rsidRPr="00915C86" w:rsidP="003C743A">
            <w:pPr>
              <w:keepNext/>
              <w:spacing w:after="0"/>
              <w:jc w:val="center"/>
              <w:rPr>
                <w:rFonts w:ascii="Century Gothic" w:hAnsi="Century Gothic" w:cs="Century Gothic"/>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2007</w:t>
            </w:r>
          </w:p>
        </w:tc>
        <w:tc>
          <w:tcPr>
            <w:tcW w:w="567"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2008</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2009</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2010</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2011</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2012</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2013</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2014</w:t>
            </w:r>
          </w:p>
        </w:tc>
        <w:tc>
          <w:tcPr>
            <w:tcW w:w="567" w:type="dxa"/>
            <w:tcBorders>
              <w:top w:val="nil"/>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2015</w:t>
            </w:r>
          </w:p>
        </w:tc>
        <w:tc>
          <w:tcPr>
            <w:tcW w:w="787" w:type="dxa"/>
            <w:tcBorders>
              <w:top w:val="single" w:sz="4" w:space="0" w:color="auto"/>
              <w:left w:val="nil"/>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2016(*)</w:t>
            </w:r>
          </w:p>
        </w:tc>
        <w:tc>
          <w:tcPr>
            <w:tcW w:w="787" w:type="dxa"/>
            <w:tcBorders>
              <w:top w:val="single" w:sz="4" w:space="0" w:color="auto"/>
              <w:left w:val="single" w:sz="4" w:space="0" w:color="auto"/>
              <w:bottom w:val="single" w:sz="4" w:space="0" w:color="auto"/>
              <w:right w:val="single" w:sz="4" w:space="0" w:color="auto"/>
            </w:tcBorders>
            <w:shd w:val="clear" w:color="auto" w:fill="0070C0"/>
            <w:vAlign w:val="center"/>
          </w:tcPr>
          <w:p w:rsidR="006C2BEC" w:rsidRPr="00915C86" w:rsidP="003C743A">
            <w:pPr>
              <w:keepNext/>
              <w:spacing w:after="0"/>
              <w:jc w:val="center"/>
              <w:rPr>
                <w:rFonts w:ascii="Century Gothic" w:hAnsi="Century Gothic" w:cs="Century Gothic"/>
                <w:b/>
                <w:color w:val="FFFFFF" w:themeColor="background1"/>
                <w:sz w:val="16"/>
                <w:szCs w:val="16"/>
              </w:rPr>
            </w:pPr>
            <w:r w:rsidRPr="00915C86">
              <w:rPr>
                <w:rFonts w:ascii="Century Gothic" w:hAnsi="Century Gothic"/>
                <w:b/>
                <w:color w:val="FFFFFF" w:themeColor="background1"/>
                <w:sz w:val="16"/>
                <w:szCs w:val="16"/>
              </w:rPr>
              <w:t>2017(*)</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PASSENGERS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15</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13</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RAILWAY EMPLOYEES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3</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0070C0"/>
            <w:vAlign w:val="center"/>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OTHER PERSONS: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99</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77</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93</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91</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85</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73</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82</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auto"/>
            <w:vAlign w:val="center"/>
          </w:tcPr>
          <w:p w:rsidR="006C2BEC" w:rsidRPr="00915C86" w:rsidP="003C743A">
            <w:pPr>
              <w:spacing w:after="0"/>
              <w:jc w:val="right"/>
              <w:rPr>
                <w:rFonts w:ascii="Century Gothic" w:hAnsi="Century Gothic" w:cs="Century Gothic"/>
                <w:sz w:val="16"/>
                <w:szCs w:val="16"/>
              </w:rPr>
            </w:pPr>
            <w:r w:rsidRPr="00915C86">
              <w:rPr>
                <w:rFonts w:ascii="Century Gothic" w:hAnsi="Century Gothic"/>
                <w:sz w:val="16"/>
                <w:szCs w:val="16"/>
              </w:rPr>
              <w:t>OTHER PERSONS ON PLATFORMS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2</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auto"/>
            <w:vAlign w:val="center"/>
          </w:tcPr>
          <w:p w:rsidR="006C2BEC" w:rsidRPr="00915C86" w:rsidP="003C743A">
            <w:pPr>
              <w:spacing w:after="0"/>
              <w:jc w:val="right"/>
              <w:rPr>
                <w:rFonts w:ascii="Century Gothic" w:hAnsi="Century Gothic" w:cs="Century Gothic"/>
                <w:sz w:val="16"/>
                <w:szCs w:val="16"/>
              </w:rPr>
            </w:pPr>
            <w:r w:rsidRPr="00915C86">
              <w:rPr>
                <w:rFonts w:ascii="Century Gothic" w:hAnsi="Century Gothic"/>
                <w:sz w:val="16"/>
                <w:szCs w:val="16"/>
              </w:rPr>
              <w:t>OTHER PERSONS NOT ON PLATFORMS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43</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0</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right"/>
              <w:rPr>
                <w:rFonts w:ascii="Century Gothic" w:hAnsi="Century Gothic" w:cs="Century Gothic"/>
                <w:sz w:val="16"/>
                <w:szCs w:val="16"/>
              </w:rPr>
            </w:pPr>
            <w:r w:rsidRPr="00915C86">
              <w:rPr>
                <w:rFonts w:ascii="Century Gothic" w:hAnsi="Century Gothic"/>
                <w:sz w:val="16"/>
                <w:szCs w:val="16"/>
              </w:rPr>
              <w:t>LEVEL CROSSING USERS</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17</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15</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right"/>
              <w:rPr>
                <w:rFonts w:ascii="Century Gothic" w:hAnsi="Century Gothic" w:cs="Century Gothic"/>
                <w:sz w:val="16"/>
                <w:szCs w:val="16"/>
              </w:rPr>
            </w:pPr>
            <w:r w:rsidRPr="00915C86">
              <w:rPr>
                <w:rFonts w:ascii="Century Gothic" w:hAnsi="Century Gothic"/>
                <w:sz w:val="16"/>
                <w:szCs w:val="16"/>
              </w:rPr>
              <w:t>UNAUTHORISED PERSONS ON THE RAILWAY TRACK</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51</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63</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77</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66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57</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72</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70</w:t>
            </w:r>
          </w:p>
        </w:tc>
      </w:tr>
      <w:tr w:rsidTr="003C743A">
        <w:tblPrEx>
          <w:tblW w:w="0" w:type="auto"/>
          <w:jc w:val="center"/>
          <w:tblLayout w:type="fixed"/>
          <w:tblCellMar>
            <w:left w:w="70" w:type="dxa"/>
            <w:right w:w="70" w:type="dxa"/>
          </w:tblCellMar>
          <w:tblLook w:val="04A0"/>
        </w:tblPrEx>
        <w:trPr>
          <w:trHeight w:val="20"/>
          <w:jc w:val="center"/>
        </w:trPr>
        <w:tc>
          <w:tcPr>
            <w:tcW w:w="2409" w:type="dxa"/>
            <w:tcBorders>
              <w:top w:val="nil"/>
              <w:left w:val="single" w:sz="4" w:space="0" w:color="auto"/>
              <w:bottom w:val="single" w:sz="4" w:space="0" w:color="auto"/>
              <w:right w:val="single" w:sz="4" w:space="0" w:color="auto"/>
            </w:tcBorders>
            <w:shd w:val="clear" w:color="auto" w:fill="0070C0"/>
            <w:vAlign w:val="center"/>
            <w:hideMark/>
          </w:tcPr>
          <w:p w:rsidR="006C2BEC" w:rsidRPr="00915C86" w:rsidP="003C743A">
            <w:pPr>
              <w:spacing w:after="0"/>
              <w:jc w:val="left"/>
              <w:rPr>
                <w:rFonts w:ascii="Century Gothic" w:hAnsi="Century Gothic" w:cs="Century Gothic"/>
                <w:b/>
                <w:sz w:val="16"/>
                <w:szCs w:val="16"/>
              </w:rPr>
            </w:pPr>
            <w:r w:rsidRPr="00915C86">
              <w:rPr>
                <w:rFonts w:ascii="Century Gothic" w:hAnsi="Century Gothic"/>
                <w:b/>
                <w:sz w:val="16"/>
                <w:szCs w:val="16"/>
              </w:rPr>
              <w:t>TOTAL</w:t>
            </w:r>
          </w:p>
        </w:tc>
        <w:tc>
          <w:tcPr>
            <w:tcW w:w="56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92</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126</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100</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98</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107</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94</w:t>
            </w:r>
          </w:p>
        </w:tc>
        <w:tc>
          <w:tcPr>
            <w:tcW w:w="567" w:type="dxa"/>
            <w:tcBorders>
              <w:top w:val="nil"/>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83</w:t>
            </w:r>
          </w:p>
        </w:tc>
        <w:tc>
          <w:tcPr>
            <w:tcW w:w="787" w:type="dxa"/>
            <w:tcBorders>
              <w:top w:val="single" w:sz="4" w:space="0" w:color="auto"/>
              <w:left w:val="nil"/>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127</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C2BEC" w:rsidRPr="00915C86" w:rsidP="003C743A">
            <w:pPr>
              <w:spacing w:after="0"/>
              <w:jc w:val="center"/>
              <w:rPr>
                <w:rFonts w:ascii="Century Gothic" w:hAnsi="Century Gothic" w:cs="Century Gothic"/>
                <w:sz w:val="16"/>
                <w:szCs w:val="16"/>
              </w:rPr>
            </w:pPr>
            <w:r w:rsidRPr="00915C86">
              <w:rPr>
                <w:rFonts w:ascii="Century Gothic" w:hAnsi="Century Gothic"/>
                <w:sz w:val="16"/>
                <w:szCs w:val="16"/>
              </w:rPr>
              <w:t>92</w:t>
            </w:r>
          </w:p>
        </w:tc>
      </w:tr>
      <w:tr w:rsidTr="003C743A">
        <w:tblPrEx>
          <w:tblW w:w="0" w:type="auto"/>
          <w:jc w:val="center"/>
          <w:tblLayout w:type="fixed"/>
          <w:tblCellMar>
            <w:left w:w="70" w:type="dxa"/>
            <w:right w:w="70" w:type="dxa"/>
          </w:tblCellMar>
          <w:tblLook w:val="04A0"/>
        </w:tblPrEx>
        <w:trPr>
          <w:trHeight w:val="20"/>
          <w:jc w:val="center"/>
        </w:trPr>
        <w:tc>
          <w:tcPr>
            <w:tcW w:w="9086" w:type="dxa"/>
            <w:gridSpan w:val="12"/>
            <w:tcBorders>
              <w:top w:val="single" w:sz="4" w:space="0" w:color="auto"/>
            </w:tcBorders>
          </w:tcPr>
          <w:p w:rsidR="006C2BEC" w:rsidRPr="00915C86" w:rsidP="003C743A">
            <w:pPr>
              <w:spacing w:before="120" w:after="0"/>
              <w:jc w:val="left"/>
              <w:rPr>
                <w:rFonts w:ascii="Century Gothic" w:hAnsi="Century Gothic" w:cs="Century Gothic"/>
                <w:sz w:val="16"/>
                <w:szCs w:val="16"/>
              </w:rPr>
            </w:pPr>
            <w:r w:rsidRPr="00915C86">
              <w:rPr>
                <w:rFonts w:ascii="Century Gothic" w:hAnsi="Century Gothic"/>
                <w:sz w:val="16"/>
                <w:szCs w:val="16"/>
              </w:rPr>
              <w:t>(*) data relating to 2016 and 2017 recorded on the (RFI Network) + data recorded on the (Interconnected Regional Networks).</w:t>
            </w:r>
          </w:p>
        </w:tc>
      </w:tr>
    </w:tbl>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On the (IT Network) the category of ‘unauthorised persons on the railway track’ shows a negative impact on the general trend: despite a reduction in the number of deaths compared to 2016 (54 in 2016 falling to 43 in 2017), the number of severe injuries rose (from 18 in 2016 to 27 in 2017). ‘Accidents caused by rolling stock in motion’ represented the main cause of casualties in the ‘unauthorised persons on railway premises’ category as well as in the ‘passengers’ category. In particular, the former category showed a growing trend throughout the entire reference period.</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60288" behindDoc="0" locked="0" layoutInCell="1" allowOverlap="1">
                <wp:simplePos x="0" y="0"/>
                <wp:positionH relativeFrom="column">
                  <wp:posOffset>3423514</wp:posOffset>
                </wp:positionH>
                <wp:positionV relativeFrom="paragraph">
                  <wp:posOffset>2538755</wp:posOffset>
                </wp:positionV>
                <wp:extent cx="613892" cy="219075"/>
                <wp:effectExtent l="0" t="0" r="0" b="0"/>
                <wp:wrapNone/>
                <wp:docPr id="17" name="Gruppo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13892" cy="219075"/>
                          <a:chOff x="0" y="0"/>
                          <a:chExt cx="613892" cy="219075"/>
                        </a:xfrm>
                      </wpg:grpSpPr>
                      <wps:wsp xmlns:wps="http://schemas.microsoft.com/office/word/2010/wordprocessingShape">
                        <wps:cNvPr id="18" name="Casella di testo 2"/>
                        <wps:cNvSpPr txBox="1">
                          <a:spLocks noChangeArrowheads="1"/>
                        </wps:cNvSpPr>
                        <wps:spPr bwMode="auto">
                          <a:xfrm>
                            <a:off x="0" y="0"/>
                            <a:ext cx="335915" cy="219075"/>
                          </a:xfrm>
                          <a:prstGeom prst="rect">
                            <a:avLst/>
                          </a:prstGeom>
                          <a:noFill/>
                          <a:ln w="9525">
                            <a:noFill/>
                            <a:miter lim="800000"/>
                            <a:headEnd/>
                            <a:tailEnd/>
                          </a:ln>
                        </wps:spPr>
                        <wps:txbx>
                          <w:txbxContent>
                            <w:p w:rsidR="00575D08" w:rsidRPr="00915C86" w:rsidP="006C2BEC">
                              <w:pPr>
                                <w:rPr>
                                  <w:rFonts w:ascii="Century Gothic" w:hAnsi="Century Gothic"/>
                                  <w:sz w:val="18"/>
                                </w:rPr>
                              </w:pPr>
                              <w:r w:rsidRPr="00915C86">
                                <w:rPr>
                                  <w:rFonts w:ascii="Century Gothic" w:hAnsi="Century Gothic"/>
                                  <w:sz w:val="18"/>
                                </w:rPr>
                                <w:t>*</w:t>
                              </w:r>
                            </w:p>
                          </w:txbxContent>
                        </wps:txbx>
                        <wps:bodyPr rot="0" vert="horz" wrap="square" anchor="t" anchorCtr="0"/>
                      </wps:wsp>
                      <wps:wsp xmlns:wps="http://schemas.microsoft.com/office/word/2010/wordprocessingShape">
                        <wps:cNvPr id="19" name="Casella di testo 2"/>
                        <wps:cNvSpPr txBox="1">
                          <a:spLocks noChangeArrowheads="1"/>
                        </wps:cNvSpPr>
                        <wps:spPr bwMode="auto">
                          <a:xfrm>
                            <a:off x="277977" y="0"/>
                            <a:ext cx="335915" cy="219075"/>
                          </a:xfrm>
                          <a:prstGeom prst="rect">
                            <a:avLst/>
                          </a:prstGeom>
                          <a:noFill/>
                          <a:ln w="9525">
                            <a:noFill/>
                            <a:miter lim="800000"/>
                            <a:headEnd/>
                            <a:tailEnd/>
                          </a:ln>
                        </wps:spPr>
                        <wps:txbx>
                          <w:txbxContent>
                            <w:p w:rsidR="00575D08" w:rsidRPr="00915C86" w:rsidP="006C2BEC">
                              <w:pPr>
                                <w:rPr>
                                  <w:rFonts w:ascii="Century Gothic" w:hAnsi="Century Gothic"/>
                                  <w:sz w:val="18"/>
                                </w:rPr>
                              </w:pPr>
                              <w:r w:rsidRPr="00915C86">
                                <w:rPr>
                                  <w:rFonts w:ascii="Century Gothic" w:hAnsi="Century Gothic"/>
                                  <w:sz w:val="18"/>
                                </w:rPr>
                                <w:t>*</w:t>
                              </w:r>
                            </w:p>
                          </w:txbxContent>
                        </wps:txbx>
                        <wps:bodyPr rot="0" vert="horz" wrap="square" anchor="t" anchorCtr="0"/>
                      </wps:wsp>
                    </wpg:wgp>
                  </a:graphicData>
                </a:graphic>
              </wp:anchor>
            </w:drawing>
          </mc:Choice>
          <mc:Fallback>
            <w:pict>
              <v:group id="Gruppo 17" o:spid="_x0000_s1053" style="width:48.35pt;height:17.25pt;margin-top:199.9pt;margin-left:269.55pt;position:absolute;z-index:251661312" coordsize="6138,2190">
                <v:shape id="_x0000_s1054" type="#_x0000_t202" style="width:3359;height:2190;mso-wrap-style:square;position:absolute;visibility:visible;v-text-anchor:top" filled="f" stroked="f">
                  <v:textbox>
                    <w:txbxContent>
                      <w:p w:rsidR="00575D08" w:rsidRPr="00915C86" w:rsidP="006C2BEC">
                        <w:pPr>
                          <w:rPr>
                            <w:rFonts w:ascii="Century Gothic" w:hAnsi="Century Gothic"/>
                            <w:sz w:val="18"/>
                          </w:rPr>
                        </w:pPr>
                        <w:r w:rsidRPr="00915C86">
                          <w:rPr>
                            <w:rFonts w:ascii="Century Gothic" w:hAnsi="Century Gothic"/>
                            <w:sz w:val="18"/>
                          </w:rPr>
                          <w:t>*</w:t>
                        </w:r>
                      </w:p>
                    </w:txbxContent>
                  </v:textbox>
                </v:shape>
                <v:shape id="_x0000_s1055" type="#_x0000_t202" style="width:3359;height:2190;left:2779;mso-wrap-style:square;position:absolute;visibility:visible;v-text-anchor:top" filled="f" stroked="f">
                  <v:textbox>
                    <w:txbxContent>
                      <w:p w:rsidR="00575D08" w:rsidRPr="00915C86" w:rsidP="006C2BEC">
                        <w:pPr>
                          <w:rPr>
                            <w:rFonts w:ascii="Century Gothic" w:hAnsi="Century Gothic"/>
                            <w:sz w:val="18"/>
                          </w:rPr>
                        </w:pPr>
                        <w:r w:rsidRPr="00915C86">
                          <w:rPr>
                            <w:rFonts w:ascii="Century Gothic" w:hAnsi="Century Gothic"/>
                            <w:sz w:val="18"/>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645152" cy="2823667"/>
            <wp:effectExtent l="0" t="0" r="3175" b="15240"/>
            <wp:docPr id="28" name="Gra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2BEC" w:rsidRPr="00915C86" w:rsidP="006C2BEC">
      <w:pPr>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pPr>
            <w:r w:rsidRPr="00915C86">
              <w:t>ANDAMENTO DELLE VITTIME</w:t>
            </w:r>
            <w:r w:rsidRPr="00915C86">
              <w:br/>
              <w:t>categoria Eurostat "ALTRE PERSONE"</w:t>
            </w:r>
          </w:p>
          <w:p w:rsidR="006C2BEC" w:rsidRPr="00915C86" w:rsidP="003C743A">
            <w:pPr>
              <w:spacing w:after="0"/>
            </w:pPr>
            <w:r w:rsidRPr="00915C86">
              <w:t>SCOMPOSIZIONE PER TIPOLOGIA DI INCIDENTE</w:t>
            </w:r>
          </w:p>
          <w:p w:rsidR="006C2BEC" w:rsidRPr="00915C86" w:rsidP="003C743A">
            <w:pPr>
              <w:spacing w:after="0"/>
            </w:pPr>
            <w:r w:rsidRPr="00915C86">
              <w:t>[Rete IT]</w:t>
            </w:r>
          </w:p>
        </w:tc>
        <w:tc>
          <w:tcPr>
            <w:tcW w:w="4519" w:type="dxa"/>
          </w:tcPr>
          <w:p w:rsidR="006C2BEC" w:rsidRPr="00915C86" w:rsidP="003C743A">
            <w:pPr>
              <w:spacing w:after="0"/>
            </w:pPr>
            <w:r w:rsidRPr="00915C86">
              <w:t>TREND IN CASUALTIES</w:t>
            </w:r>
            <w:r w:rsidRPr="00915C86">
              <w:br/>
              <w:t>Eurostat category ‘OTHER PERSONS’</w:t>
            </w:r>
          </w:p>
          <w:p w:rsidR="006C2BEC" w:rsidRPr="00915C86" w:rsidP="003C743A">
            <w:pPr>
              <w:spacing w:after="0"/>
            </w:pPr>
            <w:r w:rsidRPr="00915C86">
              <w:t>BREAKDOWN BY TYPE OF ACCIDENT</w:t>
            </w:r>
          </w:p>
          <w:p w:rsidR="006C2BEC" w:rsidRPr="00915C86" w:rsidP="003C743A">
            <w:pPr>
              <w:spacing w:after="0"/>
            </w:pPr>
            <w:r w:rsidRPr="00915C86">
              <w:t>(IT Network)</w:t>
            </w:r>
          </w:p>
        </w:tc>
      </w:tr>
      <w:tr w:rsidTr="003C743A">
        <w:tblPrEx>
          <w:tblW w:w="9038" w:type="dxa"/>
          <w:tblLook w:val="04A0"/>
        </w:tblPrEx>
        <w:tc>
          <w:tcPr>
            <w:tcW w:w="4519" w:type="dxa"/>
          </w:tcPr>
          <w:p w:rsidR="006C2BEC" w:rsidRPr="00915C86" w:rsidP="003C743A">
            <w:pPr>
              <w:spacing w:after="0"/>
            </w:pPr>
            <w:r w:rsidRPr="00915C86">
              <w:t>Collisioni ai treni</w:t>
            </w:r>
          </w:p>
        </w:tc>
        <w:tc>
          <w:tcPr>
            <w:tcW w:w="4519" w:type="dxa"/>
          </w:tcPr>
          <w:p w:rsidR="006C2BEC" w:rsidRPr="00915C86" w:rsidP="003C743A">
            <w:pPr>
              <w:spacing w:after="0"/>
            </w:pPr>
            <w:r w:rsidRPr="00915C86">
              <w:t>Train collisions</w:t>
            </w:r>
          </w:p>
        </w:tc>
      </w:tr>
      <w:tr w:rsidTr="003C743A">
        <w:tblPrEx>
          <w:tblW w:w="9038" w:type="dxa"/>
          <w:tblLook w:val="04A0"/>
        </w:tblPrEx>
        <w:tc>
          <w:tcPr>
            <w:tcW w:w="4519" w:type="dxa"/>
          </w:tcPr>
          <w:p w:rsidR="006C2BEC" w:rsidRPr="00915C86" w:rsidP="003C743A">
            <w:pPr>
              <w:spacing w:after="0"/>
            </w:pPr>
            <w:r w:rsidRPr="00915C86">
              <w:t>Deragliamenti di treni</w:t>
            </w:r>
          </w:p>
        </w:tc>
        <w:tc>
          <w:tcPr>
            <w:tcW w:w="4519" w:type="dxa"/>
          </w:tcPr>
          <w:p w:rsidR="006C2BEC" w:rsidRPr="00915C86" w:rsidP="003C743A">
            <w:pPr>
              <w:spacing w:after="0"/>
            </w:pPr>
            <w:r w:rsidRPr="00915C86">
              <w:t>Train derailments</w:t>
            </w:r>
          </w:p>
        </w:tc>
      </w:tr>
      <w:tr w:rsidTr="003C743A">
        <w:tblPrEx>
          <w:tblW w:w="9038" w:type="dxa"/>
          <w:tblLook w:val="04A0"/>
        </w:tblPrEx>
        <w:tc>
          <w:tcPr>
            <w:tcW w:w="4519" w:type="dxa"/>
          </w:tcPr>
          <w:p w:rsidR="006C2BEC" w:rsidRPr="00915C86" w:rsidP="003C743A">
            <w:pPr>
              <w:spacing w:after="0"/>
            </w:pPr>
            <w:r w:rsidRPr="00915C86">
              <w:t>Incidenti ai PL</w:t>
            </w:r>
          </w:p>
        </w:tc>
        <w:tc>
          <w:tcPr>
            <w:tcW w:w="4519" w:type="dxa"/>
          </w:tcPr>
          <w:p w:rsidR="006C2BEC" w:rsidRPr="00915C86" w:rsidP="003C743A">
            <w:pPr>
              <w:spacing w:after="0"/>
            </w:pPr>
            <w:r w:rsidRPr="00915C86">
              <w:t>LC accidents</w:t>
            </w:r>
          </w:p>
        </w:tc>
      </w:tr>
      <w:tr w:rsidTr="003C743A">
        <w:tblPrEx>
          <w:tblW w:w="9038" w:type="dxa"/>
          <w:tblLook w:val="04A0"/>
        </w:tblPrEx>
        <w:tc>
          <w:tcPr>
            <w:tcW w:w="4519" w:type="dxa"/>
          </w:tcPr>
          <w:p w:rsidR="006C2BEC" w:rsidRPr="00915C86" w:rsidP="003C743A">
            <w:pPr>
              <w:spacing w:after="0"/>
            </w:pPr>
            <w:r w:rsidRPr="00915C86">
              <w:t>Incidenti alle persone provocati da materiale rotabile</w:t>
            </w:r>
          </w:p>
        </w:tc>
        <w:tc>
          <w:tcPr>
            <w:tcW w:w="4519" w:type="dxa"/>
          </w:tcPr>
          <w:p w:rsidR="006C2BEC" w:rsidRPr="00915C86" w:rsidP="003C743A">
            <w:pPr>
              <w:spacing w:after="0"/>
            </w:pPr>
            <w:r w:rsidRPr="00915C86">
              <w:t>Accidents to persons caused by rolling stock</w:t>
            </w:r>
          </w:p>
        </w:tc>
      </w:tr>
      <w:tr w:rsidTr="003C743A">
        <w:tblPrEx>
          <w:tblW w:w="9038" w:type="dxa"/>
          <w:tblLook w:val="04A0"/>
        </w:tblPrEx>
        <w:tc>
          <w:tcPr>
            <w:tcW w:w="4519" w:type="dxa"/>
          </w:tcPr>
          <w:p w:rsidR="006C2BEC" w:rsidRPr="00915C86" w:rsidP="003C743A">
            <w:pPr>
              <w:spacing w:after="0"/>
            </w:pPr>
            <w:r w:rsidRPr="00915C86">
              <w:t>Incidenti di materiale rotabile</w:t>
            </w:r>
          </w:p>
        </w:tc>
        <w:tc>
          <w:tcPr>
            <w:tcW w:w="4519" w:type="dxa"/>
          </w:tcPr>
          <w:p w:rsidR="006C2BEC" w:rsidRPr="00915C86" w:rsidP="003C743A">
            <w:pPr>
              <w:spacing w:after="0"/>
            </w:pPr>
            <w:r w:rsidRPr="00915C86">
              <w:t>Rolling stock accidents</w:t>
            </w:r>
          </w:p>
        </w:tc>
      </w:tr>
      <w:tr w:rsidTr="003C743A">
        <w:tblPrEx>
          <w:tblW w:w="9038" w:type="dxa"/>
          <w:tblLook w:val="04A0"/>
        </w:tblPrEx>
        <w:tc>
          <w:tcPr>
            <w:tcW w:w="4519" w:type="dxa"/>
          </w:tcPr>
          <w:p w:rsidR="006C2BEC" w:rsidRPr="00915C86" w:rsidP="003C743A">
            <w:pPr>
              <w:spacing w:after="0"/>
            </w:pPr>
            <w:r w:rsidRPr="00915C86">
              <w:t>Altri</w:t>
            </w:r>
          </w:p>
        </w:tc>
        <w:tc>
          <w:tcPr>
            <w:tcW w:w="4519" w:type="dxa"/>
          </w:tcPr>
          <w:p w:rsidR="006C2BEC" w:rsidRPr="00915C86" w:rsidP="003C743A">
            <w:pPr>
              <w:spacing w:after="0"/>
            </w:pPr>
            <w:r w:rsidRPr="00915C86">
              <w:t>Others</w:t>
            </w:r>
          </w:p>
        </w:tc>
      </w:tr>
      <w:tr w:rsidTr="003C743A">
        <w:tblPrEx>
          <w:tblW w:w="9038" w:type="dxa"/>
          <w:tblLook w:val="04A0"/>
        </w:tblPrEx>
        <w:tc>
          <w:tcPr>
            <w:tcW w:w="4519" w:type="dxa"/>
          </w:tcPr>
          <w:p w:rsidR="006C2BEC" w:rsidRPr="00915C86" w:rsidP="003C743A">
            <w:pPr>
              <w:spacing w:after="0"/>
            </w:pPr>
            <w:r w:rsidRPr="00915C86">
              <w:t>TOTALE</w:t>
            </w:r>
          </w:p>
        </w:tc>
        <w:tc>
          <w:tcPr>
            <w:tcW w:w="4519" w:type="dxa"/>
          </w:tcPr>
          <w:p w:rsidR="006C2BEC" w:rsidRPr="00915C86" w:rsidP="003C743A">
            <w:pPr>
              <w:spacing w:after="0"/>
            </w:pPr>
            <w:r w:rsidRPr="00915C86">
              <w:t>TOTAL</w:t>
            </w:r>
          </w:p>
        </w:tc>
      </w:tr>
    </w:tbl>
    <w:p w:rsidR="006C2BEC" w:rsidRPr="00915C86" w:rsidP="006C2BEC"/>
    <w:p w:rsidR="006C2BEC" w:rsidRPr="00915C86" w:rsidP="006C2BEC">
      <w:pPr>
        <w:spacing w:before="240"/>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62336" behindDoc="0" locked="0" layoutInCell="1" allowOverlap="1">
                <wp:simplePos x="0" y="0"/>
                <wp:positionH relativeFrom="column">
                  <wp:posOffset>3416968</wp:posOffset>
                </wp:positionH>
                <wp:positionV relativeFrom="paragraph">
                  <wp:posOffset>2479508</wp:posOffset>
                </wp:positionV>
                <wp:extent cx="677144" cy="234716"/>
                <wp:effectExtent l="0" t="0" r="0" b="0"/>
                <wp:wrapNone/>
                <wp:docPr id="39" name="Gruppo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144" cy="234716"/>
                          <a:chOff x="0" y="0"/>
                          <a:chExt cx="677144" cy="234716"/>
                        </a:xfrm>
                      </wpg:grpSpPr>
                      <wps:wsp xmlns:wps="http://schemas.microsoft.com/office/word/2010/wordprocessingShape">
                        <wps:cNvPr id="21" name="Casella di testo 2"/>
                        <wps:cNvSpPr txBox="1">
                          <a:spLocks noChangeArrowheads="1"/>
                        </wps:cNvSpPr>
                        <wps:spPr bwMode="auto">
                          <a:xfrm>
                            <a:off x="0" y="8021"/>
                            <a:ext cx="380365" cy="226695"/>
                          </a:xfrm>
                          <a:prstGeom prst="rect">
                            <a:avLst/>
                          </a:prstGeom>
                          <a:noFill/>
                          <a:ln w="9525">
                            <a:noFill/>
                            <a:miter lim="800000"/>
                            <a:headEnd/>
                            <a:tailEnd/>
                          </a:ln>
                        </wps:spPr>
                        <wps:txbx>
                          <w:txbxContent>
                            <w:p w:rsidR="00575D08" w:rsidRPr="00915C86" w:rsidP="006C2BEC">
                              <w:pPr>
                                <w:rPr>
                                  <w:rFonts w:ascii="Century Gothic" w:hAnsi="Century Gothic"/>
                                  <w:sz w:val="18"/>
                                </w:rPr>
                              </w:pPr>
                              <w:r w:rsidRPr="00915C86">
                                <w:rPr>
                                  <w:rFonts w:ascii="Century Gothic" w:hAnsi="Century Gothic"/>
                                  <w:sz w:val="18"/>
                                </w:rPr>
                                <w:t>*</w:t>
                              </w:r>
                            </w:p>
                          </w:txbxContent>
                        </wps:txbx>
                        <wps:bodyPr rot="0" vert="horz" wrap="square" anchor="t" anchorCtr="0"/>
                      </wps:wsp>
                      <wps:wsp xmlns:wps="http://schemas.microsoft.com/office/word/2010/wordprocessingShape">
                        <wps:cNvPr id="20" name="Casella di testo 2"/>
                        <wps:cNvSpPr txBox="1">
                          <a:spLocks noChangeArrowheads="1"/>
                        </wps:cNvSpPr>
                        <wps:spPr bwMode="auto">
                          <a:xfrm>
                            <a:off x="296779" y="0"/>
                            <a:ext cx="380365" cy="226695"/>
                          </a:xfrm>
                          <a:prstGeom prst="rect">
                            <a:avLst/>
                          </a:prstGeom>
                          <a:noFill/>
                          <a:ln w="9525">
                            <a:noFill/>
                            <a:miter lim="800000"/>
                            <a:headEnd/>
                            <a:tailEnd/>
                          </a:ln>
                        </wps:spPr>
                        <wps:txbx>
                          <w:txbxContent>
                            <w:p w:rsidR="00575D08" w:rsidRPr="00915C86" w:rsidP="006C2BEC">
                              <w:pPr>
                                <w:rPr>
                                  <w:rFonts w:ascii="Century Gothic" w:hAnsi="Century Gothic"/>
                                  <w:sz w:val="18"/>
                                </w:rPr>
                              </w:pPr>
                              <w:r w:rsidRPr="00915C86">
                                <w:rPr>
                                  <w:rFonts w:ascii="Century Gothic" w:hAnsi="Century Gothic"/>
                                  <w:sz w:val="18"/>
                                </w:rPr>
                                <w:t>*</w:t>
                              </w:r>
                            </w:p>
                          </w:txbxContent>
                        </wps:txbx>
                        <wps:bodyPr rot="0" vert="horz" wrap="square" anchor="t" anchorCtr="0"/>
                      </wps:wsp>
                    </wpg:wgp>
                  </a:graphicData>
                </a:graphic>
              </wp:anchor>
            </w:drawing>
          </mc:Choice>
          <mc:Fallback>
            <w:pict>
              <v:group id="Gruppo 39" o:spid="_x0000_s1056" style="width:53.3pt;height:18.5pt;margin-top:195.25pt;margin-left:269.05pt;position:absolute;z-index:251663360" coordsize="6771,2347">
                <v:shape id="_x0000_s1057" type="#_x0000_t202" style="width:3803;height:2267;mso-wrap-style:square;position:absolute;top:80;visibility:visible;v-text-anchor:top" filled="f" stroked="f">
                  <v:textbox>
                    <w:txbxContent>
                      <w:p w:rsidR="00575D08" w:rsidRPr="00915C86" w:rsidP="006C2BEC">
                        <w:pPr>
                          <w:rPr>
                            <w:rFonts w:ascii="Century Gothic" w:hAnsi="Century Gothic"/>
                            <w:sz w:val="18"/>
                          </w:rPr>
                        </w:pPr>
                        <w:r w:rsidRPr="00915C86">
                          <w:rPr>
                            <w:rFonts w:ascii="Century Gothic" w:hAnsi="Century Gothic"/>
                            <w:sz w:val="18"/>
                          </w:rPr>
                          <w:t>*</w:t>
                        </w:r>
                      </w:p>
                    </w:txbxContent>
                  </v:textbox>
                </v:shape>
                <v:shape id="_x0000_s1058" type="#_x0000_t202" style="width:3804;height:2266;left:2967;mso-wrap-style:square;position:absolute;visibility:visible;v-text-anchor:top" filled="f" stroked="f">
                  <v:textbox>
                    <w:txbxContent>
                      <w:p w:rsidR="00575D08" w:rsidRPr="00915C86" w:rsidP="006C2BEC">
                        <w:pPr>
                          <w:rPr>
                            <w:rFonts w:ascii="Century Gothic" w:hAnsi="Century Gothic"/>
                            <w:sz w:val="18"/>
                          </w:rPr>
                        </w:pPr>
                        <w:r w:rsidRPr="00915C86">
                          <w:rPr>
                            <w:rFonts w:ascii="Century Gothic" w:hAnsi="Century Gothic"/>
                            <w:sz w:val="18"/>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652467" cy="2680615"/>
            <wp:effectExtent l="0" t="0" r="15240" b="5715"/>
            <wp:docPr id="50" name="Gra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C2BEC" w:rsidRPr="00915C86" w:rsidP="006C2BEC">
      <w:pPr>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ANDAMENTO DELLE VITTIME - CATEGORIA  "PASSEGGERI"</w:t>
            </w:r>
            <w:r w:rsidRPr="00915C86">
              <w:br/>
              <w:t>SCOMPOSIZIONE PER TIPOLOGIA DI INCIDENTI</w:t>
            </w:r>
          </w:p>
          <w:p w:rsidR="006C2BEC" w:rsidRPr="00915C86" w:rsidP="003C743A">
            <w:pPr>
              <w:spacing w:after="0"/>
            </w:pPr>
            <w:r w:rsidRPr="00915C86">
              <w:t>[Rete IT]</w:t>
            </w:r>
          </w:p>
        </w:tc>
        <w:tc>
          <w:tcPr>
            <w:tcW w:w="4519" w:type="dxa"/>
          </w:tcPr>
          <w:p w:rsidR="006C2BEC" w:rsidRPr="00915C86" w:rsidP="003C743A">
            <w:pPr>
              <w:spacing w:after="0"/>
            </w:pPr>
            <w:r w:rsidRPr="00915C86">
              <w:t>TREND IN CASUALTIES - ‘PASSENGER’ CATEGORY</w:t>
            </w:r>
            <w:r w:rsidRPr="00915C86">
              <w:br/>
              <w:t>BREAKDOWN BY TYPE OF ACCIDENTS</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Collisioni ai treni</w:t>
            </w:r>
          </w:p>
        </w:tc>
        <w:tc>
          <w:tcPr>
            <w:tcW w:w="4519" w:type="dxa"/>
          </w:tcPr>
          <w:p w:rsidR="006C2BEC" w:rsidRPr="00915C86" w:rsidP="003C743A">
            <w:pPr>
              <w:spacing w:after="0"/>
            </w:pPr>
            <w:r w:rsidRPr="00915C86">
              <w:t>Train collisions</w:t>
            </w:r>
          </w:p>
        </w:tc>
      </w:tr>
      <w:tr w:rsidTr="003C743A">
        <w:tblPrEx>
          <w:tblW w:w="0" w:type="auto"/>
          <w:tblLook w:val="04A0"/>
        </w:tblPrEx>
        <w:tc>
          <w:tcPr>
            <w:tcW w:w="4519" w:type="dxa"/>
          </w:tcPr>
          <w:p w:rsidR="006C2BEC" w:rsidRPr="00915C86" w:rsidP="003C743A">
            <w:pPr>
              <w:spacing w:after="0"/>
            </w:pPr>
            <w:r w:rsidRPr="00915C86">
              <w:t>Deragliamenti di treni</w:t>
            </w:r>
          </w:p>
        </w:tc>
        <w:tc>
          <w:tcPr>
            <w:tcW w:w="4519" w:type="dxa"/>
          </w:tcPr>
          <w:p w:rsidR="006C2BEC" w:rsidRPr="00915C86" w:rsidP="003C743A">
            <w:pPr>
              <w:spacing w:after="0"/>
            </w:pPr>
            <w:r w:rsidRPr="00915C86">
              <w:t>Train derailments</w:t>
            </w:r>
          </w:p>
        </w:tc>
      </w:tr>
      <w:tr w:rsidTr="003C743A">
        <w:tblPrEx>
          <w:tblW w:w="0" w:type="auto"/>
          <w:tblLook w:val="04A0"/>
        </w:tblPrEx>
        <w:tc>
          <w:tcPr>
            <w:tcW w:w="4519" w:type="dxa"/>
          </w:tcPr>
          <w:p w:rsidR="006C2BEC" w:rsidRPr="00915C86" w:rsidP="003C743A">
            <w:pPr>
              <w:spacing w:after="0"/>
            </w:pPr>
            <w:r w:rsidRPr="00915C86">
              <w:t>Incidenti ai PL</w:t>
            </w:r>
          </w:p>
        </w:tc>
        <w:tc>
          <w:tcPr>
            <w:tcW w:w="4519" w:type="dxa"/>
          </w:tcPr>
          <w:p w:rsidR="006C2BEC" w:rsidRPr="00915C86" w:rsidP="003C743A">
            <w:pPr>
              <w:spacing w:after="0"/>
            </w:pPr>
            <w:r w:rsidRPr="00915C86">
              <w:t>LC accidents</w:t>
            </w:r>
          </w:p>
        </w:tc>
      </w:tr>
      <w:tr w:rsidTr="003C743A">
        <w:tblPrEx>
          <w:tblW w:w="0" w:type="auto"/>
          <w:tblLook w:val="04A0"/>
        </w:tblPrEx>
        <w:tc>
          <w:tcPr>
            <w:tcW w:w="4519" w:type="dxa"/>
          </w:tcPr>
          <w:p w:rsidR="006C2BEC" w:rsidRPr="00915C86" w:rsidP="003C743A">
            <w:pPr>
              <w:spacing w:after="0"/>
            </w:pPr>
            <w:r w:rsidRPr="00915C86">
              <w:t>Incidenti alle persone provocati da materiale rotabile</w:t>
            </w:r>
          </w:p>
        </w:tc>
        <w:tc>
          <w:tcPr>
            <w:tcW w:w="4519" w:type="dxa"/>
          </w:tcPr>
          <w:p w:rsidR="006C2BEC" w:rsidRPr="00915C86" w:rsidP="003C743A">
            <w:pPr>
              <w:spacing w:after="0"/>
            </w:pPr>
            <w:r w:rsidRPr="00915C86">
              <w:t>Accidents to persons caused by rolling stock</w:t>
            </w:r>
          </w:p>
        </w:tc>
      </w:tr>
      <w:tr w:rsidTr="003C743A">
        <w:tblPrEx>
          <w:tblW w:w="0" w:type="auto"/>
          <w:tblLook w:val="04A0"/>
        </w:tblPrEx>
        <w:tc>
          <w:tcPr>
            <w:tcW w:w="4519" w:type="dxa"/>
          </w:tcPr>
          <w:p w:rsidR="006C2BEC" w:rsidRPr="00915C86" w:rsidP="003C743A">
            <w:pPr>
              <w:spacing w:after="0"/>
            </w:pPr>
            <w:r w:rsidRPr="00915C86">
              <w:t>Incidenti di materiale rotabile</w:t>
            </w:r>
          </w:p>
        </w:tc>
        <w:tc>
          <w:tcPr>
            <w:tcW w:w="4519" w:type="dxa"/>
          </w:tcPr>
          <w:p w:rsidR="006C2BEC" w:rsidRPr="00915C86" w:rsidP="003C743A">
            <w:pPr>
              <w:spacing w:after="0"/>
            </w:pPr>
            <w:r w:rsidRPr="00915C86">
              <w:t>Rolling stock accidents</w:t>
            </w:r>
          </w:p>
        </w:tc>
      </w:tr>
      <w:tr w:rsidTr="003C743A">
        <w:tblPrEx>
          <w:tblW w:w="0" w:type="auto"/>
          <w:tblLook w:val="04A0"/>
        </w:tblPrEx>
        <w:tc>
          <w:tcPr>
            <w:tcW w:w="4519" w:type="dxa"/>
          </w:tcPr>
          <w:p w:rsidR="006C2BEC" w:rsidRPr="00915C86" w:rsidP="003C743A">
            <w:pPr>
              <w:spacing w:after="0"/>
            </w:pPr>
            <w:r w:rsidRPr="00915C86">
              <w:t>Altri</w:t>
            </w:r>
          </w:p>
        </w:tc>
        <w:tc>
          <w:tcPr>
            <w:tcW w:w="4519" w:type="dxa"/>
          </w:tcPr>
          <w:p w:rsidR="006C2BEC" w:rsidRPr="00915C86" w:rsidP="003C743A">
            <w:pPr>
              <w:spacing w:after="0"/>
            </w:pPr>
            <w:r w:rsidRPr="00915C86">
              <w:t>Others</w:t>
            </w:r>
          </w:p>
        </w:tc>
      </w:tr>
      <w:tr w:rsidTr="003C743A">
        <w:tblPrEx>
          <w:tblW w:w="0" w:type="auto"/>
          <w:tblLook w:val="04A0"/>
        </w:tblPrEx>
        <w:tc>
          <w:tcPr>
            <w:tcW w:w="4519" w:type="dxa"/>
          </w:tcPr>
          <w:p w:rsidR="006C2BEC" w:rsidRPr="00915C86" w:rsidP="003C743A">
            <w:pPr>
              <w:spacing w:after="0"/>
            </w:pPr>
            <w:r w:rsidRPr="00915C86">
              <w:t>TOTALE</w:t>
            </w:r>
          </w:p>
        </w:tc>
        <w:tc>
          <w:tcPr>
            <w:tcW w:w="4519" w:type="dxa"/>
          </w:tcPr>
          <w:p w:rsidR="006C2BEC" w:rsidRPr="00915C86" w:rsidP="003C743A">
            <w:pPr>
              <w:spacing w:after="0"/>
            </w:pPr>
            <w:r w:rsidRPr="00915C86">
              <w:t>TOTAL</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In the relevant time frame, with the exception of 2016 findings, the category ‘accidents caused by rolling stock in motion’ represented the prevalent type for casualties recorded among ‘staff’. The trend in this case is decreasing (next graph).</w:t>
      </w:r>
    </w:p>
    <w:p w:rsidR="006C2BEC" w:rsidRPr="00915C86" w:rsidP="006C2BEC">
      <w:pPr>
        <w:spacing w:before="120"/>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64384" behindDoc="0" locked="0" layoutInCell="1" allowOverlap="1">
                <wp:simplePos x="0" y="0"/>
                <wp:positionH relativeFrom="column">
                  <wp:posOffset>3477334</wp:posOffset>
                </wp:positionH>
                <wp:positionV relativeFrom="paragraph">
                  <wp:posOffset>2569770</wp:posOffset>
                </wp:positionV>
                <wp:extent cx="634701" cy="182880"/>
                <wp:effectExtent l="0" t="0" r="0" b="0"/>
                <wp:wrapNone/>
                <wp:docPr id="22" name="Gruppo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23"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4"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2" o:spid="_x0000_s1059" style="width:50pt;height:14.4pt;margin-top:202.35pt;margin-left:273.8pt;mso-height-relative:margin;mso-width-relative:margin;position:absolute;z-index:251665408" coordsize="6799,2482">
                <v:shape id="_x0000_s1060"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61"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894730" cy="2838712"/>
            <wp:effectExtent l="0" t="0" r="1270" b="0"/>
            <wp:docPr id="49" name="Gra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C2BEC" w:rsidRPr="00915C86" w:rsidP="006C2BEC">
      <w:pPr>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r w:rsidRPr="00915C86">
              <w:t>ANDAMENTO DELLE VITTIME - CATEGORIA  "PERSONALE"</w:t>
            </w:r>
            <w:r w:rsidRPr="00915C86">
              <w:br/>
              <w:t>SCOMPOSIZIONE PER TIPOLOGIA DI INCIDENTE</w:t>
            </w:r>
          </w:p>
          <w:p w:rsidR="006C2BEC" w:rsidRPr="00915C86" w:rsidP="003C743A">
            <w:r w:rsidRPr="00915C86">
              <w:t>[Rete IT]</w:t>
            </w:r>
          </w:p>
        </w:tc>
        <w:tc>
          <w:tcPr>
            <w:tcW w:w="4519" w:type="dxa"/>
          </w:tcPr>
          <w:p w:rsidR="006C2BEC" w:rsidRPr="00915C86" w:rsidP="003C743A">
            <w:r w:rsidRPr="00915C86">
              <w:t>TREND IN CASUALTIES - ‘STAFF’ CATEGORY</w:t>
            </w:r>
            <w:r w:rsidRPr="00915C86">
              <w:br/>
              <w:t>BREAKDOWN BY TYPE OF ACCIDENT</w:t>
            </w:r>
          </w:p>
          <w:p w:rsidR="006C2BEC" w:rsidRPr="00915C86" w:rsidP="003C743A">
            <w:r w:rsidRPr="00915C86">
              <w:t>(IT Network)</w:t>
            </w:r>
          </w:p>
        </w:tc>
      </w:tr>
      <w:tr w:rsidTr="003C743A">
        <w:tblPrEx>
          <w:tblW w:w="0" w:type="auto"/>
          <w:tblLook w:val="04A0"/>
        </w:tblPrEx>
        <w:tc>
          <w:tcPr>
            <w:tcW w:w="4519" w:type="dxa"/>
          </w:tcPr>
          <w:p w:rsidR="006C2BEC" w:rsidRPr="00915C86" w:rsidP="003C743A">
            <w:pPr>
              <w:spacing w:after="0"/>
            </w:pPr>
            <w:r w:rsidRPr="00915C86">
              <w:t>Collisioni ai treni</w:t>
            </w:r>
          </w:p>
        </w:tc>
        <w:tc>
          <w:tcPr>
            <w:tcW w:w="4519" w:type="dxa"/>
          </w:tcPr>
          <w:p w:rsidR="006C2BEC" w:rsidRPr="00915C86" w:rsidP="003C743A">
            <w:pPr>
              <w:spacing w:after="0"/>
            </w:pPr>
            <w:r w:rsidRPr="00915C86">
              <w:t>Train collisions</w:t>
            </w:r>
          </w:p>
        </w:tc>
      </w:tr>
      <w:tr w:rsidTr="003C743A">
        <w:tblPrEx>
          <w:tblW w:w="0" w:type="auto"/>
          <w:tblLook w:val="04A0"/>
        </w:tblPrEx>
        <w:tc>
          <w:tcPr>
            <w:tcW w:w="4519" w:type="dxa"/>
          </w:tcPr>
          <w:p w:rsidR="006C2BEC" w:rsidRPr="00915C86" w:rsidP="003C743A">
            <w:pPr>
              <w:spacing w:after="0"/>
            </w:pPr>
            <w:r w:rsidRPr="00915C86">
              <w:t>Deragliamenti di treni</w:t>
            </w:r>
          </w:p>
        </w:tc>
        <w:tc>
          <w:tcPr>
            <w:tcW w:w="4519" w:type="dxa"/>
          </w:tcPr>
          <w:p w:rsidR="006C2BEC" w:rsidRPr="00915C86" w:rsidP="003C743A">
            <w:pPr>
              <w:spacing w:after="0"/>
            </w:pPr>
            <w:r w:rsidRPr="00915C86">
              <w:t>Train derailments</w:t>
            </w:r>
          </w:p>
        </w:tc>
      </w:tr>
      <w:tr w:rsidTr="003C743A">
        <w:tblPrEx>
          <w:tblW w:w="0" w:type="auto"/>
          <w:tblLook w:val="04A0"/>
        </w:tblPrEx>
        <w:tc>
          <w:tcPr>
            <w:tcW w:w="4519" w:type="dxa"/>
          </w:tcPr>
          <w:p w:rsidR="006C2BEC" w:rsidRPr="00915C86" w:rsidP="003C743A">
            <w:pPr>
              <w:spacing w:after="0"/>
            </w:pPr>
            <w:r w:rsidRPr="00915C86">
              <w:t>Incidenti ai PL</w:t>
            </w:r>
          </w:p>
        </w:tc>
        <w:tc>
          <w:tcPr>
            <w:tcW w:w="4519" w:type="dxa"/>
          </w:tcPr>
          <w:p w:rsidR="006C2BEC" w:rsidRPr="00915C86" w:rsidP="003C743A">
            <w:pPr>
              <w:spacing w:after="0"/>
            </w:pPr>
            <w:r w:rsidRPr="00915C86">
              <w:t>LC accidents</w:t>
            </w:r>
          </w:p>
        </w:tc>
      </w:tr>
      <w:tr w:rsidTr="003C743A">
        <w:tblPrEx>
          <w:tblW w:w="0" w:type="auto"/>
          <w:tblLook w:val="04A0"/>
        </w:tblPrEx>
        <w:tc>
          <w:tcPr>
            <w:tcW w:w="4519" w:type="dxa"/>
          </w:tcPr>
          <w:p w:rsidR="006C2BEC" w:rsidRPr="00915C86" w:rsidP="003C743A">
            <w:pPr>
              <w:spacing w:after="0"/>
            </w:pPr>
            <w:r w:rsidRPr="00915C86">
              <w:t>Incidenti alle persone provocati da materiale rotabile</w:t>
            </w:r>
          </w:p>
        </w:tc>
        <w:tc>
          <w:tcPr>
            <w:tcW w:w="4519" w:type="dxa"/>
          </w:tcPr>
          <w:p w:rsidR="006C2BEC" w:rsidRPr="00915C86" w:rsidP="003C743A">
            <w:pPr>
              <w:spacing w:after="0"/>
            </w:pPr>
            <w:r w:rsidRPr="00915C86">
              <w:t>Accidents to persons caused by rolling stock</w:t>
            </w:r>
          </w:p>
        </w:tc>
      </w:tr>
      <w:tr w:rsidTr="003C743A">
        <w:tblPrEx>
          <w:tblW w:w="0" w:type="auto"/>
          <w:tblLook w:val="04A0"/>
        </w:tblPrEx>
        <w:tc>
          <w:tcPr>
            <w:tcW w:w="4519" w:type="dxa"/>
          </w:tcPr>
          <w:p w:rsidR="006C2BEC" w:rsidRPr="00915C86" w:rsidP="003C743A">
            <w:pPr>
              <w:spacing w:after="0"/>
            </w:pPr>
            <w:r w:rsidRPr="00915C86">
              <w:t>Incidenti di materiale rotabile</w:t>
            </w:r>
          </w:p>
        </w:tc>
        <w:tc>
          <w:tcPr>
            <w:tcW w:w="4519" w:type="dxa"/>
          </w:tcPr>
          <w:p w:rsidR="006C2BEC" w:rsidRPr="00915C86" w:rsidP="003C743A">
            <w:pPr>
              <w:spacing w:after="0"/>
            </w:pPr>
            <w:r w:rsidRPr="00915C86">
              <w:t>Rolling stock accidents</w:t>
            </w:r>
          </w:p>
        </w:tc>
      </w:tr>
      <w:tr w:rsidTr="003C743A">
        <w:tblPrEx>
          <w:tblW w:w="0" w:type="auto"/>
          <w:tblLook w:val="04A0"/>
        </w:tblPrEx>
        <w:tc>
          <w:tcPr>
            <w:tcW w:w="4519" w:type="dxa"/>
          </w:tcPr>
          <w:p w:rsidR="006C2BEC" w:rsidRPr="00915C86" w:rsidP="003C743A">
            <w:pPr>
              <w:spacing w:after="0"/>
            </w:pPr>
            <w:r w:rsidRPr="00915C86">
              <w:t>Altri</w:t>
            </w:r>
          </w:p>
        </w:tc>
        <w:tc>
          <w:tcPr>
            <w:tcW w:w="4519" w:type="dxa"/>
          </w:tcPr>
          <w:p w:rsidR="006C2BEC" w:rsidRPr="00915C86" w:rsidP="003C743A">
            <w:pPr>
              <w:spacing w:after="0"/>
            </w:pPr>
            <w:r w:rsidRPr="00915C86">
              <w:t>Others</w:t>
            </w:r>
          </w:p>
        </w:tc>
      </w:tr>
    </w:tbl>
    <w:p w:rsidR="006C2BEC" w:rsidRPr="00915C86" w:rsidP="006C2BEC"/>
    <w:p w:rsidR="006C2BEC" w:rsidRPr="00915C86" w:rsidP="006C2BEC">
      <w:pPr>
        <w:spacing w:before="240" w:after="240"/>
        <w:rPr>
          <w:rFonts w:ascii="Century Gothic" w:hAnsi="Century Gothic" w:cs="Century Gothic"/>
          <w:sz w:val="20"/>
          <w:szCs w:val="20"/>
        </w:rPr>
      </w:pPr>
      <w:r w:rsidRPr="00915C86">
        <w:rPr>
          <w:rFonts w:ascii="Century Gothic" w:hAnsi="Century Gothic"/>
          <w:sz w:val="20"/>
          <w:szCs w:val="20"/>
        </w:rPr>
        <w:t>Analysing numbers of ‘accidents to persons caused by rolling stock in motion’ on the (IT Network) (next graph) in relation to traffic on the network shows a barely fluctuating trend, although in recent years it has been below the average value for the period 2007-2017.</w:t>
      </w:r>
    </w:p>
    <w:p w:rsidR="006C2BEC" w:rsidRPr="00915C86" w:rsidP="006C2BEC">
      <w:pPr>
        <w:spacing w:before="240" w:after="240"/>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66432" behindDoc="0" locked="0" layoutInCell="1" allowOverlap="1">
                <wp:simplePos x="0" y="0"/>
                <wp:positionH relativeFrom="column">
                  <wp:posOffset>4306271</wp:posOffset>
                </wp:positionH>
                <wp:positionV relativeFrom="paragraph">
                  <wp:posOffset>2816599</wp:posOffset>
                </wp:positionV>
                <wp:extent cx="705814" cy="204395"/>
                <wp:effectExtent l="0" t="0" r="0" b="5715"/>
                <wp:wrapNone/>
                <wp:docPr id="199" name="Gruppo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705814" cy="204395"/>
                          <a:chOff x="0" y="0"/>
                          <a:chExt cx="705814" cy="204395"/>
                        </a:xfrm>
                      </wpg:grpSpPr>
                      <wps:wsp xmlns:wps="http://schemas.microsoft.com/office/word/2010/wordprocessingShape">
                        <wps:cNvPr id="197" name="Casella di testo 2"/>
                        <wps:cNvSpPr txBox="1">
                          <a:spLocks noChangeArrowheads="1"/>
                        </wps:cNvSpPr>
                        <wps:spPr bwMode="auto">
                          <a:xfrm>
                            <a:off x="0" y="21515"/>
                            <a:ext cx="361315"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198" name="Casella di testo 2"/>
                        <wps:cNvSpPr txBox="1">
                          <a:spLocks noChangeArrowheads="1"/>
                        </wps:cNvSpPr>
                        <wps:spPr bwMode="auto">
                          <a:xfrm>
                            <a:off x="344245"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anchor>
            </w:drawing>
          </mc:Choice>
          <mc:Fallback>
            <w:pict>
              <v:group id="Gruppo 199" o:spid="_x0000_s1062" style="width:55.6pt;height:16.1pt;margin-top:221.8pt;margin-left:339.1pt;position:absolute;z-index:251667456" coordsize="7058,2043">
                <v:shape id="_x0000_s1063" type="#_x0000_t202" style="width:3613;height:1828;mso-wrap-style:square;position:absolute;top:215;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64" type="#_x0000_t202" style="width:3616;height:1828;left:344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955908" cy="3394647"/>
            <wp:effectExtent l="0" t="0" r="16510" b="15875"/>
            <wp:docPr id="25" name="Gra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p w:rsidR="006C2BEC" w:rsidRPr="00915C86" w:rsidP="006C2BEC">
      <w:pPr>
        <w:spacing w:after="0"/>
        <w:jc w:val="center"/>
        <w:rPr>
          <w:rFonts w:ascii="Century Gothic" w:hAnsi="Century Gothic" w:cs="Century Gothic"/>
          <w:sz w:val="18"/>
          <w:szCs w:val="20"/>
        </w:rPr>
      </w:pP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INCIDENTI SIGNIFICATIVI ALLE PERSONE PROVOCATI DA MATERIALE ROTABILE IN MOVIMENTO</w:t>
            </w:r>
          </w:p>
          <w:p w:rsidR="006C2BEC" w:rsidRPr="00915C86" w:rsidP="003C743A">
            <w:pPr>
              <w:spacing w:after="0"/>
            </w:pPr>
            <w:r w:rsidRPr="00915C86">
              <w:t>[Rete IT]</w:t>
            </w:r>
          </w:p>
        </w:tc>
        <w:tc>
          <w:tcPr>
            <w:tcW w:w="4519" w:type="dxa"/>
          </w:tcPr>
          <w:p w:rsidR="006C2BEC" w:rsidRPr="00915C86" w:rsidP="003C743A">
            <w:pPr>
              <w:spacing w:after="0"/>
            </w:pPr>
            <w:r w:rsidRPr="00915C86">
              <w:t>SIGNIFICANT ACCIDENTS TO PERSONS CAUSED BY ROLLING STOCK IN MOTION</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r w:rsidTr="003C743A">
        <w:tblPrEx>
          <w:tblW w:w="0" w:type="auto"/>
          <w:tblLook w:val="04A0"/>
        </w:tblPrEx>
        <w:tc>
          <w:tcPr>
            <w:tcW w:w="4519" w:type="dxa"/>
          </w:tcPr>
          <w:p w:rsidR="006C2BEC" w:rsidRPr="00915C86" w:rsidP="003C743A">
            <w:pPr>
              <w:spacing w:after="0"/>
            </w:pPr>
            <w:r w:rsidRPr="00915C86">
              <w:t>[Rete RFI]</w:t>
            </w:r>
          </w:p>
        </w:tc>
        <w:tc>
          <w:tcPr>
            <w:tcW w:w="4519" w:type="dxa"/>
          </w:tcPr>
          <w:p w:rsidR="006C2BEC" w:rsidRPr="00915C86" w:rsidP="003C743A">
            <w:pPr>
              <w:spacing w:after="0"/>
            </w:pPr>
            <w:r w:rsidRPr="00915C86">
              <w:t>(RFI network)</w:t>
            </w:r>
          </w:p>
        </w:tc>
      </w:tr>
      <w:tr w:rsidTr="003C743A">
        <w:tblPrEx>
          <w:tblW w:w="0" w:type="auto"/>
          <w:tblLook w:val="04A0"/>
        </w:tblPrEx>
        <w:tc>
          <w:tcPr>
            <w:tcW w:w="4519" w:type="dxa"/>
          </w:tcPr>
          <w:p w:rsidR="006C2BEC" w:rsidRPr="00915C86" w:rsidP="003C743A">
            <w:pPr>
              <w:spacing w:after="0"/>
            </w:pPr>
            <w:r w:rsidRPr="00915C86">
              <w:t>[Rete Regionali Interconesse]</w:t>
            </w:r>
          </w:p>
        </w:tc>
        <w:tc>
          <w:tcPr>
            <w:tcW w:w="4519" w:type="dxa"/>
          </w:tcPr>
          <w:p w:rsidR="006C2BEC" w:rsidRPr="00915C86" w:rsidP="003C743A">
            <w:pPr>
              <w:spacing w:after="0"/>
            </w:pPr>
            <w:r w:rsidRPr="00915C86">
              <w:t>(Interconnected Regional Network)</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As in previous years, this category remains the most common and high-impact type of accident in 2017, accounting for approximately 73% of significant accidents recorded and causing nearly 83% of casualties. In 2017, only one significant accident occurred, involving multiple casualties. One of the main components of this accident is linked to the category ‘unauthorised persons on the railway track’ which is still the category with the highest impact on the overall number of casualties, showing a growing trend over the reference period (2007-2017).</w:t>
      </w:r>
    </w:p>
    <w:p w:rsidR="006C2BEC" w:rsidRPr="00915C86" w:rsidP="006C2BEC">
      <w:pPr>
        <w:spacing w:before="240"/>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68480" behindDoc="0" locked="0" layoutInCell="1" allowOverlap="1">
                <wp:simplePos x="0" y="0"/>
                <wp:positionH relativeFrom="column">
                  <wp:posOffset>4364827</wp:posOffset>
                </wp:positionH>
                <wp:positionV relativeFrom="paragraph">
                  <wp:posOffset>2416596</wp:posOffset>
                </wp:positionV>
                <wp:extent cx="716571" cy="182880"/>
                <wp:effectExtent l="0" t="0" r="0" b="0"/>
                <wp:wrapNone/>
                <wp:docPr id="203" name="Gruppo 203"/>
                <wp:cNvGraphicFramePr/>
                <a:graphic xmlns:a="http://schemas.openxmlformats.org/drawingml/2006/main">
                  <a:graphicData uri="http://schemas.microsoft.com/office/word/2010/wordprocessingGroup">
                    <wpg:wgp xmlns:wpg="http://schemas.microsoft.com/office/word/2010/wordprocessingGroup">
                      <wpg:cNvGrpSpPr/>
                      <wpg:grpSpPr>
                        <a:xfrm>
                          <a:off x="0" y="0"/>
                          <a:ext cx="716571" cy="182880"/>
                          <a:chOff x="0" y="0"/>
                          <a:chExt cx="716571" cy="182880"/>
                        </a:xfrm>
                      </wpg:grpSpPr>
                      <wps:wsp xmlns:wps="http://schemas.microsoft.com/office/word/2010/wordprocessingShape">
                        <wps:cNvPr id="201" name="Casella di testo 2"/>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02" name="Casella di testo 2"/>
                        <wps:cNvSpPr txBox="1">
                          <a:spLocks noChangeArrowheads="1"/>
                        </wps:cNvSpPr>
                        <wps:spPr bwMode="auto">
                          <a:xfrm>
                            <a:off x="355002"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anchor>
            </w:drawing>
          </mc:Choice>
          <mc:Fallback>
            <w:pict>
              <v:group id="Gruppo 203" o:spid="_x0000_s1065" style="width:56.4pt;height:14.4pt;margin-top:190.3pt;margin-left:343.7pt;position:absolute;z-index:251669504" coordsize="7165,1828">
                <v:shape id="_x0000_s1066" type="#_x0000_t202" style="width:3615;height:1828;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67" type="#_x0000_t202" style="width:3615;height:1828;left:3550;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227755" cy="2578698"/>
            <wp:effectExtent l="0" t="0" r="1905" b="12700"/>
            <wp:docPr id="26" name="Gra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VITTIME della categoria "PERSONE NON AUTORIZZATE"</w:t>
            </w:r>
          </w:p>
          <w:p w:rsidR="006C2BEC" w:rsidRPr="00915C86" w:rsidP="003C743A">
            <w:pPr>
              <w:spacing w:after="0"/>
            </w:pPr>
            <w:r w:rsidRPr="00915C86">
              <w:t>[Rete IT]</w:t>
            </w:r>
          </w:p>
        </w:tc>
        <w:tc>
          <w:tcPr>
            <w:tcW w:w="4519" w:type="dxa"/>
          </w:tcPr>
          <w:p w:rsidR="006C2BEC" w:rsidRPr="00915C86" w:rsidP="003C743A">
            <w:pPr>
              <w:spacing w:after="0"/>
            </w:pPr>
            <w:r w:rsidRPr="00915C86">
              <w:t>CASUALTIES in the ‘UNAUTHORISED PERSONS’ category</w:t>
            </w:r>
          </w:p>
          <w:p w:rsidR="006C2BEC" w:rsidRPr="00915C86" w:rsidP="003C743A">
            <w:pPr>
              <w:spacing w:after="0"/>
            </w:pPr>
            <w:r w:rsidRPr="00915C86">
              <w:t>(IT Network)</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In 2017, the reference value (NRV) established for the category ‘unauthorised persons on railway premises (5)’ in Italy was again exceeded. This category is clearly influenced by trespassing pedestrians. The data used to determine the National Reference Value (NRV) and any surplus refer to the entire Italian railway system (including isolated railways) and not only the part for which ANSF is responsible. The trend in casualties (previous graph) over the last few years is approximately stable. Because the actions taken have proved ineffective, solutions must be sought in areas that are not exclusively railway-related.</w:t>
      </w:r>
    </w:p>
    <w:p w:rsidR="006C2BEC" w:rsidRPr="00915C86" w:rsidP="006C2BEC">
      <w:pPr>
        <w:rPr>
          <w:rFonts w:ascii="Century Gothic" w:hAnsi="Century Gothic" w:cs="Century Gothic"/>
          <w:sz w:val="20"/>
          <w:szCs w:val="20"/>
        </w:rPr>
      </w:pPr>
      <w:r w:rsidRPr="00915C86">
        <w:rPr>
          <w:rFonts w:ascii="Century Gothic" w:hAnsi="Century Gothic"/>
          <w:sz w:val="20"/>
          <w:szCs w:val="20"/>
        </w:rPr>
        <w:t>We will now go on to analyse accidents at level crossings and associated casualties. This indicator showed a fluctuating trend during the period in question, with values for the last five years close to the average value for the period. In 2017, they accounted for nearly 12% of total significant accidents and caused approximately 10% of casualties (see graphs below). The ‘LC casualty’ component was made up exclusively of LC users in 2017. Events also involving ‘passenger’ and ‘staff’ categories have occurred only sporadically over the years.</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70528" behindDoc="0" locked="0" layoutInCell="1" allowOverlap="1">
                <wp:simplePos x="0" y="0"/>
                <wp:positionH relativeFrom="column">
                  <wp:posOffset>4201014</wp:posOffset>
                </wp:positionH>
                <wp:positionV relativeFrom="paragraph">
                  <wp:posOffset>2408982</wp:posOffset>
                </wp:positionV>
                <wp:extent cx="683191" cy="182917"/>
                <wp:effectExtent l="0" t="0" r="0" b="0"/>
                <wp:wrapNone/>
                <wp:docPr id="204" name="Gruppo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3191" cy="182917"/>
                          <a:chOff x="0" y="-50"/>
                          <a:chExt cx="731906" cy="248335"/>
                        </a:xfrm>
                      </wpg:grpSpPr>
                      <wps:wsp xmlns:wps="http://schemas.microsoft.com/office/word/2010/wordprocessingShape">
                        <wps:cNvPr id="205"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06" name="Casella di testo 2"/>
                        <wps:cNvSpPr txBox="1">
                          <a:spLocks noChangeArrowheads="1"/>
                        </wps:cNvSpPr>
                        <wps:spPr bwMode="auto">
                          <a:xfrm>
                            <a:off x="344556" y="-5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04" o:spid="_x0000_s1068" style="width:53.8pt;height:14.4pt;margin-top:189.7pt;margin-left:330.8pt;mso-height-relative:margin;mso-width-relative:margin;position:absolute;z-index:251671552" coordsize="7319,2483">
                <v:shape id="_x0000_s1069"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70" type="#_x0000_t202" style="width:3874;height:2482;left:3445;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572000" cy="2767476"/>
            <wp:effectExtent l="0" t="0" r="0" b="13970"/>
            <wp:docPr id="27" name="Gra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INCIDENTI SIGNIFICATIVI AI PASSAGGI A LIVELLO</w:t>
            </w:r>
          </w:p>
          <w:p w:rsidR="006C2BEC" w:rsidRPr="00915C86" w:rsidP="003C743A">
            <w:pPr>
              <w:spacing w:after="0"/>
            </w:pPr>
            <w:r w:rsidRPr="00915C86">
              <w:t>[Rete IT]</w:t>
            </w:r>
          </w:p>
        </w:tc>
        <w:tc>
          <w:tcPr>
            <w:tcW w:w="4519" w:type="dxa"/>
          </w:tcPr>
          <w:p w:rsidR="006C2BEC" w:rsidRPr="00915C86" w:rsidP="003C743A">
            <w:pPr>
              <w:spacing w:after="0"/>
            </w:pPr>
            <w:r w:rsidRPr="00915C86">
              <w:t>SIGNIFICANT LEVEL CROSSING ACCIDENTS</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r w:rsidTr="003C743A">
        <w:tblPrEx>
          <w:tblW w:w="0" w:type="auto"/>
          <w:tblLook w:val="04A0"/>
        </w:tblPrEx>
        <w:tc>
          <w:tcPr>
            <w:tcW w:w="4519" w:type="dxa"/>
          </w:tcPr>
          <w:p w:rsidR="006C2BEC" w:rsidRPr="00915C86" w:rsidP="003C743A">
            <w:pPr>
              <w:spacing w:after="0"/>
            </w:pPr>
            <w:r w:rsidRPr="00915C86">
              <w:t>[Rete RFI]</w:t>
            </w:r>
          </w:p>
        </w:tc>
        <w:tc>
          <w:tcPr>
            <w:tcW w:w="4519" w:type="dxa"/>
          </w:tcPr>
          <w:p w:rsidR="006C2BEC" w:rsidRPr="00915C86" w:rsidP="003C743A">
            <w:pPr>
              <w:spacing w:after="0"/>
            </w:pPr>
            <w:r w:rsidRPr="00915C86">
              <w:t>(RFI network)</w:t>
            </w:r>
          </w:p>
        </w:tc>
      </w:tr>
      <w:tr w:rsidTr="003C743A">
        <w:tblPrEx>
          <w:tblW w:w="0" w:type="auto"/>
          <w:tblLook w:val="04A0"/>
        </w:tblPrEx>
        <w:tc>
          <w:tcPr>
            <w:tcW w:w="4519" w:type="dxa"/>
          </w:tcPr>
          <w:p w:rsidR="006C2BEC" w:rsidRPr="00915C86" w:rsidP="003C743A">
            <w:pPr>
              <w:spacing w:after="0"/>
            </w:pPr>
            <w:r w:rsidRPr="00915C86">
              <w:t>[Rete Regionali Interconesse]</w:t>
            </w:r>
          </w:p>
        </w:tc>
        <w:tc>
          <w:tcPr>
            <w:tcW w:w="4519" w:type="dxa"/>
          </w:tcPr>
          <w:p w:rsidR="006C2BEC" w:rsidRPr="00915C86" w:rsidP="003C743A">
            <w:pPr>
              <w:spacing w:after="0"/>
            </w:pPr>
            <w:r w:rsidRPr="00915C86">
              <w:t>(Interconnected Regional Network)</w:t>
            </w:r>
          </w:p>
        </w:tc>
      </w:tr>
    </w:tbl>
    <w:p w:rsidR="006C2BEC" w:rsidRPr="00915C86" w:rsidP="006C2BEC"/>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s">
            <w:drawing>
              <wp:anchor distT="0" distB="0" distL="114300" distR="114300" simplePos="0" relativeHeight="251674624" behindDoc="0" locked="0" layoutInCell="1" allowOverlap="1">
                <wp:simplePos x="0" y="0"/>
                <wp:positionH relativeFrom="column">
                  <wp:posOffset>4898862</wp:posOffset>
                </wp:positionH>
                <wp:positionV relativeFrom="paragraph">
                  <wp:posOffset>2954346</wp:posOffset>
                </wp:positionV>
                <wp:extent cx="361569" cy="182880"/>
                <wp:effectExtent l="0" t="0" r="0" b="0"/>
                <wp:wrapNone/>
                <wp:docPr id="47"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Casella di testo 2" o:spid="_x0000_s1071" type="#_x0000_t202" style="width:28.45pt;height:14.4pt;margin-top:232.65pt;margin-left:385.75pt;mso-wrap-distance-bottom:0;mso-wrap-distance-left:9pt;mso-wrap-distance-right:9pt;mso-wrap-distance-top:0;mso-wrap-style:square;position:absolute;visibility:visible;v-text-anchor:top;z-index:251675648"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mc:AlternateContent>
          <mc:Choice Requires="wps">
            <w:drawing>
              <wp:anchor distT="0" distB="0" distL="114300" distR="114300" simplePos="0" relativeHeight="251672576" behindDoc="0" locked="0" layoutInCell="1" allowOverlap="1">
                <wp:simplePos x="0" y="0"/>
                <wp:positionH relativeFrom="column">
                  <wp:posOffset>4512945</wp:posOffset>
                </wp:positionH>
                <wp:positionV relativeFrom="paragraph">
                  <wp:posOffset>2954526</wp:posOffset>
                </wp:positionV>
                <wp:extent cx="361315" cy="182880"/>
                <wp:effectExtent l="0" t="0" r="0" b="0"/>
                <wp:wrapNone/>
                <wp:docPr id="46"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315"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72" type="#_x0000_t202" style="width:28.45pt;height:14.4pt;margin-top:232.65pt;margin-left:355.35pt;mso-wrap-distance-bottom:0;mso-wrap-distance-left:9pt;mso-wrap-distance-right:9pt;mso-wrap-distance-top:0;mso-wrap-style:square;position:absolute;visibility:visible;v-text-anchor:top;z-index:251673600"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w:drawing>
          <wp:inline distT="0" distB="0" distL="0" distR="0">
            <wp:extent cx="4644829" cy="3265675"/>
            <wp:effectExtent l="0" t="0" r="3810" b="11430"/>
            <wp:docPr id="29" name="Gra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r w:rsidRPr="00915C86">
              <w:t>VITTIME AI PASSAGGI A LIVELLO</w:t>
            </w:r>
          </w:p>
          <w:p w:rsidR="006C2BEC" w:rsidRPr="00915C86" w:rsidP="003C743A">
            <w:r w:rsidRPr="00915C86">
              <w:t>[Rete IT]</w:t>
            </w:r>
          </w:p>
        </w:tc>
        <w:tc>
          <w:tcPr>
            <w:tcW w:w="4519" w:type="dxa"/>
          </w:tcPr>
          <w:p w:rsidR="006C2BEC" w:rsidRPr="00915C86" w:rsidP="003C743A">
            <w:r w:rsidRPr="00915C86">
              <w:t>CASUALTIES AT LEVEL CROSSINGS</w:t>
            </w:r>
          </w:p>
          <w:p w:rsidR="006C2BEC" w:rsidRPr="00915C86" w:rsidP="003C743A">
            <w:r w:rsidRPr="00915C86">
              <w:t>(IT Network)</w:t>
            </w:r>
          </w:p>
        </w:tc>
      </w:tr>
    </w:tbl>
    <w:p w:rsidR="006C2BEC" w:rsidRPr="00915C86" w:rsidP="006C2BEC"/>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On the (RFI Network) between 2007 and 2017 the achieved removal of approximately 28% of units was reflected by a reduction of approximately 42% in significant accidents occurring at LCs. To date, it has not been possible to assess the impact of the increase in technology levels.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One additional factor to be analysed is the finding relating to ‘passengers’ involved in ‘accidents to persons caused by rolling stock in motion’, which essentially refers to events that involved personal injury while boarding and alighting from the doors of passenger trains.</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s">
            <w:drawing>
              <wp:anchor distT="0" distB="0" distL="114300" distR="114300" simplePos="0" relativeHeight="251678720" behindDoc="0" locked="0" layoutInCell="1" allowOverlap="1">
                <wp:simplePos x="0" y="0"/>
                <wp:positionH relativeFrom="column">
                  <wp:posOffset>4795219</wp:posOffset>
                </wp:positionH>
                <wp:positionV relativeFrom="paragraph">
                  <wp:posOffset>2598654</wp:posOffset>
                </wp:positionV>
                <wp:extent cx="361569" cy="182880"/>
                <wp:effectExtent l="0" t="0" r="0" b="0"/>
                <wp:wrapNone/>
                <wp:docPr id="60"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73" type="#_x0000_t202" style="width:28.45pt;height:14.4pt;margin-top:204.6pt;margin-left:377.6pt;mso-wrap-distance-bottom:0;mso-wrap-distance-left:9pt;mso-wrap-distance-right:9pt;mso-wrap-distance-top:0;mso-wrap-style:square;position:absolute;visibility:visible;v-text-anchor:top;z-index:251679744"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mc:AlternateContent>
          <mc:Choice Requires="wps">
            <w:drawing>
              <wp:anchor distT="0" distB="0" distL="114300" distR="114300" simplePos="0" relativeHeight="251676672" behindDoc="0" locked="0" layoutInCell="1" allowOverlap="1">
                <wp:simplePos x="0" y="0"/>
                <wp:positionH relativeFrom="column">
                  <wp:posOffset>4433570</wp:posOffset>
                </wp:positionH>
                <wp:positionV relativeFrom="paragraph">
                  <wp:posOffset>2607243</wp:posOffset>
                </wp:positionV>
                <wp:extent cx="361569" cy="182880"/>
                <wp:effectExtent l="0" t="0" r="0" b="0"/>
                <wp:wrapNone/>
                <wp:docPr id="51"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74" type="#_x0000_t202" style="width:28.45pt;height:14.4pt;margin-top:205.3pt;margin-left:349.1pt;mso-wrap-distance-bottom:0;mso-wrap-distance-left:9pt;mso-wrap-distance-right:9pt;mso-wrap-distance-top:0;mso-wrap-style:square;position:absolute;visibility:visible;v-text-anchor:top;z-index:251677696"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w:drawing>
          <wp:inline distT="0" distB="0" distL="0" distR="0">
            <wp:extent cx="4362450" cy="2867025"/>
            <wp:effectExtent l="0" t="0" r="0" b="9525"/>
            <wp:docPr id="30" name="Gra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r w:rsidRPr="00915C86">
              <w:t>VITTIME/Mln tr-km</w:t>
            </w:r>
          </w:p>
          <w:p w:rsidR="006C2BEC" w:rsidRPr="00915C86" w:rsidP="003C743A">
            <w:r w:rsidRPr="00915C86">
              <w:t>SALITA/DISCESA DA MATERIALE ROTABILE IN MOVIMENTO</w:t>
            </w:r>
          </w:p>
          <w:p w:rsidR="006C2BEC" w:rsidRPr="00915C86" w:rsidP="003C743A">
            <w:r w:rsidRPr="00915C86">
              <w:t>[Rete IT]</w:t>
            </w:r>
          </w:p>
        </w:tc>
        <w:tc>
          <w:tcPr>
            <w:tcW w:w="4519" w:type="dxa"/>
          </w:tcPr>
          <w:p w:rsidR="006C2BEC" w:rsidRPr="00915C86" w:rsidP="003C743A">
            <w:r w:rsidRPr="00915C86">
              <w:t>CASUALTIES/million tr-km</w:t>
            </w:r>
          </w:p>
          <w:p w:rsidR="006C2BEC" w:rsidRPr="00915C86" w:rsidP="003C743A">
            <w:r w:rsidRPr="00915C86">
              <w:t>BOARDING/ALIGHTING FROM ROLLING STOCK IN MOTION</w:t>
            </w:r>
          </w:p>
          <w:p w:rsidR="006C2BEC" w:rsidRPr="00915C86" w:rsidP="003C743A">
            <w:r w:rsidRPr="00915C86">
              <w:t>(IT Network)</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Casualties caused among passengers boarding/alighting from trains in 2017 were approximately 64% down compared to 2007 and approximately 30% down on the average for the period. However, there was an increase in the number of casualties compared to 2016. The accidents are mainly caused by improper behaviour but are sometimes also related to maintenance problems and incorrect application of operating procedures.</w:t>
      </w:r>
    </w:p>
    <w:p w:rsidR="006C2BEC" w:rsidRPr="00915C86" w:rsidP="006C2BEC">
      <w:pPr>
        <w:rPr>
          <w:rFonts w:ascii="Century Gothic" w:hAnsi="Century Gothic" w:cs="Century Gothic"/>
          <w:sz w:val="20"/>
          <w:szCs w:val="20"/>
        </w:rPr>
      </w:pPr>
      <w:r w:rsidRPr="00915C86">
        <w:rPr>
          <w:rFonts w:ascii="Century Gothic" w:hAnsi="Century Gothic"/>
          <w:sz w:val="20"/>
          <w:szCs w:val="20"/>
        </w:rPr>
        <w:t>The long-term result can be mainly attributed to the introduction of high-tech systems on train doors preventing unauthorised opening, such as door locking and correct side door enablement devices. In order to further improve the values or limit the fluctuation that occurred in recent years, the above safety devices, which ANSF has progressively been making compulsory since 2009, must be maintained in proper working order by the railway undertakings. The undertakings must also consider opportunities to update existing material to the most recent standards.</w:t>
      </w:r>
    </w:p>
    <w:p w:rsidR="006C2BEC" w:rsidRPr="00915C86" w:rsidP="006C2BEC">
      <w:pPr>
        <w:rPr>
          <w:rFonts w:ascii="Century Gothic" w:hAnsi="Century Gothic" w:cs="Century Gothic"/>
          <w:sz w:val="20"/>
          <w:szCs w:val="20"/>
        </w:rPr>
      </w:pPr>
      <w:r w:rsidRPr="00915C86">
        <w:rPr>
          <w:rFonts w:ascii="Century Gothic" w:hAnsi="Century Gothic"/>
          <w:sz w:val="20"/>
          <w:szCs w:val="20"/>
        </w:rPr>
        <w:t>In 2017, a single accident occurred. This took place on the (RFI Network), in a railway work site and led to casualties (two deaths). The data trend fluctuates greatly, as shown in the following graphs. An analysis of the accident revealed a need to improve relevant procedures, train the staff involved, conduct checks on working equipment and promote a positive culture of safety.</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s">
            <w:drawing>
              <wp:anchor distT="0" distB="0" distL="114300" distR="114300" simplePos="0" relativeHeight="251682816" behindDoc="0" locked="0" layoutInCell="1" allowOverlap="1">
                <wp:simplePos x="0" y="0"/>
                <wp:positionH relativeFrom="column">
                  <wp:posOffset>4853004</wp:posOffset>
                </wp:positionH>
                <wp:positionV relativeFrom="paragraph">
                  <wp:posOffset>2593975</wp:posOffset>
                </wp:positionV>
                <wp:extent cx="361569" cy="182880"/>
                <wp:effectExtent l="0" t="0" r="0" b="0"/>
                <wp:wrapNone/>
                <wp:docPr id="63"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75" type="#_x0000_t202" style="width:28.45pt;height:14.4pt;margin-top:204.25pt;margin-left:382.15pt;mso-wrap-distance-bottom:0;mso-wrap-distance-left:9pt;mso-wrap-distance-right:9pt;mso-wrap-distance-top:0;mso-wrap-style:square;position:absolute;visibility:visible;v-text-anchor:top;z-index:251683840"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mc:AlternateContent>
          <mc:Choice Requires="wps">
            <w:drawing>
              <wp:anchor distT="0" distB="0" distL="114300" distR="114300" simplePos="0" relativeHeight="251680768" behindDoc="0" locked="0" layoutInCell="1" allowOverlap="1">
                <wp:simplePos x="0" y="0"/>
                <wp:positionH relativeFrom="column">
                  <wp:posOffset>4491789</wp:posOffset>
                </wp:positionH>
                <wp:positionV relativeFrom="paragraph">
                  <wp:posOffset>2594242</wp:posOffset>
                </wp:positionV>
                <wp:extent cx="361569" cy="182880"/>
                <wp:effectExtent l="0" t="0" r="0" b="0"/>
                <wp:wrapNone/>
                <wp:docPr id="62"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76" type="#_x0000_t202" style="width:28.45pt;height:14.4pt;margin-top:204.25pt;margin-left:353.7pt;mso-wrap-distance-bottom:0;mso-wrap-distance-left:9pt;mso-wrap-distance-right:9pt;mso-wrap-distance-top:0;mso-wrap-style:square;position:absolute;visibility:visible;v-text-anchor:top;z-index:251681792"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rFonts w:ascii="Century Gothic" w:hAnsi="Century Gothic"/>
          <w:noProof/>
          <w:sz w:val="20"/>
          <w:szCs w:val="20"/>
          <w:lang w:val="fr-LU" w:eastAsia="fr-LU"/>
        </w:rPr>
        <w:drawing>
          <wp:inline distT="0" distB="0" distL="0" distR="0">
            <wp:extent cx="4581525" cy="2809875"/>
            <wp:effectExtent l="0" t="0" r="9525" b="9525"/>
            <wp:docPr id="33" name="Gra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2BEC" w:rsidRPr="00915C86" w:rsidP="006C2BEC">
      <w:pPr>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r w:rsidRPr="00915C86">
              <w:t>INCIDENTI SIGNIFICATIVI NEI CANTIERI DI LAVORO</w:t>
            </w:r>
          </w:p>
          <w:p w:rsidR="006C2BEC" w:rsidRPr="00915C86" w:rsidP="003C743A">
            <w:r w:rsidRPr="00915C86">
              <w:t>[Rete IT]</w:t>
            </w:r>
          </w:p>
        </w:tc>
        <w:tc>
          <w:tcPr>
            <w:tcW w:w="4519" w:type="dxa"/>
          </w:tcPr>
          <w:p w:rsidR="006C2BEC" w:rsidRPr="00915C86" w:rsidP="003C743A">
            <w:r w:rsidRPr="00915C86">
              <w:t>SIGNIFICANT ACCIDENTS IN WORK SITES</w:t>
            </w:r>
          </w:p>
          <w:p w:rsidR="006C2BEC" w:rsidRPr="00915C86" w:rsidP="003C743A">
            <w:r w:rsidRPr="00915C86">
              <w:t>(IT Network)</w:t>
            </w:r>
          </w:p>
        </w:tc>
      </w:tr>
    </w:tbl>
    <w:p w:rsidR="006C2BEC" w:rsidRPr="00915C86" w:rsidP="006C2BEC"/>
    <w:p w:rsidR="006C2BEC" w:rsidRPr="00915C86" w:rsidP="006C2BEC">
      <w:pPr>
        <w:jc w:val="center"/>
        <w:rPr>
          <w:rFonts w:ascii="Century Gothic" w:hAnsi="Century Gothic" w:cs="Century Gothic"/>
          <w:noProof/>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84864" behindDoc="0" locked="0" layoutInCell="1" allowOverlap="1">
                <wp:simplePos x="0" y="0"/>
                <wp:positionH relativeFrom="column">
                  <wp:posOffset>4427621</wp:posOffset>
                </wp:positionH>
                <wp:positionV relativeFrom="paragraph">
                  <wp:posOffset>2446421</wp:posOffset>
                </wp:positionV>
                <wp:extent cx="634701" cy="182880"/>
                <wp:effectExtent l="0" t="0" r="0" b="0"/>
                <wp:wrapNone/>
                <wp:docPr id="192" name="Gruppo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193"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194"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192" o:spid="_x0000_s1077" style="width:50pt;height:14.4pt;margin-top:192.65pt;margin-left:348.65pt;mso-height-relative:margin;mso-width-relative:margin;position:absolute;z-index:251685888" coordsize="6799,2482">
                <v:shape id="_x0000_s1078"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79"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531895" cy="2703095"/>
            <wp:effectExtent l="0" t="0" r="2540" b="2540"/>
            <wp:docPr id="35" name="Gra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r w:rsidRPr="00915C86">
              <w:t>VITTIME/Mln tr-km</w:t>
            </w:r>
          </w:p>
          <w:p w:rsidR="006C2BEC" w:rsidRPr="00915C86" w:rsidP="003C743A">
            <w:r w:rsidRPr="00915C86">
              <w:t>INVESTIMENTI DI PERSONALE OPERANTE NEI CANTIERI DI LAVORO</w:t>
            </w:r>
          </w:p>
          <w:p w:rsidR="006C2BEC" w:rsidRPr="00915C86" w:rsidP="003C743A">
            <w:r w:rsidRPr="00915C86">
              <w:t>[Rete IT]</w:t>
            </w:r>
          </w:p>
        </w:tc>
        <w:tc>
          <w:tcPr>
            <w:tcW w:w="4519" w:type="dxa"/>
          </w:tcPr>
          <w:p w:rsidR="006C2BEC" w:rsidRPr="00915C86" w:rsidP="003C743A">
            <w:r w:rsidRPr="00915C86">
              <w:t>CASUALTIES/million tr-km</w:t>
            </w:r>
          </w:p>
          <w:p w:rsidR="006C2BEC" w:rsidRPr="00915C86" w:rsidP="003C743A">
            <w:r w:rsidRPr="00915C86">
              <w:t>COLLISIONS WITH STAFF OPERATING IN WORKSITES</w:t>
            </w:r>
          </w:p>
          <w:p w:rsidR="006C2BEC" w:rsidRPr="00915C86" w:rsidP="003C743A">
            <w:r w:rsidRPr="00915C86">
              <w:t>(IT Network)</w:t>
            </w:r>
          </w:p>
        </w:tc>
      </w:tr>
    </w:tbl>
    <w:p w:rsidR="006C2BEC" w:rsidRPr="00915C86" w:rsidP="006C2BEC"/>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During 2017, no significant accidents were recorded connected with unauthorised maintenance work on the safety equipment. In this regard, following a request from ANSF, the RFI Infrastructure Manager reported having identified the following actions to be taken to improve operational safety:</w:t>
      </w:r>
    </w:p>
    <w:p w:rsidR="006C2BEC" w:rsidRPr="00915C86" w:rsidP="006C2BEC">
      <w:pPr>
        <w:pStyle w:val="ListParagraph"/>
        <w:numPr>
          <w:ilvl w:val="0"/>
          <w:numId w:val="41"/>
        </w:numPr>
        <w:tabs>
          <w:tab w:val="num" w:pos="142"/>
          <w:tab w:val="clear" w:pos="1146"/>
        </w:tabs>
        <w:spacing w:after="0" w:line="240" w:lineRule="auto"/>
        <w:ind w:left="426" w:hanging="284"/>
        <w:rPr>
          <w:rFonts w:ascii="Century Gothic" w:hAnsi="Century Gothic" w:cs="Century Gothic"/>
          <w:sz w:val="20"/>
          <w:szCs w:val="20"/>
        </w:rPr>
      </w:pPr>
      <w:r w:rsidRPr="00915C86">
        <w:rPr>
          <w:rFonts w:ascii="Century Gothic" w:hAnsi="Century Gothic"/>
          <w:sz w:val="20"/>
          <w:szCs w:val="20"/>
        </w:rPr>
        <w:t>progressive development and application of technological solutions to minimise the discretionality and freedom of action of maintenance agents;</w:t>
      </w:r>
    </w:p>
    <w:p w:rsidR="006C2BEC" w:rsidRPr="00915C86" w:rsidP="006C2BEC">
      <w:pPr>
        <w:pStyle w:val="ListParagraph"/>
        <w:numPr>
          <w:ilvl w:val="0"/>
          <w:numId w:val="41"/>
        </w:numPr>
        <w:tabs>
          <w:tab w:val="num" w:pos="142"/>
          <w:tab w:val="clear" w:pos="1146"/>
        </w:tabs>
        <w:spacing w:after="0" w:line="240" w:lineRule="auto"/>
        <w:ind w:left="426" w:hanging="284"/>
        <w:rPr>
          <w:rFonts w:ascii="Century Gothic" w:hAnsi="Century Gothic" w:cs="Century Gothic"/>
          <w:sz w:val="20"/>
          <w:szCs w:val="20"/>
        </w:rPr>
      </w:pPr>
      <w:r w:rsidRPr="00915C86">
        <w:rPr>
          <w:rFonts w:ascii="Century Gothic" w:hAnsi="Century Gothic"/>
          <w:sz w:val="20"/>
          <w:szCs w:val="20"/>
        </w:rPr>
        <w:t>ongoing improvement in training of staff assigned to security tasks and in specific work operating methodologies;</w:t>
      </w:r>
    </w:p>
    <w:p w:rsidR="006C2BEC" w:rsidRPr="00915C86" w:rsidP="006C2BEC">
      <w:pPr>
        <w:pStyle w:val="ListParagraph"/>
        <w:numPr>
          <w:ilvl w:val="0"/>
          <w:numId w:val="41"/>
        </w:numPr>
        <w:tabs>
          <w:tab w:val="num" w:pos="142"/>
          <w:tab w:val="clear" w:pos="1146"/>
        </w:tabs>
        <w:spacing w:after="0" w:line="240" w:lineRule="auto"/>
        <w:ind w:left="426" w:hanging="284"/>
        <w:rPr>
          <w:rFonts w:ascii="Century Gothic" w:hAnsi="Century Gothic" w:cs="Century Gothic"/>
          <w:sz w:val="20"/>
          <w:szCs w:val="20"/>
        </w:rPr>
      </w:pPr>
      <w:r w:rsidRPr="00915C86">
        <w:rPr>
          <w:rFonts w:ascii="Century Gothic" w:hAnsi="Century Gothic"/>
          <w:sz w:val="20"/>
          <w:szCs w:val="20"/>
        </w:rPr>
        <w:t>monitoring compliance with the application of operating procedures that regulate activity implementation.</w:t>
      </w:r>
    </w:p>
    <w:p w:rsidR="006C2BEC" w:rsidRPr="00915C86" w:rsidP="006C2BEC">
      <w:pPr>
        <w:autoSpaceDE w:val="0"/>
        <w:autoSpaceDN w:val="0"/>
        <w:adjustRightInd w:val="0"/>
        <w:spacing w:before="120"/>
        <w:rPr>
          <w:rFonts w:ascii="Century Gothic" w:hAnsi="Century Gothic" w:cs="Century Gothic"/>
          <w:sz w:val="20"/>
          <w:szCs w:val="20"/>
        </w:rPr>
      </w:pPr>
      <w:r w:rsidRPr="00915C86">
        <w:rPr>
          <w:rFonts w:ascii="Century Gothic" w:hAnsi="Century Gothic"/>
          <w:sz w:val="20"/>
          <w:szCs w:val="20"/>
        </w:rPr>
        <w:t>In 2017, two accidents occurred on the (IT Network) that fell into the ‘train collisions’ category: one collision (a runaway shunting locomotive struck a goods train) took place on the (RFI Network) (0 casualties) and one collision occurred between trains due to operational and technical problems regarding brake use on the (Interconnected Regional Networks).</w:t>
      </w:r>
    </w:p>
    <w:p w:rsidR="006C2BEC" w:rsidRPr="00915C86" w:rsidP="006C2BEC">
      <w:pPr>
        <w:autoSpaceDE w:val="0"/>
        <w:autoSpaceDN w:val="0"/>
        <w:adjustRightInd w:val="0"/>
        <w:spacing w:before="120"/>
        <w:jc w:val="center"/>
        <w:rPr>
          <w:noProof/>
        </w:rPr>
      </w:pPr>
      <w:r w:rsidRPr="00915C86">
        <w:rPr>
          <w:noProof/>
          <w:lang w:val="fr-LU" w:eastAsia="fr-LU"/>
        </w:rPr>
        <mc:AlternateContent>
          <mc:Choice Requires="wps">
            <w:drawing>
              <wp:anchor distT="0" distB="0" distL="114300" distR="114300" simplePos="0" relativeHeight="251688960" behindDoc="0" locked="0" layoutInCell="1" allowOverlap="1">
                <wp:simplePos x="0" y="0"/>
                <wp:positionH relativeFrom="column">
                  <wp:posOffset>4569894</wp:posOffset>
                </wp:positionH>
                <wp:positionV relativeFrom="paragraph">
                  <wp:posOffset>2746776</wp:posOffset>
                </wp:positionV>
                <wp:extent cx="361569" cy="182880"/>
                <wp:effectExtent l="0" t="0" r="0" b="0"/>
                <wp:wrapNone/>
                <wp:docPr id="207"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80" type="#_x0000_t202" style="width:28.45pt;height:14.4pt;margin-top:216.3pt;margin-left:359.85pt;mso-wrap-distance-bottom:0;mso-wrap-distance-left:9pt;mso-wrap-distance-right:9pt;mso-wrap-distance-top:0;mso-wrap-style:square;position:absolute;visibility:visible;v-text-anchor:top;z-index:251689984"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noProof/>
          <w:lang w:val="fr-LU" w:eastAsia="fr-LU"/>
        </w:rPr>
        <mc:AlternateContent>
          <mc:Choice Requires="wps">
            <w:drawing>
              <wp:anchor distT="0" distB="0" distL="114300" distR="114300" simplePos="0" relativeHeight="251686912" behindDoc="0" locked="0" layoutInCell="1" allowOverlap="1">
                <wp:simplePos x="0" y="0"/>
                <wp:positionH relativeFrom="column">
                  <wp:posOffset>4225023</wp:posOffset>
                </wp:positionH>
                <wp:positionV relativeFrom="paragraph">
                  <wp:posOffset>2739290</wp:posOffset>
                </wp:positionV>
                <wp:extent cx="361569" cy="182880"/>
                <wp:effectExtent l="0" t="0" r="0" b="0"/>
                <wp:wrapNone/>
                <wp:docPr id="200" name="Casella di tes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1569" cy="182880"/>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a:graphicData>
                </a:graphic>
              </wp:anchor>
            </w:drawing>
          </mc:Choice>
          <mc:Fallback>
            <w:pict>
              <v:shape id="_x0000_s1081" type="#_x0000_t202" style="width:28.45pt;height:14.4pt;margin-top:215.7pt;margin-left:332.7pt;mso-wrap-distance-bottom:0;mso-wrap-distance-left:9pt;mso-wrap-distance-right:9pt;mso-wrap-distance-top:0;mso-wrap-style:square;position:absolute;visibility:visible;v-text-anchor:top;z-index:251687936"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w:pict>
          </mc:Fallback>
        </mc:AlternateContent>
      </w:r>
      <w:r w:rsidRPr="00915C86">
        <w:rPr>
          <w:noProof/>
          <w:lang w:val="fr-LU" w:eastAsia="fr-LU"/>
        </w:rPr>
        <w:drawing>
          <wp:inline distT="0" distB="0" distL="0" distR="0">
            <wp:extent cx="4628148" cy="3043990"/>
            <wp:effectExtent l="0" t="0" r="1270" b="4445"/>
            <wp:docPr id="36" name="Gra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COLLISIONI DI TRENI</w:t>
            </w:r>
          </w:p>
          <w:p w:rsidR="006C2BEC" w:rsidRPr="00915C86" w:rsidP="003C743A">
            <w:pPr>
              <w:spacing w:after="0"/>
            </w:pPr>
            <w:r w:rsidRPr="00915C86">
              <w:t>[Rete IT]</w:t>
            </w:r>
          </w:p>
        </w:tc>
        <w:tc>
          <w:tcPr>
            <w:tcW w:w="4519" w:type="dxa"/>
          </w:tcPr>
          <w:p w:rsidR="006C2BEC" w:rsidRPr="00915C86" w:rsidP="003C743A">
            <w:pPr>
              <w:spacing w:after="0"/>
            </w:pPr>
            <w:r w:rsidRPr="00915C86">
              <w:t>TRAIN COLLISIONS</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bl>
    <w:p w:rsidR="006C2BEC" w:rsidRPr="00915C86" w:rsidP="006C2BEC"/>
    <w:p w:rsidR="006C2BEC" w:rsidRPr="00915C86" w:rsidP="006C2BEC">
      <w:pPr>
        <w:suppressAutoHyphens/>
        <w:spacing w:before="240"/>
        <w:rPr>
          <w:rFonts w:ascii="Century Gothic" w:hAnsi="Century Gothic" w:cs="Century Gothic"/>
          <w:sz w:val="20"/>
          <w:szCs w:val="20"/>
        </w:rPr>
      </w:pPr>
      <w:r w:rsidRPr="00915C86">
        <w:rPr>
          <w:rFonts w:ascii="Century Gothic" w:hAnsi="Century Gothic"/>
          <w:sz w:val="20"/>
          <w:szCs w:val="20"/>
        </w:rPr>
        <w:t>During 2017, no significant accidents occurred due to hydrogeological instability phenomena. For problems relating to hydrogeological risk, in 2010 ANSF ordered the RFI Infrastructure Manager to provide information about network points characterised by active or potential hydrogeological disruption phenomena with associated monitoring methods and the state of implementation of associated risk mitigation actions under way or planned.</w:t>
      </w:r>
    </w:p>
    <w:p w:rsidR="006C2BEC" w:rsidRPr="00915C86" w:rsidP="006C2BEC">
      <w:pPr>
        <w:suppressAutoHyphens/>
        <w:spacing w:before="120" w:after="0"/>
        <w:rPr>
          <w:rFonts w:ascii="Century Gothic" w:hAnsi="Century Gothic" w:cs="Century Gothic"/>
          <w:sz w:val="20"/>
          <w:szCs w:val="20"/>
        </w:rPr>
      </w:pPr>
      <w:r w:rsidRPr="00915C86">
        <w:rPr>
          <w:rFonts w:ascii="Century Gothic" w:hAnsi="Century Gothic"/>
          <w:sz w:val="20"/>
          <w:szCs w:val="20"/>
        </w:rPr>
        <w:t>During 2017, the RFI Infrastructure Manager:</w:t>
      </w:r>
    </w:p>
    <w:p w:rsidR="006C2BEC" w:rsidRPr="00915C86" w:rsidP="006C2BEC">
      <w:pPr>
        <w:numPr>
          <w:ilvl w:val="1"/>
          <w:numId w:val="35"/>
        </w:numPr>
        <w:tabs>
          <w:tab w:val="num" w:pos="1134"/>
          <w:tab w:val="clear" w:pos="1440"/>
        </w:tabs>
        <w:suppressAutoHyphens/>
        <w:spacing w:after="0"/>
        <w:ind w:left="709" w:hanging="357"/>
        <w:rPr>
          <w:rFonts w:ascii="Century Gothic" w:hAnsi="Century Gothic" w:cs="Century Gothic"/>
          <w:sz w:val="20"/>
          <w:szCs w:val="20"/>
        </w:rPr>
      </w:pPr>
      <w:r w:rsidRPr="00915C86">
        <w:rPr>
          <w:rFonts w:ascii="Century Gothic" w:hAnsi="Century Gothic"/>
          <w:sz w:val="20"/>
          <w:szCs w:val="20"/>
        </w:rPr>
        <w:t>continued to update the mapping of points subject to hydrogeological or hydraulic problems in the network by means of specialist surveys for the compilation of dedicated survey reports;</w:t>
      </w:r>
    </w:p>
    <w:p w:rsidR="006C2BEC" w:rsidRPr="00915C86" w:rsidP="006C2BEC">
      <w:pPr>
        <w:numPr>
          <w:ilvl w:val="1"/>
          <w:numId w:val="35"/>
        </w:numPr>
        <w:tabs>
          <w:tab w:val="num" w:pos="1134"/>
          <w:tab w:val="clear" w:pos="1440"/>
        </w:tabs>
        <w:suppressAutoHyphens/>
        <w:spacing w:after="0"/>
        <w:ind w:left="709" w:hanging="357"/>
        <w:rPr>
          <w:rFonts w:ascii="Century Gothic" w:hAnsi="Century Gothic" w:cs="Century Gothic"/>
          <w:sz w:val="20"/>
          <w:szCs w:val="20"/>
        </w:rPr>
      </w:pPr>
      <w:r w:rsidRPr="00915C86">
        <w:rPr>
          <w:rFonts w:ascii="Century Gothic" w:hAnsi="Century Gothic"/>
          <w:sz w:val="20"/>
          <w:szCs w:val="20"/>
        </w:rPr>
        <w:t>began preliminary investigations and surveys to support the design of alarm systems for falling rocks for sites taking part in an introductory alarmed network installation programme. With regard to the prevention (monitoring/warning) of ‘high speed’ phenomena (collapses, rapid melts and subsidence), it finished installing an experimental alarm system on the Salerno-Reggio Calabria line (at Favazzina station);</w:t>
      </w:r>
    </w:p>
    <w:p w:rsidR="006C2BEC" w:rsidRPr="00915C86" w:rsidP="006C2BEC">
      <w:pPr>
        <w:numPr>
          <w:ilvl w:val="1"/>
          <w:numId w:val="35"/>
        </w:numPr>
        <w:tabs>
          <w:tab w:val="num" w:pos="1134"/>
          <w:tab w:val="clear" w:pos="1440"/>
        </w:tabs>
        <w:suppressAutoHyphens/>
        <w:spacing w:after="0"/>
        <w:ind w:left="709" w:hanging="357"/>
        <w:rPr>
          <w:rFonts w:ascii="Century Gothic" w:hAnsi="Century Gothic" w:cs="Century Gothic"/>
          <w:sz w:val="20"/>
          <w:szCs w:val="20"/>
        </w:rPr>
      </w:pPr>
      <w:r w:rsidRPr="00915C86">
        <w:rPr>
          <w:rFonts w:ascii="Century Gothic" w:hAnsi="Century Gothic"/>
          <w:sz w:val="20"/>
          <w:szCs w:val="20"/>
        </w:rPr>
        <w:t xml:space="preserve">reviewed the guideline for the priority ranking of railway infrastructure sections affected by hydrogeological instability based on the railway risk level to be used in planning </w:t>
      </w:r>
      <w:r w:rsidRPr="00915C86">
        <w:rPr>
          <w:rFonts w:ascii="Century Gothic" w:hAnsi="Century Gothic"/>
          <w:sz w:val="20"/>
          <w:szCs w:val="20"/>
        </w:rPr>
        <w:t>mitigation actions and continued to implement the infrastructural action plan for risk management/mitigation.</w:t>
      </w:r>
    </w:p>
    <w:p w:rsidR="006C2BEC" w:rsidRPr="00915C86" w:rsidP="006C2BEC">
      <w:pPr>
        <w:suppressAutoHyphens/>
        <w:spacing w:before="120" w:after="0"/>
        <w:rPr>
          <w:rFonts w:ascii="Century Gothic" w:hAnsi="Century Gothic" w:cs="Century Gothic"/>
          <w:sz w:val="20"/>
          <w:szCs w:val="20"/>
        </w:rPr>
      </w:pPr>
      <w:r w:rsidRPr="00915C86">
        <w:rPr>
          <w:rFonts w:ascii="Century Gothic" w:hAnsi="Century Gothic"/>
          <w:sz w:val="20"/>
          <w:szCs w:val="20"/>
        </w:rPr>
        <w:t>A need for improvements has nevertheless emerged in the management of certain aspects. In particular, a review of organisational procedures is needed to support hydrogeological risk management and actions to be taken for severe weather events; problems arise when tracking restrictive measures adopted or reporting why it was not considered necessary to adopt such measures and also affect procedures used to establish whether a train can travel in the presence of such phenomena. Pending implementation of infrastructural measures for the mitigation or management of the problem, the Infrastructure Manager must adopt extraordinary monitoring actions and order train running limitations where necessary. The measures are not always adopted as quickly as necessary and mitigation actions carried out are not always effective.</w:t>
      </w:r>
    </w:p>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Due to the geomorphological characteristics of the land crossed, hydrogeological instability has always been an issue addressed with (Interconnected Regional Network) Managers to ensure that the topic is properly dealt with in the relevant Safety Management Systems.</w:t>
      </w:r>
    </w:p>
    <w:p w:rsidR="006C2BEC" w:rsidRPr="00915C86" w:rsidP="006C2BEC">
      <w:pPr>
        <w:suppressAutoHyphens/>
        <w:rPr>
          <w:rFonts w:ascii="Century Gothic" w:hAnsi="Century Gothic" w:cs="Century Gothic"/>
          <w:sz w:val="20"/>
          <w:szCs w:val="20"/>
        </w:rPr>
      </w:pPr>
      <w:r w:rsidRPr="00915C86">
        <w:rPr>
          <w:rFonts w:ascii="Century Gothic" w:hAnsi="Century Gothic"/>
          <w:sz w:val="20"/>
          <w:szCs w:val="20"/>
        </w:rPr>
        <w:t>A situation of signals passed at danger (SPAD) is one of the main precursors of train collisions. In 2017, this occurred 32 times, which represents a considerable increase compared to previous years. SPADs have been subdivided into two categories: ‘starting against signal’ and ‘starting on yellow’. ‘Starting on yellow’ SPADs represented the highest number of cases (19 events) in 2017. They represent a great problem in situations where train running protection systems have not been installed. ‘Starting against signal’ SPADs are chiefly concerned with the interaction between train drivers and on-board crew, and have fallen since 2016 (13 events). Thirteen SPADs occurred while passing the danger point when stopping.</w:t>
      </w:r>
    </w:p>
    <w:p w:rsidR="006C2BEC" w:rsidRPr="00915C86" w:rsidP="006C2BEC">
      <w:pPr>
        <w:suppressAutoHyphens/>
        <w:jc w:val="center"/>
        <w:rPr>
          <w:rFonts w:ascii="Century Gothic" w:hAnsi="Century Gothic" w:cs="Century Gothic"/>
          <w:sz w:val="20"/>
          <w:szCs w:val="20"/>
        </w:rPr>
      </w:pPr>
      <w:r w:rsidRPr="00915C86">
        <w:rPr>
          <w:rFonts w:ascii="Century Gothic" w:hAnsi="Century Gothic"/>
          <w:noProof/>
          <w:sz w:val="20"/>
          <w:szCs w:val="20"/>
          <w:lang w:val="fr-LU" w:eastAsia="fr-LU"/>
        </w:rPr>
        <w:drawing>
          <wp:inline distT="0" distB="0" distL="0" distR="0">
            <wp:extent cx="4871405" cy="2840304"/>
            <wp:effectExtent l="0" t="0" r="5715" b="17780"/>
            <wp:docPr id="195" name="Grafico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pPr>
            <w:r w:rsidRPr="00915C86">
              <w:t>Indebiti superamenti di un segnale disposto a via impedita da parte di un treno (SPAD)  periodo 2000-2017</w:t>
            </w:r>
          </w:p>
          <w:p w:rsidR="006C2BEC" w:rsidRPr="00915C86" w:rsidP="003C743A">
            <w:pPr>
              <w:spacing w:after="0"/>
            </w:pPr>
            <w:r w:rsidRPr="00915C86">
              <w:t>[Rete IT]</w:t>
            </w:r>
          </w:p>
        </w:tc>
        <w:tc>
          <w:tcPr>
            <w:tcW w:w="4519" w:type="dxa"/>
          </w:tcPr>
          <w:p w:rsidR="006C2BEC" w:rsidRPr="00915C86" w:rsidP="003C743A">
            <w:pPr>
              <w:spacing w:after="0"/>
            </w:pPr>
            <w:r w:rsidRPr="00915C86">
              <w:t>Unauthorised signals passed at danger (SPAD) by a train, 2000-2017 period</w:t>
            </w:r>
          </w:p>
          <w:p w:rsidR="006C2BEC" w:rsidRPr="00915C86" w:rsidP="003C743A">
            <w:pPr>
              <w:spacing w:after="0"/>
            </w:pPr>
            <w:r w:rsidRPr="00915C86">
              <w:t>(IT Network)</w:t>
            </w:r>
          </w:p>
        </w:tc>
      </w:tr>
      <w:tr w:rsidTr="003C743A">
        <w:tblPrEx>
          <w:tblW w:w="9038" w:type="dxa"/>
          <w:tblLook w:val="04A0"/>
        </w:tblPrEx>
        <w:tc>
          <w:tcPr>
            <w:tcW w:w="4519" w:type="dxa"/>
          </w:tcPr>
          <w:p w:rsidR="006C2BEC" w:rsidRPr="00915C86" w:rsidP="003C743A">
            <w:pPr>
              <w:spacing w:after="0"/>
            </w:pPr>
            <w:r w:rsidRPr="00915C86">
              <w:t>SPAD</w:t>
            </w:r>
          </w:p>
        </w:tc>
        <w:tc>
          <w:tcPr>
            <w:tcW w:w="4519" w:type="dxa"/>
          </w:tcPr>
          <w:p w:rsidR="006C2BEC" w:rsidRPr="00915C86" w:rsidP="003C743A">
            <w:pPr>
              <w:spacing w:after="0"/>
            </w:pPr>
            <w:r w:rsidRPr="00915C86">
              <w:t>SPAD</w:t>
            </w:r>
          </w:p>
        </w:tc>
      </w:tr>
      <w:tr w:rsidTr="003C743A">
        <w:tblPrEx>
          <w:tblW w:w="9038" w:type="dxa"/>
          <w:tblLook w:val="04A0"/>
        </w:tblPrEx>
        <w:tc>
          <w:tcPr>
            <w:tcW w:w="4519" w:type="dxa"/>
          </w:tcPr>
          <w:p w:rsidR="006C2BEC" w:rsidRPr="00915C86" w:rsidP="003C743A">
            <w:pPr>
              <w:spacing w:after="0"/>
            </w:pPr>
            <w:r w:rsidRPr="00915C86">
              <w:t>Partenza da fermo</w:t>
            </w:r>
          </w:p>
        </w:tc>
        <w:tc>
          <w:tcPr>
            <w:tcW w:w="4519" w:type="dxa"/>
          </w:tcPr>
          <w:p w:rsidR="006C2BEC" w:rsidRPr="00915C86" w:rsidP="003C743A">
            <w:pPr>
              <w:spacing w:after="0"/>
            </w:pPr>
            <w:r w:rsidRPr="00915C86">
              <w:t>Starting against signal</w:t>
            </w:r>
          </w:p>
        </w:tc>
      </w:tr>
      <w:tr w:rsidTr="003C743A">
        <w:tblPrEx>
          <w:tblW w:w="9038" w:type="dxa"/>
          <w:tblLook w:val="04A0"/>
        </w:tblPrEx>
        <w:tc>
          <w:tcPr>
            <w:tcW w:w="4519" w:type="dxa"/>
          </w:tcPr>
          <w:p w:rsidR="006C2BEC" w:rsidRPr="00915C86" w:rsidP="003C743A">
            <w:pPr>
              <w:spacing w:after="0"/>
            </w:pPr>
            <w:r w:rsidRPr="00915C86">
              <w:t>In corsa</w:t>
            </w:r>
          </w:p>
        </w:tc>
        <w:tc>
          <w:tcPr>
            <w:tcW w:w="4519" w:type="dxa"/>
          </w:tcPr>
          <w:p w:rsidR="006C2BEC" w:rsidRPr="00915C86" w:rsidP="003C743A">
            <w:pPr>
              <w:spacing w:after="0"/>
            </w:pPr>
            <w:r w:rsidRPr="00915C86">
              <w:t>Starting on yellow</w:t>
            </w:r>
          </w:p>
        </w:tc>
      </w:tr>
    </w:tbl>
    <w:p w:rsidR="006C2BEC" w:rsidRPr="00915C86" w:rsidP="006C2BEC"/>
    <w:p w:rsidR="006C2BEC" w:rsidRPr="00915C86" w:rsidP="006C2BEC">
      <w:pPr>
        <w:spacing w:before="120"/>
        <w:rPr>
          <w:rFonts w:ascii="Century Gothic" w:hAnsi="Century Gothic"/>
          <w:sz w:val="20"/>
          <w:szCs w:val="20"/>
        </w:rPr>
      </w:pPr>
      <w:r w:rsidRPr="00915C86">
        <w:rPr>
          <w:rFonts w:ascii="Century Gothic" w:hAnsi="Century Gothic"/>
          <w:sz w:val="20"/>
          <w:szCs w:val="20"/>
        </w:rPr>
        <w:t>To take effective action against this problem, railway undertakings were asked to:</w:t>
      </w:r>
    </w:p>
    <w:p w:rsidR="006C2BEC" w:rsidRPr="00915C86" w:rsidP="006C2BEC">
      <w:pPr>
        <w:pStyle w:val="ListParagraph"/>
        <w:numPr>
          <w:ilvl w:val="0"/>
          <w:numId w:val="42"/>
        </w:numPr>
        <w:spacing w:after="120" w:line="240" w:lineRule="auto"/>
        <w:ind w:left="426"/>
        <w:rPr>
          <w:rFonts w:ascii="Century Gothic" w:hAnsi="Century Gothic"/>
          <w:sz w:val="20"/>
          <w:szCs w:val="20"/>
        </w:rPr>
      </w:pPr>
      <w:r w:rsidRPr="00915C86">
        <w:rPr>
          <w:rFonts w:ascii="Century Gothic" w:hAnsi="Century Gothic"/>
          <w:sz w:val="20"/>
          <w:szCs w:val="20"/>
        </w:rPr>
        <w:t>analyse cases that had occurred, in their operational context;</w:t>
      </w:r>
    </w:p>
    <w:p w:rsidR="006C2BEC" w:rsidRPr="00915C86" w:rsidP="006C2BEC">
      <w:pPr>
        <w:pStyle w:val="ListParagraph"/>
        <w:numPr>
          <w:ilvl w:val="0"/>
          <w:numId w:val="42"/>
        </w:numPr>
        <w:spacing w:after="120" w:line="240" w:lineRule="auto"/>
        <w:ind w:left="426"/>
        <w:rPr>
          <w:rFonts w:ascii="Century Gothic" w:hAnsi="Century Gothic"/>
          <w:sz w:val="20"/>
          <w:szCs w:val="20"/>
        </w:rPr>
      </w:pPr>
      <w:r w:rsidRPr="00915C86">
        <w:rPr>
          <w:rFonts w:ascii="Century Gothic" w:hAnsi="Century Gothic"/>
          <w:sz w:val="20"/>
          <w:szCs w:val="20"/>
        </w:rPr>
        <w:t>share experiences with other railway operators;</w:t>
      </w:r>
    </w:p>
    <w:p w:rsidR="006C2BEC" w:rsidRPr="00915C86" w:rsidP="006C2BEC">
      <w:pPr>
        <w:pStyle w:val="ListParagraph"/>
        <w:numPr>
          <w:ilvl w:val="0"/>
          <w:numId w:val="42"/>
        </w:numPr>
        <w:spacing w:after="120" w:line="240" w:lineRule="auto"/>
        <w:ind w:left="426"/>
        <w:rPr>
          <w:rFonts w:ascii="Century Gothic" w:hAnsi="Century Gothic"/>
          <w:sz w:val="20"/>
          <w:szCs w:val="20"/>
        </w:rPr>
      </w:pPr>
      <w:r w:rsidRPr="00915C86">
        <w:rPr>
          <w:rFonts w:ascii="Century Gothic" w:hAnsi="Century Gothic"/>
          <w:sz w:val="20"/>
          <w:szCs w:val="20"/>
        </w:rPr>
        <w:t>ensure the monitoring of driving activity and verification of significant aspects on all trains (for example, train trip, passing red lights, equipment cut-out switch excluded, exceeding permitted top speed) with regard to train driving, recorded by the Driver Information System (DIS);</w:t>
      </w:r>
    </w:p>
    <w:p w:rsidR="006C2BEC" w:rsidRPr="00915C86" w:rsidP="006C2BEC">
      <w:pPr>
        <w:pStyle w:val="ListParagraph"/>
        <w:numPr>
          <w:ilvl w:val="0"/>
          <w:numId w:val="42"/>
        </w:numPr>
        <w:spacing w:after="120" w:line="240" w:lineRule="auto"/>
        <w:ind w:left="426"/>
        <w:rPr>
          <w:rFonts w:ascii="Century Gothic" w:hAnsi="Century Gothic"/>
          <w:sz w:val="20"/>
          <w:szCs w:val="20"/>
        </w:rPr>
      </w:pPr>
      <w:r w:rsidRPr="00915C86">
        <w:rPr>
          <w:rFonts w:ascii="Century Gothic" w:hAnsi="Century Gothic"/>
          <w:sz w:val="20"/>
          <w:szCs w:val="20"/>
        </w:rPr>
        <w:t>check possible mitigation of human factors through action on:</w:t>
      </w:r>
    </w:p>
    <w:p w:rsidR="006C2BEC" w:rsidRPr="00915C86" w:rsidP="006C2BEC">
      <w:pPr>
        <w:pStyle w:val="ListParagraph"/>
        <w:numPr>
          <w:ilvl w:val="1"/>
          <w:numId w:val="43"/>
        </w:numPr>
        <w:spacing w:after="120" w:line="240" w:lineRule="auto"/>
        <w:ind w:left="1276"/>
        <w:rPr>
          <w:rFonts w:ascii="Century Gothic" w:hAnsi="Century Gothic"/>
          <w:sz w:val="20"/>
          <w:szCs w:val="20"/>
        </w:rPr>
      </w:pPr>
      <w:r w:rsidRPr="00915C86">
        <w:rPr>
          <w:rFonts w:ascii="Century Gothic" w:hAnsi="Century Gothic"/>
          <w:sz w:val="20"/>
          <w:szCs w:val="20"/>
        </w:rPr>
        <w:t>staff training and recruitment;</w:t>
      </w:r>
    </w:p>
    <w:p w:rsidR="006C2BEC" w:rsidRPr="00915C86" w:rsidP="006C2BEC">
      <w:pPr>
        <w:pStyle w:val="ListParagraph"/>
        <w:numPr>
          <w:ilvl w:val="1"/>
          <w:numId w:val="43"/>
        </w:numPr>
        <w:spacing w:after="120" w:line="240" w:lineRule="auto"/>
        <w:ind w:left="1276"/>
        <w:rPr>
          <w:rFonts w:ascii="Century Gothic" w:hAnsi="Century Gothic"/>
          <w:sz w:val="20"/>
          <w:szCs w:val="20"/>
        </w:rPr>
      </w:pPr>
      <w:r w:rsidRPr="00915C86">
        <w:rPr>
          <w:rFonts w:ascii="Century Gothic" w:hAnsi="Century Gothic"/>
          <w:sz w:val="20"/>
          <w:szCs w:val="20"/>
        </w:rPr>
        <w:t>procedures, where this activity is necessary;</w:t>
      </w:r>
    </w:p>
    <w:p w:rsidR="006C2BEC" w:rsidRPr="00915C86" w:rsidP="006C2BEC">
      <w:pPr>
        <w:pStyle w:val="ListParagraph"/>
        <w:numPr>
          <w:ilvl w:val="1"/>
          <w:numId w:val="43"/>
        </w:numPr>
        <w:spacing w:after="120" w:line="240" w:lineRule="auto"/>
        <w:ind w:left="1276"/>
        <w:rPr>
          <w:rFonts w:ascii="Century Gothic" w:hAnsi="Century Gothic"/>
          <w:sz w:val="20"/>
          <w:szCs w:val="20"/>
        </w:rPr>
      </w:pPr>
      <w:r w:rsidRPr="00915C86">
        <w:rPr>
          <w:rFonts w:ascii="Century Gothic" w:hAnsi="Century Gothic"/>
          <w:sz w:val="20"/>
          <w:szCs w:val="20"/>
        </w:rPr>
        <w:t>economic aspects inside the driver’s cab, including with reference to optical and acoustic signals, which may have an effect on determining passing of signals at danger by trains.</w:t>
      </w:r>
    </w:p>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The train running protection equipment plants (Interconnected Regional Networks) are important for containing the consequences of this type of event.</w:t>
      </w:r>
    </w:p>
    <w:p w:rsidR="006C2BEC" w:rsidRPr="00915C86" w:rsidP="006C2BEC">
      <w:pPr>
        <w:suppressAutoHyphens/>
        <w:spacing w:before="120"/>
        <w:rPr>
          <w:rFonts w:ascii="Century Gothic" w:hAnsi="Century Gothic" w:cs="Century Gothic"/>
          <w:sz w:val="20"/>
          <w:szCs w:val="20"/>
        </w:rPr>
      </w:pPr>
      <w:r w:rsidRPr="00915C86">
        <w:rPr>
          <w:rFonts w:ascii="Century Gothic" w:hAnsi="Century Gothic"/>
          <w:sz w:val="20"/>
          <w:szCs w:val="20"/>
        </w:rPr>
        <w:t>The following figure shows the trend in ‘train derailments’. In 2017, two derailments took place that did not result in casualties.</w:t>
      </w:r>
    </w:p>
    <w:p w:rsidR="006C2BEC" w:rsidRPr="00915C86" w:rsidP="006C2BEC">
      <w:pPr>
        <w:suppressAutoHyphens/>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91008" behindDoc="0" locked="0" layoutInCell="1" allowOverlap="1">
                <wp:simplePos x="0" y="0"/>
                <wp:positionH relativeFrom="column">
                  <wp:posOffset>4114566</wp:posOffset>
                </wp:positionH>
                <wp:positionV relativeFrom="paragraph">
                  <wp:posOffset>2581576</wp:posOffset>
                </wp:positionV>
                <wp:extent cx="634701" cy="182880"/>
                <wp:effectExtent l="0" t="0" r="0" b="0"/>
                <wp:wrapNone/>
                <wp:docPr id="208" name="Gruppo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209"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10"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08" o:spid="_x0000_s1082" style="width:50pt;height:14.4pt;margin-top:203.25pt;margin-left:324pt;mso-height-relative:margin;mso-width-relative:margin;position:absolute;z-index:251692032" coordsize="6799,2482">
                <v:shape id="_x0000_s1083"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84"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347411" cy="3128210"/>
            <wp:effectExtent l="0" t="0" r="15240" b="15240"/>
            <wp:docPr id="59" name="Gra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DERAGLIAMENTI DI TRENI</w:t>
            </w:r>
          </w:p>
          <w:p w:rsidR="006C2BEC" w:rsidRPr="00915C86" w:rsidP="003C743A">
            <w:pPr>
              <w:spacing w:after="0"/>
            </w:pPr>
            <w:r w:rsidRPr="00915C86">
              <w:t>[Rete IT]</w:t>
            </w:r>
          </w:p>
        </w:tc>
        <w:tc>
          <w:tcPr>
            <w:tcW w:w="4519" w:type="dxa"/>
          </w:tcPr>
          <w:p w:rsidR="006C2BEC" w:rsidRPr="00915C86" w:rsidP="003C743A">
            <w:pPr>
              <w:spacing w:after="0"/>
            </w:pPr>
            <w:r w:rsidRPr="00915C86">
              <w:t>TRAIN DERAILMENTS</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r w:rsidTr="003C743A">
        <w:tblPrEx>
          <w:tblW w:w="0" w:type="auto"/>
          <w:tblLook w:val="04A0"/>
        </w:tblPrEx>
        <w:tc>
          <w:tcPr>
            <w:tcW w:w="4519" w:type="dxa"/>
          </w:tcPr>
          <w:p w:rsidR="006C2BEC" w:rsidRPr="00915C86" w:rsidP="003C743A">
            <w:pPr>
              <w:spacing w:after="0"/>
            </w:pPr>
            <w:r w:rsidRPr="00915C86">
              <w:t>[Rete RFI]</w:t>
            </w:r>
          </w:p>
        </w:tc>
        <w:tc>
          <w:tcPr>
            <w:tcW w:w="4519" w:type="dxa"/>
          </w:tcPr>
          <w:p w:rsidR="006C2BEC" w:rsidRPr="00915C86" w:rsidP="003C743A">
            <w:pPr>
              <w:spacing w:after="0"/>
            </w:pPr>
            <w:r w:rsidRPr="00915C86">
              <w:t>(RFI network)</w:t>
            </w:r>
          </w:p>
        </w:tc>
      </w:tr>
      <w:tr w:rsidTr="003C743A">
        <w:tblPrEx>
          <w:tblW w:w="0" w:type="auto"/>
          <w:tblLook w:val="04A0"/>
        </w:tblPrEx>
        <w:tc>
          <w:tcPr>
            <w:tcW w:w="4519" w:type="dxa"/>
          </w:tcPr>
          <w:p w:rsidR="006C2BEC" w:rsidRPr="00915C86" w:rsidP="003C743A">
            <w:pPr>
              <w:spacing w:after="0"/>
            </w:pPr>
            <w:r w:rsidRPr="00915C86">
              <w:t>[Rete Regionali Interconesse]</w:t>
            </w:r>
          </w:p>
        </w:tc>
        <w:tc>
          <w:tcPr>
            <w:tcW w:w="4519" w:type="dxa"/>
          </w:tcPr>
          <w:p w:rsidR="006C2BEC" w:rsidRPr="00915C86" w:rsidP="003C743A">
            <w:pPr>
              <w:spacing w:after="0"/>
            </w:pPr>
            <w:r w:rsidRPr="00915C86">
              <w:t>(Interconnected Regional Network)</w:t>
            </w:r>
          </w:p>
        </w:tc>
      </w:tr>
    </w:tbl>
    <w:p w:rsidR="006C2BEC" w:rsidRPr="00915C86" w:rsidP="006C2BEC"/>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 available evidence shows that the five derailments (four occurred on the [RFI Network] and one occurred on the [Interconnected Regional Networks]) are associated with infrastructure maintenance problems.</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 xml:space="preserve">The following figure goes on to analyse accident categories due to ‘fires in rolling stock’. In 2017, three accidents took place that did not result in casualties: two on (RFI Network) and one on (Interconnected Regional Networks). The accidents were caused by maintenance </w:t>
      </w:r>
      <w:r w:rsidRPr="00915C86">
        <w:rPr>
          <w:rFonts w:ascii="Century Gothic" w:hAnsi="Century Gothic"/>
          <w:sz w:val="20"/>
          <w:szCs w:val="20"/>
        </w:rPr>
        <w:t>problems and can be traced back to a significant number of minor events, reported last year, which reveal a need for an increased focus on railway vehicle maintenance activities.</w:t>
      </w:r>
    </w:p>
    <w:p w:rsidR="006C2BEC" w:rsidRPr="00915C86" w:rsidP="006C2BEC">
      <w:pPr>
        <w:spacing w:before="240" w:after="0"/>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93056" behindDoc="0" locked="0" layoutInCell="1" allowOverlap="1">
                <wp:simplePos x="0" y="0"/>
                <wp:positionH relativeFrom="column">
                  <wp:posOffset>4267200</wp:posOffset>
                </wp:positionH>
                <wp:positionV relativeFrom="paragraph">
                  <wp:posOffset>2718502</wp:posOffset>
                </wp:positionV>
                <wp:extent cx="634701" cy="182880"/>
                <wp:effectExtent l="0" t="0" r="0" b="0"/>
                <wp:wrapNone/>
                <wp:docPr id="211" name="Gruppo 211"/>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212"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13"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11" o:spid="_x0000_s1085" style="width:50pt;height:14.4pt;margin-top:214.05pt;margin-left:336pt;mso-height-relative:margin;mso-width-relative:margin;position:absolute;z-index:251694080" coordsize="6799,2482">
                <v:shape id="_x0000_s1086"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87"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676702" cy="3263668"/>
            <wp:effectExtent l="0" t="0" r="10160" b="13335"/>
            <wp:docPr id="40" name="Gra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INCIDENTI SIGNIFICATIVI</w:t>
            </w:r>
          </w:p>
          <w:p w:rsidR="006C2BEC" w:rsidRPr="00915C86" w:rsidP="003C743A">
            <w:pPr>
              <w:spacing w:after="0"/>
            </w:pPr>
            <w:r w:rsidRPr="00915C86">
              <w:t>INCENDI AL MATERIALE ROTABILE</w:t>
            </w:r>
          </w:p>
          <w:p w:rsidR="006C2BEC" w:rsidRPr="00915C86" w:rsidP="003C743A">
            <w:pPr>
              <w:spacing w:after="0"/>
            </w:pPr>
            <w:r w:rsidRPr="00915C86">
              <w:t>[Rete IT]</w:t>
            </w:r>
          </w:p>
        </w:tc>
        <w:tc>
          <w:tcPr>
            <w:tcW w:w="4519" w:type="dxa"/>
          </w:tcPr>
          <w:p w:rsidR="006C2BEC" w:rsidRPr="00915C86" w:rsidP="003C743A">
            <w:pPr>
              <w:spacing w:after="0"/>
            </w:pPr>
            <w:r w:rsidRPr="00915C86">
              <w:t>SIGNIFICANT ACCIDENTS</w:t>
            </w:r>
          </w:p>
          <w:p w:rsidR="006C2BEC" w:rsidRPr="00915C86" w:rsidP="003C743A">
            <w:pPr>
              <w:spacing w:after="0"/>
            </w:pPr>
            <w:r w:rsidRPr="00915C86">
              <w:t>FIRES IN ROLLING STOCK</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r w:rsidTr="003C743A">
        <w:tblPrEx>
          <w:tblW w:w="0" w:type="auto"/>
          <w:tblLook w:val="04A0"/>
        </w:tblPrEx>
        <w:tc>
          <w:tcPr>
            <w:tcW w:w="4519" w:type="dxa"/>
          </w:tcPr>
          <w:p w:rsidR="006C2BEC" w:rsidRPr="00915C86" w:rsidP="003C743A">
            <w:pPr>
              <w:spacing w:after="0"/>
            </w:pPr>
            <w:r w:rsidRPr="00915C86">
              <w:t>[Rete RFI]</w:t>
            </w:r>
          </w:p>
        </w:tc>
        <w:tc>
          <w:tcPr>
            <w:tcW w:w="4519" w:type="dxa"/>
          </w:tcPr>
          <w:p w:rsidR="006C2BEC" w:rsidRPr="00915C86" w:rsidP="003C743A">
            <w:pPr>
              <w:spacing w:after="0"/>
            </w:pPr>
            <w:r w:rsidRPr="00915C86">
              <w:t>(RFI network)</w:t>
            </w:r>
          </w:p>
        </w:tc>
      </w:tr>
      <w:tr w:rsidTr="003C743A">
        <w:tblPrEx>
          <w:tblW w:w="0" w:type="auto"/>
          <w:tblLook w:val="04A0"/>
        </w:tblPrEx>
        <w:tc>
          <w:tcPr>
            <w:tcW w:w="4519" w:type="dxa"/>
          </w:tcPr>
          <w:p w:rsidR="006C2BEC" w:rsidRPr="00915C86" w:rsidP="003C743A">
            <w:pPr>
              <w:spacing w:after="0"/>
            </w:pPr>
            <w:r w:rsidRPr="00915C86">
              <w:t>[Rete Regionali Interconesse]</w:t>
            </w:r>
          </w:p>
        </w:tc>
        <w:tc>
          <w:tcPr>
            <w:tcW w:w="4519" w:type="dxa"/>
          </w:tcPr>
          <w:p w:rsidR="006C2BEC" w:rsidRPr="00915C86" w:rsidP="003C743A">
            <w:pPr>
              <w:spacing w:after="0"/>
            </w:pPr>
            <w:r w:rsidRPr="00915C86">
              <w:t>(Interconnected Regional Network)</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category ‘other types of accidents’ included all railway accidents that are not covered by any of the other categories (e.g. derailment or collision of a work or shunting vehicle, spillage of dangerous goods). They include events connected with work site and shunting safety matters (except for collisions with staff).</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95104" behindDoc="0" locked="0" layoutInCell="1" allowOverlap="1">
                <wp:simplePos x="0" y="0"/>
                <wp:positionH relativeFrom="column">
                  <wp:posOffset>4170948</wp:posOffset>
                </wp:positionH>
                <wp:positionV relativeFrom="paragraph">
                  <wp:posOffset>2742565</wp:posOffset>
                </wp:positionV>
                <wp:extent cx="634701" cy="182880"/>
                <wp:effectExtent l="0" t="0" r="0" b="0"/>
                <wp:wrapNone/>
                <wp:docPr id="214" name="Gruppo 214"/>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215"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16"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14" o:spid="_x0000_s1088" style="width:50pt;height:14.4pt;margin-top:215.95pt;margin-left:328.4pt;mso-height-relative:margin;mso-width-relative:margin;position:absolute;z-index:251696128" coordsize="6799,2482">
                <v:shape id="_x0000_s1089"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90"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446357" cy="3270648"/>
            <wp:effectExtent l="0" t="0" r="11430" b="6350"/>
            <wp:docPr id="41" name="Gra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INCIDENTI SIGNIFICATIVI</w:t>
            </w:r>
          </w:p>
          <w:p w:rsidR="006C2BEC" w:rsidRPr="00915C86" w:rsidP="003C743A">
            <w:pPr>
              <w:spacing w:after="0"/>
            </w:pPr>
            <w:r w:rsidRPr="00915C86">
              <w:t>ALTRI TIPI DI INCIDENTI</w:t>
            </w:r>
          </w:p>
          <w:p w:rsidR="006C2BEC" w:rsidRPr="00915C86" w:rsidP="003C743A">
            <w:pPr>
              <w:spacing w:after="0"/>
            </w:pPr>
            <w:r w:rsidRPr="00915C86">
              <w:t>[Rete IT]</w:t>
            </w:r>
          </w:p>
        </w:tc>
        <w:tc>
          <w:tcPr>
            <w:tcW w:w="4519" w:type="dxa"/>
          </w:tcPr>
          <w:p w:rsidR="006C2BEC" w:rsidRPr="00915C86" w:rsidP="003C743A">
            <w:pPr>
              <w:spacing w:after="0"/>
            </w:pPr>
            <w:r w:rsidRPr="00915C86">
              <w:t>SIGNIFICANT ACCIDENTS</w:t>
            </w:r>
          </w:p>
          <w:p w:rsidR="006C2BEC" w:rsidRPr="00915C86" w:rsidP="003C743A">
            <w:pPr>
              <w:spacing w:after="0"/>
            </w:pPr>
            <w:r w:rsidRPr="00915C86">
              <w:t>OTHER TYPES OF ACCIDENT</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SIGNIFICATIVI/Mln tr-km</w:t>
            </w:r>
          </w:p>
        </w:tc>
        <w:tc>
          <w:tcPr>
            <w:tcW w:w="4519" w:type="dxa"/>
          </w:tcPr>
          <w:p w:rsidR="006C2BEC" w:rsidRPr="00915C86" w:rsidP="003C743A">
            <w:pPr>
              <w:spacing w:after="0"/>
            </w:pPr>
            <w:r w:rsidRPr="00915C86">
              <w:t>NO OF SIGNIFICANT ACCIDENTS/million tr-km</w:t>
            </w:r>
          </w:p>
        </w:tc>
      </w:tr>
      <w:tr w:rsidTr="003C743A">
        <w:tblPrEx>
          <w:tblW w:w="0" w:type="auto"/>
          <w:tblLook w:val="04A0"/>
        </w:tblPrEx>
        <w:tc>
          <w:tcPr>
            <w:tcW w:w="4519" w:type="dxa"/>
          </w:tcPr>
          <w:p w:rsidR="006C2BEC" w:rsidRPr="00915C86" w:rsidP="003C743A">
            <w:pPr>
              <w:spacing w:after="0"/>
            </w:pPr>
            <w:r w:rsidRPr="00915C86">
              <w:t>n° INCIDENTI SIGNIFICATIVI</w:t>
            </w:r>
          </w:p>
        </w:tc>
        <w:tc>
          <w:tcPr>
            <w:tcW w:w="4519" w:type="dxa"/>
          </w:tcPr>
          <w:p w:rsidR="006C2BEC" w:rsidRPr="00915C86" w:rsidP="003C743A">
            <w:pPr>
              <w:spacing w:after="0"/>
            </w:pPr>
            <w:r w:rsidRPr="00915C86">
              <w:t>NO OF SIGNIFICANT ACCIDENTS</w:t>
            </w:r>
          </w:p>
        </w:tc>
      </w:tr>
      <w:tr w:rsidTr="003C743A">
        <w:tblPrEx>
          <w:tblW w:w="0" w:type="auto"/>
          <w:tblLook w:val="04A0"/>
        </w:tblPrEx>
        <w:tc>
          <w:tcPr>
            <w:tcW w:w="4519" w:type="dxa"/>
          </w:tcPr>
          <w:p w:rsidR="006C2BEC" w:rsidRPr="00915C86" w:rsidP="003C743A">
            <w:pPr>
              <w:spacing w:after="0"/>
            </w:pPr>
            <w:r w:rsidRPr="00915C86">
              <w:t>[Rete RFI]</w:t>
            </w:r>
          </w:p>
        </w:tc>
        <w:tc>
          <w:tcPr>
            <w:tcW w:w="4519" w:type="dxa"/>
          </w:tcPr>
          <w:p w:rsidR="006C2BEC" w:rsidRPr="00915C86" w:rsidP="003C743A">
            <w:pPr>
              <w:spacing w:after="0"/>
            </w:pPr>
            <w:r w:rsidRPr="00915C86">
              <w:t>(RFI network)</w:t>
            </w:r>
          </w:p>
        </w:tc>
      </w:tr>
      <w:tr w:rsidTr="003C743A">
        <w:tblPrEx>
          <w:tblW w:w="0" w:type="auto"/>
          <w:tblLook w:val="04A0"/>
        </w:tblPrEx>
        <w:tc>
          <w:tcPr>
            <w:tcW w:w="4519" w:type="dxa"/>
          </w:tcPr>
          <w:p w:rsidR="006C2BEC" w:rsidRPr="00915C86" w:rsidP="003C743A">
            <w:pPr>
              <w:spacing w:after="0"/>
            </w:pPr>
            <w:r w:rsidRPr="00915C86">
              <w:t>[Rete Regionali Interconesse]</w:t>
            </w:r>
          </w:p>
        </w:tc>
        <w:tc>
          <w:tcPr>
            <w:tcW w:w="4519" w:type="dxa"/>
          </w:tcPr>
          <w:p w:rsidR="006C2BEC" w:rsidRPr="00915C86" w:rsidP="003C743A">
            <w:pPr>
              <w:spacing w:after="0"/>
            </w:pPr>
            <w:r w:rsidRPr="00915C86">
              <w:t>(Interconnected Regional Network)</w:t>
            </w:r>
          </w:p>
        </w:tc>
      </w:tr>
    </w:tbl>
    <w:p w:rsidR="006C2BEC" w:rsidRPr="00915C86" w:rsidP="006C2BEC"/>
    <w:p w:rsidR="006C2BEC" w:rsidRPr="00915C86" w:rsidP="006C2BEC">
      <w:pPr>
        <w:spacing w:before="240" w:after="0"/>
        <w:rPr>
          <w:rFonts w:ascii="Century Gothic" w:hAnsi="Century Gothic" w:cs="Century Gothic"/>
          <w:sz w:val="20"/>
          <w:szCs w:val="20"/>
        </w:rPr>
      </w:pPr>
      <w:r w:rsidRPr="00915C86">
        <w:rPr>
          <w:rFonts w:ascii="Century Gothic" w:hAnsi="Century Gothic"/>
          <w:sz w:val="20"/>
          <w:szCs w:val="20"/>
        </w:rPr>
        <w:t>Of the seven accidents that took place in 2017, five occurred during shunting and were categorised under ‘other types of accident’. In six incidents, the causes could be identified as incorrect execution of operating procedures and one case was connected with maintenance problems. The figure rose compared to 2016 and is higher than the average for the period. With reference to shunting activity, ANSF's supervisory actions identified:</w:t>
      </w:r>
    </w:p>
    <w:p w:rsidR="006C2BEC" w:rsidRPr="00915C86" w:rsidP="006C2BEC">
      <w:pPr>
        <w:numPr>
          <w:ilvl w:val="0"/>
          <w:numId w:val="33"/>
        </w:numPr>
        <w:spacing w:after="0"/>
        <w:rPr>
          <w:rFonts w:ascii="Century Gothic" w:hAnsi="Century Gothic" w:cs="Century Gothic"/>
          <w:sz w:val="20"/>
          <w:szCs w:val="20"/>
        </w:rPr>
      </w:pPr>
      <w:r w:rsidRPr="00915C86">
        <w:rPr>
          <w:rFonts w:ascii="Century Gothic" w:hAnsi="Century Gothic"/>
          <w:sz w:val="20"/>
          <w:szCs w:val="20"/>
        </w:rPr>
        <w:t>staff incompetence;</w:t>
      </w:r>
    </w:p>
    <w:p w:rsidR="006C2BEC" w:rsidRPr="00915C86" w:rsidP="006C2BEC">
      <w:pPr>
        <w:numPr>
          <w:ilvl w:val="0"/>
          <w:numId w:val="33"/>
        </w:numPr>
        <w:spacing w:after="0"/>
        <w:rPr>
          <w:rFonts w:ascii="Century Gothic" w:hAnsi="Century Gothic" w:cs="Century Gothic"/>
          <w:sz w:val="20"/>
          <w:szCs w:val="20"/>
        </w:rPr>
      </w:pPr>
      <w:r w:rsidRPr="00915C86">
        <w:rPr>
          <w:rFonts w:ascii="Century Gothic" w:hAnsi="Century Gothic"/>
          <w:sz w:val="20"/>
          <w:szCs w:val="20"/>
        </w:rPr>
        <w:t>organisational and interface problems between operators;</w:t>
      </w:r>
    </w:p>
    <w:p w:rsidR="006C2BEC" w:rsidRPr="00915C86" w:rsidP="006C2BEC">
      <w:pPr>
        <w:numPr>
          <w:ilvl w:val="0"/>
          <w:numId w:val="33"/>
        </w:numPr>
        <w:spacing w:after="0"/>
        <w:rPr>
          <w:rFonts w:ascii="Century Gothic" w:hAnsi="Century Gothic" w:cs="Century Gothic"/>
          <w:sz w:val="20"/>
          <w:szCs w:val="20"/>
        </w:rPr>
      </w:pPr>
      <w:r w:rsidRPr="00915C86">
        <w:rPr>
          <w:rFonts w:ascii="Century Gothic" w:hAnsi="Century Gothic"/>
          <w:sz w:val="20"/>
          <w:szCs w:val="20"/>
        </w:rPr>
        <w:t>lack of control of activities;</w:t>
      </w:r>
    </w:p>
    <w:p w:rsidR="006C2BEC" w:rsidRPr="00915C86" w:rsidP="006C2BEC">
      <w:pPr>
        <w:numPr>
          <w:ilvl w:val="0"/>
          <w:numId w:val="33"/>
        </w:numPr>
        <w:spacing w:after="0"/>
        <w:rPr>
          <w:rFonts w:ascii="Century Gothic" w:hAnsi="Century Gothic" w:cs="Century Gothic"/>
          <w:sz w:val="20"/>
          <w:szCs w:val="20"/>
        </w:rPr>
      </w:pPr>
      <w:r w:rsidRPr="00915C86">
        <w:rPr>
          <w:rFonts w:ascii="Century Gothic" w:hAnsi="Century Gothic"/>
          <w:sz w:val="20"/>
          <w:szCs w:val="20"/>
        </w:rPr>
        <w:t>incorrect management of risks arising from the provision of safety-related activities.</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 actions identified have led ANSF to call on railway managers and undertakings to adopt the following measures, according to their individual competences:</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move vehicles between systems as a train;</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equip shunting locomotives with a guard and running protection systems, gradually bringing safety devices into line with the requirements of ANSF Decree No 1/2015;</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ensure better staff training;</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regulate activities with a higher level of detail in order to limit the scope for discretional action by agents involved in shunting, defining the interfaces between the various actors involved;</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continuously monitor the performance of shunting activities, including those received in service by third parties;</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regulate methods for immobilising rolling stock and safekeeping of movable scotch blocks;</w:t>
      </w:r>
    </w:p>
    <w:p w:rsidR="006C2BEC" w:rsidRPr="00915C86" w:rsidP="006C2BEC">
      <w:pPr>
        <w:numPr>
          <w:ilvl w:val="0"/>
          <w:numId w:val="34"/>
        </w:numPr>
        <w:spacing w:after="0"/>
        <w:rPr>
          <w:rFonts w:ascii="Century Gothic" w:hAnsi="Century Gothic" w:cs="Century Gothic"/>
          <w:sz w:val="20"/>
          <w:szCs w:val="20"/>
        </w:rPr>
      </w:pPr>
      <w:r w:rsidRPr="00915C86">
        <w:rPr>
          <w:rFonts w:ascii="Century Gothic" w:hAnsi="Century Gothic"/>
          <w:sz w:val="20"/>
          <w:szCs w:val="20"/>
        </w:rPr>
        <w:t>develop a positive culture of safety.</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In 2017, no significant accidents occurred that directly involved dangerous goods, but seven recorded events were due to dangerous goods spillages. The 2017 value was one unit higher than in 2016.</w:t>
      </w:r>
    </w:p>
    <w:p w:rsidR="006C2BEC" w:rsidRPr="00915C86" w:rsidP="006C2BEC">
      <w:pPr>
        <w:rPr>
          <w:rFonts w:ascii="Century Gothic" w:hAnsi="Century Gothic" w:cs="Century Gothic"/>
          <w:sz w:val="20"/>
          <w:szCs w:val="20"/>
        </w:rPr>
      </w:pPr>
      <w:r w:rsidRPr="00915C86">
        <w:rPr>
          <w:rFonts w:ascii="Century Gothic" w:hAnsi="Century Gothic"/>
          <w:sz w:val="20"/>
          <w:szCs w:val="20"/>
        </w:rPr>
        <w:t>ANSF follows this issue closely, particularly since 2009, when there was a historic peak. The 2017 rate is 86% lower than in 2009.</w:t>
      </w:r>
    </w:p>
    <w:p w:rsidR="006C2BEC" w:rsidRPr="00915C86" w:rsidP="006C2BEC">
      <w:pPr>
        <w:jc w:val="center"/>
        <w:rPr>
          <w:rFonts w:ascii="Century Gothic" w:hAnsi="Century Gothic" w:cs="Century Gothic"/>
          <w:sz w:val="20"/>
          <w:szCs w:val="20"/>
        </w:rPr>
      </w:pPr>
      <w:r w:rsidRPr="00915C86">
        <w:rPr>
          <w:rFonts w:ascii="Century Gothic" w:hAnsi="Century Gothic"/>
          <w:noProof/>
          <w:sz w:val="20"/>
          <w:szCs w:val="20"/>
          <w:lang w:val="fr-LU" w:eastAsia="fr-LU"/>
        </w:rPr>
        <mc:AlternateContent>
          <mc:Choice Requires="wpg">
            <w:drawing>
              <wp:anchor distT="0" distB="0" distL="114300" distR="114300" simplePos="0" relativeHeight="251697152" behindDoc="0" locked="0" layoutInCell="1" allowOverlap="1">
                <wp:simplePos x="0" y="0"/>
                <wp:positionH relativeFrom="column">
                  <wp:posOffset>4291264</wp:posOffset>
                </wp:positionH>
                <wp:positionV relativeFrom="paragraph">
                  <wp:posOffset>2943726</wp:posOffset>
                </wp:positionV>
                <wp:extent cx="634701" cy="182880"/>
                <wp:effectExtent l="0" t="0" r="0" b="0"/>
                <wp:wrapNone/>
                <wp:docPr id="218" name="Gruppo 218"/>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01" cy="182880"/>
                          <a:chOff x="0" y="0"/>
                          <a:chExt cx="679958" cy="248285"/>
                        </a:xfrm>
                      </wpg:grpSpPr>
                      <wps:wsp xmlns:wps="http://schemas.microsoft.com/office/word/2010/wordprocessingShape">
                        <wps:cNvPr id="219" name="Casella di testo 2"/>
                        <wps:cNvSpPr txBox="1">
                          <a:spLocks noChangeArrowheads="1"/>
                        </wps:cNvSpPr>
                        <wps:spPr bwMode="auto">
                          <a:xfrm>
                            <a:off x="0"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s:wsp xmlns:wps="http://schemas.microsoft.com/office/word/2010/wordprocessingShape">
                        <wps:cNvPr id="220" name="Casella di testo 2"/>
                        <wps:cNvSpPr txBox="1">
                          <a:spLocks noChangeArrowheads="1"/>
                        </wps:cNvSpPr>
                        <wps:spPr bwMode="auto">
                          <a:xfrm>
                            <a:off x="292608" y="0"/>
                            <a:ext cx="387350" cy="248285"/>
                          </a:xfrm>
                          <a:prstGeom prst="rect">
                            <a:avLst/>
                          </a:prstGeom>
                          <a:noFill/>
                          <a:ln w="9525">
                            <a:noFill/>
                            <a:miter lim="800000"/>
                            <a:headEnd/>
                            <a:tailEnd/>
                          </a:ln>
                        </wps:spPr>
                        <wps:txbx>
                          <w:txbxContent>
                            <w:p w:rsidR="00575D08" w:rsidRPr="00915C86" w:rsidP="006C2BEC">
                              <w:pPr>
                                <w:rPr>
                                  <w:rFonts w:ascii="Century Gothic" w:hAnsi="Century Gothic"/>
                                  <w:sz w:val="16"/>
                                </w:rPr>
                              </w:pPr>
                              <w:r w:rsidRPr="00915C86">
                                <w:rPr>
                                  <w:rFonts w:ascii="Century Gothic" w:hAnsi="Century Gothic"/>
                                  <w:sz w:val="16"/>
                                </w:rPr>
                                <w: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o 218" o:spid="_x0000_s1091" style="width:50pt;height:14.4pt;margin-top:231.8pt;margin-left:337.9pt;mso-height-relative:margin;mso-width-relative:margin;position:absolute;z-index:251698176" coordsize="6799,2482">
                <v:shape id="_x0000_s1092" type="#_x0000_t202" style="width:3873;height:2482;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shape id="_x0000_s1093" type="#_x0000_t202" style="width:3873;height:2482;left:2926;mso-wrap-style:square;position:absolute;visibility:visible;v-text-anchor:top" filled="f" stroked="f">
                  <v:textbox>
                    <w:txbxContent>
                      <w:p w:rsidR="00575D08" w:rsidRPr="00915C86" w:rsidP="006C2BEC">
                        <w:pPr>
                          <w:rPr>
                            <w:rFonts w:ascii="Century Gothic" w:hAnsi="Century Gothic"/>
                            <w:sz w:val="16"/>
                          </w:rPr>
                        </w:pPr>
                        <w:r w:rsidRPr="00915C86">
                          <w:rPr>
                            <w:rFonts w:ascii="Century Gothic" w:hAnsi="Century Gothic"/>
                            <w:sz w:val="16"/>
                          </w:rPr>
                          <w:t>*</w:t>
                        </w:r>
                      </w:p>
                    </w:txbxContent>
                  </v:textbox>
                </v:shape>
              </v:group>
            </w:pict>
          </mc:Fallback>
        </mc:AlternateContent>
      </w:r>
      <w:r w:rsidRPr="00915C86">
        <w:rPr>
          <w:rFonts w:ascii="Century Gothic" w:hAnsi="Century Gothic"/>
          <w:noProof/>
          <w:sz w:val="20"/>
          <w:szCs w:val="20"/>
          <w:lang w:val="fr-LU" w:eastAsia="fr-LU"/>
        </w:rPr>
        <w:drawing>
          <wp:inline distT="0" distB="0" distL="0" distR="0">
            <wp:extent cx="4860098" cy="3225008"/>
            <wp:effectExtent l="0" t="0" r="17145" b="13970"/>
            <wp:docPr id="42" name="Gra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C2BEC" w:rsidRPr="00915C86" w:rsidP="006C2BEC">
      <w:pPr>
        <w:spacing w:after="0"/>
        <w:jc w:val="center"/>
        <w:rPr>
          <w:rFonts w:ascii="Century Gothic" w:hAnsi="Century Gothic" w:cs="Century Gothic"/>
          <w:sz w:val="14"/>
          <w:szCs w:val="16"/>
        </w:rPr>
      </w:pPr>
      <w:r w:rsidRPr="00915C86">
        <w:rPr>
          <w:rFonts w:ascii="Century Gothic" w:hAnsi="Century Gothic"/>
          <w:sz w:val="14"/>
          <w:szCs w:val="16"/>
        </w:rPr>
        <w:t>(*) data relating to 2016 and 2017 recorded on the (RFI Network) + data recorded on the (Interconnected Regional Networks).</w:t>
      </w:r>
    </w:p>
    <w:tbl>
      <w:tblPr>
        <w:tblStyle w:val="TableGrid"/>
        <w:tblW w:w="0" w:type="auto"/>
        <w:tblLook w:val="04A0"/>
      </w:tblPr>
      <w:tblGrid>
        <w:gridCol w:w="4519"/>
        <w:gridCol w:w="4519"/>
      </w:tblGrid>
      <w:tr w:rsidTr="003C743A">
        <w:tblPrEx>
          <w:tblW w:w="0" w:type="auto"/>
          <w:tblLook w:val="04A0"/>
        </w:tblPrEx>
        <w:tc>
          <w:tcPr>
            <w:tcW w:w="4519" w:type="dxa"/>
          </w:tcPr>
          <w:p w:rsidR="006C2BEC" w:rsidRPr="00915C86" w:rsidP="003C743A">
            <w:pPr>
              <w:spacing w:after="0"/>
            </w:pPr>
            <w:r w:rsidRPr="00915C86">
              <w:t>ANDAMENTO DEL NUMERO DEGLI INCIDENTI E DEGLI INCONVENIENTIRELATIVI AL TRASPORTO DI MERCI PERICOLOSE COLLEGATI A PROBLEMATICHE DI CARICO O A DIFETTI DELLE STRUTTURE DEI CONTAINER</w:t>
            </w:r>
          </w:p>
          <w:p w:rsidR="006C2BEC" w:rsidRPr="00915C86" w:rsidP="003C743A">
            <w:pPr>
              <w:spacing w:after="0"/>
            </w:pPr>
            <w:r w:rsidRPr="00915C86">
              <w:t>[Rete IT]</w:t>
            </w:r>
          </w:p>
        </w:tc>
        <w:tc>
          <w:tcPr>
            <w:tcW w:w="4519" w:type="dxa"/>
          </w:tcPr>
          <w:p w:rsidR="006C2BEC" w:rsidRPr="00915C86" w:rsidP="003C743A">
            <w:pPr>
              <w:spacing w:after="0"/>
            </w:pPr>
            <w:r w:rsidRPr="00915C86">
              <w:t>TREND IN THE NUMBER OF ACCIDENTS AND INCIDENTS RELATING TO DANGEROUS GOODS TRANSPORT CONNECTED WITH LOADING PROBLEMS OR CONTAINER STRUCTURAL DEFECTS</w:t>
            </w:r>
          </w:p>
          <w:p w:rsidR="006C2BEC" w:rsidRPr="00915C86" w:rsidP="003C743A">
            <w:pPr>
              <w:spacing w:after="0"/>
            </w:pPr>
            <w:r w:rsidRPr="00915C86">
              <w:t>(IT Network)</w:t>
            </w:r>
          </w:p>
        </w:tc>
      </w:tr>
      <w:tr w:rsidTr="003C743A">
        <w:tblPrEx>
          <w:tblW w:w="0" w:type="auto"/>
          <w:tblLook w:val="04A0"/>
        </w:tblPrEx>
        <w:tc>
          <w:tcPr>
            <w:tcW w:w="4519" w:type="dxa"/>
          </w:tcPr>
          <w:p w:rsidR="006C2BEC" w:rsidRPr="00915C86" w:rsidP="003C743A">
            <w:pPr>
              <w:spacing w:after="0"/>
            </w:pPr>
            <w:r w:rsidRPr="00915C86">
              <w:t>n° INCIDENTI TOTALI</w:t>
            </w:r>
          </w:p>
        </w:tc>
        <w:tc>
          <w:tcPr>
            <w:tcW w:w="4519" w:type="dxa"/>
          </w:tcPr>
          <w:p w:rsidR="006C2BEC" w:rsidRPr="00915C86" w:rsidP="003C743A">
            <w:pPr>
              <w:spacing w:after="0"/>
            </w:pPr>
            <w:r w:rsidRPr="00915C86">
              <w:t>TOTAL NO OF ACCIDENTS</w:t>
            </w:r>
          </w:p>
        </w:tc>
      </w:tr>
    </w:tbl>
    <w:p w:rsidR="006C2BEC" w:rsidRPr="00915C86" w:rsidP="006C2BEC"/>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Ministry of Infrastructure and Transport Circular 0000059-23/11/2017-D issued new ‘Check-lists for tankers used for the transport of dangerous goods in classes 2, 3, 4, 5, 6, 8, 9’ to reinforce safety arrangements for dangerous goods transport.</w:t>
      </w:r>
    </w:p>
    <w:p w:rsidR="006C2BEC" w:rsidRPr="00915C86" w:rsidP="006C2BEC">
      <w:pPr>
        <w:pStyle w:val="Heading1"/>
        <w:tabs>
          <w:tab w:val="num" w:pos="432"/>
        </w:tabs>
        <w:spacing w:before="360" w:after="120"/>
        <w:ind w:left="431" w:hanging="431"/>
        <w:rPr>
          <w:rFonts w:ascii="Century Gothic" w:hAnsi="Century Gothic"/>
          <w:kern w:val="0"/>
        </w:rPr>
      </w:pPr>
      <w:bookmarkStart w:id="16" w:name="_Toc532565557"/>
      <w:r w:rsidRPr="00915C86">
        <w:rPr>
          <w:rFonts w:ascii="Century Gothic" w:hAnsi="Century Gothic"/>
        </w:rPr>
        <w:t>PART 5 – CERTIFICATIONS AND AUTHORISATIONS</w:t>
      </w:r>
      <w:bookmarkEnd w:id="16"/>
    </w:p>
    <w:p w:rsidR="006C2BEC" w:rsidRPr="00915C86" w:rsidP="006C2BEC">
      <w:pPr>
        <w:pStyle w:val="Heading2"/>
        <w:spacing w:after="120"/>
        <w:rPr>
          <w:rFonts w:ascii="Century Gothic" w:hAnsi="Century Gothic"/>
        </w:rPr>
      </w:pPr>
      <w:bookmarkStart w:id="17" w:name="_Toc532565558"/>
      <w:r w:rsidRPr="00915C86">
        <w:rPr>
          <w:rFonts w:ascii="Century Gothic" w:hAnsi="Century Gothic"/>
        </w:rPr>
        <w:t>5.1</w:t>
      </w:r>
      <w:r w:rsidRPr="00915C86">
        <w:rPr>
          <w:rFonts w:ascii="Century Gothic" w:hAnsi="Century Gothic"/>
        </w:rPr>
        <w:tab/>
        <w:t>Safety authorisations and certifications</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8"/>
        <w:gridCol w:w="5740"/>
      </w:tblGrid>
      <w:tr w:rsidTr="003C743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As of 31 December 2017, a total of 36 railway undertakings held a safety certificate (SC), of which 18 for goods transport alone, 10 for passengers alone, seven for passengers and goods and one for shunting service alone.</w:t>
            </w:r>
          </w:p>
          <w:p w:rsidR="006C2BEC" w:rsidRPr="00915C86" w:rsidP="003C743A">
            <w:pPr>
              <w:spacing w:after="0"/>
              <w:rPr>
                <w:rFonts w:ascii="Century Gothic" w:hAnsi="Century Gothic"/>
                <w:noProof/>
                <w:sz w:val="20"/>
                <w:szCs w:val="20"/>
              </w:rPr>
            </w:pPr>
            <w:r w:rsidRPr="00915C86">
              <w:rPr>
                <w:rFonts w:ascii="Century Gothic" w:hAnsi="Century Gothic"/>
                <w:sz w:val="20"/>
                <w:szCs w:val="20"/>
              </w:rPr>
              <w:t>In 2017, 19 part A SCs were issued. Compared to the previous year when 18 part A SCs were issued, an increase (from 3 to 9) was observed in the issue of five-year certificates.</w:t>
            </w:r>
          </w:p>
        </w:tc>
        <w:tc>
          <w:tcPr>
            <w:tcW w:w="4519" w:type="dxa"/>
          </w:tcPr>
          <w:p w:rsidR="006C2BEC" w:rsidRPr="00915C86" w:rsidP="003C743A">
            <w:r w:rsidRPr="00915C86">
              <w:rPr>
                <w:noProof/>
                <w:lang w:val="fr-LU" w:eastAsia="fr-LU"/>
              </w:rPr>
              <w:drawing>
                <wp:inline distT="0" distB="0" distL="0" distR="0">
                  <wp:extent cx="3507740" cy="2108200"/>
                  <wp:effectExtent l="0" t="0" r="0" b="6350"/>
                  <wp:docPr id="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6599" name="Picture 2"/>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7740" cy="2108200"/>
                          </a:xfrm>
                          <a:prstGeom prst="rect">
                            <a:avLst/>
                          </a:prstGeom>
                          <a:noFill/>
                        </pic:spPr>
                      </pic:pic>
                    </a:graphicData>
                  </a:graphic>
                </wp:inline>
              </w:drawing>
            </w:r>
          </w:p>
        </w:tc>
      </w:tr>
      <w:tr w:rsidTr="003C743A">
        <w:tblPrEx>
          <w:tblW w:w="0" w:type="auto"/>
          <w:tblLook w:val="04A0"/>
        </w:tblPrEx>
        <w:tc>
          <w:tcPr>
            <w:tcW w:w="4519" w:type="dxa"/>
          </w:tcPr>
          <w:p w:rsidR="006C2BEC" w:rsidRPr="00915C86" w:rsidP="003C743A">
            <w:pPr>
              <w:spacing w:after="0"/>
              <w:rPr>
                <w:rFonts w:ascii="Century Gothic" w:hAnsi="Century Gothic"/>
                <w:sz w:val="20"/>
                <w:szCs w:val="20"/>
              </w:rPr>
            </w:pPr>
          </w:p>
        </w:tc>
        <w:tc>
          <w:tcPr>
            <w:tcW w:w="4519" w:type="dxa"/>
          </w:tcPr>
          <w:tbl>
            <w:tblPr>
              <w:tblStyle w:val="TableGrid"/>
              <w:tblW w:w="0" w:type="auto"/>
              <w:tblLook w:val="04A0"/>
            </w:tblPr>
            <w:tblGrid>
              <w:gridCol w:w="2757"/>
              <w:gridCol w:w="2757"/>
            </w:tblGrid>
            <w:tr w:rsidTr="003C743A">
              <w:tblPrEx>
                <w:tblW w:w="0" w:type="auto"/>
                <w:tblLook w:val="04A0"/>
              </w:tblPrEx>
              <w:tc>
                <w:tcPr>
                  <w:tcW w:w="2757"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Distribuzione dei certificati di scurezza per tipologia di servizio - Anno 2017</w:t>
                  </w:r>
                </w:p>
              </w:tc>
              <w:tc>
                <w:tcPr>
                  <w:tcW w:w="2757" w:type="dxa"/>
                </w:tcPr>
                <w:p w:rsidR="006C2BEC" w:rsidRPr="00915C86" w:rsidP="003C743A">
                  <w:pPr>
                    <w:rPr>
                      <w:rFonts w:ascii="Century Gothic" w:hAnsi="Century Gothic"/>
                      <w:noProof/>
                      <w:sz w:val="20"/>
                      <w:szCs w:val="20"/>
                    </w:rPr>
                  </w:pPr>
                  <w:r w:rsidRPr="00915C86">
                    <w:rPr>
                      <w:rFonts w:ascii="Century Gothic" w:hAnsi="Century Gothic"/>
                      <w:sz w:val="20"/>
                      <w:szCs w:val="20"/>
                    </w:rPr>
                    <w:t>Distribution of safety certificates by type of service – 2017</w:t>
                  </w:r>
                </w:p>
              </w:tc>
            </w:tr>
          </w:tbl>
          <w:p w:rsidR="006C2BEC" w:rsidRPr="00915C86" w:rsidP="003C743A">
            <w:pPr>
              <w:rPr>
                <w:rFonts w:ascii="Century Gothic" w:hAnsi="Century Gothic"/>
                <w:noProof/>
                <w:sz w:val="20"/>
                <w:szCs w:val="20"/>
                <w:lang w:val="en-US" w:eastAsia="en-US"/>
              </w:rPr>
            </w:pPr>
          </w:p>
        </w:tc>
      </w:tr>
    </w:tbl>
    <w:p w:rsidR="006C2BEC" w:rsidRPr="00915C86" w:rsidP="006C2BEC">
      <w:pPr>
        <w:spacing w:after="0"/>
        <w:rPr>
          <w:rFonts w:ascii="Century Gothic" w:hAnsi="Century Gothic"/>
          <w:noProof/>
          <w:sz w:val="20"/>
          <w:szCs w:val="20"/>
        </w:rPr>
      </w:pPr>
    </w:p>
    <w:p w:rsidR="006C2BEC" w:rsidRPr="00915C86" w:rsidP="006C2BEC">
      <w:pPr>
        <w:spacing w:after="0"/>
        <w:rPr>
          <w:rFonts w:ascii="Century Gothic" w:hAnsi="Century Gothic"/>
          <w:noProof/>
          <w:sz w:val="20"/>
          <w:szCs w:val="20"/>
        </w:rPr>
      </w:pPr>
    </w:p>
    <w:p w:rsidR="006C2BEC" w:rsidRPr="00915C86" w:rsidP="006C2BEC">
      <w:pPr>
        <w:jc w:val="center"/>
        <w:rPr>
          <w:rFonts w:ascii="Century Gothic" w:hAnsi="Century Gothic"/>
          <w:color w:val="7030A0"/>
          <w:sz w:val="20"/>
          <w:szCs w:val="20"/>
        </w:rPr>
      </w:pPr>
      <w:r w:rsidRPr="00915C86">
        <w:rPr>
          <w:rFonts w:ascii="Century Gothic" w:hAnsi="Century Gothic"/>
          <w:noProof/>
          <w:color w:val="7030A0"/>
          <w:sz w:val="20"/>
          <w:szCs w:val="20"/>
          <w:lang w:val="fr-LU" w:eastAsia="fr-LU"/>
        </w:rPr>
        <w:drawing>
          <wp:inline distT="0" distB="0" distL="0" distR="0">
            <wp:extent cx="5246201" cy="2120114"/>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70944" name="Picture 3"/>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rcRect t="-1" b="10884"/>
                    <a:stretch>
                      <a:fillRect/>
                    </a:stretch>
                  </pic:blipFill>
                  <pic:spPr bwMode="auto">
                    <a:xfrm>
                      <a:off x="0" y="0"/>
                      <a:ext cx="5257175" cy="212454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pPr>
            <w:r w:rsidRPr="00915C86">
              <w:t>CERTIFICATI PARTE A</w:t>
            </w:r>
          </w:p>
        </w:tc>
        <w:tc>
          <w:tcPr>
            <w:tcW w:w="4519" w:type="dxa"/>
          </w:tcPr>
          <w:p w:rsidR="006C2BEC" w:rsidRPr="00915C86" w:rsidP="003C743A">
            <w:pPr>
              <w:spacing w:after="0"/>
            </w:pPr>
            <w:r w:rsidRPr="00915C86">
              <w:t>PART A CERTIFICATES</w:t>
            </w:r>
          </w:p>
        </w:tc>
      </w:tr>
      <w:tr w:rsidTr="003C743A">
        <w:tblPrEx>
          <w:tblW w:w="9038" w:type="dxa"/>
          <w:tblLook w:val="04A0"/>
        </w:tblPrEx>
        <w:tc>
          <w:tcPr>
            <w:tcW w:w="4519" w:type="dxa"/>
          </w:tcPr>
          <w:p w:rsidR="006C2BEC" w:rsidRPr="00915C86" w:rsidP="003C743A">
            <w:pPr>
              <w:spacing w:after="0"/>
            </w:pPr>
            <w:r w:rsidRPr="00915C86">
              <w:t>Nuovi CDS</w:t>
            </w:r>
          </w:p>
        </w:tc>
        <w:tc>
          <w:tcPr>
            <w:tcW w:w="4519" w:type="dxa"/>
          </w:tcPr>
          <w:p w:rsidR="006C2BEC" w:rsidRPr="00915C86" w:rsidP="003C743A">
            <w:pPr>
              <w:spacing w:after="0"/>
            </w:pPr>
            <w:r w:rsidRPr="00915C86">
              <w:t>New SCs</w:t>
            </w:r>
          </w:p>
        </w:tc>
      </w:tr>
      <w:tr w:rsidTr="003C743A">
        <w:tblPrEx>
          <w:tblW w:w="9038" w:type="dxa"/>
          <w:tblLook w:val="04A0"/>
        </w:tblPrEx>
        <w:tc>
          <w:tcPr>
            <w:tcW w:w="4519" w:type="dxa"/>
          </w:tcPr>
          <w:p w:rsidR="006C2BEC" w:rsidRPr="00915C86" w:rsidP="003C743A">
            <w:pPr>
              <w:spacing w:after="0"/>
            </w:pPr>
            <w:r w:rsidRPr="00915C86">
              <w:t>Aggiornamenti</w:t>
            </w:r>
          </w:p>
        </w:tc>
        <w:tc>
          <w:tcPr>
            <w:tcW w:w="4519" w:type="dxa"/>
          </w:tcPr>
          <w:p w:rsidR="006C2BEC" w:rsidRPr="00915C86" w:rsidP="003C743A">
            <w:pPr>
              <w:spacing w:after="0"/>
            </w:pPr>
            <w:r w:rsidRPr="00915C86">
              <w:t>Updates</w:t>
            </w:r>
          </w:p>
        </w:tc>
      </w:tr>
      <w:tr w:rsidTr="003C743A">
        <w:tblPrEx>
          <w:tblW w:w="9038" w:type="dxa"/>
          <w:tblLook w:val="04A0"/>
        </w:tblPrEx>
        <w:tc>
          <w:tcPr>
            <w:tcW w:w="4519" w:type="dxa"/>
          </w:tcPr>
          <w:p w:rsidR="006C2BEC" w:rsidRPr="00915C86" w:rsidP="003C743A">
            <w:pPr>
              <w:spacing w:after="0"/>
            </w:pPr>
            <w:r w:rsidRPr="00915C86">
              <w:t>Rinnovi con durata inferiore a 5 anni</w:t>
            </w:r>
          </w:p>
        </w:tc>
        <w:tc>
          <w:tcPr>
            <w:tcW w:w="4519" w:type="dxa"/>
          </w:tcPr>
          <w:p w:rsidR="006C2BEC" w:rsidRPr="00915C86" w:rsidP="003C743A">
            <w:pPr>
              <w:spacing w:after="0"/>
            </w:pPr>
            <w:r w:rsidRPr="00915C86">
              <w:t>Renewals for periods under 5 years</w:t>
            </w:r>
          </w:p>
        </w:tc>
      </w:tr>
      <w:tr w:rsidTr="003C743A">
        <w:tblPrEx>
          <w:tblW w:w="9038" w:type="dxa"/>
          <w:tblLook w:val="04A0"/>
        </w:tblPrEx>
        <w:tc>
          <w:tcPr>
            <w:tcW w:w="4519" w:type="dxa"/>
          </w:tcPr>
          <w:p w:rsidR="006C2BEC" w:rsidRPr="00915C86" w:rsidP="003C743A">
            <w:pPr>
              <w:spacing w:after="0"/>
            </w:pPr>
            <w:r w:rsidRPr="00915C86">
              <w:t>Rinnovi quinquennali</w:t>
            </w:r>
          </w:p>
        </w:tc>
        <w:tc>
          <w:tcPr>
            <w:tcW w:w="4519" w:type="dxa"/>
          </w:tcPr>
          <w:p w:rsidR="006C2BEC" w:rsidRPr="00915C86" w:rsidP="003C743A">
            <w:pPr>
              <w:spacing w:after="0"/>
            </w:pPr>
            <w:r w:rsidRPr="00915C86">
              <w:t>Five-year renewals</w:t>
            </w:r>
          </w:p>
        </w:tc>
      </w:tr>
    </w:tbl>
    <w:p w:rsidR="006C2BEC" w:rsidRPr="00915C86" w:rsidP="006C2BEC"/>
    <w:p w:rsidR="006C2BEC" w:rsidRPr="00915C86" w:rsidP="006C2BEC">
      <w:pPr>
        <w:pStyle w:val="BodyTextIndent"/>
        <w:tabs>
          <w:tab w:val="left" w:pos="-1560"/>
          <w:tab w:val="right" w:pos="9600"/>
        </w:tabs>
        <w:spacing w:before="120" w:after="0"/>
        <w:ind w:left="0"/>
        <w:rPr>
          <w:rFonts w:ascii="Century Gothic" w:hAnsi="Century Gothic"/>
          <w:sz w:val="20"/>
          <w:szCs w:val="20"/>
        </w:rPr>
      </w:pPr>
      <w:r w:rsidRPr="00915C86">
        <w:rPr>
          <w:rFonts w:ascii="Century Gothic" w:hAnsi="Century Gothic"/>
          <w:sz w:val="20"/>
          <w:szCs w:val="20"/>
        </w:rPr>
        <w:t>In 2017, the number of part B SCs remained essentially unchanged compared to 2016 (36 in 2017 compared to 35 in 2016) also taking into consideration the revocation of one SC from CFI Logistics Services SpA due to service termination.</w:t>
      </w:r>
    </w:p>
    <w:p w:rsidR="006C2BEC" w:rsidRPr="00915C86" w:rsidP="006C2BEC">
      <w:pPr>
        <w:pStyle w:val="BodyTextIndent"/>
        <w:tabs>
          <w:tab w:val="left" w:pos="-1560"/>
          <w:tab w:val="right" w:pos="9600"/>
        </w:tabs>
        <w:spacing w:before="120" w:after="0"/>
        <w:ind w:left="0"/>
        <w:rPr>
          <w:rFonts w:ascii="Century Gothic" w:hAnsi="Century Gothic"/>
          <w:sz w:val="20"/>
          <w:szCs w:val="20"/>
        </w:rPr>
      </w:pPr>
      <w:r w:rsidRPr="00915C86">
        <w:rPr>
          <w:rFonts w:ascii="Century Gothic" w:hAnsi="Century Gothic"/>
          <w:noProof/>
          <w:sz w:val="20"/>
          <w:szCs w:val="20"/>
          <w:lang w:val="fr-LU" w:eastAsia="fr-LU"/>
        </w:rPr>
        <w:drawing>
          <wp:inline distT="0" distB="0" distL="0" distR="0">
            <wp:extent cx="5466140" cy="2330506"/>
            <wp:effectExtent l="0" t="0" r="127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6925" name="Picture 4"/>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rcRect b="10113"/>
                    <a:stretch>
                      <a:fillRect/>
                    </a:stretch>
                  </pic:blipFill>
                  <pic:spPr bwMode="auto">
                    <a:xfrm>
                      <a:off x="0" y="0"/>
                      <a:ext cx="5466920" cy="233083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6C2BEC" w:rsidRPr="00915C86" w:rsidP="006C2BEC">
      <w:pPr>
        <w:pStyle w:val="BodyTextIndent"/>
        <w:tabs>
          <w:tab w:val="left" w:pos="-1560"/>
          <w:tab w:val="right" w:pos="9600"/>
        </w:tabs>
        <w:spacing w:before="120" w:after="0"/>
        <w:ind w:left="0"/>
        <w:rPr>
          <w:rFonts w:ascii="Century Gothic" w:hAnsi="Century Gothic"/>
          <w:sz w:val="20"/>
          <w:szCs w:val="20"/>
        </w:rPr>
      </w:pP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pPr>
            <w:r w:rsidRPr="00915C86">
              <w:t>CERTIFICATI PARTE B</w:t>
            </w:r>
          </w:p>
        </w:tc>
        <w:tc>
          <w:tcPr>
            <w:tcW w:w="4519" w:type="dxa"/>
          </w:tcPr>
          <w:p w:rsidR="006C2BEC" w:rsidRPr="00915C86" w:rsidP="003C743A">
            <w:pPr>
              <w:spacing w:after="0"/>
            </w:pPr>
            <w:r w:rsidRPr="00915C86">
              <w:t>PART B CERTIFICATES</w:t>
            </w:r>
          </w:p>
        </w:tc>
      </w:tr>
      <w:tr w:rsidTr="003C743A">
        <w:tblPrEx>
          <w:tblW w:w="9038" w:type="dxa"/>
          <w:tblLook w:val="04A0"/>
        </w:tblPrEx>
        <w:tc>
          <w:tcPr>
            <w:tcW w:w="4519" w:type="dxa"/>
          </w:tcPr>
          <w:p w:rsidR="006C2BEC" w:rsidRPr="00915C86" w:rsidP="003C743A">
            <w:pPr>
              <w:spacing w:after="0"/>
            </w:pPr>
            <w:r w:rsidRPr="00915C86">
              <w:t>Nuovi CDS</w:t>
            </w:r>
          </w:p>
        </w:tc>
        <w:tc>
          <w:tcPr>
            <w:tcW w:w="4519" w:type="dxa"/>
          </w:tcPr>
          <w:p w:rsidR="006C2BEC" w:rsidRPr="00915C86" w:rsidP="003C743A">
            <w:pPr>
              <w:spacing w:after="0"/>
            </w:pPr>
            <w:r w:rsidRPr="00915C86">
              <w:t>New SCs</w:t>
            </w:r>
          </w:p>
        </w:tc>
      </w:tr>
      <w:tr w:rsidTr="003C743A">
        <w:tblPrEx>
          <w:tblW w:w="9038" w:type="dxa"/>
          <w:tblLook w:val="04A0"/>
        </w:tblPrEx>
        <w:tc>
          <w:tcPr>
            <w:tcW w:w="4519" w:type="dxa"/>
          </w:tcPr>
          <w:p w:rsidR="006C2BEC" w:rsidRPr="00915C86" w:rsidP="003C743A">
            <w:pPr>
              <w:spacing w:after="0"/>
            </w:pPr>
            <w:r w:rsidRPr="00915C86">
              <w:t>Aggiornamenti</w:t>
            </w:r>
          </w:p>
        </w:tc>
        <w:tc>
          <w:tcPr>
            <w:tcW w:w="4519" w:type="dxa"/>
          </w:tcPr>
          <w:p w:rsidR="006C2BEC" w:rsidRPr="00915C86" w:rsidP="003C743A">
            <w:pPr>
              <w:spacing w:after="0"/>
            </w:pPr>
            <w:r w:rsidRPr="00915C86">
              <w:t>Updates</w:t>
            </w:r>
          </w:p>
        </w:tc>
      </w:tr>
      <w:tr w:rsidTr="003C743A">
        <w:tblPrEx>
          <w:tblW w:w="9038" w:type="dxa"/>
          <w:tblLook w:val="04A0"/>
        </w:tblPrEx>
        <w:tc>
          <w:tcPr>
            <w:tcW w:w="4519" w:type="dxa"/>
          </w:tcPr>
          <w:p w:rsidR="006C2BEC" w:rsidRPr="00915C86" w:rsidP="003C743A">
            <w:pPr>
              <w:spacing w:after="0"/>
            </w:pPr>
            <w:r w:rsidRPr="00915C86">
              <w:t>Rinnovi con durata inferiore a 5 anni</w:t>
            </w:r>
          </w:p>
        </w:tc>
        <w:tc>
          <w:tcPr>
            <w:tcW w:w="4519" w:type="dxa"/>
          </w:tcPr>
          <w:p w:rsidR="006C2BEC" w:rsidRPr="00915C86" w:rsidP="003C743A">
            <w:pPr>
              <w:spacing w:after="0"/>
            </w:pPr>
            <w:r w:rsidRPr="00915C86">
              <w:t>Renewals for periods under 5 years</w:t>
            </w:r>
          </w:p>
        </w:tc>
      </w:tr>
      <w:tr w:rsidTr="003C743A">
        <w:tblPrEx>
          <w:tblW w:w="9038" w:type="dxa"/>
          <w:tblLook w:val="04A0"/>
        </w:tblPrEx>
        <w:tc>
          <w:tcPr>
            <w:tcW w:w="4519" w:type="dxa"/>
          </w:tcPr>
          <w:p w:rsidR="006C2BEC" w:rsidRPr="00915C86" w:rsidP="003C743A">
            <w:pPr>
              <w:spacing w:after="0"/>
            </w:pPr>
            <w:r w:rsidRPr="00915C86">
              <w:t>Rinnovi quinquennali</w:t>
            </w:r>
          </w:p>
        </w:tc>
        <w:tc>
          <w:tcPr>
            <w:tcW w:w="4519" w:type="dxa"/>
          </w:tcPr>
          <w:p w:rsidR="006C2BEC" w:rsidRPr="00915C86" w:rsidP="003C743A">
            <w:pPr>
              <w:spacing w:after="0"/>
            </w:pPr>
            <w:r w:rsidRPr="00915C86">
              <w:t>Five-year renewals</w:t>
            </w:r>
          </w:p>
        </w:tc>
      </w:tr>
    </w:tbl>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The Decree of 5 August 2016 identified the deadline for submission of requests for Safety Authorisations (SAs) and Safety Certificates (SCs) for interconnected regional networks referred to in the relevant Annex; these deadlines (15 December 2016 to apply for SCs and 15 March 2017 to apply for SAs) were met.</w:t>
      </w:r>
    </w:p>
    <w:p w:rsidR="006C2BEC" w:rsidRPr="00915C86" w:rsidP="006C2BEC">
      <w:pPr>
        <w:pStyle w:val="ListParagraph"/>
        <w:spacing w:before="120" w:after="120" w:line="240" w:lineRule="auto"/>
        <w:ind w:left="0"/>
        <w:contextualSpacing w:val="0"/>
        <w:rPr>
          <w:rFonts w:ascii="Century Gothic" w:hAnsi="Century Gothic" w:cs="Century Gothic"/>
          <w:sz w:val="20"/>
          <w:szCs w:val="20"/>
        </w:rPr>
      </w:pPr>
      <w:r w:rsidRPr="00915C86">
        <w:rPr>
          <w:rFonts w:ascii="Century Gothic" w:hAnsi="Century Gothic"/>
          <w:sz w:val="20"/>
          <w:szCs w:val="20"/>
        </w:rPr>
        <w:t>Preliminary analyses carried out on 15 SC cases received showed general deficiencies in the completeness of documentation required to activate the final evaluation process by the Common Safety Methods (CSM) in force, leading to the suspension of proceedings.</w:t>
      </w:r>
    </w:p>
    <w:p w:rsidR="006C2BEC" w:rsidRPr="00915C86" w:rsidP="006C2BEC">
      <w:pPr>
        <w:pStyle w:val="ListParagraph"/>
        <w:spacing w:before="120" w:line="240" w:lineRule="auto"/>
        <w:ind w:left="0"/>
        <w:rPr>
          <w:rFonts w:ascii="Century Gothic" w:hAnsi="Century Gothic" w:cs="Century Gothic"/>
          <w:sz w:val="20"/>
          <w:szCs w:val="20"/>
        </w:rPr>
      </w:pPr>
      <w:r w:rsidRPr="00915C86">
        <w:rPr>
          <w:rFonts w:ascii="Century Gothic" w:hAnsi="Century Gothic"/>
          <w:sz w:val="20"/>
          <w:szCs w:val="20"/>
        </w:rPr>
        <w:t>Following an initial assessment of completeness, the 12 SA applications were divided into three groups:</w:t>
      </w:r>
    </w:p>
    <w:p w:rsidR="006C2BEC" w:rsidRPr="00915C86" w:rsidP="006C2BEC">
      <w:pPr>
        <w:pStyle w:val="ListParagraph"/>
        <w:numPr>
          <w:ilvl w:val="0"/>
          <w:numId w:val="12"/>
        </w:numPr>
        <w:spacing w:after="0" w:line="240" w:lineRule="auto"/>
        <w:ind w:left="765" w:hanging="357"/>
        <w:contextualSpacing w:val="0"/>
        <w:rPr>
          <w:rFonts w:ascii="Century Gothic" w:hAnsi="Century Gothic" w:cs="Century Gothic"/>
          <w:sz w:val="20"/>
          <w:szCs w:val="20"/>
        </w:rPr>
      </w:pPr>
      <w:r w:rsidRPr="00915C86">
        <w:rPr>
          <w:rFonts w:ascii="Century Gothic" w:hAnsi="Century Gothic"/>
          <w:sz w:val="20"/>
          <w:szCs w:val="20"/>
        </w:rPr>
        <w:t>Group 1 (two Infrastructure Managers): complete applications for which the assessment of the documentation has been carried out in accordance with Regulation (EU) No 1169/2010 and the applicable national law;</w:t>
      </w:r>
    </w:p>
    <w:p w:rsidR="006C2BEC" w:rsidRPr="00915C86" w:rsidP="006C2BEC">
      <w:pPr>
        <w:pStyle w:val="ListParagraph"/>
        <w:numPr>
          <w:ilvl w:val="0"/>
          <w:numId w:val="12"/>
        </w:numPr>
        <w:spacing w:after="0" w:line="240" w:lineRule="auto"/>
        <w:ind w:left="765" w:hanging="357"/>
        <w:contextualSpacing w:val="0"/>
        <w:rPr>
          <w:rFonts w:ascii="Century Gothic" w:hAnsi="Century Gothic" w:cs="Century Gothic"/>
          <w:sz w:val="20"/>
          <w:szCs w:val="20"/>
        </w:rPr>
      </w:pPr>
      <w:r w:rsidRPr="00915C86">
        <w:rPr>
          <w:rFonts w:ascii="Century Gothic" w:hAnsi="Century Gothic"/>
          <w:sz w:val="20"/>
          <w:szCs w:val="20"/>
        </w:rPr>
        <w:t>Group 2 (five Infrastructure Managers): applications containing some deficiencies and on which a preliminary assessment of the documentation has been carried out in accordance with Regulation (EU) No 1169/2010 and the applicable national law;</w:t>
      </w:r>
    </w:p>
    <w:p w:rsidR="006C2BEC" w:rsidRPr="00915C86" w:rsidP="006C2BEC">
      <w:pPr>
        <w:pStyle w:val="ListParagraph"/>
        <w:numPr>
          <w:ilvl w:val="0"/>
          <w:numId w:val="12"/>
        </w:numPr>
        <w:spacing w:after="0" w:line="240" w:lineRule="auto"/>
        <w:ind w:left="765" w:hanging="357"/>
        <w:contextualSpacing w:val="0"/>
        <w:rPr>
          <w:rFonts w:ascii="Century Gothic" w:hAnsi="Century Gothic" w:cs="Century Gothic"/>
          <w:sz w:val="20"/>
          <w:szCs w:val="20"/>
        </w:rPr>
      </w:pPr>
      <w:r w:rsidRPr="00915C86">
        <w:rPr>
          <w:rFonts w:ascii="Century Gothic" w:hAnsi="Century Gothic"/>
          <w:sz w:val="20"/>
          <w:szCs w:val="20"/>
        </w:rPr>
        <w:t>Group 3 (five Infrastructure Managers): incomplete applications for which process suspension has been notified pending new documentation.</w:t>
      </w:r>
    </w:p>
    <w:p w:rsidR="006C2BEC" w:rsidRPr="00915C86" w:rsidP="006C2BEC">
      <w:pPr>
        <w:pStyle w:val="ListParagraph"/>
        <w:spacing w:after="0" w:line="240" w:lineRule="auto"/>
        <w:ind w:left="0"/>
        <w:contextualSpacing w:val="0"/>
        <w:rPr>
          <w:rFonts w:ascii="Century Gothic" w:hAnsi="Century Gothic" w:cs="Century Gothic"/>
          <w:sz w:val="20"/>
          <w:szCs w:val="20"/>
        </w:rPr>
      </w:pPr>
      <w:r w:rsidRPr="00915C86">
        <w:rPr>
          <w:rFonts w:ascii="Century Gothic" w:hAnsi="Century Gothic"/>
          <w:sz w:val="20"/>
          <w:szCs w:val="20"/>
        </w:rPr>
        <w:t>Following the intervening meetings and document exchanges, the situation is as follows as of 31 December 2017:</w:t>
      </w:r>
    </w:p>
    <w:p w:rsidR="006C2BEC" w:rsidRPr="00915C86" w:rsidP="006C2BEC">
      <w:pPr>
        <w:pStyle w:val="ListParagraph"/>
        <w:numPr>
          <w:ilvl w:val="0"/>
          <w:numId w:val="13"/>
        </w:numPr>
        <w:spacing w:after="0" w:line="240" w:lineRule="auto"/>
        <w:ind w:left="851" w:hanging="425"/>
        <w:rPr>
          <w:rFonts w:ascii="Century Gothic" w:hAnsi="Century Gothic" w:cs="Century Gothic"/>
          <w:sz w:val="20"/>
          <w:szCs w:val="20"/>
        </w:rPr>
      </w:pPr>
      <w:r w:rsidRPr="00915C86">
        <w:rPr>
          <w:rFonts w:ascii="Century Gothic" w:hAnsi="Century Gothic"/>
          <w:sz w:val="20"/>
          <w:szCs w:val="20"/>
        </w:rPr>
        <w:t>four SA applications being assessed in accordance with Regulation (EU) No 1169/2010 and the applicable national law;</w:t>
      </w:r>
    </w:p>
    <w:p w:rsidR="006C2BEC" w:rsidRPr="00915C86" w:rsidP="006C2BEC">
      <w:pPr>
        <w:pStyle w:val="ListParagraph"/>
        <w:numPr>
          <w:ilvl w:val="0"/>
          <w:numId w:val="13"/>
        </w:numPr>
        <w:spacing w:after="0" w:line="240" w:lineRule="auto"/>
        <w:ind w:left="851" w:hanging="425"/>
        <w:rPr>
          <w:rFonts w:ascii="Century Gothic" w:hAnsi="Century Gothic" w:cs="Century Gothic"/>
          <w:sz w:val="20"/>
          <w:szCs w:val="20"/>
        </w:rPr>
      </w:pPr>
      <w:r w:rsidRPr="00915C86">
        <w:rPr>
          <w:rFonts w:ascii="Century Gothic" w:hAnsi="Century Gothic"/>
          <w:sz w:val="20"/>
          <w:szCs w:val="20"/>
        </w:rPr>
        <w:t>six managers submitted updated documentation by the deadline of 29 December 2017;</w:t>
      </w:r>
    </w:p>
    <w:p w:rsidR="006C2BEC" w:rsidRPr="00915C86" w:rsidP="006C2BEC">
      <w:pPr>
        <w:pStyle w:val="ListParagraph"/>
        <w:numPr>
          <w:ilvl w:val="0"/>
          <w:numId w:val="13"/>
        </w:numPr>
        <w:tabs>
          <w:tab w:val="num" w:pos="0"/>
        </w:tabs>
        <w:spacing w:after="0" w:line="240" w:lineRule="auto"/>
        <w:ind w:left="851" w:hanging="425"/>
        <w:rPr>
          <w:rFonts w:ascii="Century Gothic" w:hAnsi="Century Gothic" w:cs="Century Gothic"/>
          <w:sz w:val="20"/>
          <w:szCs w:val="20"/>
        </w:rPr>
      </w:pPr>
      <w:r w:rsidRPr="00915C86">
        <w:rPr>
          <w:rFonts w:ascii="Century Gothic" w:hAnsi="Century Gothic"/>
          <w:sz w:val="20"/>
          <w:szCs w:val="20"/>
        </w:rPr>
        <w:t>two managers requested a further extension of the documentation delivery deadline.</w:t>
      </w:r>
    </w:p>
    <w:p w:rsidR="006C2BEC" w:rsidRPr="00915C86" w:rsidP="006C2BEC">
      <w:pPr>
        <w:pStyle w:val="Heading2"/>
        <w:spacing w:after="120"/>
        <w:rPr>
          <w:rFonts w:ascii="Century Gothic" w:hAnsi="Century Gothic"/>
        </w:rPr>
      </w:pPr>
      <w:bookmarkStart w:id="18" w:name="_Toc532565559"/>
      <w:r w:rsidRPr="00915C86">
        <w:rPr>
          <w:rFonts w:ascii="Century Gothic" w:hAnsi="Century Gothic"/>
        </w:rPr>
        <w:t>5.2</w:t>
      </w:r>
      <w:r w:rsidRPr="00915C86">
        <w:rPr>
          <w:rFonts w:ascii="Century Gothic" w:hAnsi="Century Gothic"/>
        </w:rPr>
        <w:tab/>
        <w:t>Authorisations for the placing in service of vehicles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2"/>
        <w:gridCol w:w="4836"/>
      </w:tblGrid>
      <w:tr w:rsidTr="003C743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19" w:type="dxa"/>
          </w:tcPr>
          <w:p w:rsidR="006C2BEC" w:rsidRPr="00915C86" w:rsidP="003C743A">
            <w:pPr>
              <w:rPr>
                <w:rFonts w:ascii="Century Gothic" w:hAnsi="Century Gothic"/>
                <w:sz w:val="20"/>
                <w:szCs w:val="20"/>
              </w:rPr>
            </w:pPr>
            <w:r w:rsidRPr="00915C86">
              <w:rPr>
                <w:rFonts w:ascii="Century Gothic" w:hAnsi="Century Gothic"/>
                <w:sz w:val="20"/>
                <w:szCs w:val="20"/>
              </w:rPr>
              <w:t>325 provisions have been issued relating to authorisations for the placing in service (APIS) of vehicles. The following graph represents the distribution of activities in relation to the type of provision issued.</w:t>
            </w:r>
          </w:p>
          <w:p w:rsidR="006C2BEC" w:rsidRPr="00915C86" w:rsidP="003C743A">
            <w:pPr>
              <w:spacing w:after="0"/>
              <w:rPr>
                <w:rFonts w:ascii="Century Gothic" w:hAnsi="Century Gothic"/>
                <w:sz w:val="20"/>
                <w:szCs w:val="20"/>
              </w:rPr>
            </w:pPr>
            <w:r w:rsidRPr="00915C86">
              <w:rPr>
                <w:rFonts w:ascii="Century Gothic" w:hAnsi="Century Gothic"/>
                <w:sz w:val="20"/>
                <w:szCs w:val="20"/>
              </w:rPr>
              <w:t>The number of vehicles authorised was 565, of which 19 new type-approvals and 546 for compliance. The following graphs show the distribution of the number of vehicles authorised in relation to type.</w:t>
            </w:r>
          </w:p>
        </w:tc>
        <w:tc>
          <w:tcPr>
            <w:tcW w:w="4519" w:type="dxa"/>
          </w:tcPr>
          <w:p w:rsidR="006C2BEC" w:rsidRPr="00915C86" w:rsidP="003C743A">
            <w:pPr>
              <w:rPr>
                <w:rFonts w:ascii="Century Gothic" w:hAnsi="Century Gothic"/>
                <w:sz w:val="20"/>
                <w:szCs w:val="20"/>
              </w:rPr>
            </w:pPr>
            <w:r w:rsidRPr="00915C86">
              <w:rPr>
                <w:rFonts w:ascii="Century Gothic" w:hAnsi="Century Gothic"/>
                <w:noProof/>
                <w:sz w:val="20"/>
                <w:szCs w:val="20"/>
                <w:lang w:val="fr-LU" w:eastAsia="fr-LU"/>
              </w:rPr>
              <w:drawing>
                <wp:inline distT="0" distB="0" distL="0" distR="0">
                  <wp:extent cx="2927350" cy="1859280"/>
                  <wp:effectExtent l="0" t="0" r="6350" b="7620"/>
                  <wp:docPr id="3"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74753" name="Picture 5"/>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7350" cy="1859280"/>
                          </a:xfrm>
                          <a:prstGeom prst="rect">
                            <a:avLst/>
                          </a:prstGeom>
                          <a:noFill/>
                        </pic:spPr>
                      </pic:pic>
                    </a:graphicData>
                  </a:graphic>
                </wp:inline>
              </w:drawing>
            </w:r>
          </w:p>
        </w:tc>
      </w:tr>
      <w:tr w:rsidTr="003C743A">
        <w:tblPrEx>
          <w:tblW w:w="0" w:type="auto"/>
          <w:tblLook w:val="04A0"/>
        </w:tblPrEx>
        <w:tc>
          <w:tcPr>
            <w:tcW w:w="4519" w:type="dxa"/>
          </w:tcPr>
          <w:p w:rsidR="006C2BEC" w:rsidRPr="00915C86" w:rsidP="003C743A">
            <w:pPr>
              <w:rPr>
                <w:rFonts w:ascii="Century Gothic" w:hAnsi="Century Gothic"/>
                <w:sz w:val="20"/>
                <w:szCs w:val="20"/>
              </w:rPr>
            </w:pPr>
          </w:p>
        </w:tc>
        <w:tc>
          <w:tcPr>
            <w:tcW w:w="4519" w:type="dxa"/>
          </w:tcPr>
          <w:tbl>
            <w:tblPr>
              <w:tblStyle w:val="TableGrid"/>
              <w:tblW w:w="4610" w:type="dxa"/>
              <w:tblLook w:val="04A0"/>
            </w:tblPr>
            <w:tblGrid>
              <w:gridCol w:w="2145"/>
              <w:gridCol w:w="2465"/>
            </w:tblGrid>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AMIS in Conformità</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APIS for compliance</w:t>
                  </w:r>
                </w:p>
              </w:tc>
            </w:tr>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AMIS proroghe</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APIS extensions</w:t>
                  </w:r>
                </w:p>
              </w:tc>
            </w:tr>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AMIS nuovo tipo</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APIS new type approval</w:t>
                  </w:r>
                </w:p>
              </w:tc>
            </w:tr>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Autorizzazioni prove al VIS</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Authorisations for testing ISV</w:t>
                  </w:r>
                </w:p>
              </w:tc>
            </w:tr>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AMIS rinnovi e modifiche</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APIS renewals/amendments</w:t>
                  </w:r>
                </w:p>
              </w:tc>
            </w:tr>
            <w:tr w:rsidTr="003C743A">
              <w:tblPrEx>
                <w:tblW w:w="4610" w:type="dxa"/>
                <w:tblLook w:val="04A0"/>
              </w:tblPrEx>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lang w:val="en-US" w:eastAsia="en-US"/>
                    </w:rPr>
                    <w:t>AMIS prove</w:t>
                  </w:r>
                </w:p>
              </w:tc>
              <w:tc>
                <w:tcPr>
                  <w:tcW w:w="2305" w:type="dxa"/>
                </w:tcPr>
                <w:p w:rsidR="006C2BEC" w:rsidRPr="00915C86" w:rsidP="003C743A">
                  <w:pPr>
                    <w:rPr>
                      <w:rFonts w:ascii="Century Gothic" w:hAnsi="Century Gothic"/>
                      <w:noProof/>
                      <w:sz w:val="20"/>
                      <w:szCs w:val="20"/>
                    </w:rPr>
                  </w:pPr>
                  <w:r w:rsidRPr="00915C86">
                    <w:rPr>
                      <w:rFonts w:ascii="Century Gothic" w:hAnsi="Century Gothic"/>
                      <w:sz w:val="20"/>
                      <w:szCs w:val="20"/>
                    </w:rPr>
                    <w:t>APIS tests</w:t>
                  </w:r>
                </w:p>
              </w:tc>
            </w:tr>
          </w:tbl>
          <w:p w:rsidR="006C2BEC" w:rsidRPr="00915C86" w:rsidP="003C743A">
            <w:pPr>
              <w:rPr>
                <w:rFonts w:ascii="Century Gothic" w:hAnsi="Century Gothic"/>
                <w:noProof/>
                <w:sz w:val="20"/>
                <w:szCs w:val="20"/>
                <w:lang w:val="en-US" w:eastAsia="en-US"/>
              </w:rPr>
            </w:pPr>
          </w:p>
        </w:tc>
      </w:tr>
    </w:tbl>
    <w:p w:rsidR="006C2BEC" w:rsidRPr="00915C86" w:rsidP="006C2BEC">
      <w:pPr>
        <w:spacing w:after="0"/>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5"/>
        <w:gridCol w:w="3363"/>
      </w:tblGrid>
      <w:tr w:rsidTr="003C743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85" w:type="dxa"/>
          </w:tcPr>
          <w:p w:rsidR="006C2BEC" w:rsidRPr="00915C86" w:rsidP="003C743A">
            <w:pPr>
              <w:spacing w:after="0"/>
              <w:rPr>
                <w:rFonts w:ascii="Century Gothic" w:hAnsi="Century Gothic"/>
                <w:sz w:val="20"/>
                <w:szCs w:val="20"/>
              </w:rPr>
            </w:pPr>
            <w:r w:rsidRPr="00915C86">
              <w:rPr>
                <w:rFonts w:ascii="Century Gothic" w:hAnsi="Century Gothic"/>
                <w:noProof/>
                <w:sz w:val="20"/>
                <w:szCs w:val="20"/>
                <w:lang w:val="fr-LU" w:eastAsia="fr-LU"/>
              </w:rPr>
              <w:drawing>
                <wp:inline distT="0" distB="0" distL="0" distR="0">
                  <wp:extent cx="3472815" cy="2087245"/>
                  <wp:effectExtent l="0" t="0" r="0" b="8255"/>
                  <wp:docPr id="4"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69125" name="Picture 6"/>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0" y="0"/>
                            <a:ext cx="3472815" cy="2087245"/>
                          </a:xfrm>
                          <a:prstGeom prst="rect">
                            <a:avLst/>
                          </a:prstGeom>
                          <a:noFill/>
                        </pic:spPr>
                      </pic:pic>
                    </a:graphicData>
                  </a:graphic>
                </wp:inline>
              </w:drawing>
            </w:r>
          </w:p>
        </w:tc>
        <w:tc>
          <w:tcPr>
            <w:tcW w:w="3363" w:type="dxa"/>
          </w:tcPr>
          <w:p w:rsidR="006C2BEC" w:rsidRPr="00915C86" w:rsidP="003C743A">
            <w:pPr>
              <w:spacing w:after="0"/>
              <w:rPr>
                <w:rFonts w:ascii="Century Gothic" w:hAnsi="Century Gothic" w:cs="Arial"/>
                <w:sz w:val="20"/>
                <w:szCs w:val="20"/>
              </w:rPr>
            </w:pPr>
            <w:r w:rsidRPr="00915C86">
              <w:rPr>
                <w:rFonts w:ascii="Century Gothic" w:hAnsi="Century Gothic"/>
                <w:sz w:val="20"/>
                <w:szCs w:val="20"/>
              </w:rPr>
              <w:t>The APIS provision is extremely complex, particularly with regard to vehicle types, because the procedure is made up of a considerable number of interim measures (authorisation to conduct tests on the line, temporary authorisations and so on) accompanied by the relevant technical supporting documentation.</w:t>
            </w:r>
          </w:p>
        </w:tc>
      </w:tr>
      <w:tr w:rsidTr="003C743A">
        <w:tblPrEx>
          <w:tblW w:w="0" w:type="auto"/>
          <w:tblLook w:val="04A0"/>
        </w:tblPrEx>
        <w:tc>
          <w:tcPr>
            <w:tcW w:w="9048" w:type="dxa"/>
            <w:gridSpan w:val="2"/>
          </w:tcPr>
          <w:tbl>
            <w:tblPr>
              <w:tblStyle w:val="TableGrid"/>
              <w:tblW w:w="5459" w:type="dxa"/>
              <w:jc w:val="center"/>
              <w:tblLook w:val="04A0"/>
            </w:tblPr>
            <w:tblGrid>
              <w:gridCol w:w="2729"/>
              <w:gridCol w:w="2730"/>
            </w:tblGrid>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NUOVO TIPO</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NEW TYPE</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AV compositione bloccata</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AV (high-speed) with fixed formation</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carrozze</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carriages</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locomotive AV</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AV locomotives</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veicoli speciali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special vehicles</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carri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wagons</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Convenzionali a composizione bloccata</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conventional with fixed formation</w:t>
                  </w:r>
                </w:p>
              </w:tc>
            </w:tr>
            <w:tr w:rsidTr="003C743A">
              <w:tblPrEx>
                <w:tblW w:w="5459" w:type="dxa"/>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locomotive convenzionali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conventional locomotives</w:t>
                  </w:r>
                </w:p>
              </w:tc>
            </w:tr>
          </w:tbl>
          <w:p w:rsidR="006C2BEC" w:rsidRPr="00915C86" w:rsidP="003C743A">
            <w:pPr>
              <w:spacing w:after="0"/>
              <w:jc w:val="center"/>
              <w:rPr>
                <w:rFonts w:ascii="Century Gothic" w:hAnsi="Century Gothic" w:cs="Arial"/>
                <w:color w:val="000000"/>
                <w:sz w:val="20"/>
                <w:szCs w:val="20"/>
              </w:rPr>
            </w:pPr>
          </w:p>
        </w:tc>
      </w:tr>
      <w:tr w:rsidTr="003C743A">
        <w:tblPrEx>
          <w:tblW w:w="0" w:type="auto"/>
          <w:tblLook w:val="04A0"/>
        </w:tblPrEx>
        <w:tc>
          <w:tcPr>
            <w:tcW w:w="9048" w:type="dxa"/>
            <w:gridSpan w:val="2"/>
          </w:tcPr>
          <w:p w:rsidR="006C2BEC" w:rsidRPr="00915C86" w:rsidP="003C743A">
            <w:pPr>
              <w:spacing w:after="0"/>
              <w:rPr>
                <w:rFonts w:ascii="Century Gothic" w:hAnsi="Century Gothic"/>
                <w:noProof/>
                <w:sz w:val="20"/>
                <w:szCs w:val="20"/>
                <w:lang w:eastAsia="en-US"/>
              </w:rPr>
            </w:pPr>
          </w:p>
          <w:p w:rsidR="006C2BEC" w:rsidRPr="00915C86" w:rsidP="003C743A">
            <w:pPr>
              <w:rPr>
                <w:rFonts w:ascii="Century Gothic" w:hAnsi="Century Gothic" w:cs="Arial"/>
                <w:sz w:val="20"/>
                <w:szCs w:val="20"/>
              </w:rPr>
            </w:pPr>
            <w:r w:rsidRPr="00915C86">
              <w:rPr>
                <w:rFonts w:ascii="Century Gothic" w:hAnsi="Century Gothic"/>
                <w:sz w:val="20"/>
                <w:szCs w:val="20"/>
              </w:rPr>
              <w:t xml:space="preserve">The new ‘Guidelines for the issue of authorisations for the placing in service of vehicles and structural subsystems and authorisation for the use of general applications, general products and components’ (Guideline No 1/2017) were issued in 2017 to regulate and harmonise APIS </w:t>
            </w:r>
            <w:r w:rsidRPr="00915C86">
              <w:rPr>
                <w:rFonts w:ascii="Century Gothic" w:hAnsi="Century Gothic"/>
                <w:sz w:val="20"/>
                <w:szCs w:val="20"/>
              </w:rPr>
              <w:t>issue procedures with the existing regulatory framework. This document is designed to provide all railway sector stakeholders with a tool covering all European decisions on Community railway system interoperability and national regulations. It also defines technical and administrative procedures to be implemented in order for an authorisation process to be fully effective. The above Guidelines have also streamlined technical procedures, enhanced the subdivision of subsystems involving components into phases/elements and the consequent use of Intermediate Verification Statements and further detailed cases relating to modification work (renewal or restructuring). At the same time, the technical requirements necessary for issuing an APIS have also been redefined to further harmonise them with the requirements of the Interoperability Technical Specifications and the National Reference Document.</w:t>
            </w:r>
          </w:p>
          <w:p w:rsidR="006C2BEC" w:rsidRPr="00915C86" w:rsidP="003C743A">
            <w:pPr>
              <w:spacing w:after="0"/>
              <w:jc w:val="center"/>
              <w:rPr>
                <w:rFonts w:ascii="Century Gothic" w:hAnsi="Century Gothic"/>
                <w:noProof/>
                <w:sz w:val="20"/>
                <w:szCs w:val="20"/>
              </w:rPr>
            </w:pPr>
            <w:r w:rsidRPr="00915C86">
              <w:rPr>
                <w:rFonts w:ascii="Century Gothic" w:hAnsi="Century Gothic"/>
                <w:noProof/>
                <w:sz w:val="20"/>
                <w:szCs w:val="20"/>
                <w:lang w:val="fr-LU" w:eastAsia="fr-LU"/>
              </w:rPr>
              <w:drawing>
                <wp:inline distT="0" distB="0" distL="0" distR="0">
                  <wp:extent cx="3447415" cy="2162810"/>
                  <wp:effectExtent l="0" t="0" r="635" b="8890"/>
                  <wp:docPr id="5"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28972" name="Picture 7"/>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7415" cy="2162810"/>
                          </a:xfrm>
                          <a:prstGeom prst="rect">
                            <a:avLst/>
                          </a:prstGeom>
                          <a:noFill/>
                        </pic:spPr>
                      </pic:pic>
                    </a:graphicData>
                  </a:graphic>
                </wp:inline>
              </w:drawing>
            </w:r>
          </w:p>
          <w:tbl>
            <w:tblPr>
              <w:tblStyle w:val="TableGrid"/>
              <w:tblW w:w="0" w:type="auto"/>
              <w:jc w:val="center"/>
              <w:tblLook w:val="04A0"/>
            </w:tblPr>
            <w:tblGrid>
              <w:gridCol w:w="2729"/>
              <w:gridCol w:w="2730"/>
            </w:tblGrid>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COMFORMITÀ</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COMPLIANCE</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AV compositione bloccata</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AV (high-speed) with fixed formation</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carrozze</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carriages</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locomotive AV</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AV locomotives</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veicoli speciali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special vehicles</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carri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wagons</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Convenzionali a composizione bloccata</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conventional with fixed formation</w:t>
                  </w:r>
                </w:p>
              </w:tc>
            </w:tr>
            <w:tr w:rsidTr="003C743A">
              <w:tblPrEx>
                <w:tblW w:w="0" w:type="auto"/>
                <w:jc w:val="center"/>
                <w:tblLook w:val="04A0"/>
              </w:tblPrEx>
              <w:trPr>
                <w:jc w:val="center"/>
              </w:trPr>
              <w:tc>
                <w:tcPr>
                  <w:tcW w:w="2729"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lang w:val="en-US" w:eastAsia="en-US"/>
                    </w:rPr>
                    <w:t>locomotive convenzionali</w:t>
                  </w:r>
                </w:p>
              </w:tc>
              <w:tc>
                <w:tcPr>
                  <w:tcW w:w="2730" w:type="dxa"/>
                </w:tcPr>
                <w:p w:rsidR="006C2BEC" w:rsidRPr="00915C86" w:rsidP="003C743A">
                  <w:pPr>
                    <w:spacing w:after="0"/>
                    <w:jc w:val="center"/>
                    <w:rPr>
                      <w:rFonts w:ascii="Century Gothic" w:hAnsi="Century Gothic"/>
                      <w:noProof/>
                      <w:sz w:val="20"/>
                      <w:szCs w:val="20"/>
                    </w:rPr>
                  </w:pPr>
                  <w:r w:rsidRPr="00915C86">
                    <w:rPr>
                      <w:rFonts w:ascii="Century Gothic" w:hAnsi="Century Gothic"/>
                      <w:sz w:val="20"/>
                      <w:szCs w:val="20"/>
                    </w:rPr>
                    <w:t>conventional locomotives</w:t>
                  </w:r>
                </w:p>
              </w:tc>
            </w:tr>
          </w:tbl>
          <w:p w:rsidR="006C2BEC" w:rsidRPr="00915C86" w:rsidP="003C743A">
            <w:pPr>
              <w:spacing w:after="0"/>
              <w:rPr>
                <w:rFonts w:ascii="Century Gothic" w:hAnsi="Century Gothic"/>
                <w:sz w:val="20"/>
                <w:szCs w:val="20"/>
              </w:rPr>
            </w:pPr>
          </w:p>
        </w:tc>
      </w:tr>
    </w:tbl>
    <w:p w:rsidR="006C2BEC" w:rsidRPr="00915C86" w:rsidP="006C2BEC">
      <w:pPr>
        <w:spacing w:after="0"/>
        <w:rPr>
          <w:rFonts w:ascii="Century Gothic" w:hAnsi="Century Gothic"/>
          <w:sz w:val="20"/>
          <w:szCs w:val="20"/>
        </w:rPr>
      </w:pPr>
    </w:p>
    <w:p w:rsidR="006C2BEC" w:rsidRPr="00915C86" w:rsidP="006C2BEC">
      <w:pPr>
        <w:pStyle w:val="Heading2"/>
        <w:spacing w:after="120"/>
        <w:rPr>
          <w:rFonts w:ascii="Century Gothic" w:hAnsi="Century Gothic"/>
        </w:rPr>
      </w:pPr>
      <w:bookmarkStart w:id="19" w:name="_Toc532565560"/>
      <w:r w:rsidRPr="00915C86">
        <w:rPr>
          <w:rFonts w:ascii="Century Gothic" w:hAnsi="Century Gothic"/>
        </w:rPr>
        <w:t>5.3</w:t>
      </w:r>
      <w:r w:rsidRPr="00915C86">
        <w:rPr>
          <w:rFonts w:ascii="Century Gothic" w:hAnsi="Century Gothic"/>
        </w:rPr>
        <w:tab/>
        <w:t>Authorisation for the placing into service of fixed structural subsystems, general applications and general signalling products</w:t>
      </w:r>
      <w:bookmarkEnd w:id="19"/>
    </w:p>
    <w:p w:rsidR="006C2BEC" w:rsidRPr="00915C86" w:rsidP="006C2BEC">
      <w:pPr>
        <w:rPr>
          <w:rFonts w:ascii="Century Gothic" w:hAnsi="Century Gothic" w:cs="Century Gothic"/>
          <w:sz w:val="20"/>
          <w:szCs w:val="20"/>
        </w:rPr>
      </w:pPr>
      <w:r w:rsidRPr="00915C86">
        <w:rPr>
          <w:rFonts w:ascii="Century Gothic" w:hAnsi="Century Gothic"/>
          <w:sz w:val="20"/>
          <w:szCs w:val="20"/>
        </w:rPr>
        <w:t>ANSF also issues APIS for trackside and on-board railway signalling general applications (GA) and general products (GP). ANSF also issues an opinion on whether or not to initiate the authorisation procedure for placing in service under Article 19 of Legislative Decree No 191 of 8 October 2010 in the event of the renewal or restructuring of systems in operation. The annual number of APIS issued since 2013 is shown below.</w:t>
      </w:r>
    </w:p>
    <w:tbl>
      <w:tblPr>
        <w:tblStyle w:val="TableGrid"/>
        <w:tblW w:w="3256" w:type="dxa"/>
        <w:jc w:val="center"/>
        <w:tblLook w:val="04A0"/>
      </w:tblPr>
      <w:tblGrid>
        <w:gridCol w:w="704"/>
        <w:gridCol w:w="2552"/>
      </w:tblGrid>
      <w:tr w:rsidTr="003C743A">
        <w:tblPrEx>
          <w:tblW w:w="3256" w:type="dxa"/>
          <w:jc w:val="center"/>
          <w:tblLook w:val="04A0"/>
        </w:tblPrEx>
        <w:trPr>
          <w:trHeight w:val="20"/>
          <w:jc w:val="center"/>
        </w:trPr>
        <w:tc>
          <w:tcPr>
            <w:tcW w:w="704" w:type="dxa"/>
            <w:vAlign w:val="center"/>
          </w:tcPr>
          <w:p w:rsidR="006C2BEC" w:rsidRPr="00915C86" w:rsidP="003C743A">
            <w:pPr>
              <w:keepNext/>
              <w:keepLines/>
              <w:jc w:val="center"/>
              <w:rPr>
                <w:rFonts w:ascii="Century Gothic" w:hAnsi="Century Gothic" w:cs="Century Gothic"/>
                <w:sz w:val="20"/>
                <w:szCs w:val="20"/>
              </w:rPr>
            </w:pPr>
          </w:p>
        </w:tc>
        <w:tc>
          <w:tcPr>
            <w:tcW w:w="2552"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Authorisations for placing in service granted</w:t>
            </w:r>
          </w:p>
        </w:tc>
      </w:tr>
      <w:tr w:rsidTr="003C743A">
        <w:tblPrEx>
          <w:tblW w:w="3256" w:type="dxa"/>
          <w:jc w:val="center"/>
          <w:tblLook w:val="04A0"/>
        </w:tblPrEx>
        <w:trPr>
          <w:trHeight w:val="20"/>
          <w:jc w:val="center"/>
        </w:trPr>
        <w:tc>
          <w:tcPr>
            <w:tcW w:w="704"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2013</w:t>
            </w:r>
          </w:p>
        </w:tc>
        <w:tc>
          <w:tcPr>
            <w:tcW w:w="2552" w:type="dxa"/>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19 (plus 6 extensions)</w:t>
            </w:r>
          </w:p>
        </w:tc>
      </w:tr>
      <w:tr w:rsidTr="003C743A">
        <w:tblPrEx>
          <w:tblW w:w="3256" w:type="dxa"/>
          <w:jc w:val="center"/>
          <w:tblLook w:val="04A0"/>
        </w:tblPrEx>
        <w:trPr>
          <w:trHeight w:val="20"/>
          <w:jc w:val="center"/>
        </w:trPr>
        <w:tc>
          <w:tcPr>
            <w:tcW w:w="704"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2014</w:t>
            </w:r>
          </w:p>
        </w:tc>
        <w:tc>
          <w:tcPr>
            <w:tcW w:w="2552" w:type="dxa"/>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23 (plus 3 extensions)</w:t>
            </w:r>
          </w:p>
        </w:tc>
      </w:tr>
      <w:tr w:rsidTr="003C743A">
        <w:tblPrEx>
          <w:tblW w:w="3256" w:type="dxa"/>
          <w:jc w:val="center"/>
          <w:tblLook w:val="04A0"/>
        </w:tblPrEx>
        <w:trPr>
          <w:trHeight w:val="20"/>
          <w:jc w:val="center"/>
        </w:trPr>
        <w:tc>
          <w:tcPr>
            <w:tcW w:w="704"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2015</w:t>
            </w:r>
          </w:p>
        </w:tc>
        <w:tc>
          <w:tcPr>
            <w:tcW w:w="2552" w:type="dxa"/>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25</w:t>
            </w:r>
          </w:p>
        </w:tc>
      </w:tr>
      <w:tr w:rsidTr="003C743A">
        <w:tblPrEx>
          <w:tblW w:w="3256" w:type="dxa"/>
          <w:jc w:val="center"/>
          <w:tblLook w:val="04A0"/>
        </w:tblPrEx>
        <w:trPr>
          <w:trHeight w:val="20"/>
          <w:jc w:val="center"/>
        </w:trPr>
        <w:tc>
          <w:tcPr>
            <w:tcW w:w="704"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2016</w:t>
            </w:r>
          </w:p>
        </w:tc>
        <w:tc>
          <w:tcPr>
            <w:tcW w:w="2552" w:type="dxa"/>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60</w:t>
            </w:r>
          </w:p>
        </w:tc>
      </w:tr>
      <w:tr w:rsidTr="003C743A">
        <w:tblPrEx>
          <w:tblW w:w="3256" w:type="dxa"/>
          <w:jc w:val="center"/>
          <w:tblLook w:val="04A0"/>
        </w:tblPrEx>
        <w:trPr>
          <w:trHeight w:val="20"/>
          <w:jc w:val="center"/>
        </w:trPr>
        <w:tc>
          <w:tcPr>
            <w:tcW w:w="704" w:type="dxa"/>
            <w:shd w:val="clear" w:color="auto" w:fill="0070C0"/>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2017</w:t>
            </w:r>
          </w:p>
        </w:tc>
        <w:tc>
          <w:tcPr>
            <w:tcW w:w="2552" w:type="dxa"/>
            <w:vAlign w:val="center"/>
          </w:tcPr>
          <w:p w:rsidR="006C2BEC" w:rsidRPr="00915C86" w:rsidP="003C743A">
            <w:pPr>
              <w:keepNext/>
              <w:keepLines/>
              <w:jc w:val="center"/>
              <w:rPr>
                <w:rFonts w:ascii="Century Gothic" w:hAnsi="Century Gothic" w:cs="Century Gothic"/>
                <w:sz w:val="20"/>
                <w:szCs w:val="20"/>
              </w:rPr>
            </w:pPr>
            <w:r w:rsidRPr="00915C86">
              <w:rPr>
                <w:rFonts w:ascii="Century Gothic" w:hAnsi="Century Gothic"/>
                <w:sz w:val="20"/>
                <w:szCs w:val="20"/>
              </w:rPr>
              <w:t>87</w:t>
            </w:r>
          </w:p>
        </w:tc>
      </w:tr>
    </w:tbl>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issuing of authorisations for infrastructural subsystems by ANSF does not allow systems to be effectively opened for operation. This must be carried out by the Infrastructure Manager after acquiring the remaining authorisations for safety matters that ANSF is not competent to grant.</w:t>
      </w:r>
    </w:p>
    <w:p w:rsidR="006C2BEC" w:rsidRPr="00915C86" w:rsidP="006C2BEC">
      <w:pPr>
        <w:pStyle w:val="Heading2"/>
        <w:spacing w:after="120"/>
        <w:rPr>
          <w:rFonts w:ascii="Century Gothic" w:hAnsi="Century Gothic"/>
        </w:rPr>
      </w:pPr>
      <w:bookmarkStart w:id="20" w:name="_Toc532565561"/>
      <w:r w:rsidRPr="00915C86">
        <w:rPr>
          <w:rFonts w:ascii="Century Gothic" w:hAnsi="Century Gothic"/>
        </w:rPr>
        <w:t>5.4</w:t>
      </w:r>
      <w:r w:rsidRPr="00915C86">
        <w:rPr>
          <w:rFonts w:ascii="Century Gothic" w:hAnsi="Century Gothic"/>
        </w:rPr>
        <w:tab/>
        <w:t>Guidance for issuing a safety certificate</w:t>
      </w:r>
      <w:bookmarkEnd w:id="20"/>
    </w:p>
    <w:p w:rsidR="006C2BEC" w:rsidRPr="00915C86" w:rsidP="006C2BEC">
      <w:pPr>
        <w:rPr>
          <w:rFonts w:ascii="Century Gothic" w:hAnsi="Century Gothic"/>
          <w:sz w:val="20"/>
          <w:szCs w:val="20"/>
        </w:rPr>
      </w:pPr>
      <w:r w:rsidRPr="00915C86">
        <w:rPr>
          <w:rFonts w:ascii="Century Gothic" w:hAnsi="Century Gothic"/>
          <w:sz w:val="20"/>
          <w:szCs w:val="20"/>
        </w:rPr>
        <w:t>The ‘Guidance for issuing a Safety Certificate’ issued by ANSF in 2010 describes procedures, necessary requirements and documents that railway undertakings must submit to obtain a security certificate for access to the Italian railway infrastructure. Following developments in the European regulatory framework and, in particular, the release of the Fourth Railway Package, it is being reviewed, and the revised version is scheduled for issue in June 2019.</w:t>
      </w:r>
    </w:p>
    <w:p w:rsidR="006C2BEC" w:rsidRPr="00915C86" w:rsidP="006C2BEC">
      <w:pPr>
        <w:rPr>
          <w:rFonts w:ascii="Century Gothic" w:hAnsi="Century Gothic"/>
          <w:sz w:val="20"/>
          <w:szCs w:val="20"/>
        </w:rPr>
      </w:pPr>
      <w:r w:rsidRPr="00915C86">
        <w:rPr>
          <w:rFonts w:ascii="Century Gothic" w:hAnsi="Century Gothic"/>
          <w:sz w:val="20"/>
          <w:szCs w:val="20"/>
        </w:rPr>
        <w:t>To coincide with the issue of these revised guidelines, ANSF is also preparing guidelines for the issuing of safety authorisations to Infrastructure Managers.</w:t>
      </w:r>
    </w:p>
    <w:p w:rsidR="006C2BEC" w:rsidRPr="00915C86" w:rsidP="006C2BEC">
      <w:pPr>
        <w:pStyle w:val="Heading2"/>
        <w:spacing w:after="120"/>
        <w:rPr>
          <w:rFonts w:ascii="Century Gothic" w:hAnsi="Century Gothic"/>
        </w:rPr>
      </w:pPr>
      <w:bookmarkStart w:id="21" w:name="_Toc532565562"/>
      <w:r w:rsidRPr="00915C86">
        <w:rPr>
          <w:rFonts w:ascii="Century Gothic" w:hAnsi="Century Gothic"/>
        </w:rPr>
        <w:t>5.5</w:t>
      </w:r>
      <w:r w:rsidRPr="00915C86">
        <w:rPr>
          <w:rFonts w:ascii="Century Gothic" w:hAnsi="Century Gothic"/>
        </w:rPr>
        <w:tab/>
        <w:t>Contacts with other National Safety Authorities</w:t>
      </w:r>
      <w:bookmarkEnd w:id="21"/>
    </w:p>
    <w:p w:rsidR="006C2BEC" w:rsidRPr="00915C86" w:rsidP="006C2BEC">
      <w:pPr>
        <w:rPr>
          <w:rFonts w:ascii="Century Gothic" w:hAnsi="Century Gothic"/>
          <w:sz w:val="20"/>
          <w:szCs w:val="20"/>
        </w:rPr>
      </w:pPr>
      <w:r w:rsidRPr="00915C86">
        <w:rPr>
          <w:rFonts w:ascii="Century Gothic" w:hAnsi="Century Gothic"/>
          <w:sz w:val="20"/>
          <w:szCs w:val="20"/>
        </w:rPr>
        <w:t>During 2017, there were no requests from other National Safety Authorities or requests by ANSF to other National Safety Authorities with regards to part A and part B of the certification processes.</w:t>
      </w:r>
    </w:p>
    <w:p w:rsidR="006C2BEC" w:rsidRPr="00915C86" w:rsidP="006C2BEC">
      <w:pPr>
        <w:pStyle w:val="Heading2"/>
        <w:spacing w:after="120"/>
        <w:rPr>
          <w:rFonts w:ascii="Century Gothic" w:hAnsi="Century Gothic"/>
        </w:rPr>
      </w:pPr>
      <w:bookmarkStart w:id="22" w:name="_Toc532565563"/>
      <w:r w:rsidRPr="00915C86">
        <w:rPr>
          <w:rFonts w:ascii="Century Gothic" w:hAnsi="Century Gothic"/>
        </w:rPr>
        <w:t>5.6</w:t>
      </w:r>
      <w:r w:rsidRPr="00915C86">
        <w:rPr>
          <w:rFonts w:ascii="Century Gothic" w:hAnsi="Century Gothic"/>
        </w:rPr>
        <w:tab/>
        <w:t>Exchange of information between ANSF and railway operators</w:t>
      </w:r>
      <w:bookmarkEnd w:id="22"/>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ANSF organises an annual meeting with all railway operators to share the results of its activity and emerging problems. In December 2017, plenary meetings were held on the following topics:</w:t>
      </w:r>
    </w:p>
    <w:p w:rsidR="006C2BEC" w:rsidRPr="00915C86" w:rsidP="006C2BEC">
      <w:pPr>
        <w:pStyle w:val="ListParagraph"/>
        <w:numPr>
          <w:ilvl w:val="0"/>
          <w:numId w:val="32"/>
        </w:numPr>
        <w:spacing w:after="0" w:line="240" w:lineRule="auto"/>
        <w:ind w:left="782" w:hanging="357"/>
        <w:rPr>
          <w:rFonts w:ascii="Century Gothic" w:hAnsi="Century Gothic" w:cs="Century Gothic"/>
          <w:sz w:val="20"/>
          <w:szCs w:val="20"/>
        </w:rPr>
      </w:pPr>
      <w:r w:rsidRPr="00915C86">
        <w:rPr>
          <w:rFonts w:ascii="Century Gothic" w:hAnsi="Century Gothic"/>
          <w:sz w:val="20"/>
          <w:szCs w:val="20"/>
        </w:rPr>
        <w:t>regulatory organisation, SMS and supervision with the aim of increasing awareness by railway operators of the current regulatory context;</w:t>
      </w:r>
    </w:p>
    <w:p w:rsidR="006C2BEC" w:rsidRPr="00915C86" w:rsidP="006C2BEC">
      <w:pPr>
        <w:pStyle w:val="ListParagraph"/>
        <w:numPr>
          <w:ilvl w:val="0"/>
          <w:numId w:val="32"/>
        </w:numPr>
        <w:spacing w:after="120" w:line="240" w:lineRule="auto"/>
        <w:ind w:left="782" w:hanging="357"/>
        <w:rPr>
          <w:rFonts w:ascii="Century Gothic" w:hAnsi="Century Gothic" w:cs="Century Gothic"/>
          <w:sz w:val="20"/>
          <w:szCs w:val="20"/>
        </w:rPr>
      </w:pPr>
      <w:r w:rsidRPr="00915C86">
        <w:rPr>
          <w:rFonts w:ascii="Century Gothic" w:hAnsi="Century Gothic"/>
          <w:sz w:val="20"/>
          <w:szCs w:val="20"/>
        </w:rPr>
        <w:t>the new regulatory framework to which interconnected regional network managers are subject under the Decree of 5 August 2016.</w:t>
      </w:r>
    </w:p>
    <w:p w:rsidR="006C2BEC" w:rsidRPr="00915C86" w:rsidP="006C2BEC">
      <w:pPr>
        <w:rPr>
          <w:rFonts w:ascii="Century Gothic" w:hAnsi="Century Gothic" w:cs="Century Gothic"/>
          <w:sz w:val="20"/>
          <w:szCs w:val="20"/>
        </w:rPr>
      </w:pPr>
      <w:r w:rsidRPr="00915C86">
        <w:rPr>
          <w:rFonts w:ascii="Century Gothic" w:hAnsi="Century Gothic"/>
          <w:sz w:val="20"/>
          <w:szCs w:val="20"/>
        </w:rPr>
        <w:t>During 2017, a technical panel was also set up with the RFI Infrastructure Manager to deal with emerging problems.</w:t>
      </w:r>
    </w:p>
    <w:p w:rsidR="006C2BEC" w:rsidRPr="00915C86" w:rsidP="006C2BEC">
      <w:pPr>
        <w:pStyle w:val="Heading1"/>
        <w:tabs>
          <w:tab w:val="num" w:pos="432"/>
        </w:tabs>
        <w:spacing w:before="360" w:after="120"/>
        <w:ind w:left="431" w:hanging="431"/>
        <w:rPr>
          <w:rFonts w:ascii="Century Gothic" w:hAnsi="Century Gothic"/>
          <w:kern w:val="0"/>
        </w:rPr>
      </w:pPr>
      <w:bookmarkStart w:id="23" w:name="_Toc532565564"/>
      <w:r w:rsidRPr="00915C86">
        <w:rPr>
          <w:rFonts w:ascii="Century Gothic" w:hAnsi="Century Gothic"/>
        </w:rPr>
        <w:t>PART 6 - SUPERVISION</w:t>
      </w:r>
      <w:bookmarkEnd w:id="23"/>
    </w:p>
    <w:p w:rsidR="006C2BEC" w:rsidRPr="00915C86" w:rsidP="006C2BEC">
      <w:pPr>
        <w:rPr>
          <w:rFonts w:ascii="Century Gothic" w:hAnsi="Century Gothic" w:cs="Century Gothic"/>
          <w:sz w:val="20"/>
          <w:szCs w:val="20"/>
        </w:rPr>
      </w:pPr>
      <w:r w:rsidRPr="00915C86">
        <w:rPr>
          <w:rFonts w:ascii="Century Gothic" w:hAnsi="Century Gothic"/>
          <w:sz w:val="20"/>
          <w:szCs w:val="20"/>
        </w:rPr>
        <w:t>ANSF’s inspection and audit activities conducted on railway undertakings and Infrastructure Managers were carried out using the following instruments:</w:t>
      </w:r>
    </w:p>
    <w:p w:rsidR="006C2BEC" w:rsidRPr="00915C86" w:rsidP="006C2BEC">
      <w:pPr>
        <w:pStyle w:val="ListParagraph"/>
        <w:numPr>
          <w:ilvl w:val="0"/>
          <w:numId w:val="17"/>
        </w:numPr>
        <w:spacing w:after="0"/>
        <w:ind w:left="426"/>
        <w:rPr>
          <w:rFonts w:ascii="Century Gothic" w:hAnsi="Century Gothic" w:cs="Century Gothic"/>
          <w:sz w:val="20"/>
          <w:szCs w:val="20"/>
        </w:rPr>
      </w:pPr>
      <w:r w:rsidRPr="00915C86">
        <w:rPr>
          <w:rFonts w:ascii="Century Gothic" w:hAnsi="Century Gothic"/>
          <w:sz w:val="20"/>
          <w:szCs w:val="20"/>
        </w:rPr>
        <w:t>Audit activities and on-the-spot follow-up</w:t>
      </w:r>
    </w:p>
    <w:p w:rsidR="006C2BEC" w:rsidRPr="00915C86" w:rsidP="006C2BEC">
      <w:pPr>
        <w:pStyle w:val="ListParagraph"/>
        <w:numPr>
          <w:ilvl w:val="0"/>
          <w:numId w:val="8"/>
        </w:numPr>
        <w:spacing w:after="0" w:line="240" w:lineRule="auto"/>
        <w:rPr>
          <w:rFonts w:ascii="Century Gothic" w:hAnsi="Century Gothic" w:cs="Century Gothic"/>
          <w:sz w:val="20"/>
          <w:szCs w:val="20"/>
        </w:rPr>
      </w:pPr>
      <w:r w:rsidRPr="00915C86">
        <w:rPr>
          <w:rFonts w:ascii="Century Gothic" w:hAnsi="Century Gothic"/>
          <w:sz w:val="20"/>
          <w:szCs w:val="20"/>
        </w:rPr>
        <w:t>system audits targeting the verification of the implementation and effectiveness of the Safety Management System (SMS); these activities may cover the whole scope of the SMS or specific processes, sites, activities defined and reported in the audit programme;</w:t>
      </w:r>
    </w:p>
    <w:p w:rsidR="006C2BEC" w:rsidRPr="00915C86" w:rsidP="006C2BEC">
      <w:pPr>
        <w:pStyle w:val="ListParagraph"/>
        <w:numPr>
          <w:ilvl w:val="0"/>
          <w:numId w:val="8"/>
        </w:numPr>
        <w:spacing w:after="0" w:line="240" w:lineRule="auto"/>
        <w:rPr>
          <w:rFonts w:ascii="Century Gothic" w:hAnsi="Century Gothic" w:cs="Century Gothic"/>
          <w:sz w:val="20"/>
          <w:szCs w:val="20"/>
        </w:rPr>
      </w:pPr>
      <w:r w:rsidRPr="00915C86">
        <w:rPr>
          <w:rFonts w:ascii="Century Gothic" w:hAnsi="Century Gothic"/>
          <w:sz w:val="20"/>
          <w:szCs w:val="20"/>
        </w:rPr>
        <w:t xml:space="preserve">process audits targeting the verification of the implementation and effectiveness of operational processes related to railway operation safety and compliance with </w:t>
      </w:r>
      <w:r w:rsidRPr="00915C86">
        <w:rPr>
          <w:rFonts w:ascii="Century Gothic" w:hAnsi="Century Gothic"/>
          <w:sz w:val="20"/>
          <w:szCs w:val="20"/>
        </w:rPr>
        <w:t>applicable rules; the scope of such interventions shall be specified on a case-by-case basis on the audit programme and may, where appropriate, relate to the way in which specific products or services are to be delivered and managed;</w:t>
      </w:r>
    </w:p>
    <w:p w:rsidR="006C2BEC" w:rsidRPr="00915C86" w:rsidP="006C2BEC">
      <w:pPr>
        <w:pStyle w:val="ListParagraph"/>
        <w:numPr>
          <w:ilvl w:val="0"/>
          <w:numId w:val="8"/>
        </w:numPr>
        <w:spacing w:after="120" w:line="240" w:lineRule="auto"/>
        <w:ind w:left="714" w:hanging="357"/>
        <w:rPr>
          <w:rFonts w:ascii="Century Gothic" w:hAnsi="Century Gothic" w:cs="Century Gothic"/>
          <w:sz w:val="20"/>
          <w:szCs w:val="20"/>
        </w:rPr>
      </w:pPr>
      <w:r w:rsidRPr="00915C86">
        <w:rPr>
          <w:rFonts w:ascii="Century Gothic" w:hAnsi="Century Gothic"/>
          <w:sz w:val="20"/>
          <w:szCs w:val="20"/>
        </w:rPr>
        <w:t>follow-up on previous audits; this activity is structured based on an analysis of documentary evidence sent by organisations involved in the previous on-the-spot activity and indicated in the audit programme.</w:t>
      </w:r>
    </w:p>
    <w:p w:rsidR="006C2BEC" w:rsidRPr="00915C86" w:rsidP="006C2BEC">
      <w:pPr>
        <w:pStyle w:val="ListParagraph"/>
        <w:numPr>
          <w:ilvl w:val="0"/>
          <w:numId w:val="17"/>
        </w:numPr>
        <w:spacing w:before="120" w:after="0" w:line="240" w:lineRule="auto"/>
        <w:ind w:left="425" w:hanging="357"/>
        <w:contextualSpacing w:val="0"/>
        <w:rPr>
          <w:rFonts w:ascii="Century Gothic" w:hAnsi="Century Gothic" w:cs="Century Gothic"/>
          <w:sz w:val="20"/>
          <w:szCs w:val="20"/>
        </w:rPr>
      </w:pPr>
      <w:r w:rsidRPr="00915C86">
        <w:rPr>
          <w:rFonts w:ascii="Century Gothic" w:hAnsi="Century Gothic"/>
          <w:sz w:val="20"/>
          <w:szCs w:val="20"/>
        </w:rPr>
        <w:t>Documentary assessment activity</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establishing that deficiencies identified and reported in evaluation reports issued as a result of previous documentary analyses have been overcome;</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checking compliance with the Safety Management System by railway operators (Railway Undertakings and Infrastructure Managers) with the requirements set out in Regulations (EU) No 1158/2010 and No 1169/2010 for the issue and renewal of safety certificates and authorisations;</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checking compliance of the internal rules of operators for change management with relevant legislative requirements and their compliant application in the event of applications to update safety certificates and authorisations;</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checking the correct processing of non-compliances, the adoption of appropriate corrective actions and compliance with deadlines relating to commitments made during audits or-the-spot follow-ups by means of documentary evidence submitted;</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checking compliance with applicable requirements of documentation on Management Systems of Training Centres accredited by ANSF or applying for accreditation;</w:t>
      </w:r>
    </w:p>
    <w:p w:rsidR="006C2BEC" w:rsidRPr="00915C86" w:rsidP="006C2BEC">
      <w:pPr>
        <w:pStyle w:val="ListParagraph"/>
        <w:numPr>
          <w:ilvl w:val="0"/>
          <w:numId w:val="8"/>
        </w:numPr>
        <w:spacing w:after="0" w:line="240" w:lineRule="auto"/>
        <w:ind w:left="714" w:hanging="357"/>
        <w:rPr>
          <w:rFonts w:ascii="Century Gothic" w:hAnsi="Century Gothic" w:cs="Century Gothic"/>
          <w:sz w:val="20"/>
          <w:szCs w:val="20"/>
        </w:rPr>
      </w:pPr>
      <w:r w:rsidRPr="00915C86">
        <w:rPr>
          <w:rFonts w:ascii="Century Gothic" w:hAnsi="Century Gothic"/>
          <w:sz w:val="20"/>
          <w:szCs w:val="20"/>
        </w:rPr>
        <w:t>documentary assessments not covered by the cases referred to in the previous bullet points;</w:t>
      </w:r>
    </w:p>
    <w:p w:rsidR="006C2BEC" w:rsidRPr="00915C86" w:rsidP="006C2BEC">
      <w:pPr>
        <w:pStyle w:val="ListParagraph"/>
        <w:numPr>
          <w:ilvl w:val="0"/>
          <w:numId w:val="17"/>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Inspection activities: routine and specific inspections on staff, vehicles and installations. Routine inspections carried out randomly and continuously are primarily intended for analysis, within a statistically representative sample, of the non-conformities recorded and their frequency; specific inspections are intended to gather further information required following reports, accidents and incidents emerging from routine monitoring activity. The inspections are carried out in accordance with the principles set out in Annexes IV and III of Regulation (EU) No 1158/2010 and No 1169/2010 respectively and represent a supervision support activity intended to provide a tool for measuring the effectiveness of the Safety Management Systems of railway operators in accordance with the provisions of Article 4(1) of Regulation (EU) No 19077/2012;</w:t>
      </w:r>
    </w:p>
    <w:p w:rsidR="006C2BEC" w:rsidRPr="00915C86" w:rsidP="006C2BEC">
      <w:pPr>
        <w:pStyle w:val="ListParagraph"/>
        <w:numPr>
          <w:ilvl w:val="0"/>
          <w:numId w:val="17"/>
        </w:numPr>
        <w:ind w:left="426" w:hanging="426"/>
        <w:rPr>
          <w:rFonts w:ascii="Century Gothic" w:hAnsi="Century Gothic" w:cs="Century Gothic"/>
          <w:sz w:val="20"/>
          <w:szCs w:val="20"/>
        </w:rPr>
      </w:pPr>
      <w:r w:rsidRPr="00915C86">
        <w:rPr>
          <w:rFonts w:ascii="Century Gothic" w:hAnsi="Century Gothic"/>
          <w:sz w:val="20"/>
          <w:szCs w:val="20"/>
        </w:rPr>
        <w:t>Monitoring and analysis of accidents and incidents and consequent adoption of provisions;</w:t>
      </w:r>
    </w:p>
    <w:p w:rsidR="006C2BEC" w:rsidRPr="00915C86" w:rsidP="006C2BEC">
      <w:pPr>
        <w:pStyle w:val="ListParagraph"/>
        <w:numPr>
          <w:ilvl w:val="0"/>
          <w:numId w:val="17"/>
        </w:numPr>
        <w:spacing w:after="0" w:line="240" w:lineRule="auto"/>
        <w:ind w:left="425" w:hanging="425"/>
        <w:rPr>
          <w:rFonts w:ascii="Century Gothic" w:hAnsi="Century Gothic" w:cs="Century Gothic"/>
          <w:sz w:val="20"/>
          <w:szCs w:val="20"/>
        </w:rPr>
      </w:pPr>
      <w:r w:rsidRPr="00915C86">
        <w:rPr>
          <w:rFonts w:ascii="Century Gothic" w:hAnsi="Century Gothic"/>
          <w:sz w:val="20"/>
          <w:szCs w:val="20"/>
        </w:rPr>
        <w:t>Adoption of measures against the Operators involved following an analysis of recommendations issued by the Directorate General for railway investigations, and monitoring the implementation of such measures;</w:t>
      </w:r>
    </w:p>
    <w:p w:rsidR="006C2BEC" w:rsidRPr="00915C86" w:rsidP="006C2BEC">
      <w:pPr>
        <w:pStyle w:val="ListParagraph"/>
        <w:numPr>
          <w:ilvl w:val="0"/>
          <w:numId w:val="17"/>
        </w:numPr>
        <w:spacing w:after="0" w:line="240" w:lineRule="auto"/>
        <w:ind w:left="425" w:hanging="425"/>
        <w:rPr>
          <w:rFonts w:ascii="Century Gothic" w:hAnsi="Century Gothic" w:cs="Century Gothic"/>
          <w:sz w:val="20"/>
          <w:szCs w:val="20"/>
        </w:rPr>
      </w:pPr>
      <w:r w:rsidRPr="00915C86">
        <w:rPr>
          <w:rFonts w:ascii="Century Gothic" w:hAnsi="Century Gothic"/>
          <w:sz w:val="20"/>
          <w:szCs w:val="20"/>
        </w:rPr>
        <w:t>Monitoring of the regulatory reorganisation implemented by railway operators.</w:t>
      </w:r>
    </w:p>
    <w:p w:rsidR="006C2BEC" w:rsidRPr="00915C86" w:rsidP="006C2BEC">
      <w:pPr>
        <w:pStyle w:val="Heading2"/>
        <w:spacing w:after="120"/>
        <w:rPr>
          <w:rFonts w:ascii="Century Gothic" w:hAnsi="Century Gothic"/>
        </w:rPr>
      </w:pPr>
      <w:bookmarkStart w:id="24" w:name="_Toc532565565"/>
      <w:r w:rsidRPr="00915C86">
        <w:rPr>
          <w:rFonts w:ascii="Century Gothic" w:hAnsi="Century Gothic"/>
        </w:rPr>
        <w:t>6.1</w:t>
      </w:r>
      <w:r w:rsidRPr="00915C86">
        <w:rPr>
          <w:rFonts w:ascii="Century Gothic" w:hAnsi="Century Gothic"/>
        </w:rPr>
        <w:tab/>
        <w:t>Supervision activity strategy and plan</w:t>
      </w:r>
      <w:bookmarkEnd w:id="24"/>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The supervision activity was planned in accordance with Regulation (EU) 1077/2012, taking into account the availability of qualified resources in relation to the specific skills required and the provisions of the Three-Year Corruption Prevention Plan.</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Planning was defined on the basis of an evaluation of activities conducted in 2016 and information relating to railway system safety received from entities inside and outside the system, considering in particular:</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guidelines contained in the document ‘Objectives and critical areas in the field of railway safety’ set out in the annual report issued by the Agency;</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the term of validity of the safety certificates and authorisation or the planned term of issue in the event of first applications;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the latest on-the-spot inspection carried out at each organisation and related outcomes;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results of document evaluation activity for the issue, renewal or updating of safety certificates and authorisations conducted after the latest on-the-spot inspection, with particular reference to any requirements;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outcomes of documentary follow-up of previous on-the-spot activities;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the Ministry of infrastructure and Transport Guideline on ‘identifying National Railway Safety Agency priorities and objectives for 2017’ (Guideline No 18 of 19 January 2017), which identified the following inspection, audit and monitoring priorities:</w:t>
      </w:r>
    </w:p>
    <w:p w:rsidR="006C2BEC" w:rsidRPr="00915C86" w:rsidP="006C2BEC">
      <w:pPr>
        <w:pStyle w:val="ListParagraph"/>
        <w:numPr>
          <w:ilvl w:val="1"/>
          <w:numId w:val="14"/>
        </w:numPr>
        <w:spacing w:after="120" w:line="240" w:lineRule="auto"/>
        <w:ind w:left="851"/>
        <w:rPr>
          <w:rFonts w:ascii="Century Gothic" w:hAnsi="Century Gothic" w:cs="Century Gothic"/>
          <w:sz w:val="20"/>
          <w:szCs w:val="20"/>
        </w:rPr>
      </w:pPr>
      <w:r w:rsidRPr="00915C86">
        <w:rPr>
          <w:rFonts w:ascii="Century Gothic" w:hAnsi="Century Gothic"/>
          <w:sz w:val="20"/>
          <w:szCs w:val="20"/>
        </w:rPr>
        <w:t>as part of supervision activities on infrastructure manager and railway undertaking safety management systems, monitoring of proper implementation of maintenance activities through sample checks in the form of audits, site visits and inspections;</w:t>
      </w:r>
    </w:p>
    <w:p w:rsidR="006C2BEC" w:rsidRPr="00915C86" w:rsidP="006C2BEC">
      <w:pPr>
        <w:pStyle w:val="ListParagraph"/>
        <w:numPr>
          <w:ilvl w:val="1"/>
          <w:numId w:val="14"/>
        </w:numPr>
        <w:spacing w:after="120" w:line="240" w:lineRule="auto"/>
        <w:ind w:left="851"/>
        <w:rPr>
          <w:rFonts w:ascii="Century Gothic" w:hAnsi="Century Gothic" w:cs="Century Gothic"/>
          <w:sz w:val="20"/>
          <w:szCs w:val="20"/>
        </w:rPr>
      </w:pPr>
      <w:r w:rsidRPr="00915C86">
        <w:rPr>
          <w:rFonts w:ascii="Century Gothic" w:hAnsi="Century Gothic"/>
          <w:sz w:val="20"/>
          <w:szCs w:val="20"/>
        </w:rPr>
        <w:t>monitoring the proper implementation of safety management systems by means of sample checks on railway undertakings. The monitoring is carried out particularly on railway undertakings that carry out hazardous goods transport by rail;</w:t>
      </w:r>
    </w:p>
    <w:p w:rsidR="006C2BEC" w:rsidRPr="00915C86" w:rsidP="006C2BEC">
      <w:pPr>
        <w:pStyle w:val="ListParagraph"/>
        <w:numPr>
          <w:ilvl w:val="1"/>
          <w:numId w:val="14"/>
        </w:numPr>
        <w:spacing w:after="120" w:line="240" w:lineRule="auto"/>
        <w:ind w:left="851"/>
        <w:rPr>
          <w:rFonts w:ascii="Century Gothic" w:hAnsi="Century Gothic" w:cs="Century Gothic"/>
          <w:sz w:val="20"/>
          <w:szCs w:val="20"/>
        </w:rPr>
      </w:pPr>
      <w:r w:rsidRPr="00915C86">
        <w:rPr>
          <w:rFonts w:ascii="Century Gothic" w:hAnsi="Century Gothic"/>
          <w:sz w:val="20"/>
          <w:szCs w:val="20"/>
        </w:rPr>
        <w:t>technically and logistically supporting inspection activities conducted on all railway stakeholders upon the request of the Directorate General for Transport and Infrastructures, arranging the extension of every authorisation or conventional document found to be instrumental in implementing these activities through arrangements with the Directorate General.</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 following have also been considered:</w:t>
      </w:r>
    </w:p>
    <w:p w:rsidR="006C2BEC" w:rsidRPr="00915C86" w:rsidP="006C2BEC">
      <w:pPr>
        <w:pStyle w:val="ListParagraph"/>
        <w:numPr>
          <w:ilvl w:val="0"/>
          <w:numId w:val="4"/>
        </w:numPr>
        <w:spacing w:line="240" w:lineRule="auto"/>
        <w:ind w:left="425" w:hanging="357"/>
        <w:rPr>
          <w:rFonts w:ascii="Century Gothic" w:hAnsi="Century Gothic" w:cs="Century Gothic"/>
          <w:sz w:val="20"/>
          <w:szCs w:val="20"/>
        </w:rPr>
      </w:pPr>
      <w:r w:rsidRPr="00915C86">
        <w:rPr>
          <w:rFonts w:ascii="Century Gothic" w:hAnsi="Century Gothic"/>
          <w:sz w:val="20"/>
          <w:szCs w:val="20"/>
        </w:rPr>
        <w:t>the trend identified by the 2016 accident rate monitoring and analysis process;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the outcome of inspection activities conducted in 2016;</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evidence set out in the annual reports of the Railway Undertakings and Infrastructure Managers;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development of the national and EU regulatory framework;</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notifications and requests received from within and from outside ANSF;</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requests for cooperation by other NSA (National Safety Authorities), particularly from the Swiss Federal Transport Office, the German National Safety Authority and the French Safety Authority.</w:t>
      </w:r>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Activities set out in the plan were subdivided into the following types:</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documentary, compliance and follow-up evaluations;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on-the-spot system audits designed to check the implementation and effectiveness of the railway operators’ safety management system;</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process and product audits conducted on the spot on the premises of railway operators in order to check the implementation and effectiveness of operating processes;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follow-up on previous audits;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inspections on staff, vehicles and systems;</w:t>
      </w:r>
    </w:p>
    <w:p w:rsidR="006C2BEC" w:rsidRPr="00915C86" w:rsidP="006C2BEC">
      <w:pPr>
        <w:pStyle w:val="ListParagraph"/>
        <w:numPr>
          <w:ilvl w:val="0"/>
          <w:numId w:val="4"/>
        </w:numPr>
        <w:spacing w:before="120" w:line="240" w:lineRule="auto"/>
        <w:ind w:left="426"/>
        <w:rPr>
          <w:rFonts w:ascii="Century Gothic" w:hAnsi="Century Gothic" w:cs="Century Gothic"/>
          <w:sz w:val="20"/>
          <w:szCs w:val="20"/>
        </w:rPr>
      </w:pPr>
      <w:r w:rsidRPr="00915C86">
        <w:rPr>
          <w:rFonts w:ascii="Century Gothic" w:hAnsi="Century Gothic"/>
          <w:sz w:val="20"/>
          <w:szCs w:val="20"/>
        </w:rPr>
        <w:t>specific inspections for the purposes of investigations deemed necessary.</w:t>
      </w:r>
    </w:p>
    <w:p w:rsidR="006C2BEC" w:rsidRPr="00915C86" w:rsidP="006C2BEC">
      <w:pPr>
        <w:rPr>
          <w:rFonts w:ascii="Century Gothic" w:hAnsi="Century Gothic" w:cs="Century Gothic"/>
          <w:sz w:val="20"/>
          <w:szCs w:val="20"/>
        </w:rPr>
      </w:pPr>
      <w:r w:rsidRPr="00915C86">
        <w:rPr>
          <w:rFonts w:ascii="Century Gothic" w:hAnsi="Century Gothic"/>
          <w:sz w:val="20"/>
          <w:szCs w:val="20"/>
        </w:rPr>
        <w:t>The plan describes intervention areas for carrying out on-the-spot audits and inspection activities identified by a risk-based approach, ensuring a definition of priorities based on the greatest risks that can be correlated to the organisations and ensuring the most uniform possible coverage of the reference system with regard to its main characteristics (type of service, type of organisation, geographical coverage and verified processes). For organisations characterised by a large geographical area, particularly complex organisation and considerable volumes of activity, the application of the stated criteria is modulated with reference to individual areas of activity/responsibility/local jurisdiction, considering the organisational structures affected by activities to be planned.</w:t>
      </w:r>
    </w:p>
    <w:p w:rsidR="006C2BEC" w:rsidRPr="00915C86" w:rsidP="006C2BEC">
      <w:pPr>
        <w:spacing w:before="120" w:after="0"/>
        <w:ind w:left="68"/>
        <w:rPr>
          <w:rFonts w:ascii="Century Gothic" w:hAnsi="Century Gothic" w:cs="Century Gothic"/>
          <w:sz w:val="20"/>
          <w:szCs w:val="20"/>
        </w:rPr>
      </w:pPr>
      <w:r w:rsidRPr="00915C86">
        <w:rPr>
          <w:rFonts w:ascii="Century Gothic" w:hAnsi="Century Gothic"/>
          <w:sz w:val="20"/>
          <w:szCs w:val="20"/>
        </w:rPr>
        <w:t>Activities with regard to Infrastructure Managers set out in Ministry of Infrastructure and Transport Decree of 05/08/2016 are defined taking into account the following priority assessment evidence as well as findings obtained from an analysis of documentation submitted during the safety authorisation application process:</w:t>
      </w:r>
    </w:p>
    <w:p w:rsidR="006C2BEC" w:rsidRPr="00915C86" w:rsidP="006C2BEC">
      <w:pPr>
        <w:pStyle w:val="ListParagraph"/>
        <w:numPr>
          <w:ilvl w:val="0"/>
          <w:numId w:val="15"/>
        </w:numPr>
        <w:spacing w:after="0" w:line="240" w:lineRule="auto"/>
        <w:ind w:left="426"/>
        <w:rPr>
          <w:rFonts w:ascii="Century Gothic" w:hAnsi="Century Gothic" w:cs="Century Gothic"/>
          <w:sz w:val="20"/>
          <w:szCs w:val="20"/>
        </w:rPr>
      </w:pPr>
      <w:r w:rsidRPr="00915C86">
        <w:rPr>
          <w:rFonts w:ascii="Century Gothic" w:hAnsi="Century Gothic"/>
          <w:sz w:val="20"/>
          <w:szCs w:val="20"/>
        </w:rPr>
        <w:t>extent of operating lines among those set out in Annex A of the said Decree;</w:t>
      </w:r>
    </w:p>
    <w:p w:rsidR="006C2BEC" w:rsidRPr="00915C86" w:rsidP="006C2BEC">
      <w:pPr>
        <w:pStyle w:val="ListParagraph"/>
        <w:numPr>
          <w:ilvl w:val="0"/>
          <w:numId w:val="15"/>
        </w:numPr>
        <w:spacing w:after="0" w:line="240" w:lineRule="auto"/>
        <w:ind w:left="426"/>
        <w:rPr>
          <w:rFonts w:ascii="Century Gothic" w:hAnsi="Century Gothic" w:cs="Century Gothic"/>
          <w:sz w:val="20"/>
          <w:szCs w:val="20"/>
        </w:rPr>
      </w:pPr>
      <w:r w:rsidRPr="00915C86">
        <w:rPr>
          <w:rFonts w:ascii="Century Gothic" w:hAnsi="Century Gothic"/>
          <w:sz w:val="20"/>
          <w:szCs w:val="20"/>
        </w:rPr>
        <w:t>measures (number and type) stated by the Infrastructure Manager to ensure compliance with requirements set out in ANSF Document No 009956/2016 of 29/09/2016 and ANSF Document No 010770/2016 of 19/10/2016;</w:t>
      </w:r>
    </w:p>
    <w:p w:rsidR="006C2BEC" w:rsidRPr="00915C86" w:rsidP="006C2BEC">
      <w:pPr>
        <w:pStyle w:val="ListParagraph"/>
        <w:numPr>
          <w:ilvl w:val="0"/>
          <w:numId w:val="15"/>
        </w:numPr>
        <w:spacing w:after="0" w:line="240" w:lineRule="auto"/>
        <w:ind w:left="426"/>
        <w:rPr>
          <w:rFonts w:ascii="Century Gothic" w:hAnsi="Century Gothic" w:cs="Century Gothic"/>
          <w:sz w:val="20"/>
          <w:szCs w:val="20"/>
        </w:rPr>
      </w:pPr>
      <w:r w:rsidRPr="00915C86">
        <w:rPr>
          <w:rFonts w:ascii="Century Gothic" w:hAnsi="Century Gothic"/>
          <w:sz w:val="20"/>
          <w:szCs w:val="20"/>
        </w:rPr>
        <w:t>outcome of activities carried out previously on railway undertakings operating on these lines.</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For activities to be performed on the RFI Infrastructure Manager, the following areas have been identified in particular:</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assessing whether the safety organisation is fit for purpose and operational activities conducted by local structures met regulatory requirements;</w:t>
      </w:r>
    </w:p>
    <w:p w:rsidR="006C2BEC" w:rsidRPr="00915C86" w:rsidP="006C2BEC">
      <w:pPr>
        <w:pStyle w:val="ListParagraph"/>
        <w:numPr>
          <w:ilvl w:val="0"/>
          <w:numId w:val="4"/>
        </w:numPr>
        <w:spacing w:before="120" w:after="0" w:line="240" w:lineRule="auto"/>
        <w:ind w:left="425" w:hanging="357"/>
        <w:rPr>
          <w:rFonts w:ascii="Century Gothic" w:hAnsi="Century Gothic" w:cs="Century Gothic"/>
          <w:sz w:val="20"/>
          <w:szCs w:val="20"/>
        </w:rPr>
      </w:pPr>
      <w:r w:rsidRPr="00915C86">
        <w:rPr>
          <w:rFonts w:ascii="Century Gothic" w:hAnsi="Century Gothic"/>
          <w:sz w:val="20"/>
          <w:szCs w:val="20"/>
        </w:rPr>
        <w:t>implementation of safety processes defined in the Safety Management System for safe design of infrastructure, safe operation, supply of maintenance and materials and maintenance and operation of the traffic and signalling control system;</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For activities to be performed on the Railway Undertakings, the following areas have been identified in particular:</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management of safety provision with particular reference to maintenance services and activities, management of interfaces with other organisations, definition of related documentation and management of the competencies of staff involved;</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application and effectiveness of Safety Management System monitoring by implementing the common method set out in Regulation (EU) No 1078/2012;</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verification of instructions given upon issue of the safety certificate;</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change management;</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management of vehicle maintenance and dangerous goods transport process;</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use of staff involved in safety activities and monitoring and control of the implementation of tasks assigned to them;</w:t>
      </w:r>
    </w:p>
    <w:p w:rsidR="006C2BEC" w:rsidRPr="00915C86" w:rsidP="006C2BEC">
      <w:pPr>
        <w:pStyle w:val="ListParagraph"/>
        <w:numPr>
          <w:ilvl w:val="0"/>
          <w:numId w:val="4"/>
        </w:numPr>
        <w:spacing w:after="0" w:line="240" w:lineRule="auto"/>
        <w:ind w:left="425" w:hanging="357"/>
        <w:rPr>
          <w:rFonts w:ascii="Century Gothic" w:hAnsi="Century Gothic" w:cs="Century Gothic"/>
          <w:sz w:val="20"/>
          <w:szCs w:val="20"/>
        </w:rPr>
      </w:pPr>
      <w:r w:rsidRPr="00915C86">
        <w:rPr>
          <w:rFonts w:ascii="Century Gothic" w:hAnsi="Century Gothic"/>
          <w:sz w:val="20"/>
          <w:szCs w:val="20"/>
        </w:rPr>
        <w:t>implementation and effectiveness of improvement cycles at various organisational levels.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In both cases, the activity is expected to include the follow-up of audits conducted in previous years to check the implementation and effectiveness of actions taken following the emergence of findings, if necessary after evaluating findings submitted on corrective actions undertaken.</w:t>
      </w:r>
    </w:p>
    <w:tbl>
      <w:tblPr>
        <w:tblStyle w:val="TableGrid"/>
        <w:tblW w:w="9634" w:type="dxa"/>
        <w:jc w:val="center"/>
        <w:tblLook w:val="04A0"/>
      </w:tblPr>
      <w:tblGrid>
        <w:gridCol w:w="2269"/>
        <w:gridCol w:w="7365"/>
      </w:tblGrid>
      <w:tr w:rsidTr="003C743A">
        <w:tblPrEx>
          <w:tblW w:w="9634" w:type="dxa"/>
          <w:jc w:val="center"/>
          <w:tblLook w:val="04A0"/>
        </w:tblPrEx>
        <w:trPr>
          <w:trHeight w:val="20"/>
          <w:jc w:val="center"/>
        </w:trPr>
        <w:tc>
          <w:tcPr>
            <w:tcW w:w="9634" w:type="dxa"/>
            <w:gridSpan w:val="2"/>
            <w:shd w:val="clear" w:color="auto" w:fill="0070C0"/>
          </w:tcPr>
          <w:p w:rsidR="006C2BEC" w:rsidRPr="00915C86" w:rsidP="003C743A">
            <w:pPr>
              <w:pStyle w:val="ListParagraph"/>
              <w:spacing w:after="120" w:line="240" w:lineRule="auto"/>
              <w:ind w:left="0"/>
              <w:jc w:val="center"/>
              <w:rPr>
                <w:rFonts w:ascii="Century Gothic" w:hAnsi="Century Gothic" w:cs="Century Gothic"/>
                <w:b/>
                <w:color w:val="FFFFFF" w:themeColor="background1"/>
                <w:sz w:val="18"/>
                <w:szCs w:val="20"/>
              </w:rPr>
            </w:pPr>
            <w:r w:rsidRPr="00915C86">
              <w:rPr>
                <w:rFonts w:ascii="Century Gothic" w:hAnsi="Century Gothic"/>
                <w:b/>
                <w:color w:val="FFFFFF" w:themeColor="background1"/>
                <w:sz w:val="18"/>
                <w:szCs w:val="20"/>
              </w:rPr>
              <w:t>ACTIVITIES CARRIED OUT IN 2017</w:t>
            </w:r>
          </w:p>
        </w:tc>
      </w:tr>
      <w:tr w:rsidTr="003C743A">
        <w:tblPrEx>
          <w:tblW w:w="9634" w:type="dxa"/>
          <w:jc w:val="center"/>
          <w:tblLook w:val="04A0"/>
        </w:tblPrEx>
        <w:trPr>
          <w:trHeight w:val="20"/>
          <w:jc w:val="center"/>
        </w:trPr>
        <w:tc>
          <w:tcPr>
            <w:tcW w:w="2269" w:type="dxa"/>
            <w:vMerge w:val="restart"/>
          </w:tcPr>
          <w:p w:rsidR="006C2BEC" w:rsidRPr="00915C86" w:rsidP="003C743A">
            <w:pPr>
              <w:pStyle w:val="ListParagraph"/>
              <w:spacing w:after="120" w:line="240" w:lineRule="auto"/>
              <w:ind w:left="0"/>
              <w:rPr>
                <w:rFonts w:ascii="Century Gothic" w:hAnsi="Century Gothic" w:cs="Century Gothic"/>
                <w:b/>
                <w:sz w:val="18"/>
                <w:szCs w:val="20"/>
              </w:rPr>
            </w:pPr>
            <w:r w:rsidRPr="00915C86">
              <w:rPr>
                <w:rFonts w:ascii="Century Gothic" w:hAnsi="Century Gothic"/>
                <w:b/>
                <w:sz w:val="18"/>
                <w:szCs w:val="20"/>
              </w:rPr>
              <w:t>212 activities on Safety Management Systems and railway operator operating processes</w:t>
            </w:r>
          </w:p>
        </w:tc>
        <w:tc>
          <w:tcPr>
            <w:tcW w:w="7365" w:type="dxa"/>
          </w:tcPr>
          <w:p w:rsidR="006C2BEC" w:rsidRPr="00915C86" w:rsidP="003C743A">
            <w:pPr>
              <w:pStyle w:val="ListParagraph"/>
              <w:spacing w:after="120" w:line="240" w:lineRule="auto"/>
              <w:ind w:left="0"/>
              <w:rPr>
                <w:rFonts w:ascii="Century Gothic" w:hAnsi="Century Gothic" w:cs="Century Gothic"/>
                <w:b/>
                <w:sz w:val="16"/>
                <w:szCs w:val="16"/>
              </w:rPr>
            </w:pPr>
            <w:r w:rsidRPr="00915C86">
              <w:rPr>
                <w:rFonts w:ascii="Century Gothic" w:hAnsi="Century Gothic"/>
                <w:b/>
                <w:sz w:val="16"/>
                <w:szCs w:val="16"/>
              </w:rPr>
              <w:t>82 audits and on-the-spot follow-ups</w:t>
            </w:r>
          </w:p>
          <w:p w:rsidR="006C2BEC" w:rsidRPr="00915C86" w:rsidP="003C743A">
            <w:pPr>
              <w:pStyle w:val="ListParagraph"/>
              <w:numPr>
                <w:ilvl w:val="0"/>
                <w:numId w:val="3"/>
              </w:numPr>
              <w:tabs>
                <w:tab w:val="num" w:pos="453"/>
                <w:tab w:val="clear" w:pos="720"/>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45 on the RFI Infrastructure Manager</w:t>
            </w:r>
          </w:p>
          <w:p w:rsidR="006C2BEC" w:rsidRPr="00915C86" w:rsidP="003C743A">
            <w:pPr>
              <w:pStyle w:val="ListParagraph"/>
              <w:numPr>
                <w:ilvl w:val="0"/>
                <w:numId w:val="3"/>
              </w:numPr>
              <w:tabs>
                <w:tab w:val="num" w:pos="453"/>
                <w:tab w:val="clear" w:pos="720"/>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six on (Interconnected Regional Network) Managers under Ministerial Decree 05/08/2016</w:t>
            </w:r>
          </w:p>
          <w:p w:rsidR="006C2BEC" w:rsidRPr="00915C86" w:rsidP="003C743A">
            <w:pPr>
              <w:pStyle w:val="ListParagraph"/>
              <w:numPr>
                <w:ilvl w:val="0"/>
                <w:numId w:val="3"/>
              </w:numPr>
              <w:tabs>
                <w:tab w:val="num" w:pos="453"/>
                <w:tab w:val="clear" w:pos="720"/>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28 on Railway Undertakings</w:t>
            </w:r>
          </w:p>
          <w:p w:rsidR="006C2BEC" w:rsidRPr="00915C86" w:rsidP="003C743A">
            <w:pPr>
              <w:pStyle w:val="ListParagraph"/>
              <w:numPr>
                <w:ilvl w:val="0"/>
                <w:numId w:val="3"/>
              </w:numPr>
              <w:tabs>
                <w:tab w:val="num" w:pos="453"/>
                <w:tab w:val="clear" w:pos="720"/>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three on Training Centres</w:t>
            </w:r>
          </w:p>
        </w:tc>
      </w:tr>
      <w:tr w:rsidTr="003C743A">
        <w:tblPrEx>
          <w:tblW w:w="9634" w:type="dxa"/>
          <w:jc w:val="center"/>
          <w:tblLook w:val="04A0"/>
        </w:tblPrEx>
        <w:trPr>
          <w:trHeight w:val="20"/>
          <w:jc w:val="center"/>
        </w:trPr>
        <w:tc>
          <w:tcPr>
            <w:tcW w:w="2269" w:type="dxa"/>
            <w:vMerge/>
          </w:tcPr>
          <w:p w:rsidR="006C2BEC" w:rsidRPr="00915C86" w:rsidP="003C743A">
            <w:pPr>
              <w:pStyle w:val="ListParagraph"/>
              <w:spacing w:after="120" w:line="240" w:lineRule="auto"/>
              <w:ind w:left="0"/>
              <w:rPr>
                <w:rFonts w:ascii="Century Gothic" w:hAnsi="Century Gothic" w:cs="Century Gothic"/>
                <w:color w:val="000000" w:themeColor="text1"/>
                <w:sz w:val="18"/>
                <w:szCs w:val="20"/>
              </w:rPr>
            </w:pPr>
          </w:p>
        </w:tc>
        <w:tc>
          <w:tcPr>
            <w:tcW w:w="7365" w:type="dxa"/>
          </w:tcPr>
          <w:p w:rsidR="006C2BEC" w:rsidRPr="00915C86" w:rsidP="003C743A">
            <w:pPr>
              <w:pStyle w:val="ListParagraph"/>
              <w:spacing w:after="120" w:line="240" w:lineRule="auto"/>
              <w:ind w:left="0"/>
              <w:rPr>
                <w:rFonts w:ascii="Century Gothic" w:hAnsi="Century Gothic" w:cs="Century Gothic"/>
                <w:b/>
                <w:sz w:val="16"/>
                <w:szCs w:val="16"/>
              </w:rPr>
            </w:pPr>
            <w:r w:rsidRPr="00915C86">
              <w:rPr>
                <w:rFonts w:ascii="Century Gothic" w:hAnsi="Century Gothic"/>
                <w:b/>
                <w:sz w:val="16"/>
                <w:szCs w:val="16"/>
              </w:rPr>
              <w:t>82 Safety Management System compliance assessments</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14 for the five-year renewal of the Safety Certificate, eight of which also relate to dangerous goods transport;</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seven for the issuing of parts A and B of the Safety Certificate, three of which also relate to dangerous goods transport;</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five for the issuing of part A of the Safety Certificate, two of which also relate to dangerous goods transport;</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16 following applications to update safety certificates already issued;</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25 assessments concerned the acceptance of findings contained in previous documentary evaluation reports;</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one specific assessment on the preparation and content of safety plans; in other cases, these assessments have been included in the types of report mentioned above;</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three assessments concerned other types of analysis conducted on the Safety Management System documentation in accordance with specific requests or due to needs for further investigation emerging during the assessment activities;</w:t>
            </w:r>
          </w:p>
          <w:p w:rsidR="006C2BEC" w:rsidRPr="00915C86" w:rsidP="003C743A">
            <w:pPr>
              <w:pStyle w:val="ListParagraph"/>
              <w:numPr>
                <w:ilvl w:val="0"/>
                <w:numId w:val="10"/>
              </w:numPr>
              <w:tabs>
                <w:tab w:val="num" w:pos="360"/>
                <w:tab w:val="clear" w:pos="720"/>
              </w:tabs>
              <w:spacing w:after="0" w:line="240" w:lineRule="auto"/>
              <w:ind w:left="312" w:hanging="142"/>
              <w:rPr>
                <w:rFonts w:ascii="Century Gothic" w:hAnsi="Century Gothic" w:cs="Century Gothic"/>
                <w:sz w:val="16"/>
                <w:szCs w:val="16"/>
              </w:rPr>
            </w:pPr>
            <w:r w:rsidRPr="00915C86">
              <w:rPr>
                <w:rFonts w:ascii="Century Gothic" w:hAnsi="Century Gothic"/>
                <w:sz w:val="16"/>
                <w:szCs w:val="16"/>
              </w:rPr>
              <w:t>11, of which four preliminary checks and seven full compliance analyses on documentation submitted by regional network infrastructure managers covered by the Ministry of Infrastructure and Transport Decree of 5 August 2016, passed the safety authorisation request acceptance stage;</w:t>
            </w:r>
          </w:p>
        </w:tc>
      </w:tr>
      <w:tr w:rsidTr="003C743A">
        <w:tblPrEx>
          <w:tblW w:w="9634" w:type="dxa"/>
          <w:jc w:val="center"/>
          <w:tblLook w:val="04A0"/>
        </w:tblPrEx>
        <w:trPr>
          <w:trHeight w:val="20"/>
          <w:jc w:val="center"/>
        </w:trPr>
        <w:tc>
          <w:tcPr>
            <w:tcW w:w="2269" w:type="dxa"/>
            <w:vMerge/>
          </w:tcPr>
          <w:p w:rsidR="006C2BEC" w:rsidRPr="00915C86" w:rsidP="003C743A">
            <w:pPr>
              <w:pStyle w:val="ListParagraph"/>
              <w:spacing w:after="120" w:line="240" w:lineRule="auto"/>
              <w:ind w:left="0"/>
              <w:rPr>
                <w:rFonts w:ascii="Century Gothic" w:hAnsi="Century Gothic" w:cs="Century Gothic"/>
                <w:color w:val="000000" w:themeColor="text1"/>
                <w:sz w:val="18"/>
                <w:szCs w:val="20"/>
              </w:rPr>
            </w:pPr>
          </w:p>
        </w:tc>
        <w:tc>
          <w:tcPr>
            <w:tcW w:w="7365" w:type="dxa"/>
          </w:tcPr>
          <w:p w:rsidR="006C2BEC" w:rsidRPr="00915C86" w:rsidP="003C743A">
            <w:pPr>
              <w:pStyle w:val="ListParagraph"/>
              <w:spacing w:after="120" w:line="240" w:lineRule="auto"/>
              <w:ind w:left="0"/>
              <w:rPr>
                <w:rFonts w:ascii="Century Gothic" w:hAnsi="Century Gothic" w:cs="Century Gothic"/>
                <w:sz w:val="16"/>
                <w:szCs w:val="16"/>
              </w:rPr>
            </w:pPr>
            <w:r w:rsidRPr="00915C86">
              <w:rPr>
                <w:rFonts w:ascii="Century Gothic" w:hAnsi="Century Gothic"/>
                <w:b/>
                <w:sz w:val="16"/>
                <w:szCs w:val="16"/>
              </w:rPr>
              <w:t>48 documentary follow-ups</w:t>
            </w:r>
            <w:r w:rsidRPr="00915C86">
              <w:rPr>
                <w:rFonts w:ascii="Century Gothic" w:hAnsi="Century Gothic"/>
                <w:sz w:val="16"/>
                <w:szCs w:val="16"/>
              </w:rPr>
              <w:t xml:space="preserve"> on evidence sent by railway operators for the processing and resolution of non-compliance cases emerging in previous on-the-spot operations</w:t>
            </w:r>
          </w:p>
          <w:p w:rsidR="006C2BEC" w:rsidRPr="00915C86" w:rsidP="003C743A">
            <w:pPr>
              <w:pStyle w:val="ListParagraph"/>
              <w:numPr>
                <w:ilvl w:val="0"/>
                <w:numId w:val="10"/>
              </w:numPr>
              <w:tabs>
                <w:tab w:val="clear" w:pos="720"/>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18 on the RFI Infrastructure Manager</w:t>
            </w:r>
          </w:p>
          <w:p w:rsidR="006C2BEC" w:rsidRPr="00915C86" w:rsidP="003C743A">
            <w:pPr>
              <w:pStyle w:val="ListParagraph"/>
              <w:numPr>
                <w:ilvl w:val="0"/>
                <w:numId w:val="10"/>
              </w:numPr>
              <w:tabs>
                <w:tab w:val="clear" w:pos="720"/>
                <w:tab w:val="num" w:pos="1022"/>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23 on Railway Undertakings</w:t>
            </w:r>
          </w:p>
          <w:p w:rsidR="006C2BEC" w:rsidRPr="00915C86" w:rsidP="003C743A">
            <w:pPr>
              <w:pStyle w:val="ListParagraph"/>
              <w:numPr>
                <w:ilvl w:val="0"/>
                <w:numId w:val="10"/>
              </w:numPr>
              <w:tabs>
                <w:tab w:val="clear" w:pos="720"/>
                <w:tab w:val="num" w:pos="1022"/>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Five on Managers of (Interconnected Regional Networks) pursuant to Ministerial Decree 05/08/2016</w:t>
            </w:r>
          </w:p>
          <w:p w:rsidR="006C2BEC" w:rsidRPr="00915C86" w:rsidP="003C743A">
            <w:pPr>
              <w:pStyle w:val="ListParagraph"/>
              <w:numPr>
                <w:ilvl w:val="0"/>
                <w:numId w:val="10"/>
              </w:numPr>
              <w:tabs>
                <w:tab w:val="clear" w:pos="720"/>
                <w:tab w:val="num" w:pos="1022"/>
              </w:tabs>
              <w:spacing w:after="120" w:line="240" w:lineRule="auto"/>
              <w:ind w:left="312" w:hanging="142"/>
              <w:rPr>
                <w:rFonts w:ascii="Century Gothic" w:hAnsi="Century Gothic" w:cs="Century Gothic"/>
                <w:sz w:val="16"/>
                <w:szCs w:val="16"/>
              </w:rPr>
            </w:pPr>
            <w:r w:rsidRPr="00915C86">
              <w:rPr>
                <w:rFonts w:ascii="Century Gothic" w:hAnsi="Century Gothic"/>
                <w:sz w:val="16"/>
                <w:szCs w:val="16"/>
              </w:rPr>
              <w:t>two on Training Centres</w:t>
            </w:r>
          </w:p>
        </w:tc>
      </w:tr>
      <w:tr w:rsidTr="003C743A">
        <w:tblPrEx>
          <w:tblW w:w="9634" w:type="dxa"/>
          <w:jc w:val="center"/>
          <w:tblLook w:val="04A0"/>
        </w:tblPrEx>
        <w:trPr>
          <w:trHeight w:val="20"/>
          <w:jc w:val="center"/>
        </w:trPr>
        <w:tc>
          <w:tcPr>
            <w:tcW w:w="2269" w:type="dxa"/>
          </w:tcPr>
          <w:p w:rsidR="006C2BEC" w:rsidRPr="00915C86" w:rsidP="003C743A">
            <w:pPr>
              <w:pStyle w:val="ListParagraph"/>
              <w:spacing w:after="120" w:line="240" w:lineRule="auto"/>
              <w:ind w:left="0"/>
              <w:rPr>
                <w:rFonts w:ascii="Century Gothic" w:hAnsi="Century Gothic" w:cs="Century Gothic"/>
                <w:b/>
                <w:sz w:val="18"/>
                <w:szCs w:val="20"/>
              </w:rPr>
            </w:pPr>
            <w:r w:rsidRPr="00915C86">
              <w:rPr>
                <w:rFonts w:ascii="Century Gothic" w:hAnsi="Century Gothic"/>
                <w:b/>
                <w:sz w:val="18"/>
                <w:szCs w:val="20"/>
              </w:rPr>
              <w:t>123 on the RFI Manager</w:t>
            </w:r>
          </w:p>
        </w:tc>
        <w:tc>
          <w:tcPr>
            <w:tcW w:w="7365" w:type="dxa"/>
          </w:tcPr>
          <w:p w:rsidR="006C2BEC" w:rsidRPr="00915C86" w:rsidP="003C743A">
            <w:pPr>
              <w:rPr>
                <w:rFonts w:ascii="Century Gothic" w:hAnsi="Century Gothic" w:cs="Century Gothic"/>
                <w:sz w:val="16"/>
                <w:szCs w:val="16"/>
              </w:rPr>
            </w:pPr>
            <w:r w:rsidRPr="00915C86">
              <w:rPr>
                <w:rFonts w:ascii="Century Gothic" w:hAnsi="Century Gothic"/>
                <w:sz w:val="16"/>
                <w:szCs w:val="16"/>
              </w:rPr>
              <w:t>Routine inspections on the RFI Infrastructure Manager (of which 12 specific activities) on all RFI Local Production Departments. 924 elements inspected (points, tracks, engineering structures, LCs, signals, automatic block posts, track circuits, etc.), verified (15 451 checks):</w:t>
            </w:r>
          </w:p>
          <w:p w:rsidR="006C2BEC" w:rsidRPr="00915C86" w:rsidP="003C743A">
            <w:pPr>
              <w:rPr>
                <w:rFonts w:ascii="Century Gothic" w:hAnsi="Century Gothic" w:cs="Century Gothic"/>
                <w:sz w:val="16"/>
                <w:szCs w:val="16"/>
              </w:rPr>
            </w:pPr>
            <w:r w:rsidRPr="00915C86">
              <w:rPr>
                <w:rFonts w:ascii="Century Gothic" w:hAnsi="Century Gothic"/>
                <w:sz w:val="16"/>
                <w:szCs w:val="16"/>
              </w:rPr>
              <w:t>0 tunnels and 11 engineering structures; 26 station yards/line sections; 46 bends/paths; 12 track line sections due to the effect of track temperature; 121 level crossings; 209 track equipment side points and 201 safety command and control side points; 161 track circuits; 40 command and control devices; seven train operating control systems; 83 ET electrification points</w:t>
            </w:r>
          </w:p>
        </w:tc>
      </w:tr>
      <w:tr w:rsidTr="003C743A">
        <w:tblPrEx>
          <w:tblW w:w="9634" w:type="dxa"/>
          <w:jc w:val="center"/>
          <w:tblLook w:val="04A0"/>
        </w:tblPrEx>
        <w:trPr>
          <w:trHeight w:val="20"/>
          <w:jc w:val="center"/>
        </w:trPr>
        <w:tc>
          <w:tcPr>
            <w:tcW w:w="9634" w:type="dxa"/>
            <w:gridSpan w:val="2"/>
          </w:tcPr>
          <w:p w:rsidR="006C2BEC" w:rsidRPr="00915C86" w:rsidP="003C743A">
            <w:pPr>
              <w:rPr>
                <w:rFonts w:ascii="Century Gothic" w:hAnsi="Century Gothic" w:cs="Century Gothic"/>
                <w:sz w:val="18"/>
                <w:szCs w:val="20"/>
              </w:rPr>
            </w:pPr>
            <w:r w:rsidRPr="00915C86">
              <w:rPr>
                <w:rFonts w:ascii="Century Gothic" w:hAnsi="Century Gothic"/>
                <w:b/>
                <w:sz w:val="18"/>
                <w:szCs w:val="20"/>
              </w:rPr>
              <w:t>1517 inspections on railway undertakings</w:t>
            </w:r>
            <w:r w:rsidRPr="00915C86">
              <w:rPr>
                <w:rFonts w:ascii="Century Gothic" w:hAnsi="Century Gothic"/>
                <w:sz w:val="18"/>
                <w:szCs w:val="20"/>
              </w:rPr>
              <w:t xml:space="preserve"> (trains subject to control) for a total of 9372 elements checked</w:t>
            </w:r>
          </w:p>
        </w:tc>
      </w:tr>
      <w:tr w:rsidTr="003C743A">
        <w:tblPrEx>
          <w:tblW w:w="9634" w:type="dxa"/>
          <w:jc w:val="center"/>
          <w:tblLook w:val="04A0"/>
        </w:tblPrEx>
        <w:trPr>
          <w:trHeight w:val="20"/>
          <w:jc w:val="center"/>
        </w:trPr>
        <w:tc>
          <w:tcPr>
            <w:tcW w:w="9634" w:type="dxa"/>
            <w:gridSpan w:val="2"/>
          </w:tcPr>
          <w:p w:rsidR="006C2BEC" w:rsidRPr="00915C86" w:rsidP="003C743A">
            <w:pPr>
              <w:pStyle w:val="ListParagraph"/>
              <w:spacing w:after="120" w:line="240" w:lineRule="auto"/>
              <w:ind w:left="0"/>
              <w:rPr>
                <w:rFonts w:ascii="Century Gothic" w:hAnsi="Century Gothic" w:cs="Century Gothic"/>
                <w:sz w:val="18"/>
                <w:szCs w:val="18"/>
              </w:rPr>
            </w:pPr>
            <w:r w:rsidRPr="00915C86">
              <w:rPr>
                <w:rFonts w:ascii="Century Gothic" w:hAnsi="Century Gothic"/>
                <w:b/>
                <w:sz w:val="18"/>
                <w:szCs w:val="18"/>
              </w:rPr>
              <w:t>4 joint inspection visits with POLFER</w:t>
            </w:r>
            <w:r w:rsidRPr="00915C86">
              <w:rPr>
                <w:rFonts w:ascii="Century Gothic" w:hAnsi="Century Gothic"/>
                <w:sz w:val="18"/>
                <w:szCs w:val="18"/>
              </w:rPr>
              <w:t xml:space="preserve"> on vehicles and staff involved in dangerous goods transport</w:t>
            </w:r>
          </w:p>
        </w:tc>
      </w:tr>
      <w:tr w:rsidTr="003C743A">
        <w:tblPrEx>
          <w:tblW w:w="9634" w:type="dxa"/>
          <w:jc w:val="center"/>
          <w:tblLook w:val="04A0"/>
        </w:tblPrEx>
        <w:trPr>
          <w:trHeight w:val="20"/>
          <w:jc w:val="center"/>
        </w:trPr>
        <w:tc>
          <w:tcPr>
            <w:tcW w:w="9634" w:type="dxa"/>
            <w:gridSpan w:val="2"/>
          </w:tcPr>
          <w:p w:rsidR="006C2BEC" w:rsidRPr="00915C86" w:rsidP="003C743A">
            <w:pPr>
              <w:pStyle w:val="ListParagraph"/>
              <w:spacing w:after="120" w:line="240" w:lineRule="auto"/>
              <w:ind w:left="0"/>
              <w:rPr>
                <w:rFonts w:ascii="Century Gothic" w:hAnsi="Century Gothic" w:cs="Century Gothic"/>
                <w:b/>
                <w:sz w:val="18"/>
                <w:szCs w:val="20"/>
              </w:rPr>
            </w:pPr>
            <w:r w:rsidRPr="00915C86">
              <w:rPr>
                <w:rFonts w:ascii="Century Gothic" w:hAnsi="Century Gothic"/>
                <w:b/>
                <w:sz w:val="18"/>
                <w:szCs w:val="20"/>
              </w:rPr>
              <w:t>24 specific inspection activities</w:t>
            </w:r>
          </w:p>
        </w:tc>
      </w:tr>
      <w:tr w:rsidTr="003C743A">
        <w:tblPrEx>
          <w:tblW w:w="9634" w:type="dxa"/>
          <w:jc w:val="center"/>
          <w:tblLook w:val="04A0"/>
        </w:tblPrEx>
        <w:trPr>
          <w:trHeight w:val="20"/>
          <w:jc w:val="center"/>
        </w:trPr>
        <w:tc>
          <w:tcPr>
            <w:tcW w:w="9634" w:type="dxa"/>
            <w:gridSpan w:val="2"/>
            <w:vAlign w:val="center"/>
          </w:tcPr>
          <w:p w:rsidR="006C2BEC" w:rsidRPr="00915C86" w:rsidP="003C743A">
            <w:pPr>
              <w:pStyle w:val="ListParagraph"/>
              <w:spacing w:after="120" w:line="240" w:lineRule="auto"/>
              <w:ind w:left="0"/>
              <w:rPr>
                <w:rFonts w:ascii="Century Gothic" w:hAnsi="Century Gothic" w:cs="Century Gothic"/>
                <w:b/>
                <w:sz w:val="18"/>
                <w:szCs w:val="20"/>
              </w:rPr>
            </w:pPr>
            <w:r w:rsidRPr="00915C86">
              <w:rPr>
                <w:rFonts w:ascii="Century Gothic" w:hAnsi="Century Gothic"/>
                <w:b/>
                <w:sz w:val="18"/>
                <w:szCs w:val="20"/>
              </w:rPr>
              <w:t>402 verified Railway Undertaking and RFI Infrastructure Manager service provisions and requirements</w:t>
            </w:r>
          </w:p>
        </w:tc>
      </w:tr>
      <w:tr w:rsidTr="003C743A">
        <w:tblPrEx>
          <w:tblW w:w="9634" w:type="dxa"/>
          <w:jc w:val="center"/>
          <w:tblLook w:val="04A0"/>
        </w:tblPrEx>
        <w:trPr>
          <w:trHeight w:val="20"/>
          <w:jc w:val="center"/>
        </w:trPr>
        <w:tc>
          <w:tcPr>
            <w:tcW w:w="9634" w:type="dxa"/>
            <w:gridSpan w:val="2"/>
          </w:tcPr>
          <w:p w:rsidR="006C2BEC" w:rsidRPr="00915C86" w:rsidP="003C743A">
            <w:pPr>
              <w:pStyle w:val="ListParagraph"/>
              <w:spacing w:after="120" w:line="240" w:lineRule="auto"/>
              <w:ind w:left="0"/>
              <w:rPr>
                <w:rFonts w:ascii="Century Gothic" w:hAnsi="Century Gothic" w:cs="Century Gothic"/>
                <w:b/>
                <w:sz w:val="18"/>
                <w:szCs w:val="20"/>
              </w:rPr>
            </w:pPr>
            <w:r w:rsidRPr="00915C86">
              <w:rPr>
                <w:rFonts w:ascii="Century Gothic" w:hAnsi="Century Gothic"/>
                <w:b/>
                <w:sz w:val="18"/>
                <w:szCs w:val="20"/>
              </w:rPr>
              <w:t>122 appraisals for accidents and incidents</w:t>
            </w:r>
          </w:p>
        </w:tc>
      </w:tr>
    </w:tbl>
    <w:p w:rsidR="006C2BEC" w:rsidRPr="00915C86" w:rsidP="006C2BEC">
      <w:pPr>
        <w:pStyle w:val="Heading2"/>
        <w:numPr>
          <w:ilvl w:val="1"/>
          <w:numId w:val="0"/>
        </w:numPr>
        <w:tabs>
          <w:tab w:val="num" w:pos="0"/>
        </w:tabs>
        <w:spacing w:before="360" w:after="120"/>
        <w:rPr>
          <w:rFonts w:ascii="Century Gothic" w:hAnsi="Century Gothic"/>
        </w:rPr>
      </w:pPr>
      <w:bookmarkStart w:id="25" w:name="_Toc532565566"/>
      <w:r w:rsidRPr="00915C86">
        <w:rPr>
          <w:rFonts w:ascii="Century Gothic" w:hAnsi="Century Gothic"/>
        </w:rPr>
        <w:t>6.2</w:t>
      </w:r>
      <w:r w:rsidRPr="00915C86">
        <w:rPr>
          <w:rFonts w:ascii="Century Gothic" w:hAnsi="Century Gothic"/>
        </w:rPr>
        <w:tab/>
        <w:t>Human resources and training</w:t>
      </w:r>
      <w:bookmarkEnd w:id="25"/>
    </w:p>
    <w:p w:rsidR="006C2BEC" w:rsidRPr="00915C86" w:rsidP="006C2BEC">
      <w:pPr>
        <w:spacing w:before="120"/>
        <w:ind w:left="68"/>
        <w:rPr>
          <w:rFonts w:ascii="Century Gothic" w:hAnsi="Century Gothic"/>
          <w:sz w:val="20"/>
          <w:szCs w:val="20"/>
        </w:rPr>
      </w:pPr>
      <w:r w:rsidRPr="00915C86">
        <w:rPr>
          <w:rFonts w:ascii="Century Gothic" w:hAnsi="Century Gothic"/>
          <w:sz w:val="20"/>
          <w:szCs w:val="20"/>
        </w:rPr>
        <w:t>The work took approximately 39 000 hours, divided into 5 400 man-days, for the conduct of audits and inspections in 2017, with an average commitment of approximately 950 hours of work per year for each agent.</w:t>
      </w:r>
    </w:p>
    <w:p w:rsidR="006C2BEC" w:rsidRPr="00915C86" w:rsidP="006C2BEC">
      <w:pPr>
        <w:ind w:left="68"/>
        <w:rPr>
          <w:rFonts w:ascii="Century Gothic" w:hAnsi="Century Gothic"/>
          <w:sz w:val="20"/>
          <w:szCs w:val="20"/>
        </w:rPr>
      </w:pPr>
      <w:r w:rsidRPr="00915C86">
        <w:rPr>
          <w:rFonts w:ascii="Century Gothic" w:hAnsi="Century Gothic"/>
          <w:sz w:val="20"/>
          <w:szCs w:val="20"/>
        </w:rPr>
        <w:t>These data stem from the fact that human resources in certain sectors are fully devoted to performing supervision activities, from the preparation stage to the execution or check stage. The commitment to the various supervision activities and stages may therefore be estimated at approximately 39% of working hours and days by ANSF technical and administrative staff, where the workforce was equal to approximately 35 % of staff units present at 31 December 2017 in ANSF.</w:t>
      </w:r>
    </w:p>
    <w:p w:rsidR="006C2BEC" w:rsidRPr="00915C86" w:rsidP="006C2BEC">
      <w:pPr>
        <w:ind w:left="66"/>
        <w:rPr>
          <w:rFonts w:ascii="Century Gothic" w:hAnsi="Century Gothic"/>
          <w:sz w:val="20"/>
          <w:szCs w:val="20"/>
        </w:rPr>
      </w:pPr>
      <w:r w:rsidRPr="00915C86">
        <w:rPr>
          <w:rFonts w:ascii="Century Gothic" w:hAnsi="Century Gothic"/>
          <w:sz w:val="20"/>
          <w:szCs w:val="20"/>
        </w:rPr>
        <w:t>As before, training activities designed for ANSF staff in 2017 continued in accordance with the provisions of the 2017-2020 Three-Year Training Plan. Training activities involved a large number of employees and a total of 4669 training hours were provided, which covered courses arising from specific legal obligations (health and safety, anti-corruption and transparency) and courses that became necessary as a result of regulatory changes, mainly affecting administrative sectors. Training courses more strictly concerned with railway technology included the following:</w:t>
      </w:r>
    </w:p>
    <w:p w:rsidR="006C2BEC" w:rsidRPr="00915C86" w:rsidP="006C2BEC">
      <w:pPr>
        <w:pStyle w:val="ListParagraph"/>
        <w:numPr>
          <w:ilvl w:val="0"/>
          <w:numId w:val="16"/>
        </w:numPr>
        <w:spacing w:after="288" w:afterLines="120" w:line="240" w:lineRule="auto"/>
        <w:rPr>
          <w:rFonts w:ascii="Century Gothic" w:hAnsi="Century Gothic" w:cs="Century Gothic"/>
          <w:sz w:val="20"/>
          <w:szCs w:val="20"/>
        </w:rPr>
      </w:pPr>
      <w:r w:rsidRPr="00915C86">
        <w:rPr>
          <w:rFonts w:ascii="Century Gothic" w:hAnsi="Century Gothic"/>
          <w:sz w:val="20"/>
          <w:szCs w:val="20"/>
        </w:rPr>
        <w:t>708 total hours of in-house training for technical sectors involved in inspection activities: as before, in 2017 this training was aimed at maintaining and enhancing the technical, methodological and procedural skills required for the role. Training took place in five sessions (nine days in total) in the Florence and Rome offices;</w:t>
      </w:r>
    </w:p>
    <w:p w:rsidR="006C2BEC" w:rsidRPr="00915C86" w:rsidP="006C2BEC">
      <w:pPr>
        <w:pStyle w:val="ListParagraph"/>
        <w:numPr>
          <w:ilvl w:val="0"/>
          <w:numId w:val="16"/>
        </w:numPr>
        <w:spacing w:after="120" w:afterLines="50" w:line="240" w:lineRule="auto"/>
        <w:ind w:left="782" w:hanging="357"/>
        <w:rPr>
          <w:rFonts w:ascii="Century Gothic" w:hAnsi="Century Gothic" w:cs="Century Gothic"/>
          <w:sz w:val="20"/>
          <w:szCs w:val="20"/>
        </w:rPr>
      </w:pPr>
      <w:r w:rsidRPr="00915C86">
        <w:rPr>
          <w:rFonts w:ascii="Century Gothic" w:hAnsi="Century Gothic"/>
          <w:sz w:val="20"/>
          <w:szCs w:val="20"/>
        </w:rPr>
        <w:t>A total of 760 hours of railway technical training at the Rome College of Italian Railway Engineers (CIFI) delivered to recently-recruited staff in technical sectors, also extended to staff who had been working in ANSF roles for longer. The training concerned ‘signalling systems’ (15 modules: design, legislation, equipment, circuit diagrams and project drawings) and ‘Railway processes for the placing into service of structural subsystems, general applications, general products and components’ (15 Modules).</w:t>
      </w:r>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In-house technical operational-oriented training sessions were also carried out on operating regulations in March, June and September 2017.</w:t>
      </w:r>
    </w:p>
    <w:p w:rsidR="006C2BEC" w:rsidRPr="00915C86" w:rsidP="006C2BEC">
      <w:pPr>
        <w:pStyle w:val="Heading2"/>
        <w:spacing w:before="360" w:after="120"/>
        <w:rPr>
          <w:rFonts w:ascii="Century Gothic" w:hAnsi="Century Gothic"/>
        </w:rPr>
      </w:pPr>
      <w:bookmarkStart w:id="26" w:name="_Toc532565567"/>
      <w:r w:rsidRPr="00915C86">
        <w:rPr>
          <w:rFonts w:ascii="Century Gothic" w:hAnsi="Century Gothic"/>
        </w:rPr>
        <w:t>6.3 Certification of entities in charge of railway freight wagon maintenance</w:t>
      </w:r>
      <w:bookmarkEnd w:id="26"/>
    </w:p>
    <w:p w:rsidR="006C2BEC" w:rsidRPr="00915C86" w:rsidP="006C2BEC">
      <w:pPr>
        <w:spacing w:after="0"/>
        <w:rPr>
          <w:rFonts w:ascii="Century Gothic" w:hAnsi="Century Gothic"/>
          <w:sz w:val="20"/>
          <w:szCs w:val="20"/>
        </w:rPr>
      </w:pPr>
      <w:r w:rsidRPr="00915C86">
        <w:rPr>
          <w:rFonts w:ascii="Century Gothic" w:hAnsi="Century Gothic"/>
          <w:sz w:val="20"/>
          <w:szCs w:val="20"/>
        </w:rPr>
        <w:t>In 2017 ANSF took part in inspection visits of the MIT (Ministry of Infrastructure and Transport)-ANSF Working Group, established by Decree of the Head of the Department for Transport, Navigation and IT Systems and Statistics, with operational functions connected with the activities of the Directorate General for Railway Transport for recognition, renewal, amendment and monitoring of Organisations certifying entities in charge of railway freight wagon maintenance.</w:t>
      </w:r>
    </w:p>
    <w:p w:rsidR="006C2BEC" w:rsidRPr="00915C86" w:rsidP="006C2BEC">
      <w:pPr>
        <w:spacing w:after="0"/>
        <w:rPr>
          <w:rFonts w:ascii="Century Gothic" w:hAnsi="Century Gothic"/>
          <w:sz w:val="20"/>
          <w:szCs w:val="20"/>
        </w:rPr>
      </w:pPr>
      <w:r w:rsidRPr="00915C86">
        <w:rPr>
          <w:rFonts w:ascii="Century Gothic" w:hAnsi="Century Gothic"/>
          <w:sz w:val="20"/>
          <w:szCs w:val="20"/>
        </w:rPr>
        <w:t>Five monitoring activities were carried out in support of the Ministry of Infrastructure and Transport on the premises of entities who obtained Certification Body accreditation for Entities in Charge of Maintenance of railway freight trucks from the Ministry and two verification activities.</w:t>
      </w:r>
    </w:p>
    <w:p w:rsidR="006C2BEC" w:rsidRPr="00915C86" w:rsidP="006C2BEC">
      <w:pPr>
        <w:pStyle w:val="Heading2"/>
        <w:spacing w:after="120"/>
        <w:rPr>
          <w:rFonts w:ascii="Century Gothic" w:hAnsi="Century Gothic"/>
        </w:rPr>
      </w:pPr>
      <w:bookmarkStart w:id="27" w:name="_Toc532565568"/>
      <w:r w:rsidRPr="00915C86">
        <w:rPr>
          <w:rFonts w:ascii="Century Gothic" w:hAnsi="Century Gothic"/>
        </w:rPr>
        <w:t>6.4</w:t>
      </w:r>
      <w:r w:rsidRPr="00915C86">
        <w:rPr>
          <w:rFonts w:ascii="Century Gothic" w:hAnsi="Century Gothic"/>
        </w:rPr>
        <w:tab/>
        <w:t>Coordination and cooperation</w:t>
      </w:r>
      <w:bookmarkEnd w:id="27"/>
    </w:p>
    <w:p w:rsidR="006C2BEC" w:rsidRPr="00915C86" w:rsidP="006C2BEC">
      <w:pPr>
        <w:pStyle w:val="BodyTextIndent"/>
        <w:tabs>
          <w:tab w:val="left" w:pos="-1560"/>
          <w:tab w:val="right" w:pos="9600"/>
        </w:tabs>
        <w:ind w:left="0"/>
        <w:rPr>
          <w:rFonts w:ascii="Century Gothic" w:hAnsi="Century Gothic" w:cs="Century Gothic"/>
          <w:sz w:val="20"/>
          <w:szCs w:val="20"/>
        </w:rPr>
      </w:pPr>
      <w:r w:rsidRPr="00915C86">
        <w:rPr>
          <w:rFonts w:ascii="Century Gothic" w:hAnsi="Century Gothic"/>
          <w:sz w:val="20"/>
          <w:szCs w:val="20"/>
        </w:rPr>
        <w:t>With regard to supervision, during 2017 cooperation activities with the Swiss Federal Office of Transport (FOT) continued for the conduct of joint inspections (three activities carried out).</w:t>
      </w:r>
    </w:p>
    <w:p w:rsidR="006C2BEC" w:rsidRPr="00915C86" w:rsidP="006C2BEC">
      <w:pPr>
        <w:pStyle w:val="Heading2"/>
        <w:spacing w:after="120"/>
        <w:rPr>
          <w:rFonts w:ascii="Century Gothic" w:hAnsi="Century Gothic"/>
        </w:rPr>
      </w:pPr>
      <w:bookmarkStart w:id="28" w:name="_Toc532565569"/>
      <w:r w:rsidRPr="00915C86">
        <w:rPr>
          <w:rFonts w:ascii="Century Gothic" w:hAnsi="Century Gothic"/>
        </w:rPr>
        <w:t>6.5</w:t>
      </w:r>
      <w:r w:rsidRPr="00915C86">
        <w:rPr>
          <w:rFonts w:ascii="Century Gothic" w:hAnsi="Century Gothic"/>
        </w:rPr>
        <w:tab/>
        <w:t>Findings emerging from supervision activities</w:t>
      </w:r>
      <w:bookmarkEnd w:id="28"/>
    </w:p>
    <w:p w:rsidR="006C2BEC" w:rsidRPr="00915C86" w:rsidP="006C2BEC">
      <w:pPr>
        <w:spacing w:after="0"/>
        <w:rPr>
          <w:rFonts w:ascii="Century Gothic" w:hAnsi="Century Gothic"/>
          <w:sz w:val="20"/>
          <w:szCs w:val="20"/>
        </w:rPr>
      </w:pPr>
      <w:r w:rsidRPr="00915C86">
        <w:rPr>
          <w:rFonts w:ascii="Century Gothic" w:hAnsi="Century Gothic"/>
          <w:sz w:val="20"/>
          <w:szCs w:val="20"/>
        </w:rPr>
        <w:t>In 2017, field activities were planned at the premises of interconnected regional infrastructure managers taking into account the following priority assessment elements:</w:t>
      </w:r>
    </w:p>
    <w:p w:rsidR="006C2BEC" w:rsidRPr="00915C86" w:rsidP="006C2BEC">
      <w:pPr>
        <w:pStyle w:val="ListParagraph"/>
        <w:numPr>
          <w:ilvl w:val="0"/>
          <w:numId w:val="18"/>
        </w:numPr>
        <w:spacing w:after="0" w:line="240" w:lineRule="auto"/>
        <w:ind w:left="709" w:hanging="283"/>
        <w:rPr>
          <w:rFonts w:ascii="Century Gothic" w:hAnsi="Century Gothic"/>
          <w:sz w:val="20"/>
          <w:szCs w:val="20"/>
        </w:rPr>
      </w:pPr>
      <w:r w:rsidRPr="00915C86">
        <w:rPr>
          <w:rFonts w:ascii="Century Gothic" w:hAnsi="Century Gothic"/>
          <w:sz w:val="20"/>
          <w:szCs w:val="20"/>
        </w:rPr>
        <w:t>extension of lines in operation among those set out in Annex A of the Decree;</w:t>
      </w:r>
    </w:p>
    <w:p w:rsidR="006C2BEC" w:rsidRPr="00915C86" w:rsidP="006C2BEC">
      <w:pPr>
        <w:pStyle w:val="ListParagraph"/>
        <w:numPr>
          <w:ilvl w:val="0"/>
          <w:numId w:val="18"/>
        </w:numPr>
        <w:spacing w:after="0" w:line="240" w:lineRule="auto"/>
        <w:ind w:left="709" w:hanging="283"/>
        <w:rPr>
          <w:rFonts w:ascii="Century Gothic" w:hAnsi="Century Gothic"/>
          <w:sz w:val="20"/>
          <w:szCs w:val="20"/>
        </w:rPr>
      </w:pPr>
      <w:r w:rsidRPr="00915C86">
        <w:rPr>
          <w:rFonts w:ascii="Century Gothic" w:hAnsi="Century Gothic"/>
          <w:sz w:val="20"/>
          <w:szCs w:val="20"/>
        </w:rPr>
        <w:t>problems relating to implementation of the changed regulatory context;</w:t>
      </w:r>
    </w:p>
    <w:p w:rsidR="006C2BEC" w:rsidRPr="00915C86" w:rsidP="006C2BEC">
      <w:pPr>
        <w:pStyle w:val="ListParagraph"/>
        <w:numPr>
          <w:ilvl w:val="0"/>
          <w:numId w:val="18"/>
        </w:numPr>
        <w:spacing w:after="0" w:line="240" w:lineRule="auto"/>
        <w:ind w:left="709" w:hanging="283"/>
        <w:rPr>
          <w:rFonts w:ascii="Century Gothic" w:hAnsi="Century Gothic"/>
          <w:sz w:val="20"/>
          <w:szCs w:val="20"/>
        </w:rPr>
      </w:pPr>
      <w:r w:rsidRPr="00915C86">
        <w:rPr>
          <w:rFonts w:ascii="Century Gothic" w:hAnsi="Century Gothic"/>
          <w:sz w:val="20"/>
          <w:szCs w:val="20"/>
        </w:rPr>
        <w:t>analysis of accident rates;</w:t>
      </w:r>
    </w:p>
    <w:p w:rsidR="006C2BEC" w:rsidRPr="00915C86" w:rsidP="006C2BEC">
      <w:pPr>
        <w:pStyle w:val="ListParagraph"/>
        <w:numPr>
          <w:ilvl w:val="0"/>
          <w:numId w:val="18"/>
        </w:numPr>
        <w:spacing w:after="0" w:line="240" w:lineRule="auto"/>
        <w:ind w:left="709" w:hanging="283"/>
        <w:rPr>
          <w:rFonts w:ascii="Century Gothic" w:hAnsi="Century Gothic"/>
          <w:sz w:val="20"/>
          <w:szCs w:val="20"/>
        </w:rPr>
      </w:pPr>
      <w:r w:rsidRPr="00915C86">
        <w:rPr>
          <w:rFonts w:ascii="Century Gothic" w:hAnsi="Century Gothic"/>
          <w:sz w:val="20"/>
          <w:szCs w:val="20"/>
        </w:rPr>
        <w:t>outcome of activity carried out previously on railway undertakings operating on these lines;</w:t>
      </w:r>
    </w:p>
    <w:p w:rsidR="006C2BEC" w:rsidRPr="00915C86" w:rsidP="006C2BEC">
      <w:pPr>
        <w:pStyle w:val="ListParagraph"/>
        <w:numPr>
          <w:ilvl w:val="0"/>
          <w:numId w:val="18"/>
        </w:numPr>
        <w:spacing w:after="0" w:line="240" w:lineRule="auto"/>
        <w:ind w:left="709" w:hanging="283"/>
        <w:rPr>
          <w:rFonts w:ascii="Century Gothic" w:hAnsi="Century Gothic"/>
          <w:sz w:val="20"/>
          <w:szCs w:val="20"/>
        </w:rPr>
      </w:pPr>
      <w:r w:rsidRPr="00915C86">
        <w:rPr>
          <w:rFonts w:ascii="Century Gothic" w:hAnsi="Century Gothic"/>
          <w:sz w:val="20"/>
          <w:szCs w:val="20"/>
        </w:rPr>
        <w:t>analysis of documentation submitted by Managers as part of the process of issuing safety authorisations.</w:t>
      </w:r>
    </w:p>
    <w:p w:rsidR="006C2BEC" w:rsidRPr="00915C86" w:rsidP="006C2BEC">
      <w:pPr>
        <w:rPr>
          <w:rFonts w:ascii="Century Gothic" w:hAnsi="Century Gothic"/>
          <w:sz w:val="20"/>
        </w:rPr>
      </w:pPr>
      <w:r w:rsidRPr="00915C86">
        <w:rPr>
          <w:rFonts w:ascii="Century Gothic" w:hAnsi="Century Gothic"/>
          <w:sz w:val="20"/>
        </w:rPr>
        <w:t>Specially designed audits were carried out. These were mainly designed for conducting a preliminary assessment of the organisation for safety purposes and for a safety audit, and to provide support in understanding obligations arising from the new regulatory environment.</w:t>
      </w:r>
    </w:p>
    <w:p w:rsidR="006C2BEC" w:rsidRPr="00915C86" w:rsidP="006C2BEC">
      <w:pPr>
        <w:spacing w:after="0"/>
        <w:rPr>
          <w:rFonts w:ascii="Century Gothic" w:hAnsi="Century Gothic"/>
          <w:sz w:val="20"/>
          <w:szCs w:val="20"/>
        </w:rPr>
      </w:pPr>
      <w:r w:rsidRPr="00915C86">
        <w:rPr>
          <w:rFonts w:ascii="Century Gothic" w:hAnsi="Century Gothic"/>
          <w:sz w:val="20"/>
          <w:szCs w:val="20"/>
        </w:rPr>
        <w:t>The aim of the operations was therefore to verify the following general aspects:</w:t>
      </w:r>
    </w:p>
    <w:p w:rsidR="006C2BEC" w:rsidRPr="00915C86" w:rsidP="006C2BEC">
      <w:pPr>
        <w:numPr>
          <w:ilvl w:val="0"/>
          <w:numId w:val="19"/>
        </w:numPr>
        <w:spacing w:after="0"/>
        <w:rPr>
          <w:rFonts w:ascii="Century Gothic" w:hAnsi="Century Gothic"/>
          <w:sz w:val="20"/>
          <w:szCs w:val="16"/>
        </w:rPr>
      </w:pPr>
      <w:r w:rsidRPr="00915C86">
        <w:rPr>
          <w:rFonts w:ascii="Century Gothic" w:hAnsi="Century Gothic"/>
          <w:sz w:val="20"/>
          <w:szCs w:val="16"/>
        </w:rPr>
        <w:t>checks on fitness for purpose of the operational safety organisation by carrying out checks on criteria and procedures adopted to ensure that the infrastructure is managed and operates in a safe manner and definition of the tasks of those responsible for safety protection;</w:t>
      </w:r>
    </w:p>
    <w:p w:rsidR="006C2BEC" w:rsidRPr="00915C86" w:rsidP="006C2BEC">
      <w:pPr>
        <w:numPr>
          <w:ilvl w:val="0"/>
          <w:numId w:val="19"/>
        </w:numPr>
        <w:spacing w:after="0"/>
        <w:rPr>
          <w:rFonts w:ascii="Century Gothic" w:hAnsi="Century Gothic"/>
          <w:sz w:val="20"/>
          <w:szCs w:val="16"/>
        </w:rPr>
      </w:pPr>
      <w:r w:rsidRPr="00915C86">
        <w:rPr>
          <w:rFonts w:ascii="Century Gothic" w:hAnsi="Century Gothic"/>
          <w:sz w:val="20"/>
          <w:szCs w:val="16"/>
        </w:rPr>
        <w:t>ability to operate under conditions of safety as defined in the Safety Management System by conducting checks on the risk management set-up and the definition and implementation of monitoring and audit activities.</w:t>
      </w:r>
    </w:p>
    <w:p w:rsidR="006C2BEC" w:rsidRPr="00915C86" w:rsidP="006C2BEC">
      <w:pPr>
        <w:spacing w:before="120" w:after="0"/>
        <w:rPr>
          <w:rFonts w:ascii="Century Gothic" w:hAnsi="Century Gothic"/>
          <w:sz w:val="20"/>
          <w:szCs w:val="16"/>
        </w:rPr>
      </w:pPr>
      <w:r w:rsidRPr="00915C86">
        <w:rPr>
          <w:rFonts w:ascii="Century Gothic" w:hAnsi="Century Gothic"/>
          <w:sz w:val="20"/>
          <w:szCs w:val="16"/>
        </w:rPr>
        <w:t>The audit operations highlighted some recurrent weaknesses in the general set-up and implementation of the Safety Management System. These particularly concerned the following aspects:</w:t>
      </w:r>
    </w:p>
    <w:p w:rsidR="006C2BEC" w:rsidRPr="00915C86" w:rsidP="006C2BEC">
      <w:pPr>
        <w:numPr>
          <w:ilvl w:val="0"/>
          <w:numId w:val="20"/>
        </w:numPr>
        <w:spacing w:after="0"/>
        <w:rPr>
          <w:rFonts w:ascii="Century Gothic" w:hAnsi="Century Gothic"/>
          <w:sz w:val="20"/>
          <w:szCs w:val="16"/>
        </w:rPr>
      </w:pPr>
      <w:r w:rsidRPr="00915C86">
        <w:rPr>
          <w:rFonts w:ascii="Century Gothic" w:hAnsi="Century Gothic"/>
          <w:sz w:val="20"/>
          <w:szCs w:val="16"/>
        </w:rPr>
        <w:t>failure to define reference contexts for internal or outsourced activities and their physical and operational boundaries; in some cases, shortcomings in the fitness of the operational organisation for carrying out the activities;</w:t>
      </w:r>
    </w:p>
    <w:p w:rsidR="006C2BEC" w:rsidRPr="00915C86" w:rsidP="006C2BEC">
      <w:pPr>
        <w:numPr>
          <w:ilvl w:val="0"/>
          <w:numId w:val="20"/>
        </w:numPr>
        <w:spacing w:after="0"/>
        <w:rPr>
          <w:rFonts w:ascii="Century Gothic" w:hAnsi="Century Gothic"/>
          <w:sz w:val="20"/>
          <w:szCs w:val="16"/>
        </w:rPr>
      </w:pPr>
      <w:r w:rsidRPr="00915C86">
        <w:rPr>
          <w:rFonts w:ascii="Century Gothic" w:hAnsi="Century Gothic"/>
          <w:sz w:val="20"/>
          <w:szCs w:val="16"/>
        </w:rPr>
        <w:t>no evidence of assessments relating to relations with other divisions or facilities covered by the same corporate structure, including the performance of activities jointly between the Infrastructure Manager and Railway Undertaking and assignment of top or coordination positions in both organisations to the same roles;</w:t>
      </w:r>
    </w:p>
    <w:p w:rsidR="006C2BEC" w:rsidRPr="00915C86" w:rsidP="006C2BEC">
      <w:pPr>
        <w:numPr>
          <w:ilvl w:val="0"/>
          <w:numId w:val="20"/>
        </w:numPr>
        <w:spacing w:after="0"/>
        <w:rPr>
          <w:rFonts w:ascii="Century Gothic" w:hAnsi="Century Gothic"/>
          <w:sz w:val="20"/>
          <w:szCs w:val="16"/>
        </w:rPr>
      </w:pPr>
      <w:r w:rsidRPr="00915C86">
        <w:rPr>
          <w:rFonts w:ascii="Century Gothic" w:hAnsi="Century Gothic"/>
          <w:sz w:val="20"/>
          <w:szCs w:val="16"/>
        </w:rPr>
        <w:t>inadequate structuring of Safety Management Systems and little reference in documentation submitted to processes and activities actually implemented by Managers;</w:t>
      </w:r>
    </w:p>
    <w:p w:rsidR="006C2BEC" w:rsidRPr="00915C86" w:rsidP="006C2BEC">
      <w:pPr>
        <w:numPr>
          <w:ilvl w:val="0"/>
          <w:numId w:val="20"/>
        </w:numPr>
        <w:spacing w:after="0"/>
        <w:rPr>
          <w:rFonts w:ascii="Century Gothic" w:hAnsi="Century Gothic"/>
          <w:sz w:val="20"/>
          <w:szCs w:val="16"/>
        </w:rPr>
      </w:pPr>
      <w:r w:rsidRPr="00915C86">
        <w:rPr>
          <w:rFonts w:ascii="Century Gothic" w:hAnsi="Century Gothic"/>
          <w:sz w:val="20"/>
          <w:szCs w:val="16"/>
        </w:rPr>
        <w:t>shortcomings in the approach and completeness of the risk analysis and no evidence of implementation of mitigation measures for management of existing service and activity-related risks;</w:t>
      </w:r>
    </w:p>
    <w:p w:rsidR="006C2BEC" w:rsidRPr="00915C86" w:rsidP="006C2BEC">
      <w:pPr>
        <w:numPr>
          <w:ilvl w:val="0"/>
          <w:numId w:val="20"/>
        </w:numPr>
        <w:spacing w:after="0"/>
        <w:rPr>
          <w:rFonts w:ascii="Century Gothic" w:hAnsi="Century Gothic"/>
          <w:sz w:val="20"/>
          <w:szCs w:val="16"/>
        </w:rPr>
      </w:pPr>
      <w:r w:rsidRPr="00915C86">
        <w:rPr>
          <w:rFonts w:ascii="Century Gothic" w:hAnsi="Century Gothic"/>
          <w:sz w:val="20"/>
          <w:szCs w:val="16"/>
        </w:rPr>
        <w:t>failure to implement safety performance monitoring and control systems.</w:t>
      </w:r>
    </w:p>
    <w:p w:rsidR="006C2BEC" w:rsidRPr="00915C86" w:rsidP="006C2BEC">
      <w:pPr>
        <w:spacing w:before="120"/>
        <w:rPr>
          <w:rFonts w:ascii="Century Gothic" w:hAnsi="Century Gothic"/>
          <w:sz w:val="20"/>
          <w:szCs w:val="16"/>
        </w:rPr>
      </w:pPr>
      <w:r w:rsidRPr="00915C86">
        <w:rPr>
          <w:rFonts w:ascii="Century Gothic" w:hAnsi="Century Gothic"/>
          <w:sz w:val="20"/>
          <w:szCs w:val="16"/>
        </w:rPr>
        <w:t>In some cases, investigations were requested into specific topics. These mainly relating to the implementation of risk control measures for specific organisational, management and systems conditions, making the Infrastructure Managers involved fully aware of their obligations arising out of the changed regulatory environment.</w:t>
      </w:r>
    </w:p>
    <w:p w:rsidR="006C2BEC" w:rsidRPr="00915C86" w:rsidP="006C2BEC">
      <w:pPr>
        <w:spacing w:after="0"/>
        <w:rPr>
          <w:rFonts w:ascii="Century Gothic" w:hAnsi="Century Gothic" w:cs="Century Gothic"/>
          <w:sz w:val="20"/>
          <w:szCs w:val="20"/>
        </w:rPr>
      </w:pPr>
      <w:r w:rsidRPr="00915C86">
        <w:rPr>
          <w:rFonts w:ascii="Century Gothic" w:hAnsi="Century Gothic"/>
          <w:sz w:val="20"/>
          <w:szCs w:val="20"/>
        </w:rPr>
        <w:t>Supervision activity conducted in 2017 aimed at railway undertakings operating on the (RFI Network) highlighted general shortcomings with regard to:</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risk management: completeness and updating of dangerous events registers, evidence of implementation and effectiveness of mitigation measures, experience-based review of the analysis;</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management of safety supplies (including maintenance): definition of safety requirements relating to supplies in interface contracts and agreements, demonstration of proper management of risks relating to the supplies, evidence of effective audit, control and monitoring activities;</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change management: assessment approach and methods resulting from changes to the reference system compared to the provisions of Regulation (EU) No 402/2013; consequent registrations; implementation of related measures;</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monitoring of Safety Management System: definition of indicators to be evaluated, identification of appropriate reference values, methods for analysing relative performance in accordance with procedures required by Regulation (EU) No 1078/2012;</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maintenance management: records of maintenance activities in some cases do not fully comply with Safety Management System procedures and the related control system does not always ensure compliance; processes concerning return to service following vehicle maintenance contain certain design and registration deficiencies;</w:t>
      </w:r>
    </w:p>
    <w:p w:rsidR="006C2BEC" w:rsidRPr="00915C86" w:rsidP="006C2BEC">
      <w:pPr>
        <w:numPr>
          <w:ilvl w:val="0"/>
          <w:numId w:val="21"/>
        </w:numPr>
        <w:spacing w:after="0"/>
        <w:ind w:left="714" w:hanging="357"/>
        <w:rPr>
          <w:rFonts w:ascii="Century Gothic" w:hAnsi="Century Gothic" w:cs="Century Gothic"/>
          <w:bCs/>
          <w:sz w:val="20"/>
          <w:szCs w:val="20"/>
        </w:rPr>
      </w:pPr>
      <w:r w:rsidRPr="00915C86">
        <w:rPr>
          <w:rFonts w:ascii="Century Gothic" w:hAnsi="Century Gothic"/>
          <w:bCs/>
          <w:sz w:val="20"/>
          <w:szCs w:val="20"/>
        </w:rPr>
        <w:t>ongoing improvement with particular reference to the process of management review and analysis of feedback.</w:t>
      </w:r>
    </w:p>
    <w:p w:rsidR="006C2BEC" w:rsidRPr="00915C86" w:rsidP="006C2BEC">
      <w:pPr>
        <w:spacing w:before="120"/>
        <w:rPr>
          <w:rFonts w:ascii="Century Gothic" w:hAnsi="Century Gothic" w:cs="Century Gothic"/>
          <w:bCs/>
          <w:sz w:val="20"/>
          <w:szCs w:val="20"/>
        </w:rPr>
      </w:pPr>
      <w:r w:rsidRPr="00915C86">
        <w:rPr>
          <w:rFonts w:ascii="Century Gothic" w:hAnsi="Century Gothic"/>
          <w:bCs/>
          <w:sz w:val="20"/>
          <w:szCs w:val="20"/>
        </w:rPr>
        <w:t>Furthermore, in some cases shortcomings were recorded with regard to the clear definition of roles and responsibilities in relations between entities involved in managing dangerous goods transport and the correct compilation of check-lists provided by Ministry of Infrastructure and Transport circulars.</w:t>
      </w:r>
    </w:p>
    <w:p w:rsidR="006C2BEC" w:rsidRPr="00915C86" w:rsidP="006C2BEC">
      <w:pPr>
        <w:rPr>
          <w:rFonts w:ascii="Century Gothic" w:hAnsi="Century Gothic" w:cs="Century Gothic"/>
          <w:bCs/>
          <w:sz w:val="20"/>
          <w:szCs w:val="20"/>
        </w:rPr>
      </w:pPr>
      <w:r w:rsidRPr="00915C86">
        <w:rPr>
          <w:rFonts w:ascii="Century Gothic" w:hAnsi="Century Gothic"/>
          <w:bCs/>
          <w:sz w:val="20"/>
          <w:szCs w:val="20"/>
        </w:rPr>
        <w:t>In cases considered most critical, requests were made for immediate action plans to be drawn up to resolve cases of non-compliance. In some cases, requests were made to supplement plans submitted and specific binding provisions were issued for certain activities to be observed during the transitional period until the non-compliances had been fully resolved. Action implementation was subject to assessment and monitoring and the feedback from follow-up activities was not always positive.</w:t>
      </w:r>
    </w:p>
    <w:p w:rsidR="006C2BEC" w:rsidRPr="00915C86" w:rsidP="006C2BEC">
      <w:pPr>
        <w:spacing w:after="0"/>
        <w:rPr>
          <w:rFonts w:ascii="Century Gothic" w:hAnsi="Century Gothic"/>
          <w:sz w:val="20"/>
          <w:szCs w:val="20"/>
        </w:rPr>
      </w:pPr>
      <w:r w:rsidRPr="00915C86">
        <w:rPr>
          <w:rFonts w:ascii="Century Gothic" w:hAnsi="Century Gothic"/>
          <w:sz w:val="20"/>
          <w:szCs w:val="20"/>
        </w:rPr>
        <w:t>In the case of the RFI Infrastructure Manager the main problems were identified in the following areas: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updating of technical documentation;</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activities to design new systems and modify existing systems;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deviations from reference values of systems entities or conditions found to be non-compliant during field tests;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definition of mitigation actions to be implemented in the event of weather alerts;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definition of activities and responsibilities at physical or systems boundaries with other infrastructure managers;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adoption of measures resulting from diagnostic findings, or their unavailability, or resulting from other recording systems;</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supplying the maintenance information system and recording of maintenance activities carried out;</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set-up of maintenance activity planning;</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skills management;</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controlling the work of safety staff;</w:t>
      </w:r>
    </w:p>
    <w:p w:rsidR="006C2BEC" w:rsidRPr="00915C86" w:rsidP="006C2BEC">
      <w:pPr>
        <w:pStyle w:val="ListParagraph"/>
        <w:numPr>
          <w:ilvl w:val="0"/>
          <w:numId w:val="22"/>
        </w:numPr>
        <w:spacing w:after="0" w:line="240" w:lineRule="auto"/>
        <w:ind w:left="709" w:hanging="357"/>
        <w:rPr>
          <w:rFonts w:ascii="Century Gothic" w:hAnsi="Century Gothic" w:cs="Century Gothic"/>
          <w:sz w:val="20"/>
          <w:szCs w:val="20"/>
        </w:rPr>
      </w:pPr>
      <w:r w:rsidRPr="00915C86">
        <w:rPr>
          <w:rFonts w:ascii="Century Gothic" w:hAnsi="Century Gothic"/>
          <w:sz w:val="20"/>
          <w:szCs w:val="20"/>
        </w:rPr>
        <w:t>shortcomings in the assessment and investigation process in the event of accidents and incidents.</w:t>
      </w:r>
    </w:p>
    <w:p w:rsidR="006C2BEC" w:rsidRPr="00915C86" w:rsidP="006C2BEC">
      <w:pPr>
        <w:spacing w:before="120"/>
        <w:rPr>
          <w:rFonts w:ascii="Century Gothic" w:hAnsi="Century Gothic" w:cs="Century Gothic"/>
          <w:sz w:val="20"/>
          <w:szCs w:val="20"/>
        </w:rPr>
      </w:pPr>
      <w:r w:rsidRPr="00915C86">
        <w:rPr>
          <w:rFonts w:ascii="Century Gothic" w:hAnsi="Century Gothic"/>
          <w:sz w:val="20"/>
          <w:szCs w:val="20"/>
        </w:rPr>
        <w:t>Despite an improvement in compliance with deadlines arising out of commitments undertaken and generally more structured feedback, it was noted that evidence produced was limited in many cases to dealing with non-conformities identified without any proper analysis of the causes to ensure the problem did not recur: insufficient evidence was produced to show that the initiatives undertaken had been carried out effectively.</w:t>
      </w:r>
    </w:p>
    <w:p w:rsidR="006C2BEC" w:rsidRPr="00915C86" w:rsidP="006C2BEC">
      <w:pPr>
        <w:spacing w:before="120" w:after="0"/>
        <w:rPr>
          <w:rFonts w:ascii="Century Gothic" w:hAnsi="Century Gothic" w:cs="Century Gothic"/>
          <w:sz w:val="20"/>
          <w:szCs w:val="20"/>
        </w:rPr>
      </w:pPr>
      <w:r w:rsidRPr="00915C86">
        <w:rPr>
          <w:rFonts w:ascii="Century Gothic" w:hAnsi="Century Gothic"/>
          <w:sz w:val="20"/>
          <w:szCs w:val="20"/>
        </w:rPr>
        <w:t>The inspection activity highlighted the persistence of some problems: approximately 4% of findings from inspection activities on the infrastructure subsystem, approximately 6% of findings from inspection activity on the safety command and control subsystem and approximately 9% of findings from Railway Undertaking vehicles and activities were found to be non-compliant (data not comparable with previous years).</w:t>
      </w:r>
    </w:p>
    <w:p w:rsidR="006C2BEC" w:rsidRPr="00915C86" w:rsidP="006C2BEC">
      <w:pPr>
        <w:spacing w:before="120"/>
        <w:rPr>
          <w:rFonts w:ascii="Century Gothic" w:hAnsi="Century Gothic"/>
          <w:sz w:val="20"/>
          <w:szCs w:val="20"/>
        </w:rPr>
      </w:pPr>
      <w:r w:rsidRPr="00915C86">
        <w:rPr>
          <w:rFonts w:ascii="Century Gothic" w:hAnsi="Century Gothic"/>
          <w:sz w:val="20"/>
          <w:szCs w:val="20"/>
        </w:rPr>
        <w:t>Specific inspection campaigns were also carried out (24 in 2017) in different areas. Some of the most relevant are listed below:</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joint operations with the Swiss Confederation Federal Transport Office in the field of vehicle checks and maintenance and concerned with cross-border traffic;</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support activities for checks carried out by the Railway Police on dangerous goods transport;</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specific checks in the field of vehicle checks and maintenance and the work of staff with safety duties concerning trains from regional railways formerly managed under concession entering stations shared with RFI;</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specific checks within the networks of regional railways formerly managed under concession concerning the maintenance status of rolling stock and the work of staff employed in safety activities;</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checks on work equipment;</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specific checks on the maintenance status of vehicles prior to specific audit activities;</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information declared by holders and/or owners of vehicles upon registration or amendment of the information in the NVR Register;</w:t>
      </w:r>
    </w:p>
    <w:p w:rsidR="006C2BEC" w:rsidRPr="00915C86" w:rsidP="006C2BEC">
      <w:pPr>
        <w:pStyle w:val="ListParagraph"/>
        <w:numPr>
          <w:ilvl w:val="1"/>
          <w:numId w:val="40"/>
        </w:numPr>
        <w:spacing w:before="120" w:after="0" w:line="240" w:lineRule="auto"/>
        <w:ind w:left="567" w:hanging="425"/>
        <w:rPr>
          <w:rFonts w:ascii="Century Gothic" w:hAnsi="Century Gothic"/>
          <w:sz w:val="20"/>
          <w:szCs w:val="20"/>
        </w:rPr>
      </w:pPr>
      <w:r w:rsidRPr="00915C86">
        <w:rPr>
          <w:rFonts w:ascii="Century Gothic" w:hAnsi="Century Gothic"/>
          <w:sz w:val="20"/>
          <w:szCs w:val="20"/>
        </w:rPr>
        <w:t>conduct of review boards on staff involved in operating incidents, application of standards regarding the training processes of staff with safety duties, work of instructors and examiners involved in training staff with safety duties, accredited by ANSF and entities providing training.</w:t>
      </w:r>
    </w:p>
    <w:p w:rsidR="006C2BEC" w:rsidRPr="00915C86" w:rsidP="006C2BEC">
      <w:pPr>
        <w:pStyle w:val="Heading1"/>
        <w:tabs>
          <w:tab w:val="num" w:pos="432"/>
        </w:tabs>
        <w:spacing w:before="360" w:after="120"/>
        <w:ind w:left="431" w:hanging="431"/>
        <w:rPr>
          <w:rFonts w:ascii="Century Gothic" w:hAnsi="Century Gothic"/>
          <w:kern w:val="0"/>
        </w:rPr>
      </w:pPr>
      <w:bookmarkStart w:id="29" w:name="_Toc532565570"/>
      <w:r w:rsidRPr="00915C86">
        <w:rPr>
          <w:rFonts w:ascii="Century Gothic" w:hAnsi="Century Gothic"/>
        </w:rPr>
        <w:t>PART 7 – IMPLEMENTATION OF MAIN EUROPEAN PROJECTS</w:t>
      </w:r>
      <w:bookmarkEnd w:id="29"/>
    </w:p>
    <w:p w:rsidR="006C2BEC" w:rsidRPr="00915C86" w:rsidP="006C2BEC">
      <w:pPr>
        <w:pStyle w:val="Heading2"/>
        <w:numPr>
          <w:ilvl w:val="1"/>
          <w:numId w:val="0"/>
        </w:numPr>
        <w:tabs>
          <w:tab w:val="num" w:pos="284"/>
        </w:tabs>
        <w:spacing w:before="360" w:after="120"/>
        <w:rPr>
          <w:rFonts w:ascii="Century Gothic" w:hAnsi="Century Gothic"/>
        </w:rPr>
      </w:pPr>
      <w:bookmarkStart w:id="30" w:name="_Toc532565571"/>
      <w:r w:rsidRPr="00915C86">
        <w:rPr>
          <w:rFonts w:ascii="Century Gothic" w:hAnsi="Century Gothic"/>
        </w:rPr>
        <w:t>7.1</w:t>
      </w:r>
      <w:r w:rsidRPr="00915C86">
        <w:rPr>
          <w:rFonts w:ascii="Century Gothic" w:hAnsi="Century Gothic"/>
        </w:rPr>
        <w:tab/>
        <w:t>Application of Regulation (EU) No 402/2013 on the common safety method for risk evaluation and assessment</w:t>
      </w:r>
      <w:bookmarkEnd w:id="30"/>
    </w:p>
    <w:p w:rsidR="006C2BEC" w:rsidRPr="00915C86" w:rsidP="006C2BEC">
      <w:pPr>
        <w:spacing w:after="0"/>
        <w:rPr>
          <w:rFonts w:ascii="Century Gothic" w:hAnsi="Century Gothic"/>
          <w:sz w:val="20"/>
          <w:szCs w:val="20"/>
        </w:rPr>
      </w:pPr>
      <w:r w:rsidRPr="00915C86">
        <w:rPr>
          <w:rFonts w:ascii="Century Gothic" w:hAnsi="Century Gothic"/>
          <w:sz w:val="20"/>
          <w:szCs w:val="20"/>
        </w:rPr>
        <w:t>ANSF asked for data regarding the application of Regulation (EU) 402/2013 as described below:</w:t>
      </w:r>
    </w:p>
    <w:p w:rsidR="006C2BEC" w:rsidRPr="00915C86" w:rsidP="006C2BEC">
      <w:pPr>
        <w:pStyle w:val="ListParagraph"/>
        <w:numPr>
          <w:ilvl w:val="0"/>
          <w:numId w:val="36"/>
        </w:numPr>
        <w:spacing w:line="240" w:lineRule="auto"/>
        <w:ind w:left="714" w:hanging="357"/>
        <w:rPr>
          <w:rFonts w:ascii="Century Gothic" w:hAnsi="Century Gothic"/>
          <w:sz w:val="20"/>
          <w:szCs w:val="20"/>
        </w:rPr>
      </w:pPr>
      <w:r w:rsidRPr="00915C86">
        <w:rPr>
          <w:rFonts w:ascii="Century Gothic" w:hAnsi="Century Gothic"/>
          <w:sz w:val="20"/>
          <w:szCs w:val="20"/>
        </w:rPr>
        <w:t>Description of the main changes deemed irrelevant by the proponent;</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Type of change (technical, operational or organisational);</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Decision-making criteria;</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Description of the main changes deemed relevant by the proponent;</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Type of change (technical, operational or organisational);</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Involvement of subcontractors and management of interfaces;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Involvement of independent safety auditors (ISAs) in the role of CSM assessor;</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Brief description of the overall efficacy of the risk management process;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Hazardous event identification stage;</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Risk assessment stage and acceptance criteria used:</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Codes of good practice;</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Similar reference systems;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Explicit risk assessment;</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Demonstration of conformity with safety requirements;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Risk management process through the recording of hazardous events;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Short description of audits performed by the proponent on the efficiency of its risk management process;</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Brief feedback by the proponent and, where applicable, its subcontractors and ISV, with regard to the application of Regulation 402/2013;</w:t>
      </w:r>
    </w:p>
    <w:p w:rsidR="006C2BEC" w:rsidRPr="00915C86" w:rsidP="006C2BEC">
      <w:pPr>
        <w:pStyle w:val="ListParagraph"/>
        <w:numPr>
          <w:ilvl w:val="0"/>
          <w:numId w:val="36"/>
        </w:numPr>
        <w:spacing w:before="120" w:line="240" w:lineRule="auto"/>
        <w:rPr>
          <w:rFonts w:ascii="Century Gothic" w:hAnsi="Century Gothic"/>
          <w:sz w:val="20"/>
          <w:szCs w:val="20"/>
        </w:rPr>
      </w:pPr>
      <w:r w:rsidRPr="00915C86">
        <w:rPr>
          <w:rFonts w:ascii="Century Gothic" w:hAnsi="Century Gothic"/>
          <w:sz w:val="20"/>
          <w:szCs w:val="20"/>
        </w:rPr>
        <w:t>Where applicable: proponent's experience with regard to the application of the CSM for risk determination and assessment, in cases where the application took place on a voluntary basis prior to the entry into force of the above Regulation.</w:t>
      </w:r>
    </w:p>
    <w:p w:rsidR="006C2BEC" w:rsidRPr="00915C86" w:rsidP="006C2BEC">
      <w:pPr>
        <w:rPr>
          <w:rFonts w:ascii="Century Gothic" w:hAnsi="Century Gothic"/>
          <w:sz w:val="20"/>
          <w:szCs w:val="20"/>
        </w:rPr>
      </w:pPr>
      <w:r w:rsidRPr="00915C86">
        <w:rPr>
          <w:rFonts w:ascii="Century Gothic" w:hAnsi="Century Gothic"/>
          <w:sz w:val="20"/>
          <w:szCs w:val="20"/>
        </w:rPr>
        <w:t>The necessary evidence of CSM application during 2017 was supplied by all certified Railway Undertakings, by the RFI Infrastructure Manager and by 11 interconnected regional network managers even though they were not yet in possession of a safety authorisation. However, no feedback was received on CSM application by railway vehicle manufacturers.</w:t>
      </w:r>
    </w:p>
    <w:p w:rsidR="006C2BEC" w:rsidRPr="00915C86" w:rsidP="006C2BEC">
      <w:pPr>
        <w:rPr>
          <w:rFonts w:ascii="Century Gothic" w:hAnsi="Century Gothic"/>
          <w:sz w:val="20"/>
          <w:szCs w:val="20"/>
        </w:rPr>
      </w:pPr>
      <w:r w:rsidRPr="00915C86">
        <w:rPr>
          <w:rFonts w:ascii="Century Gothic" w:hAnsi="Century Gothic"/>
          <w:sz w:val="20"/>
          <w:szCs w:val="20"/>
        </w:rPr>
        <w:t>As before, in 2017 there is no immediate evidence of elements concerning the application of the CSM by operators acting as the entity in charge of maintenance. In general, apart from a few exceptions, the data provided were not complete and organised as required, with an almost total lack of feedback on the activities of CSM assessors involved or on the application of the Regulation in general.</w:t>
      </w:r>
    </w:p>
    <w:p w:rsidR="006C2BEC" w:rsidRPr="00915C86" w:rsidP="006C2BEC">
      <w:pPr>
        <w:jc w:val="center"/>
        <w:rPr>
          <w:rFonts w:ascii="Century Gothic" w:hAnsi="Century Gothic"/>
          <w:sz w:val="20"/>
          <w:szCs w:val="20"/>
        </w:rPr>
      </w:pPr>
      <w:r w:rsidRPr="00915C86">
        <w:rPr>
          <w:rFonts w:ascii="Century Gothic" w:hAnsi="Century Gothic"/>
          <w:noProof/>
          <w:sz w:val="20"/>
          <w:szCs w:val="20"/>
          <w:lang w:val="fr-LU" w:eastAsia="fr-LU"/>
        </w:rPr>
        <w:drawing>
          <wp:inline distT="0" distB="0" distL="0" distR="0">
            <wp:extent cx="2876550" cy="1595120"/>
            <wp:effectExtent l="0" t="0" r="0" b="508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75430" name="grafo1.JPG"/>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a:xfrm>
                      <a:off x="0" y="0"/>
                      <a:ext cx="2876550" cy="1595120"/>
                    </a:xfrm>
                    <a:prstGeom prst="rect">
                      <a:avLst/>
                    </a:prstGeom>
                  </pic:spPr>
                </pic:pic>
              </a:graphicData>
            </a:graphic>
          </wp:inline>
        </w:drawing>
      </w: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pPr>
            <w:r w:rsidRPr="00915C86">
              <w:t>Totale 618 modifiche attuate</w:t>
            </w:r>
          </w:p>
        </w:tc>
        <w:tc>
          <w:tcPr>
            <w:tcW w:w="4519" w:type="dxa"/>
          </w:tcPr>
          <w:p w:rsidR="006C2BEC" w:rsidRPr="00915C86" w:rsidP="003C743A">
            <w:pPr>
              <w:spacing w:after="0"/>
            </w:pPr>
            <w:r w:rsidRPr="00915C86">
              <w:t>Total of 618 changes implemented</w:t>
            </w:r>
          </w:p>
        </w:tc>
      </w:tr>
      <w:tr w:rsidTr="003C743A">
        <w:tblPrEx>
          <w:tblW w:w="9038" w:type="dxa"/>
          <w:tblLook w:val="04A0"/>
        </w:tblPrEx>
        <w:tc>
          <w:tcPr>
            <w:tcW w:w="4519" w:type="dxa"/>
          </w:tcPr>
          <w:p w:rsidR="006C2BEC" w:rsidRPr="00915C86" w:rsidP="003C743A">
            <w:pPr>
              <w:spacing w:after="0"/>
            </w:pPr>
            <w:r w:rsidRPr="00915C86">
              <w:t>Modifiche rilevanti</w:t>
            </w:r>
          </w:p>
        </w:tc>
        <w:tc>
          <w:tcPr>
            <w:tcW w:w="4519" w:type="dxa"/>
          </w:tcPr>
          <w:p w:rsidR="006C2BEC" w:rsidRPr="00915C86" w:rsidP="003C743A">
            <w:pPr>
              <w:spacing w:after="0"/>
            </w:pPr>
            <w:r w:rsidRPr="00915C86">
              <w:t>Significant changes</w:t>
            </w:r>
          </w:p>
        </w:tc>
      </w:tr>
      <w:tr w:rsidTr="003C743A">
        <w:tblPrEx>
          <w:tblW w:w="9038" w:type="dxa"/>
          <w:tblLook w:val="04A0"/>
        </w:tblPrEx>
        <w:tc>
          <w:tcPr>
            <w:tcW w:w="4519" w:type="dxa"/>
          </w:tcPr>
          <w:p w:rsidR="006C2BEC" w:rsidRPr="00915C86" w:rsidP="003C743A">
            <w:pPr>
              <w:spacing w:after="0"/>
            </w:pPr>
            <w:r w:rsidRPr="00915C86">
              <w:t>Modifiche non rilevanti</w:t>
            </w:r>
          </w:p>
        </w:tc>
        <w:tc>
          <w:tcPr>
            <w:tcW w:w="4519" w:type="dxa"/>
          </w:tcPr>
          <w:p w:rsidR="006C2BEC" w:rsidRPr="00915C86" w:rsidP="003C743A">
            <w:pPr>
              <w:spacing w:after="0"/>
            </w:pPr>
            <w:r w:rsidRPr="00915C86">
              <w:t>Insignificant changes</w:t>
            </w:r>
          </w:p>
        </w:tc>
      </w:tr>
    </w:tbl>
    <w:p w:rsidR="006C2BEC" w:rsidRPr="00915C86" w:rsidP="006C2BEC">
      <w:pPr>
        <w:spacing w:after="0"/>
      </w:pPr>
    </w:p>
    <w:p w:rsidR="006C2BEC" w:rsidRPr="00915C86" w:rsidP="006C2BEC">
      <w:pPr>
        <w:spacing w:after="0"/>
      </w:pPr>
    </w:p>
    <w:p w:rsidR="006C2BEC" w:rsidRPr="00915C86" w:rsidP="006C2BEC">
      <w:pPr>
        <w:rPr>
          <w:rFonts w:ascii="Century Gothic" w:hAnsi="Century Gothic"/>
          <w:sz w:val="20"/>
          <w:szCs w:val="20"/>
        </w:rPr>
      </w:pPr>
      <w:r w:rsidRPr="00915C86">
        <w:rPr>
          <w:rFonts w:ascii="Century Gothic" w:hAnsi="Century Gothic"/>
          <w:sz w:val="20"/>
          <w:szCs w:val="20"/>
        </w:rPr>
        <w:t>The aggregate data shows that the Regulation was applied to evaluate 618 changes with an impact on safety, of which 56 (approximately 9%) were identified as ‘significant’ changes resulting in the application of the method set out in Annex 1 of the Regulation.</w:t>
      </w:r>
    </w:p>
    <w:p w:rsidR="006C2BEC" w:rsidRPr="00915C86" w:rsidP="006C2BEC">
      <w:pPr>
        <w:spacing w:after="0"/>
        <w:rPr>
          <w:rFonts w:ascii="Century Gothic" w:hAnsi="Century Gothic"/>
          <w:sz w:val="20"/>
          <w:szCs w:val="20"/>
        </w:rPr>
      </w:pPr>
    </w:p>
    <w:p w:rsidR="006C2BEC" w:rsidRPr="00915C86" w:rsidP="006C2BEC">
      <w:pPr>
        <w:spacing w:after="0"/>
        <w:rPr>
          <w:rFonts w:ascii="Century Gothic" w:hAnsi="Century Gothic"/>
          <w:sz w:val="20"/>
          <w:szCs w:val="20"/>
        </w:rPr>
      </w:pPr>
      <w:r w:rsidRPr="00915C86">
        <w:rPr>
          <w:rFonts w:ascii="Century Gothic" w:hAnsi="Century Gothic"/>
          <w:sz w:val="20"/>
          <w:szCs w:val="20"/>
        </w:rPr>
        <w:t>The Railway Undertakings and the Infrastructure Managers identified most changes as operational changes (39%) and technical changes (30%). Organisational changes amounted to approximately 15%, while no information was given with regard to the type of the remaining 16% of changes.</w:t>
      </w:r>
    </w:p>
    <w:p w:rsidR="006C2BEC" w:rsidRPr="00915C86" w:rsidP="006C2BEC">
      <w:pPr>
        <w:spacing w:after="0"/>
        <w:jc w:val="center"/>
        <w:rPr>
          <w:rFonts w:ascii="Century Gothic" w:hAnsi="Century Gothic"/>
          <w:sz w:val="20"/>
          <w:szCs w:val="20"/>
        </w:rPr>
      </w:pPr>
      <w:r w:rsidRPr="00915C86">
        <w:rPr>
          <w:rFonts w:ascii="Century Gothic" w:hAnsi="Century Gothic"/>
          <w:noProof/>
          <w:sz w:val="20"/>
          <w:szCs w:val="20"/>
          <w:lang w:val="fr-LU" w:eastAsia="fr-LU"/>
        </w:rPr>
        <w:drawing>
          <wp:inline distT="0" distB="0" distL="0" distR="0">
            <wp:extent cx="2808605" cy="1547495"/>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19697" name="grafo2.JPG"/>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a:xfrm>
                      <a:off x="0" y="0"/>
                      <a:ext cx="2808605" cy="1547495"/>
                    </a:xfrm>
                    <a:prstGeom prst="rect">
                      <a:avLst/>
                    </a:prstGeom>
                  </pic:spPr>
                </pic:pic>
              </a:graphicData>
            </a:graphic>
          </wp:inline>
        </w:drawing>
      </w:r>
    </w:p>
    <w:p w:rsidR="006C2BEC" w:rsidRPr="00915C86" w:rsidP="006C2BEC">
      <w:pPr>
        <w:spacing w:after="0"/>
        <w:jc w:val="center"/>
        <w:rPr>
          <w:rFonts w:ascii="Century Gothic" w:hAnsi="Century Gothic"/>
          <w:sz w:val="20"/>
          <w:szCs w:val="20"/>
        </w:rPr>
      </w:pPr>
    </w:p>
    <w:tbl>
      <w:tblPr>
        <w:tblStyle w:val="TableGrid"/>
        <w:tblW w:w="9038" w:type="dxa"/>
        <w:tblLook w:val="04A0"/>
      </w:tblPr>
      <w:tblGrid>
        <w:gridCol w:w="4519"/>
        <w:gridCol w:w="4519"/>
      </w:tblGrid>
      <w:tr w:rsidTr="003C743A">
        <w:tblPrEx>
          <w:tblW w:w="9038" w:type="dxa"/>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Totale 618 modifiche attuate</w:t>
            </w:r>
          </w:p>
        </w:tc>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Total of 618 changes implemented</w:t>
            </w:r>
          </w:p>
        </w:tc>
      </w:tr>
      <w:tr w:rsidTr="003C743A">
        <w:tblPrEx>
          <w:tblW w:w="9038" w:type="dxa"/>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Operative</w:t>
            </w:r>
          </w:p>
        </w:tc>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Operational</w:t>
            </w:r>
          </w:p>
        </w:tc>
      </w:tr>
      <w:tr w:rsidTr="003C743A">
        <w:tblPrEx>
          <w:tblW w:w="9038" w:type="dxa"/>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Tecniche</w:t>
            </w:r>
          </w:p>
        </w:tc>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Technical</w:t>
            </w:r>
          </w:p>
        </w:tc>
      </w:tr>
      <w:tr w:rsidTr="003C743A">
        <w:tblPrEx>
          <w:tblW w:w="9038" w:type="dxa"/>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Organizzative</w:t>
            </w:r>
          </w:p>
        </w:tc>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Organisational</w:t>
            </w:r>
          </w:p>
        </w:tc>
      </w:tr>
      <w:tr w:rsidTr="003C743A">
        <w:tblPrEx>
          <w:tblW w:w="9038" w:type="dxa"/>
          <w:tblLook w:val="04A0"/>
        </w:tblPrEx>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Non definite</w:t>
            </w:r>
          </w:p>
        </w:tc>
        <w:tc>
          <w:tcPr>
            <w:tcW w:w="4519" w:type="dxa"/>
          </w:tcPr>
          <w:p w:rsidR="006C2BEC" w:rsidRPr="00915C86" w:rsidP="003C743A">
            <w:pPr>
              <w:spacing w:after="0"/>
              <w:rPr>
                <w:rFonts w:ascii="Century Gothic" w:hAnsi="Century Gothic"/>
                <w:sz w:val="20"/>
                <w:szCs w:val="20"/>
              </w:rPr>
            </w:pPr>
            <w:r w:rsidRPr="00915C86">
              <w:rPr>
                <w:rFonts w:ascii="Century Gothic" w:hAnsi="Century Gothic"/>
                <w:sz w:val="20"/>
                <w:szCs w:val="20"/>
              </w:rPr>
              <w:t>Not defined</w:t>
            </w:r>
          </w:p>
        </w:tc>
      </w:tr>
    </w:tbl>
    <w:p w:rsidR="006C2BEC" w:rsidRPr="00915C86" w:rsidP="006C2BEC">
      <w:pPr>
        <w:spacing w:after="0"/>
        <w:rPr>
          <w:rFonts w:ascii="Century Gothic" w:hAnsi="Century Gothic"/>
          <w:sz w:val="20"/>
          <w:szCs w:val="20"/>
        </w:rPr>
      </w:pPr>
    </w:p>
    <w:p w:rsidR="006C2BEC" w:rsidRPr="00915C86" w:rsidP="006C2BEC">
      <w:pPr>
        <w:spacing w:before="120" w:after="0"/>
        <w:rPr>
          <w:rFonts w:ascii="Century Gothic" w:hAnsi="Century Gothic"/>
          <w:sz w:val="20"/>
          <w:szCs w:val="20"/>
        </w:rPr>
      </w:pPr>
      <w:r w:rsidRPr="00915C86">
        <w:rPr>
          <w:rFonts w:ascii="Century Gothic" w:hAnsi="Century Gothic"/>
          <w:sz w:val="20"/>
          <w:szCs w:val="20"/>
        </w:rPr>
        <w:t>The changes reported concerning the companies Trenitalia and Mercitalia, as well as the infrastructure manager RFI, account for around 50 % of the total; the remaining 50% is distributed between other Railway Undertakings (36%) and Regional Infrastructure Managers (14%). Considering only changes evaluated in accordance with the Regulation by the railway undertakings, 10% related to SC update requests.</w:t>
      </w:r>
    </w:p>
    <w:p w:rsidR="006C2BEC" w:rsidRPr="00915C86" w:rsidP="006C2BEC">
      <w:pPr>
        <w:spacing w:before="120"/>
        <w:rPr>
          <w:rFonts w:ascii="Century Gothic" w:hAnsi="Century Gothic"/>
          <w:sz w:val="20"/>
          <w:szCs w:val="20"/>
        </w:rPr>
      </w:pPr>
      <w:r w:rsidRPr="00915C86">
        <w:rPr>
          <w:rFonts w:ascii="Century Gothic" w:hAnsi="Century Gothic"/>
          <w:sz w:val="20"/>
          <w:szCs w:val="20"/>
        </w:rPr>
        <w:t>Seventy-two percent of annual reports received contain evidence of the existence of system procedures implemented by Railway Undertakings and Infrastructure Managers for the application of Regulation (EU) 402/2013, while only 21% of operators actually provided feedback on CSM application. Overall data on feedback provided confirms the overall inadequacy of information submitted in annual reports on the correct application of the CSM, although a clear general improvement was noted in the management of risk assessment and management processes. However, for full and effective implementation of the Regulation, all stakeholders involved must be made more aware of its requirements.</w:t>
      </w:r>
    </w:p>
    <w:p w:rsidR="006C2BEC" w:rsidRPr="00915C86" w:rsidP="006C2BEC">
      <w:pPr>
        <w:pStyle w:val="Heading2"/>
        <w:spacing w:after="120"/>
        <w:rPr>
          <w:rFonts w:ascii="Century Gothic" w:hAnsi="Century Gothic"/>
        </w:rPr>
      </w:pPr>
      <w:bookmarkStart w:id="31" w:name="_Toc532565572"/>
      <w:r w:rsidRPr="00915C86">
        <w:rPr>
          <w:rFonts w:ascii="Century Gothic" w:hAnsi="Century Gothic"/>
        </w:rPr>
        <w:t>7.1.1</w:t>
      </w:r>
      <w:r w:rsidRPr="00915C86">
        <w:rPr>
          <w:rFonts w:ascii="Century Gothic" w:hAnsi="Century Gothic"/>
        </w:rPr>
        <w:tab/>
      </w:r>
      <w:r w:rsidRPr="00915C86">
        <w:t>Feedback from stakeholders</w:t>
      </w:r>
      <w:bookmarkEnd w:id="31"/>
    </w:p>
    <w:p w:rsidR="006C2BEC" w:rsidRPr="00915C86" w:rsidP="006C2BEC">
      <w:pPr>
        <w:rPr>
          <w:rFonts w:ascii="Century Gothic" w:hAnsi="Century Gothic"/>
          <w:sz w:val="20"/>
          <w:szCs w:val="20"/>
        </w:rPr>
      </w:pPr>
      <w:r w:rsidRPr="00915C86">
        <w:rPr>
          <w:rFonts w:ascii="Century Gothic" w:hAnsi="Century Gothic"/>
          <w:sz w:val="20"/>
          <w:szCs w:val="20"/>
        </w:rPr>
        <w:t>Checks carried out on the application by railway undertakings of the definitive common safety method (CSM) established by Regulation (EC) No 402/2013 highlighted a set of frequent nonconformities that reveal an incomplete understanding by operators of the principles contained in the Regulation. Despite signs of improvement compared to the previous year, partly due to the evident interest in and greater awareness of the subject, there is still room for improvement in operational capacity for application of the Regulation.</w:t>
      </w:r>
    </w:p>
    <w:p w:rsidR="006C2BEC" w:rsidRPr="00915C86" w:rsidP="006C2BEC">
      <w:pPr>
        <w:rPr>
          <w:rFonts w:ascii="Century Gothic" w:hAnsi="Century Gothic"/>
          <w:sz w:val="20"/>
          <w:szCs w:val="20"/>
        </w:rPr>
      </w:pPr>
      <w:r w:rsidRPr="00915C86">
        <w:rPr>
          <w:rFonts w:ascii="Century Gothic" w:hAnsi="Century Gothic"/>
          <w:sz w:val="20"/>
          <w:szCs w:val="20"/>
        </w:rPr>
        <w:t>Checks carried out on CSM application by railway undertakings showed an improvement in standard application of the method, which has entered permanently into operational practice. Nevertheless, in many of the cases examined, it was not found to have been applied strictly, particularly in the examination of some assessment criteria (complementarity and consequences of the incident recurred in this context) and, in general, in the production of evidence supporting the assessments adopted.</w:t>
      </w:r>
    </w:p>
    <w:p w:rsidR="006C2BEC" w:rsidRPr="00915C86" w:rsidP="006C2BEC">
      <w:pPr>
        <w:pStyle w:val="Heading2"/>
        <w:numPr>
          <w:ilvl w:val="1"/>
          <w:numId w:val="0"/>
        </w:numPr>
        <w:tabs>
          <w:tab w:val="num" w:pos="284"/>
        </w:tabs>
        <w:spacing w:before="360" w:after="120"/>
        <w:rPr>
          <w:rFonts w:ascii="Century Gothic" w:hAnsi="Century Gothic"/>
        </w:rPr>
      </w:pPr>
      <w:bookmarkStart w:id="32" w:name="_Toc532565573"/>
      <w:r w:rsidRPr="00915C86">
        <w:rPr>
          <w:rFonts w:ascii="Century Gothic" w:hAnsi="Century Gothic"/>
        </w:rPr>
        <w:t>7.2 Application of Regulation (EU) No 1078/2012 on a common safety method for monitoring</w:t>
      </w:r>
      <w:bookmarkEnd w:id="32"/>
    </w:p>
    <w:p w:rsidR="006C2BEC" w:rsidRPr="00915C86" w:rsidP="006C2BEC">
      <w:pPr>
        <w:rPr>
          <w:rFonts w:ascii="Century Gothic" w:hAnsi="Century Gothic" w:cs="Century Gothic"/>
          <w:sz w:val="20"/>
          <w:szCs w:val="20"/>
        </w:rPr>
      </w:pPr>
      <w:r w:rsidRPr="00915C86">
        <w:rPr>
          <w:rFonts w:ascii="Century Gothic" w:hAnsi="Century Gothic"/>
          <w:sz w:val="20"/>
          <w:szCs w:val="20"/>
        </w:rPr>
        <w:t xml:space="preserve">The application of Regulation (EU) 1078/2012 was verified in annual reports submitted by railway operators under Article 13(4) of Legislative Decree No 162 of 10 August 2007. In general, little attention was given to reporting on the implementation of the Regulation and there were great differences between coverage of the subject. Two Railway Undertakings and two Infrastructure Managers sent in their annual report after the deadline set out in Article 13(4) of </w:t>
      </w:r>
      <w:r w:rsidRPr="00915C86">
        <w:rPr>
          <w:rFonts w:ascii="Century Gothic" w:hAnsi="Century Gothic"/>
          <w:sz w:val="20"/>
          <w:szCs w:val="20"/>
        </w:rPr>
        <w:t>Legislative Decree No 162 of 10 August 2007. In 22 cases, no adequate evidence of the results obtained was provided; four cases did not consider the application of Regulation 1078/2012. Lastly, in 2017, there were instances of a railway undertaking activating the notifications referred to in Article 4(2) of the Regulation.</w:t>
      </w:r>
    </w:p>
    <w:p w:rsidR="006C2BEC" w:rsidRPr="00915C86" w:rsidP="006C2BEC">
      <w:pPr>
        <w:rPr>
          <w:rFonts w:ascii="Century Gothic" w:hAnsi="Century Gothic" w:cs="Century Gothic"/>
          <w:sz w:val="20"/>
          <w:szCs w:val="20"/>
        </w:rPr>
      </w:pPr>
      <w:r w:rsidRPr="00915C86">
        <w:rPr>
          <w:rFonts w:ascii="Century Gothic" w:hAnsi="Century Gothic"/>
          <w:sz w:val="20"/>
          <w:szCs w:val="20"/>
        </w:rPr>
        <w:t>Compliant implementation of the CSM was also the subject of on-the-spot checking activities. The results of these checks, together with an analysis of the material submitted with the Annual Reports, show that there is a need to continue making railway operators aware of the need to adopt a structured and effective system for monitoring safety processes and performances, in full compliance with Regulation (EU) No 1078/2012.</w:t>
      </w:r>
    </w:p>
    <w:p w:rsidR="006C2BEC" w:rsidRPr="00915C86" w:rsidP="006C2BEC">
      <w:pPr>
        <w:pStyle w:val="Heading1"/>
        <w:tabs>
          <w:tab w:val="num" w:pos="432"/>
        </w:tabs>
        <w:spacing w:before="360" w:after="120"/>
        <w:ind w:left="431" w:hanging="431"/>
        <w:rPr>
          <w:rFonts w:ascii="Century Gothic" w:hAnsi="Century Gothic"/>
          <w:kern w:val="0"/>
        </w:rPr>
      </w:pPr>
      <w:bookmarkStart w:id="33" w:name="_Toc532565574"/>
      <w:r w:rsidRPr="00915C86">
        <w:rPr>
          <w:rFonts w:ascii="Century Gothic" w:hAnsi="Century Gothic"/>
        </w:rPr>
        <w:t>PART 8 – CHANGES IN LEGISLATION</w:t>
      </w:r>
      <w:bookmarkEnd w:id="33"/>
    </w:p>
    <w:p w:rsidR="006C2BEC" w:rsidRPr="00915C86" w:rsidP="006C2BEC">
      <w:pPr>
        <w:pStyle w:val="Heading2"/>
        <w:spacing w:before="360" w:after="120"/>
        <w:rPr>
          <w:rFonts w:ascii="Century Gothic" w:hAnsi="Century Gothic"/>
        </w:rPr>
      </w:pPr>
      <w:bookmarkStart w:id="34" w:name="_Toc532565575"/>
      <w:r w:rsidRPr="00915C86">
        <w:rPr>
          <w:rFonts w:ascii="Century Gothic" w:hAnsi="Century Gothic"/>
        </w:rPr>
        <w:t>8.1</w:t>
      </w:r>
      <w:r w:rsidRPr="00915C86">
        <w:rPr>
          <w:rFonts w:ascii="Century Gothic" w:hAnsi="Century Gothic"/>
        </w:rPr>
        <w:tab/>
        <w:t>Railway Safety Directive</w:t>
      </w:r>
      <w:bookmarkEnd w:id="34"/>
    </w:p>
    <w:p w:rsidR="006C2BEC" w:rsidRPr="00915C86" w:rsidP="006C2BEC">
      <w:pPr>
        <w:autoSpaceDE w:val="0"/>
        <w:autoSpaceDN w:val="0"/>
        <w:adjustRightInd w:val="0"/>
        <w:spacing w:after="0"/>
        <w:rPr>
          <w:rFonts w:ascii="Century Gothic" w:hAnsi="Century Gothic"/>
          <w:sz w:val="20"/>
          <w:szCs w:val="20"/>
        </w:rPr>
      </w:pPr>
      <w:r w:rsidRPr="00915C86">
        <w:rPr>
          <w:rFonts w:ascii="Century Gothic" w:hAnsi="Century Gothic"/>
          <w:sz w:val="20"/>
          <w:szCs w:val="20"/>
        </w:rPr>
        <w:t>Directive (EU) 2016/798 on railway safety had not been implemented by 31 December 2017. The following therefore refers to Directive 2004/49/EC because work to prepare the transposition text, in conjunction with the competent Ministry of Infrastructure and Transport facilities, began in 2018 and is aimed at guaranteeing that the transposition is issued by the planned date of 16 June 2019.</w:t>
      </w:r>
    </w:p>
    <w:p w:rsidR="006C2BEC" w:rsidRPr="00915C86" w:rsidP="006C2BEC">
      <w:pPr>
        <w:autoSpaceDE w:val="0"/>
        <w:autoSpaceDN w:val="0"/>
        <w:adjustRightInd w:val="0"/>
        <w:spacing w:before="120" w:after="0"/>
        <w:rPr>
          <w:rFonts w:ascii="Century Gothic" w:hAnsi="Century Gothic"/>
          <w:sz w:val="20"/>
          <w:szCs w:val="20"/>
        </w:rPr>
      </w:pPr>
      <w:r w:rsidRPr="00915C86">
        <w:rPr>
          <w:rFonts w:ascii="Century Gothic" w:hAnsi="Century Gothic"/>
          <w:sz w:val="20"/>
          <w:szCs w:val="20"/>
        </w:rPr>
        <w:t>Decree Law No 148 of 16 October 2017, coordinated with conversion law No 172 of 4 September 2017 concerning ‘Urgent provisions on financial matters and for non-deferrable needs. Change to the rules on pardoning of an offence due to reparatory actions’ were published in 2017. The above Decree Law, in particular, amends Legislative Decree No 162 of 10 August 2007 ‘Implementation of Directives 2004/49/EC and 2004/51/EC relating to safety on and the development of the Community's railways’, in order to make ANSF competent for networks operationally isolated from the rest of the railway system with effect from 1 July 2019. The said Decree Law also gives ANSF the task of issuing safety and technical rules and standards applicable to the above networks by 31 December 2018.</w:t>
      </w:r>
    </w:p>
    <w:p w:rsidR="006C2BEC" w:rsidRPr="00915C86" w:rsidP="006C2BEC">
      <w:pPr>
        <w:autoSpaceDE w:val="0"/>
        <w:autoSpaceDN w:val="0"/>
        <w:adjustRightInd w:val="0"/>
        <w:spacing w:after="0"/>
        <w:jc w:val="left"/>
        <w:rPr>
          <w:rFonts w:ascii="Century Gothic" w:hAnsi="Century Gothic"/>
          <w:sz w:val="20"/>
          <w:szCs w:val="20"/>
        </w:rPr>
      </w:pPr>
    </w:p>
    <w:p w:rsidR="006C2BEC" w:rsidRPr="00915C86" w:rsidP="006C2BEC">
      <w:pPr>
        <w:rPr>
          <w:rFonts w:ascii="Century Gothic" w:hAnsi="Century Gothic"/>
          <w:sz w:val="20"/>
          <w:szCs w:val="20"/>
        </w:rPr>
      </w:pPr>
      <w:r w:rsidRPr="00915C86">
        <w:rPr>
          <w:rFonts w:ascii="Century Gothic" w:hAnsi="Century Gothic"/>
          <w:sz w:val="20"/>
          <w:szCs w:val="20"/>
        </w:rPr>
        <w:t>2017 also saw the publication of Law No 50 of 24 April 2017, coordinated with Conversion Law Note 96 of 21 June 2017 concerning ‘Urgent provisions on financial matters, initiatives in favour of local authorities, further actions for areas affected by earthquakes and development measures’. This Decree Law identifies RFI as the entity responsible for implementing the necessary technological adjustments to bring the safety level of the (interconnected regional networks) listed in the Ministry of Infrastructure and Transport Decree of 5 August 2016 ‘Identification of rail networks falling within the scope of Legislative Decree No 112 of 15 July 2015, for which planning and administration functions and tasks are assigned to the Regions’ into line with that of the national railway infrastructure.</w:t>
      </w:r>
    </w:p>
    <w:p w:rsidR="006C2BEC" w:rsidRPr="00915C86" w:rsidP="006C2BEC">
      <w:pPr>
        <w:pStyle w:val="Heading2"/>
        <w:spacing w:before="360" w:after="120"/>
        <w:rPr>
          <w:rFonts w:ascii="Century Gothic" w:hAnsi="Century Gothic"/>
        </w:rPr>
      </w:pPr>
      <w:bookmarkStart w:id="35" w:name="_Toc532565576"/>
      <w:r w:rsidRPr="00915C86">
        <w:rPr>
          <w:rFonts w:ascii="Century Gothic" w:hAnsi="Century Gothic"/>
        </w:rPr>
        <w:t>8.2</w:t>
      </w:r>
      <w:r w:rsidRPr="00915C86">
        <w:rPr>
          <w:rFonts w:ascii="Century Gothic" w:hAnsi="Century Gothic"/>
        </w:rPr>
        <w:tab/>
        <w:t>Changes in legislation and regulation</w:t>
      </w:r>
      <w:bookmarkEnd w:id="35"/>
    </w:p>
    <w:p w:rsidR="006C2BEC" w:rsidRPr="00915C86" w:rsidP="006C2BEC">
      <w:pPr>
        <w:rPr>
          <w:rFonts w:ascii="Century Gothic" w:hAnsi="Century Gothic" w:cs="Century Gothic"/>
          <w:sz w:val="20"/>
          <w:szCs w:val="20"/>
        </w:rPr>
      </w:pPr>
      <w:r w:rsidRPr="00915C86">
        <w:rPr>
          <w:rFonts w:ascii="Century Gothic" w:hAnsi="Century Gothic"/>
          <w:sz w:val="20"/>
          <w:szCs w:val="20"/>
        </w:rPr>
        <w:t>For information on changes, see Table 2 of Annex B.</w:t>
      </w:r>
    </w:p>
    <w:p w:rsidR="006C2BEC" w:rsidRPr="00915C86" w:rsidP="006C2BEC">
      <w:pPr>
        <w:pStyle w:val="Heading1"/>
        <w:tabs>
          <w:tab w:val="num" w:pos="432"/>
        </w:tabs>
        <w:spacing w:before="360" w:after="120"/>
        <w:ind w:left="431" w:hanging="431"/>
        <w:rPr>
          <w:rFonts w:ascii="Century Gothic" w:hAnsi="Century Gothic"/>
          <w:kern w:val="0"/>
        </w:rPr>
      </w:pPr>
      <w:bookmarkStart w:id="36" w:name="_Toc532565577"/>
      <w:r w:rsidRPr="00915C86">
        <w:rPr>
          <w:rFonts w:ascii="Century Gothic" w:hAnsi="Century Gothic"/>
        </w:rPr>
        <w:t>PART 9 – SAFETY CULTURE</w:t>
      </w:r>
      <w:bookmarkEnd w:id="36"/>
    </w:p>
    <w:p w:rsidR="005570BC" w:rsidRPr="00915C86" w:rsidP="006C2BEC">
      <w:pPr>
        <w:rPr>
          <w:rFonts w:ascii="Century Gothic" w:hAnsi="Century Gothic" w:cs="Century Gothic"/>
          <w:sz w:val="20"/>
          <w:szCs w:val="20"/>
        </w:rPr>
      </w:pPr>
      <w:r w:rsidRPr="00915C86">
        <w:rPr>
          <w:rFonts w:ascii="Century Gothic" w:hAnsi="Century Gothic"/>
          <w:sz w:val="20"/>
          <w:szCs w:val="20"/>
        </w:rPr>
        <w:t>P.M.</w:t>
      </w:r>
    </w:p>
    <w:sectPr w:rsidSect="00843E5E">
      <w:headerReference w:type="default" r:id="rId48"/>
      <w:footerReference w:type="default" r:id="rId49"/>
      <w:pgSz w:w="11906" w:h="16838" w:code="9"/>
      <w:pgMar w:top="1440" w:right="1440" w:bottom="1440" w:left="851" w:header="709" w:footer="709" w:gutter="567"/>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D08" w:rsidRPr="00915C86" w:rsidP="006C2BEC">
    <w:pPr>
      <w:spacing w:before="75" w:after="75"/>
      <w:ind w:left="540"/>
      <w:outlineLvl w:val="2"/>
      <w:rPr>
        <w:rFonts w:ascii="Century Gothic" w:hAnsi="Century Gothic"/>
        <w:color w:val="333333"/>
        <w:sz w:val="17"/>
        <w:szCs w:val="17"/>
      </w:rPr>
    </w:pPr>
    <w:r w:rsidRPr="00915C86">
      <w:rPr>
        <w:rFonts w:ascii="Century Gothic" w:hAnsi="Century Gothic"/>
        <w:color w:val="333333"/>
        <w:sz w:val="17"/>
        <w:szCs w:val="17"/>
      </w:rPr>
      <w:t>Via Alamanni, 2 50123 FLORENCE</w:t>
    </w:r>
  </w:p>
  <w:p w:rsidR="00575D08" w:rsidRPr="00915C86" w:rsidP="006C2BEC">
    <w:pPr>
      <w:spacing w:before="75" w:after="75"/>
      <w:ind w:left="540"/>
      <w:jc w:val="left"/>
      <w:outlineLvl w:val="2"/>
      <w:rPr>
        <w:rFonts w:ascii="Century Gothic" w:hAnsi="Century Gothic"/>
        <w:bCs/>
        <w:color w:val="333333"/>
        <w:sz w:val="17"/>
      </w:rPr>
    </w:pPr>
    <w:r w:rsidRPr="00915C86">
      <w:rPr>
        <w:rFonts w:ascii="Century Gothic" w:hAnsi="Century Gothic"/>
        <w:b/>
        <w:bCs/>
        <w:color w:val="333333"/>
        <w:sz w:val="17"/>
      </w:rPr>
      <w:t xml:space="preserve">Tel: </w:t>
    </w:r>
    <w:r w:rsidRPr="00915C86">
      <w:rPr>
        <w:rFonts w:ascii="Century Gothic" w:hAnsi="Century Gothic"/>
        <w:bCs/>
        <w:color w:val="333333"/>
        <w:sz w:val="17"/>
      </w:rPr>
      <w:t>0039 055 2356620 - 0039 06 41582379</w:t>
    </w:r>
    <w:r w:rsidRPr="00915C86">
      <w:rPr>
        <w:rFonts w:ascii="Century Gothic" w:hAnsi="Century Gothic"/>
        <w:bCs/>
        <w:color w:val="333333"/>
        <w:sz w:val="17"/>
      </w:rPr>
      <w:br/>
    </w:r>
    <w:r w:rsidRPr="00915C86">
      <w:rPr>
        <w:rFonts w:ascii="Century Gothic" w:hAnsi="Century Gothic"/>
        <w:b/>
        <w:bCs/>
        <w:color w:val="333333"/>
        <w:sz w:val="17"/>
      </w:rPr>
      <w:t>Fax:</w:t>
    </w:r>
    <w:r w:rsidRPr="00915C86">
      <w:rPr>
        <w:rFonts w:ascii="Century Gothic" w:hAnsi="Century Gothic"/>
        <w:bCs/>
        <w:color w:val="333333"/>
        <w:sz w:val="17"/>
      </w:rPr>
      <w:t xml:space="preserve"> 055 2356495</w:t>
    </w:r>
  </w:p>
  <w:p w:rsidR="00575D08" w:rsidRPr="00915C86" w:rsidP="006C2BEC">
    <w:pPr>
      <w:spacing w:before="75" w:after="75"/>
      <w:ind w:left="540"/>
      <w:outlineLvl w:val="2"/>
      <w:rPr>
        <w:rFonts w:ascii="Century Gothic" w:hAnsi="Century Gothic"/>
        <w:bCs/>
        <w:color w:val="333333"/>
        <w:sz w:val="17"/>
      </w:rPr>
    </w:pPr>
    <w:hyperlink r:id="rId1" w:history="1">
      <w:r w:rsidRPr="00915C86">
        <w:rPr>
          <w:rStyle w:val="Hyperlink"/>
          <w:rFonts w:ascii="Century Gothic" w:hAnsi="Century Gothic"/>
          <w:bCs/>
          <w:sz w:val="17"/>
        </w:rPr>
        <w:t>agenzia.sicurezza@ansf.gov.it</w:t>
      </w:r>
    </w:hyperlink>
  </w:p>
  <w:p w:rsidR="00575D08" w:rsidRPr="00915C86" w:rsidP="006C2BEC">
    <w:pPr>
      <w:spacing w:before="75" w:after="75"/>
      <w:ind w:left="540"/>
      <w:outlineLvl w:val="2"/>
      <w:rPr>
        <w:rFonts w:ascii="Century Gothic" w:hAnsi="Century Gothic"/>
        <w:bCs/>
        <w:color w:val="333333"/>
        <w:sz w:val="17"/>
      </w:rPr>
    </w:pPr>
    <w:hyperlink r:id="rId2" w:history="1">
      <w:r w:rsidRPr="00915C86">
        <w:rPr>
          <w:rStyle w:val="Hyperlink"/>
          <w:rFonts w:ascii="Century Gothic" w:hAnsi="Century Gothic"/>
          <w:bCs/>
          <w:sz w:val="17"/>
          <w:szCs w:val="17"/>
        </w:rPr>
        <w:t>www.ansf.it</w:t>
      </w:r>
    </w:hyperlink>
  </w:p>
  <w:p w:rsidR="00575D08" w:rsidRPr="00915C86" w:rsidP="006C2BEC">
    <w:pPr>
      <w:pStyle w:val="Footer"/>
      <w:tabs>
        <w:tab w:val="right" w:pos="8460"/>
        <w:tab w:val="clear" w:pos="9638"/>
      </w:tabs>
      <w:rPr>
        <w:rFonts w:ascii="Garamond" w:hAnsi="Garamond"/>
        <w:sz w:val="20"/>
        <w:szCs w:val="20"/>
      </w:rPr>
    </w:pPr>
    <w:r w:rsidRPr="00915C86">
      <w:rPr>
        <w:rFonts w:ascii="Garamond" w:hAnsi="Garamond"/>
        <w:sz w:val="20"/>
        <w:szCs w:val="20"/>
      </w:rPr>
      <w:tab/>
    </w:r>
    <w:r w:rsidRPr="00915C86">
      <w:rPr>
        <w:rFonts w:ascii="Garamond" w:hAnsi="Garamond"/>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D08" w:rsidRPr="00915C86" w:rsidP="006C2BEC">
    <w:pPr>
      <w:pStyle w:val="Footer"/>
      <w:tabs>
        <w:tab w:val="right" w:pos="8460"/>
        <w:tab w:val="clear" w:pos="9638"/>
      </w:tabs>
      <w:jc w:val="center"/>
      <w:rPr>
        <w:rFonts w:ascii="Century Gothic" w:hAnsi="Century Gothic"/>
        <w:sz w:val="20"/>
        <w:szCs w:val="20"/>
      </w:rPr>
    </w:pPr>
    <w:r w:rsidRPr="00915C86">
      <w:rPr>
        <w:rFonts w:ascii="Century Gothic" w:hAnsi="Century Gothic"/>
        <w:sz w:val="20"/>
        <w:szCs w:val="20"/>
      </w:rPr>
      <w:t xml:space="preserve">Page </w:t>
    </w:r>
    <w:r w:rsidRPr="00915C86">
      <w:rPr>
        <w:rFonts w:ascii="Century Gothic" w:hAnsi="Century Gothic"/>
        <w:sz w:val="20"/>
        <w:szCs w:val="20"/>
      </w:rPr>
      <w:fldChar w:fldCharType="begin"/>
    </w:r>
    <w:r w:rsidRPr="00915C86">
      <w:rPr>
        <w:rFonts w:ascii="Century Gothic" w:hAnsi="Century Gothic"/>
        <w:sz w:val="20"/>
        <w:szCs w:val="20"/>
      </w:rPr>
      <w:instrText xml:space="preserve"> PAGE </w:instrText>
    </w:r>
    <w:r w:rsidRPr="00915C86">
      <w:rPr>
        <w:rFonts w:ascii="Century Gothic" w:hAnsi="Century Gothic"/>
        <w:sz w:val="20"/>
        <w:szCs w:val="20"/>
      </w:rPr>
      <w:fldChar w:fldCharType="separate"/>
    </w:r>
    <w:r w:rsidR="000D4BFB">
      <w:rPr>
        <w:rFonts w:ascii="Century Gothic" w:hAnsi="Century Gothic"/>
        <w:noProof/>
        <w:sz w:val="20"/>
        <w:szCs w:val="20"/>
      </w:rPr>
      <w:t>7</w:t>
    </w:r>
    <w:r w:rsidRPr="00915C86">
      <w:rPr>
        <w:rFonts w:ascii="Century Gothic" w:hAnsi="Century Gothic"/>
        <w:sz w:val="20"/>
        <w:szCs w:val="20"/>
      </w:rPr>
      <w:fldChar w:fldCharType="end"/>
    </w:r>
    <w:r w:rsidRPr="00915C86">
      <w:rPr>
        <w:rFonts w:ascii="Century Gothic" w:hAnsi="Century Gothic"/>
        <w:sz w:val="20"/>
        <w:szCs w:val="20"/>
      </w:rPr>
      <w:t xml:space="preserve"> of </w:t>
    </w:r>
    <w:r w:rsidRPr="00915C86">
      <w:rPr>
        <w:rFonts w:ascii="Century Gothic" w:hAnsi="Century Gothic"/>
        <w:sz w:val="20"/>
        <w:szCs w:val="20"/>
      </w:rPr>
      <w:fldChar w:fldCharType="begin"/>
    </w:r>
    <w:r w:rsidRPr="00915C86">
      <w:rPr>
        <w:rFonts w:ascii="Century Gothic" w:hAnsi="Century Gothic"/>
        <w:sz w:val="20"/>
        <w:szCs w:val="20"/>
      </w:rPr>
      <w:instrText xml:space="preserve"> NUMPAGES </w:instrText>
    </w:r>
    <w:r w:rsidRPr="00915C86">
      <w:rPr>
        <w:rFonts w:ascii="Century Gothic" w:hAnsi="Century Gothic"/>
        <w:sz w:val="20"/>
        <w:szCs w:val="20"/>
      </w:rPr>
      <w:fldChar w:fldCharType="separate"/>
    </w:r>
    <w:r w:rsidR="000D4BFB">
      <w:rPr>
        <w:rFonts w:ascii="Century Gothic" w:hAnsi="Century Gothic"/>
        <w:noProof/>
        <w:sz w:val="20"/>
        <w:szCs w:val="20"/>
      </w:rPr>
      <w:t>49</w:t>
    </w:r>
    <w:r w:rsidRPr="00915C86">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5D08" w:rsidRPr="00915C86">
      <w:r w:rsidRPr="00915C86">
        <w:separator/>
      </w:r>
    </w:p>
  </w:footnote>
  <w:footnote w:type="continuationSeparator" w:id="1">
    <w:p w:rsidR="00575D08" w:rsidRPr="00915C86">
      <w:r w:rsidRPr="00915C86">
        <w:continuationSeparator/>
      </w:r>
    </w:p>
  </w:footnote>
  <w:footnote w:id="2">
    <w:p w:rsidR="00575D08" w:rsidRPr="00915C86" w:rsidP="006C2BEC">
      <w:pPr>
        <w:pStyle w:val="FootnoteText"/>
        <w:rPr>
          <w:rFonts w:ascii="Century Gothic" w:hAnsi="Century Gothic"/>
          <w:sz w:val="14"/>
          <w:szCs w:val="14"/>
        </w:rPr>
      </w:pPr>
      <w:r w:rsidRPr="00915C86">
        <w:rPr>
          <w:rFonts w:ascii="Century Gothic" w:hAnsi="Century Gothic"/>
          <w:sz w:val="14"/>
          <w:szCs w:val="14"/>
          <w:vertAlign w:val="superscript"/>
        </w:rPr>
        <w:footnoteRef/>
      </w:r>
      <w:r w:rsidRPr="00915C86">
        <w:rPr>
          <w:rFonts w:ascii="Century Gothic" w:hAnsi="Century Gothic"/>
          <w:sz w:val="14"/>
          <w:szCs w:val="14"/>
        </w:rPr>
        <w:t xml:space="preserve"> In this report, ‘significant accident’ refers exclusively to an accident falling within the definition set out in the Appendix to Annex 1 of Legislative Decree No 162 of 10 August 2007, as amended by Ministry of Infrastructure and Transport Decree of 26 June 2015. A 'significant accident' is thus any accident involving at least one railway vehicle in motion, resulting in at least one fatality or serious injury or significant damage to rolling stock, tracks, other installations or the environment (or damage amounting to EUR 150 000 or more) or a prolonged interruption in traffic, excluding accidents in workshops, warehouses and depots.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D08" w:rsidRPr="00915C86" w:rsidP="006C2BEC">
    <w:pPr>
      <w:spacing w:before="75" w:after="75"/>
      <w:ind w:left="540"/>
      <w:outlineLvl w:val="2"/>
    </w:pPr>
    <w:r w:rsidRPr="00915C86">
      <w:rPr>
        <w:noProof/>
        <w:lang w:val="fr-LU" w:eastAsia="fr-LU"/>
      </w:rPr>
      <w:drawing>
        <wp:inline distT="0" distB="0" distL="0" distR="0">
          <wp:extent cx="2606675" cy="579755"/>
          <wp:effectExtent l="19050" t="0" r="3175" b="0"/>
          <wp:docPr id="1705786496"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95697" name="Picture 1"/>
                  <pic:cNvPicPr>
                    <a:picLocks noChangeAspect="1" noChangeArrowheads="1"/>
                  </pic:cNvPicPr>
                </pic:nvPicPr>
                <pic:blipFill>
                  <a:blip xmlns:r="http://schemas.openxmlformats.org/officeDocument/2006/relationships" r:embed="rId1"/>
                  <a:stretch>
                    <a:fillRect/>
                  </a:stretch>
                </pic:blipFill>
                <pic:spPr bwMode="auto">
                  <a:xfrm>
                    <a:off x="0" y="0"/>
                    <a:ext cx="2606675" cy="579755"/>
                  </a:xfrm>
                  <a:prstGeom prst="rect">
                    <a:avLst/>
                  </a:prstGeom>
                  <a:noFill/>
                  <a:ln w="9525">
                    <a:noFill/>
                    <a:miter lim="800000"/>
                    <a:headEnd/>
                    <a:tailEnd/>
                  </a:ln>
                </pic:spPr>
              </pic:pic>
            </a:graphicData>
          </a:graphic>
        </wp:inline>
      </w:drawing>
    </w:r>
    <w:r w:rsidRPr="00915C86">
      <w:tab/>
    </w:r>
  </w:p>
  <w:p w:rsidR="00575D08" w:rsidRPr="00915C86" w:rsidP="006C2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D08" w:rsidRPr="00915C86">
    <w:pPr>
      <w:pStyle w:val="Header"/>
    </w:pPr>
    <w:r w:rsidRPr="00915C86">
      <w:rPr>
        <w:noProof/>
        <w:lang w:val="fr-LU" w:eastAsia="fr-LU"/>
      </w:rPr>
      <w:drawing>
        <wp:inline distT="0" distB="0" distL="0" distR="0">
          <wp:extent cx="1842135" cy="464185"/>
          <wp:effectExtent l="19050" t="0" r="5715" b="0"/>
          <wp:docPr id="10"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62098" name="Picture 14"/>
                  <pic:cNvPicPr>
                    <a:picLocks noChangeAspect="1" noChangeArrowheads="1"/>
                  </pic:cNvPicPr>
                </pic:nvPicPr>
                <pic:blipFill>
                  <a:blip xmlns:r="http://schemas.openxmlformats.org/officeDocument/2006/relationships" r:embed="rId1"/>
                  <a:stretch>
                    <a:fillRect/>
                  </a:stretch>
                </pic:blipFill>
                <pic:spPr bwMode="auto">
                  <a:xfrm>
                    <a:off x="0" y="0"/>
                    <a:ext cx="1842135" cy="4641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81"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282D87"/>
    <w:multiLevelType w:val="hybridMultilevel"/>
    <w:tmpl w:val="B12A1FF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19C6FF9"/>
    <w:multiLevelType w:val="hybridMultilevel"/>
    <w:tmpl w:val="DAC66AAE"/>
    <w:lvl w:ilvl="0">
      <w:start w:val="1"/>
      <w:numFmt w:val="bullet"/>
      <w:lvlText w:val="-"/>
      <w:lvlJc w:val="left"/>
      <w:pPr>
        <w:ind w:left="780" w:hanging="360"/>
      </w:pPr>
      <w:rPr>
        <w:rFonts w:ascii="Sylfaen" w:hAnsi="Sylfaen" w:hint="default"/>
        <w:sz w:val="18"/>
      </w:rPr>
    </w:lvl>
    <w:lvl w:ilvl="1">
      <w:start w:val="1"/>
      <w:numFmt w:val="bullet"/>
      <w:lvlText w:val=""/>
      <w:lvlJc w:val="left"/>
      <w:pPr>
        <w:ind w:left="1500" w:hanging="360"/>
      </w:pPr>
      <w:rPr>
        <w:rFonts w:ascii="Wingdings" w:hAnsi="Wingdings"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04986041"/>
    <w:multiLevelType w:val="hybridMultilevel"/>
    <w:tmpl w:val="C2F4A136"/>
    <w:lvl w:ilvl="0">
      <w:start w:val="1"/>
      <w:numFmt w:val="bullet"/>
      <w:lvlText w:val=""/>
      <w:lvlJc w:val="left"/>
      <w:pPr>
        <w:ind w:left="1486" w:hanging="360"/>
      </w:pPr>
      <w:rPr>
        <w:rFonts w:ascii="Wingdings" w:hAnsi="Wingdings" w:hint="default"/>
      </w:rPr>
    </w:lvl>
    <w:lvl w:ilvl="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5">
    <w:nsid w:val="04EB6E17"/>
    <w:multiLevelType w:val="hybridMultilevel"/>
    <w:tmpl w:val="4B4E52AC"/>
    <w:lvl w:ilvl="0">
      <w:start w:val="1"/>
      <w:numFmt w:val="decimal"/>
      <w:lvlText w:val="%1)"/>
      <w:lvlJc w:val="left"/>
      <w:pPr>
        <w:ind w:left="720" w:hanging="360"/>
      </w:pPr>
      <w:rPr>
        <w:rFonts w:hint="default"/>
        <w:b w:val="0"/>
        <w:i w:val="0"/>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4F57CC"/>
    <w:multiLevelType w:val="hybridMultilevel"/>
    <w:tmpl w:val="E89672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69E0B33"/>
    <w:multiLevelType w:val="hybridMultilevel"/>
    <w:tmpl w:val="A836AE7C"/>
    <w:lvl w:ilvl="0">
      <w:start w:val="1"/>
      <w:numFmt w:val="bullet"/>
      <w:lvlText w:val=""/>
      <w:lvlJc w:val="left"/>
      <w:pPr>
        <w:tabs>
          <w:tab w:val="num" w:pos="1146"/>
        </w:tabs>
        <w:ind w:left="1146" w:hanging="360"/>
      </w:pPr>
      <w:rPr>
        <w:rFonts w:ascii="Wingdings" w:hAnsi="Wingdings" w:hint="default"/>
      </w:rPr>
    </w:lvl>
    <w:lvl w:ilvl="1">
      <w:start w:val="1"/>
      <w:numFmt w:val="bullet"/>
      <w:lvlText w:val=""/>
      <w:lvlJc w:val="left"/>
      <w:pPr>
        <w:tabs>
          <w:tab w:val="num" w:pos="1866"/>
        </w:tabs>
        <w:ind w:left="1866" w:hanging="360"/>
      </w:pPr>
      <w:rPr>
        <w:rFonts w:ascii="Wingdings" w:hAnsi="Wingdings"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8">
    <w:nsid w:val="0A616D22"/>
    <w:multiLevelType w:val="hybridMultilevel"/>
    <w:tmpl w:val="E8B06F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C8409A"/>
    <w:multiLevelType w:val="hybridMultilevel"/>
    <w:tmpl w:val="38B27F8A"/>
    <w:lvl w:ilvl="0">
      <w:start w:val="1"/>
      <w:numFmt w:val="bullet"/>
      <w:lvlText w:val=""/>
      <w:lvlJc w:val="left"/>
      <w:pPr>
        <w:tabs>
          <w:tab w:val="num" w:pos="1146"/>
        </w:tabs>
        <w:ind w:left="114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AD24B2B"/>
    <w:multiLevelType w:val="hybridMultilevel"/>
    <w:tmpl w:val="2068C03C"/>
    <w:lvl w:ilvl="0">
      <w:start w:val="1"/>
      <w:numFmt w:val="bullet"/>
      <w:lvlText w:val=""/>
      <w:lvlJc w:val="left"/>
      <w:pPr>
        <w:ind w:left="1434" w:hanging="360"/>
      </w:pPr>
      <w:rPr>
        <w:rFonts w:ascii="Symbol" w:hAnsi="Symbol" w:hint="default"/>
        <w:b/>
        <w:i w:val="0"/>
      </w:rPr>
    </w:lvl>
    <w:lvl w:ilvl="1">
      <w:start w:val="1"/>
      <w:numFmt w:val="bullet"/>
      <w:lvlText w:val="o"/>
      <w:lvlJc w:val="left"/>
      <w:pPr>
        <w:ind w:left="2154" w:hanging="360"/>
      </w:pPr>
      <w:rPr>
        <w:rFonts w:ascii="Courier New" w:hAnsi="Courier New" w:cs="Courier New" w:hint="default"/>
      </w:rPr>
    </w:lvl>
    <w:lvl w:ilvl="2">
      <w:start w:val="0"/>
      <w:numFmt w:val="bullet"/>
      <w:lvlText w:val=""/>
      <w:lvlJc w:val="left"/>
      <w:pPr>
        <w:ind w:left="2904" w:hanging="390"/>
      </w:pPr>
      <w:rPr>
        <w:rFonts w:ascii="Century Gothic" w:eastAsia="Times New Roman" w:hAnsi="Century Gothic" w:cs="Arial" w:hint="default"/>
      </w:rPr>
    </w:lvl>
    <w:lvl w:ilvl="3" w:tentative="1">
      <w:start w:val="1"/>
      <w:numFmt w:val="bullet"/>
      <w:lvlText w:val=""/>
      <w:lvlJc w:val="left"/>
      <w:pPr>
        <w:ind w:left="3594" w:hanging="360"/>
      </w:pPr>
      <w:rPr>
        <w:rFonts w:ascii="Symbol" w:hAnsi="Symbol" w:hint="default"/>
      </w:rPr>
    </w:lvl>
    <w:lvl w:ilvl="4" w:tentative="1">
      <w:start w:val="1"/>
      <w:numFmt w:val="bullet"/>
      <w:lvlText w:val="o"/>
      <w:lvlJc w:val="left"/>
      <w:pPr>
        <w:ind w:left="4314" w:hanging="360"/>
      </w:pPr>
      <w:rPr>
        <w:rFonts w:ascii="Courier New" w:hAnsi="Courier New" w:cs="Courier New" w:hint="default"/>
      </w:rPr>
    </w:lvl>
    <w:lvl w:ilvl="5" w:tentative="1">
      <w:start w:val="1"/>
      <w:numFmt w:val="bullet"/>
      <w:lvlText w:val=""/>
      <w:lvlJc w:val="left"/>
      <w:pPr>
        <w:ind w:left="5034" w:hanging="360"/>
      </w:pPr>
      <w:rPr>
        <w:rFonts w:ascii="Wingdings" w:hAnsi="Wingdings" w:hint="default"/>
      </w:rPr>
    </w:lvl>
    <w:lvl w:ilvl="6" w:tentative="1">
      <w:start w:val="1"/>
      <w:numFmt w:val="bullet"/>
      <w:lvlText w:val=""/>
      <w:lvlJc w:val="left"/>
      <w:pPr>
        <w:ind w:left="5754" w:hanging="360"/>
      </w:pPr>
      <w:rPr>
        <w:rFonts w:ascii="Symbol" w:hAnsi="Symbol" w:hint="default"/>
      </w:rPr>
    </w:lvl>
    <w:lvl w:ilvl="7" w:tentative="1">
      <w:start w:val="1"/>
      <w:numFmt w:val="bullet"/>
      <w:lvlText w:val="o"/>
      <w:lvlJc w:val="left"/>
      <w:pPr>
        <w:ind w:left="6474" w:hanging="360"/>
      </w:pPr>
      <w:rPr>
        <w:rFonts w:ascii="Courier New" w:hAnsi="Courier New" w:cs="Courier New" w:hint="default"/>
      </w:rPr>
    </w:lvl>
    <w:lvl w:ilvl="8" w:tentative="1">
      <w:start w:val="1"/>
      <w:numFmt w:val="bullet"/>
      <w:lvlText w:val=""/>
      <w:lvlJc w:val="left"/>
      <w:pPr>
        <w:ind w:left="7194" w:hanging="360"/>
      </w:pPr>
      <w:rPr>
        <w:rFonts w:ascii="Wingdings" w:hAnsi="Wingdings" w:hint="default"/>
      </w:rPr>
    </w:lvl>
  </w:abstractNum>
  <w:abstractNum w:abstractNumId="11">
    <w:nsid w:val="0C0A02DA"/>
    <w:multiLevelType w:val="hybridMultilevel"/>
    <w:tmpl w:val="29C61096"/>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2">
    <w:nsid w:val="0CAE1D5E"/>
    <w:multiLevelType w:val="hybridMultilevel"/>
    <w:tmpl w:val="C3C29174"/>
    <w:lvl w:ilvl="0">
      <w:start w:val="1"/>
      <w:numFmt w:val="bullet"/>
      <w:lvlText w:val="►"/>
      <w:lvlJc w:val="left"/>
      <w:pPr>
        <w:tabs>
          <w:tab w:val="num" w:pos="720"/>
        </w:tabs>
        <w:ind w:left="720" w:hanging="360"/>
      </w:pPr>
      <w:rPr>
        <w:rFonts w:ascii="Century Gothic" w:hAnsi="Century Gothic" w:hint="default"/>
        <w:color w:val="FFC00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Century Gothic" w:hAnsi="Century Gothic" w:hint="default"/>
      </w:rPr>
    </w:lvl>
    <w:lvl w:ilvl="3" w:tentative="1">
      <w:start w:val="1"/>
      <w:numFmt w:val="bullet"/>
      <w:lvlText w:val="►"/>
      <w:lvlJc w:val="left"/>
      <w:pPr>
        <w:tabs>
          <w:tab w:val="num" w:pos="2880"/>
        </w:tabs>
        <w:ind w:left="2880" w:hanging="360"/>
      </w:pPr>
      <w:rPr>
        <w:rFonts w:ascii="Century Gothic" w:hAnsi="Century Gothic" w:hint="default"/>
      </w:rPr>
    </w:lvl>
    <w:lvl w:ilvl="4" w:tentative="1">
      <w:start w:val="1"/>
      <w:numFmt w:val="bullet"/>
      <w:lvlText w:val="►"/>
      <w:lvlJc w:val="left"/>
      <w:pPr>
        <w:tabs>
          <w:tab w:val="num" w:pos="3600"/>
        </w:tabs>
        <w:ind w:left="3600" w:hanging="360"/>
      </w:pPr>
      <w:rPr>
        <w:rFonts w:ascii="Century Gothic" w:hAnsi="Century Gothic" w:hint="default"/>
      </w:rPr>
    </w:lvl>
    <w:lvl w:ilvl="5" w:tentative="1">
      <w:start w:val="1"/>
      <w:numFmt w:val="bullet"/>
      <w:lvlText w:val="►"/>
      <w:lvlJc w:val="left"/>
      <w:pPr>
        <w:tabs>
          <w:tab w:val="num" w:pos="4320"/>
        </w:tabs>
        <w:ind w:left="4320" w:hanging="360"/>
      </w:pPr>
      <w:rPr>
        <w:rFonts w:ascii="Century Gothic" w:hAnsi="Century Gothic" w:hint="default"/>
      </w:rPr>
    </w:lvl>
    <w:lvl w:ilvl="6" w:tentative="1">
      <w:start w:val="1"/>
      <w:numFmt w:val="bullet"/>
      <w:lvlText w:val="►"/>
      <w:lvlJc w:val="left"/>
      <w:pPr>
        <w:tabs>
          <w:tab w:val="num" w:pos="5040"/>
        </w:tabs>
        <w:ind w:left="5040" w:hanging="360"/>
      </w:pPr>
      <w:rPr>
        <w:rFonts w:ascii="Century Gothic" w:hAnsi="Century Gothic" w:hint="default"/>
      </w:rPr>
    </w:lvl>
    <w:lvl w:ilvl="7" w:tentative="1">
      <w:start w:val="1"/>
      <w:numFmt w:val="bullet"/>
      <w:lvlText w:val="►"/>
      <w:lvlJc w:val="left"/>
      <w:pPr>
        <w:tabs>
          <w:tab w:val="num" w:pos="5760"/>
        </w:tabs>
        <w:ind w:left="5760" w:hanging="360"/>
      </w:pPr>
      <w:rPr>
        <w:rFonts w:ascii="Century Gothic" w:hAnsi="Century Gothic" w:hint="default"/>
      </w:rPr>
    </w:lvl>
    <w:lvl w:ilvl="8" w:tentative="1">
      <w:start w:val="1"/>
      <w:numFmt w:val="bullet"/>
      <w:lvlText w:val="►"/>
      <w:lvlJc w:val="left"/>
      <w:pPr>
        <w:tabs>
          <w:tab w:val="num" w:pos="6480"/>
        </w:tabs>
        <w:ind w:left="6480" w:hanging="360"/>
      </w:pPr>
      <w:rPr>
        <w:rFonts w:ascii="Century Gothic" w:hAnsi="Century Gothic" w:hint="default"/>
      </w:rPr>
    </w:lvl>
  </w:abstractNum>
  <w:abstractNum w:abstractNumId="13">
    <w:nsid w:val="16B26B08"/>
    <w:multiLevelType w:val="hybridMultilevel"/>
    <w:tmpl w:val="C3763CD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1B106586"/>
    <w:multiLevelType w:val="hybridMultilevel"/>
    <w:tmpl w:val="02B435C2"/>
    <w:lvl w:ilvl="0">
      <w:start w:val="1"/>
      <w:numFmt w:val="bullet"/>
      <w:lvlText w:val="►"/>
      <w:lvlJc w:val="left"/>
      <w:pPr>
        <w:tabs>
          <w:tab w:val="num" w:pos="720"/>
        </w:tabs>
        <w:ind w:left="720" w:hanging="360"/>
      </w:pPr>
      <w:rPr>
        <w:rFonts w:ascii="Century Gothic" w:hAnsi="Century Gothic" w:hint="default"/>
        <w:color w:val="FFC000"/>
      </w:rPr>
    </w:lvl>
    <w:lvl w:ilvl="1">
      <w:start w:val="11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Century Gothic" w:hAnsi="Century Gothic" w:hint="default"/>
      </w:rPr>
    </w:lvl>
    <w:lvl w:ilvl="3" w:tentative="1">
      <w:start w:val="1"/>
      <w:numFmt w:val="bullet"/>
      <w:lvlText w:val="►"/>
      <w:lvlJc w:val="left"/>
      <w:pPr>
        <w:tabs>
          <w:tab w:val="num" w:pos="2880"/>
        </w:tabs>
        <w:ind w:left="2880" w:hanging="360"/>
      </w:pPr>
      <w:rPr>
        <w:rFonts w:ascii="Century Gothic" w:hAnsi="Century Gothic" w:hint="default"/>
      </w:rPr>
    </w:lvl>
    <w:lvl w:ilvl="4" w:tentative="1">
      <w:start w:val="1"/>
      <w:numFmt w:val="bullet"/>
      <w:lvlText w:val="►"/>
      <w:lvlJc w:val="left"/>
      <w:pPr>
        <w:tabs>
          <w:tab w:val="num" w:pos="3600"/>
        </w:tabs>
        <w:ind w:left="3600" w:hanging="360"/>
      </w:pPr>
      <w:rPr>
        <w:rFonts w:ascii="Century Gothic" w:hAnsi="Century Gothic" w:hint="default"/>
      </w:rPr>
    </w:lvl>
    <w:lvl w:ilvl="5" w:tentative="1">
      <w:start w:val="1"/>
      <w:numFmt w:val="bullet"/>
      <w:lvlText w:val="►"/>
      <w:lvlJc w:val="left"/>
      <w:pPr>
        <w:tabs>
          <w:tab w:val="num" w:pos="4320"/>
        </w:tabs>
        <w:ind w:left="4320" w:hanging="360"/>
      </w:pPr>
      <w:rPr>
        <w:rFonts w:ascii="Century Gothic" w:hAnsi="Century Gothic" w:hint="default"/>
      </w:rPr>
    </w:lvl>
    <w:lvl w:ilvl="6" w:tentative="1">
      <w:start w:val="1"/>
      <w:numFmt w:val="bullet"/>
      <w:lvlText w:val="►"/>
      <w:lvlJc w:val="left"/>
      <w:pPr>
        <w:tabs>
          <w:tab w:val="num" w:pos="5040"/>
        </w:tabs>
        <w:ind w:left="5040" w:hanging="360"/>
      </w:pPr>
      <w:rPr>
        <w:rFonts w:ascii="Century Gothic" w:hAnsi="Century Gothic" w:hint="default"/>
      </w:rPr>
    </w:lvl>
    <w:lvl w:ilvl="7" w:tentative="1">
      <w:start w:val="1"/>
      <w:numFmt w:val="bullet"/>
      <w:lvlText w:val="►"/>
      <w:lvlJc w:val="left"/>
      <w:pPr>
        <w:tabs>
          <w:tab w:val="num" w:pos="5760"/>
        </w:tabs>
        <w:ind w:left="5760" w:hanging="360"/>
      </w:pPr>
      <w:rPr>
        <w:rFonts w:ascii="Century Gothic" w:hAnsi="Century Gothic" w:hint="default"/>
      </w:rPr>
    </w:lvl>
    <w:lvl w:ilvl="8" w:tentative="1">
      <w:start w:val="1"/>
      <w:numFmt w:val="bullet"/>
      <w:lvlText w:val="►"/>
      <w:lvlJc w:val="left"/>
      <w:pPr>
        <w:tabs>
          <w:tab w:val="num" w:pos="6480"/>
        </w:tabs>
        <w:ind w:left="6480" w:hanging="360"/>
      </w:pPr>
      <w:rPr>
        <w:rFonts w:ascii="Century Gothic" w:hAnsi="Century Gothic" w:hint="default"/>
      </w:rPr>
    </w:lvl>
  </w:abstractNum>
  <w:abstractNum w:abstractNumId="15">
    <w:nsid w:val="1CC01C65"/>
    <w:multiLevelType w:val="hybridMultilevel"/>
    <w:tmpl w:val="63FAC5A0"/>
    <w:lvl w:ilvl="0">
      <w:start w:val="1"/>
      <w:numFmt w:val="bullet"/>
      <w:pStyle w:val="ListBullet5"/>
      <w:lvlText w:val=""/>
      <w:lvlJc w:val="left"/>
      <w:pPr>
        <w:tabs>
          <w:tab w:val="num" w:pos="870"/>
        </w:tabs>
        <w:ind w:left="1134"/>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cap="rnd">
          <w14:noFill/>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12B3780"/>
    <w:multiLevelType w:val="hybridMultilevel"/>
    <w:tmpl w:val="BFE07778"/>
    <w:lvl w:ilvl="0">
      <w:start w:val="1"/>
      <w:numFmt w:val="bullet"/>
      <w:lvlText w:val="-"/>
      <w:lvlJc w:val="left"/>
      <w:pPr>
        <w:ind w:left="780" w:hanging="360"/>
      </w:pPr>
      <w:rPr>
        <w:rFonts w:ascii="Sylfaen" w:hAnsi="Sylfaen" w:hint="default"/>
        <w:sz w:val="18"/>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22CB6F8B"/>
    <w:multiLevelType w:val="hybridMultilevel"/>
    <w:tmpl w:val="D430B48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8">
    <w:nsid w:val="2A163DE9"/>
    <w:multiLevelType w:val="hybridMultilevel"/>
    <w:tmpl w:val="7BEECD7C"/>
    <w:lvl w:ilvl="0">
      <w:start w:val="1"/>
      <w:numFmt w:val="bullet"/>
      <w:lvlText w:val=""/>
      <w:lvlJc w:val="left"/>
      <w:pPr>
        <w:ind w:left="720" w:hanging="360"/>
      </w:pPr>
      <w:rPr>
        <w:rFonts w:ascii="Wingdings" w:hAnsi="Wingdings"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AC44D0"/>
    <w:multiLevelType w:val="hybridMultilevel"/>
    <w:tmpl w:val="62584F04"/>
    <w:lvl w:ilvl="0">
      <w:start w:val="1"/>
      <w:numFmt w:val="bullet"/>
      <w:lvlText w:val=""/>
      <w:lvlJc w:val="left"/>
      <w:pPr>
        <w:ind w:left="720" w:hanging="360"/>
      </w:pPr>
      <w:rPr>
        <w:rFonts w:ascii="Wingdings" w:hAnsi="Wingding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DC6F65"/>
    <w:multiLevelType w:val="hybridMultilevel"/>
    <w:tmpl w:val="79AAE7BC"/>
    <w:lvl w:ilvl="0">
      <w:start w:val="1"/>
      <w:numFmt w:val="bullet"/>
      <w:lvlText w:val=""/>
      <w:lvlJc w:val="left"/>
      <w:pPr>
        <w:ind w:left="720" w:hanging="360"/>
      </w:pPr>
      <w:rPr>
        <w:rFonts w:ascii="Symbol" w:hAnsi="Symbo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853B5C"/>
    <w:multiLevelType w:val="hybridMultilevel"/>
    <w:tmpl w:val="CA92D124"/>
    <w:lvl w:ilvl="0">
      <w:start w:val="1"/>
      <w:numFmt w:val="bullet"/>
      <w:lvlText w:val=""/>
      <w:lvlJc w:val="left"/>
      <w:pPr>
        <w:ind w:left="1189" w:hanging="360"/>
      </w:pPr>
      <w:rPr>
        <w:rFonts w:ascii="Wingdings" w:hAnsi="Wingdings" w:hint="default"/>
      </w:rPr>
    </w:lvl>
    <w:lvl w:ilvl="1" w:tentative="1">
      <w:start w:val="1"/>
      <w:numFmt w:val="bullet"/>
      <w:lvlText w:val="o"/>
      <w:lvlJc w:val="left"/>
      <w:pPr>
        <w:ind w:left="1909" w:hanging="360"/>
      </w:pPr>
      <w:rPr>
        <w:rFonts w:ascii="Courier New" w:hAnsi="Courier New" w:cs="Courier New" w:hint="default"/>
      </w:rPr>
    </w:lvl>
    <w:lvl w:ilvl="2" w:tentative="1">
      <w:start w:val="1"/>
      <w:numFmt w:val="bullet"/>
      <w:lvlText w:val=""/>
      <w:lvlJc w:val="left"/>
      <w:pPr>
        <w:ind w:left="2629" w:hanging="360"/>
      </w:pPr>
      <w:rPr>
        <w:rFonts w:ascii="Wingdings" w:hAnsi="Wingdings" w:hint="default"/>
      </w:rPr>
    </w:lvl>
    <w:lvl w:ilvl="3" w:tentative="1">
      <w:start w:val="1"/>
      <w:numFmt w:val="bullet"/>
      <w:lvlText w:val=""/>
      <w:lvlJc w:val="left"/>
      <w:pPr>
        <w:ind w:left="3349" w:hanging="360"/>
      </w:pPr>
      <w:rPr>
        <w:rFonts w:ascii="Symbol" w:hAnsi="Symbol" w:hint="default"/>
      </w:rPr>
    </w:lvl>
    <w:lvl w:ilvl="4" w:tentative="1">
      <w:start w:val="1"/>
      <w:numFmt w:val="bullet"/>
      <w:lvlText w:val="o"/>
      <w:lvlJc w:val="left"/>
      <w:pPr>
        <w:ind w:left="4069" w:hanging="360"/>
      </w:pPr>
      <w:rPr>
        <w:rFonts w:ascii="Courier New" w:hAnsi="Courier New" w:cs="Courier New" w:hint="default"/>
      </w:rPr>
    </w:lvl>
    <w:lvl w:ilvl="5" w:tentative="1">
      <w:start w:val="1"/>
      <w:numFmt w:val="bullet"/>
      <w:lvlText w:val=""/>
      <w:lvlJc w:val="left"/>
      <w:pPr>
        <w:ind w:left="4789" w:hanging="360"/>
      </w:pPr>
      <w:rPr>
        <w:rFonts w:ascii="Wingdings" w:hAnsi="Wingdings" w:hint="default"/>
      </w:rPr>
    </w:lvl>
    <w:lvl w:ilvl="6" w:tentative="1">
      <w:start w:val="1"/>
      <w:numFmt w:val="bullet"/>
      <w:lvlText w:val=""/>
      <w:lvlJc w:val="left"/>
      <w:pPr>
        <w:ind w:left="5509" w:hanging="360"/>
      </w:pPr>
      <w:rPr>
        <w:rFonts w:ascii="Symbol" w:hAnsi="Symbol" w:hint="default"/>
      </w:rPr>
    </w:lvl>
    <w:lvl w:ilvl="7" w:tentative="1">
      <w:start w:val="1"/>
      <w:numFmt w:val="bullet"/>
      <w:lvlText w:val="o"/>
      <w:lvlJc w:val="left"/>
      <w:pPr>
        <w:ind w:left="6229" w:hanging="360"/>
      </w:pPr>
      <w:rPr>
        <w:rFonts w:ascii="Courier New" w:hAnsi="Courier New" w:cs="Courier New" w:hint="default"/>
      </w:rPr>
    </w:lvl>
    <w:lvl w:ilvl="8" w:tentative="1">
      <w:start w:val="1"/>
      <w:numFmt w:val="bullet"/>
      <w:lvlText w:val=""/>
      <w:lvlJc w:val="left"/>
      <w:pPr>
        <w:ind w:left="6949" w:hanging="360"/>
      </w:pPr>
      <w:rPr>
        <w:rFonts w:ascii="Wingdings" w:hAnsi="Wingdings" w:hint="default"/>
      </w:rPr>
    </w:lvl>
  </w:abstractNum>
  <w:abstractNum w:abstractNumId="22">
    <w:nsid w:val="2D682A23"/>
    <w:multiLevelType w:val="hybridMultilevel"/>
    <w:tmpl w:val="7CEA7EE4"/>
    <w:lvl w:ilvl="0">
      <w:start w:val="1"/>
      <w:numFmt w:val="bullet"/>
      <w:lvlText w:val=""/>
      <w:lvlJc w:val="left"/>
      <w:pPr>
        <w:tabs>
          <w:tab w:val="num" w:pos="1146"/>
        </w:tabs>
        <w:ind w:left="1146" w:hanging="360"/>
      </w:pPr>
      <w:rPr>
        <w:rFonts w:ascii="Wingdings" w:hAnsi="Wingdings" w:hint="default"/>
      </w:rPr>
    </w:lvl>
    <w:lvl w:ilvl="1">
      <w:start w:val="1"/>
      <w:numFmt w:val="bullet"/>
      <w:lvlText w:val=""/>
      <w:lvlJc w:val="left"/>
      <w:pPr>
        <w:tabs>
          <w:tab w:val="num" w:pos="1866"/>
        </w:tabs>
        <w:ind w:left="1866" w:hanging="360"/>
      </w:pPr>
      <w:rPr>
        <w:rFonts w:ascii="Wingdings" w:hAnsi="Wingdings"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3">
    <w:nsid w:val="2DCF0A90"/>
    <w:multiLevelType w:val="hybridMultilevel"/>
    <w:tmpl w:val="BC7A0796"/>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762AC5"/>
    <w:multiLevelType w:val="multilevel"/>
    <w:tmpl w:val="5B205DDC"/>
    <w:lvl w:ilvl="0">
      <w:start w:val="1"/>
      <w:numFmt w:val="decimal"/>
      <w:lvlText w:val="%1."/>
      <w:lvlJc w:val="left"/>
      <w:pPr>
        <w:tabs>
          <w:tab w:val="num" w:pos="-360"/>
        </w:tabs>
        <w:ind w:left="-360" w:hanging="360"/>
      </w:pPr>
      <w:rPr>
        <w:rFonts w:ascii="Garamond" w:hAnsi="Garamond" w:cs="Times New Roman" w:hint="default"/>
        <w:b/>
        <w:i w:val="0"/>
        <w:sz w:val="24"/>
      </w:rPr>
    </w:lvl>
    <w:lvl w:ilvl="1">
      <w:start w:val="1"/>
      <w:numFmt w:val="decimal"/>
      <w:lvlText w:val="%1.%2."/>
      <w:lvlJc w:val="left"/>
      <w:pPr>
        <w:tabs>
          <w:tab w:val="num" w:pos="72"/>
        </w:tabs>
        <w:ind w:left="72" w:hanging="432"/>
      </w:pPr>
      <w:rPr>
        <w:rFonts w:ascii="Garamond" w:hAnsi="Garamond" w:cs="Times New Roman" w:hint="default"/>
        <w:b w:val="0"/>
        <w:i/>
        <w:sz w:val="22"/>
      </w:rPr>
    </w:lvl>
    <w:lvl w:ilvl="2">
      <w:start w:val="1"/>
      <w:numFmt w:val="decimal"/>
      <w:lvlRestart w:val="0"/>
      <w:pStyle w:val="Heading3"/>
      <w:lvlText w:val="%2.%3"/>
      <w:lvlJc w:val="left"/>
      <w:pPr>
        <w:tabs>
          <w:tab w:val="num" w:pos="624"/>
        </w:tabs>
        <w:ind w:left="624" w:hanging="624"/>
      </w:pPr>
      <w:rPr>
        <w:rFonts w:ascii="Garamond" w:hAnsi="Garamond" w:cs="Times New Roman" w:hint="default"/>
        <w:b/>
        <w:i/>
        <w:sz w:val="22"/>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5">
    <w:nsid w:val="31083359"/>
    <w:multiLevelType w:val="hybridMultilevel"/>
    <w:tmpl w:val="B8F2A7D8"/>
    <w:lvl w:ilvl="0">
      <w:start w:val="0"/>
      <w:numFmt w:val="bullet"/>
      <w:lvlText w:val="-"/>
      <w:lvlJc w:val="left"/>
      <w:pPr>
        <w:ind w:left="785" w:hanging="360"/>
      </w:pPr>
      <w:rPr>
        <w:rFonts w:ascii="Century Gothic" w:eastAsia="Times New Roman" w:hAnsi="Century Gothic" w:cs="Times New Roman"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6">
    <w:nsid w:val="33C600E4"/>
    <w:multiLevelType w:val="hybridMultilevel"/>
    <w:tmpl w:val="922E77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7782CFF"/>
    <w:multiLevelType w:val="hybridMultilevel"/>
    <w:tmpl w:val="38847236"/>
    <w:lvl w:ilvl="0">
      <w:start w:val="0"/>
      <w:numFmt w:val="bullet"/>
      <w:lvlText w:val="-"/>
      <w:lvlJc w:val="left"/>
      <w:pPr>
        <w:ind w:left="720" w:hanging="360"/>
      </w:pPr>
      <w:rPr>
        <w:rFonts w:ascii="Century Gothic" w:eastAsia="Times New Roman" w:hAnsi="Century Gothic"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916857"/>
    <w:multiLevelType w:val="hybridMultilevel"/>
    <w:tmpl w:val="23189DB4"/>
    <w:lvl w:ilvl="0">
      <w:start w:val="1"/>
      <w:numFmt w:val="bullet"/>
      <w:lvlText w:val=""/>
      <w:lvlJc w:val="left"/>
      <w:pPr>
        <w:ind w:left="780" w:hanging="360"/>
      </w:pPr>
      <w:rPr>
        <w:rFonts w:ascii="Wingdings" w:hAnsi="Wingdings" w:hint="default"/>
        <w:sz w:val="18"/>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9">
    <w:nsid w:val="38472D45"/>
    <w:multiLevelType w:val="hybridMultilevel"/>
    <w:tmpl w:val="CA883C6C"/>
    <w:lvl w:ilvl="0">
      <w:start w:val="1"/>
      <w:numFmt w:val="bullet"/>
      <w:lvlText w:val=""/>
      <w:lvlJc w:val="left"/>
      <w:pPr>
        <w:ind w:left="1486" w:hanging="360"/>
      </w:pPr>
      <w:rPr>
        <w:rFonts w:ascii="Symbol" w:hAnsi="Symbol" w:hint="default"/>
      </w:rPr>
    </w:lvl>
    <w:lvl w:ilvl="1">
      <w:start w:val="1"/>
      <w:numFmt w:val="bullet"/>
      <w:lvlText w:val=""/>
      <w:lvlJc w:val="left"/>
      <w:pPr>
        <w:ind w:left="2206" w:hanging="360"/>
      </w:pPr>
      <w:rPr>
        <w:rFonts w:ascii="Wingdings" w:hAnsi="Wingdings"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30">
    <w:nsid w:val="3B8D4620"/>
    <w:multiLevelType w:val="hybridMultilevel"/>
    <w:tmpl w:val="8E04B7A0"/>
    <w:lvl w:ilvl="0">
      <w:start w:val="1"/>
      <w:numFmt w:val="bullet"/>
      <w:lvlText w:val="-"/>
      <w:lvlJc w:val="left"/>
      <w:pPr>
        <w:tabs>
          <w:tab w:val="num" w:pos="720"/>
        </w:tabs>
        <w:ind w:left="720" w:hanging="360"/>
      </w:pPr>
      <w:rPr>
        <w:rFonts w:ascii="Sylfaen" w:hAnsi="Sylfaen"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285DB1"/>
    <w:multiLevelType w:val="hybridMultilevel"/>
    <w:tmpl w:val="22BE3538"/>
    <w:lvl w:ilvl="0">
      <w:start w:val="1"/>
      <w:numFmt w:val="bullet"/>
      <w:lvlText w:val=""/>
      <w:lvlJc w:val="left"/>
      <w:pPr>
        <w:ind w:left="671" w:hanging="360"/>
      </w:pPr>
      <w:rPr>
        <w:rFonts w:ascii="Wingdings" w:hAnsi="Wingdings" w:hint="default"/>
        <w:b/>
        <w:i w:val="0"/>
      </w:rPr>
    </w:lvl>
    <w:lvl w:ilvl="1">
      <w:start w:val="1"/>
      <w:numFmt w:val="bullet"/>
      <w:lvlText w:val="o"/>
      <w:lvlJc w:val="left"/>
      <w:pPr>
        <w:ind w:left="1391" w:hanging="360"/>
      </w:pPr>
      <w:rPr>
        <w:rFonts w:ascii="Courier New" w:hAnsi="Courier New" w:cs="Courier New" w:hint="default"/>
      </w:rPr>
    </w:lvl>
    <w:lvl w:ilvl="2" w:tentative="1">
      <w:start w:val="1"/>
      <w:numFmt w:val="bullet"/>
      <w:lvlText w:val=""/>
      <w:lvlJc w:val="left"/>
      <w:pPr>
        <w:ind w:left="2111" w:hanging="360"/>
      </w:pPr>
      <w:rPr>
        <w:rFonts w:ascii="Wingdings" w:hAnsi="Wingdings" w:hint="default"/>
      </w:rPr>
    </w:lvl>
    <w:lvl w:ilvl="3" w:tentative="1">
      <w:start w:val="1"/>
      <w:numFmt w:val="bullet"/>
      <w:lvlText w:val=""/>
      <w:lvlJc w:val="left"/>
      <w:pPr>
        <w:ind w:left="2831" w:hanging="360"/>
      </w:pPr>
      <w:rPr>
        <w:rFonts w:ascii="Symbol" w:hAnsi="Symbol" w:hint="default"/>
      </w:rPr>
    </w:lvl>
    <w:lvl w:ilvl="4" w:tentative="1">
      <w:start w:val="1"/>
      <w:numFmt w:val="bullet"/>
      <w:lvlText w:val="o"/>
      <w:lvlJc w:val="left"/>
      <w:pPr>
        <w:ind w:left="3551" w:hanging="360"/>
      </w:pPr>
      <w:rPr>
        <w:rFonts w:ascii="Courier New" w:hAnsi="Courier New" w:cs="Courier New" w:hint="default"/>
      </w:rPr>
    </w:lvl>
    <w:lvl w:ilvl="5" w:tentative="1">
      <w:start w:val="1"/>
      <w:numFmt w:val="bullet"/>
      <w:lvlText w:val=""/>
      <w:lvlJc w:val="left"/>
      <w:pPr>
        <w:ind w:left="4271" w:hanging="360"/>
      </w:pPr>
      <w:rPr>
        <w:rFonts w:ascii="Wingdings" w:hAnsi="Wingdings" w:hint="default"/>
      </w:rPr>
    </w:lvl>
    <w:lvl w:ilvl="6" w:tentative="1">
      <w:start w:val="1"/>
      <w:numFmt w:val="bullet"/>
      <w:lvlText w:val=""/>
      <w:lvlJc w:val="left"/>
      <w:pPr>
        <w:ind w:left="4991" w:hanging="360"/>
      </w:pPr>
      <w:rPr>
        <w:rFonts w:ascii="Symbol" w:hAnsi="Symbol" w:hint="default"/>
      </w:rPr>
    </w:lvl>
    <w:lvl w:ilvl="7" w:tentative="1">
      <w:start w:val="1"/>
      <w:numFmt w:val="bullet"/>
      <w:lvlText w:val="o"/>
      <w:lvlJc w:val="left"/>
      <w:pPr>
        <w:ind w:left="5711" w:hanging="360"/>
      </w:pPr>
      <w:rPr>
        <w:rFonts w:ascii="Courier New" w:hAnsi="Courier New" w:cs="Courier New" w:hint="default"/>
      </w:rPr>
    </w:lvl>
    <w:lvl w:ilvl="8" w:tentative="1">
      <w:start w:val="1"/>
      <w:numFmt w:val="bullet"/>
      <w:lvlText w:val=""/>
      <w:lvlJc w:val="left"/>
      <w:pPr>
        <w:ind w:left="6431" w:hanging="360"/>
      </w:pPr>
      <w:rPr>
        <w:rFonts w:ascii="Wingdings" w:hAnsi="Wingdings" w:hint="default"/>
      </w:rPr>
    </w:lvl>
  </w:abstractNum>
  <w:abstractNum w:abstractNumId="32">
    <w:nsid w:val="3F5A2C44"/>
    <w:multiLevelType w:val="hybridMultilevel"/>
    <w:tmpl w:val="E926E5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FBB1A9C"/>
    <w:multiLevelType w:val="hybridMultilevel"/>
    <w:tmpl w:val="127ED4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Century Gothic" w:hAnsi="Century Gothic" w:hint="default"/>
      </w:rPr>
    </w:lvl>
    <w:lvl w:ilvl="2" w:tentative="1">
      <w:start w:val="1"/>
      <w:numFmt w:val="bullet"/>
      <w:lvlText w:val="►"/>
      <w:lvlJc w:val="left"/>
      <w:pPr>
        <w:tabs>
          <w:tab w:val="num" w:pos="2160"/>
        </w:tabs>
        <w:ind w:left="2160" w:hanging="360"/>
      </w:pPr>
      <w:rPr>
        <w:rFonts w:ascii="Century Gothic" w:hAnsi="Century Gothic" w:hint="default"/>
      </w:rPr>
    </w:lvl>
    <w:lvl w:ilvl="3" w:tentative="1">
      <w:start w:val="1"/>
      <w:numFmt w:val="bullet"/>
      <w:lvlText w:val="►"/>
      <w:lvlJc w:val="left"/>
      <w:pPr>
        <w:tabs>
          <w:tab w:val="num" w:pos="2880"/>
        </w:tabs>
        <w:ind w:left="2880" w:hanging="360"/>
      </w:pPr>
      <w:rPr>
        <w:rFonts w:ascii="Century Gothic" w:hAnsi="Century Gothic" w:hint="default"/>
      </w:rPr>
    </w:lvl>
    <w:lvl w:ilvl="4" w:tentative="1">
      <w:start w:val="1"/>
      <w:numFmt w:val="bullet"/>
      <w:lvlText w:val="►"/>
      <w:lvlJc w:val="left"/>
      <w:pPr>
        <w:tabs>
          <w:tab w:val="num" w:pos="3600"/>
        </w:tabs>
        <w:ind w:left="3600" w:hanging="360"/>
      </w:pPr>
      <w:rPr>
        <w:rFonts w:ascii="Century Gothic" w:hAnsi="Century Gothic" w:hint="default"/>
      </w:rPr>
    </w:lvl>
    <w:lvl w:ilvl="5" w:tentative="1">
      <w:start w:val="1"/>
      <w:numFmt w:val="bullet"/>
      <w:lvlText w:val="►"/>
      <w:lvlJc w:val="left"/>
      <w:pPr>
        <w:tabs>
          <w:tab w:val="num" w:pos="4320"/>
        </w:tabs>
        <w:ind w:left="4320" w:hanging="360"/>
      </w:pPr>
      <w:rPr>
        <w:rFonts w:ascii="Century Gothic" w:hAnsi="Century Gothic" w:hint="default"/>
      </w:rPr>
    </w:lvl>
    <w:lvl w:ilvl="6" w:tentative="1">
      <w:start w:val="1"/>
      <w:numFmt w:val="bullet"/>
      <w:lvlText w:val="►"/>
      <w:lvlJc w:val="left"/>
      <w:pPr>
        <w:tabs>
          <w:tab w:val="num" w:pos="5040"/>
        </w:tabs>
        <w:ind w:left="5040" w:hanging="360"/>
      </w:pPr>
      <w:rPr>
        <w:rFonts w:ascii="Century Gothic" w:hAnsi="Century Gothic" w:hint="default"/>
      </w:rPr>
    </w:lvl>
    <w:lvl w:ilvl="7" w:tentative="1">
      <w:start w:val="1"/>
      <w:numFmt w:val="bullet"/>
      <w:lvlText w:val="►"/>
      <w:lvlJc w:val="left"/>
      <w:pPr>
        <w:tabs>
          <w:tab w:val="num" w:pos="5760"/>
        </w:tabs>
        <w:ind w:left="5760" w:hanging="360"/>
      </w:pPr>
      <w:rPr>
        <w:rFonts w:ascii="Century Gothic" w:hAnsi="Century Gothic" w:hint="default"/>
      </w:rPr>
    </w:lvl>
    <w:lvl w:ilvl="8" w:tentative="1">
      <w:start w:val="1"/>
      <w:numFmt w:val="bullet"/>
      <w:lvlText w:val="►"/>
      <w:lvlJc w:val="left"/>
      <w:pPr>
        <w:tabs>
          <w:tab w:val="num" w:pos="6480"/>
        </w:tabs>
        <w:ind w:left="6480" w:hanging="360"/>
      </w:pPr>
      <w:rPr>
        <w:rFonts w:ascii="Century Gothic" w:hAnsi="Century Gothic" w:hint="default"/>
      </w:rPr>
    </w:lvl>
  </w:abstractNum>
  <w:abstractNum w:abstractNumId="34">
    <w:nsid w:val="437B7678"/>
    <w:multiLevelType w:val="hybridMultilevel"/>
    <w:tmpl w:val="75A6BF18"/>
    <w:lvl w:ilvl="0">
      <w:start w:val="2"/>
      <w:numFmt w:val="bullet"/>
      <w:lvlText w:val="-"/>
      <w:lvlJc w:val="left"/>
      <w:pPr>
        <w:tabs>
          <w:tab w:val="num" w:pos="1146"/>
        </w:tabs>
        <w:ind w:left="1146" w:hanging="360"/>
      </w:pPr>
      <w:rPr>
        <w:rFonts w:ascii="Century Gothic" w:eastAsia="Times New Roman" w:hAnsi="Century Gothic" w:cs="Times New Roman" w:hint="default"/>
      </w:rPr>
    </w:lvl>
    <w:lvl w:ilvl="1">
      <w:start w:val="1"/>
      <w:numFmt w:val="bullet"/>
      <w:lvlText w:val=""/>
      <w:lvlJc w:val="left"/>
      <w:pPr>
        <w:tabs>
          <w:tab w:val="num" w:pos="1866"/>
        </w:tabs>
        <w:ind w:left="1866" w:hanging="360"/>
      </w:pPr>
      <w:rPr>
        <w:rFonts w:ascii="Wingdings" w:hAnsi="Wingdings"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35">
    <w:nsid w:val="441942AA"/>
    <w:multiLevelType w:val="hybridMultilevel"/>
    <w:tmpl w:val="4BC4056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6">
    <w:nsid w:val="473F08C0"/>
    <w:multiLevelType w:val="hybridMultilevel"/>
    <w:tmpl w:val="DAB040FA"/>
    <w:lvl w:ilvl="0">
      <w:start w:val="3"/>
      <w:numFmt w:val="bullet"/>
      <w:lvlText w:val="-"/>
      <w:lvlJc w:val="left"/>
      <w:pPr>
        <w:ind w:left="720" w:hanging="360"/>
      </w:pPr>
      <w:rPr>
        <w:rFonts w:ascii="Century Gothic" w:eastAsia="Times New Roman" w:hAnsi="Century Gothic"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8A5311E"/>
    <w:multiLevelType w:val="hybridMultilevel"/>
    <w:tmpl w:val="133C3768"/>
    <w:lvl w:ilvl="0">
      <w:start w:val="1"/>
      <w:numFmt w:val="bullet"/>
      <w:lvlText w:val=""/>
      <w:lvlJc w:val="left"/>
      <w:pPr>
        <w:ind w:left="769" w:hanging="360"/>
      </w:pPr>
      <w:rPr>
        <w:rFonts w:ascii="Wingdings" w:hAnsi="Wingdings" w:hint="default"/>
      </w:rPr>
    </w:lvl>
    <w:lvl w:ilvl="1" w:tentative="1">
      <w:start w:val="1"/>
      <w:numFmt w:val="bullet"/>
      <w:lvlText w:val="o"/>
      <w:lvlJc w:val="left"/>
      <w:pPr>
        <w:ind w:left="1489" w:hanging="360"/>
      </w:pPr>
      <w:rPr>
        <w:rFonts w:ascii="Courier New" w:hAnsi="Courier New" w:cs="Courier New" w:hint="default"/>
      </w:rPr>
    </w:lvl>
    <w:lvl w:ilvl="2" w:tentative="1">
      <w:start w:val="1"/>
      <w:numFmt w:val="bullet"/>
      <w:lvlText w:val=""/>
      <w:lvlJc w:val="left"/>
      <w:pPr>
        <w:ind w:left="2209" w:hanging="360"/>
      </w:pPr>
      <w:rPr>
        <w:rFonts w:ascii="Wingdings" w:hAnsi="Wingdings" w:hint="default"/>
      </w:rPr>
    </w:lvl>
    <w:lvl w:ilvl="3" w:tentative="1">
      <w:start w:val="1"/>
      <w:numFmt w:val="bullet"/>
      <w:lvlText w:val=""/>
      <w:lvlJc w:val="left"/>
      <w:pPr>
        <w:ind w:left="2929" w:hanging="360"/>
      </w:pPr>
      <w:rPr>
        <w:rFonts w:ascii="Symbol" w:hAnsi="Symbol" w:hint="default"/>
      </w:rPr>
    </w:lvl>
    <w:lvl w:ilvl="4" w:tentative="1">
      <w:start w:val="1"/>
      <w:numFmt w:val="bullet"/>
      <w:lvlText w:val="o"/>
      <w:lvlJc w:val="left"/>
      <w:pPr>
        <w:ind w:left="3649" w:hanging="360"/>
      </w:pPr>
      <w:rPr>
        <w:rFonts w:ascii="Courier New" w:hAnsi="Courier New" w:cs="Courier New" w:hint="default"/>
      </w:rPr>
    </w:lvl>
    <w:lvl w:ilvl="5" w:tentative="1">
      <w:start w:val="1"/>
      <w:numFmt w:val="bullet"/>
      <w:lvlText w:val=""/>
      <w:lvlJc w:val="left"/>
      <w:pPr>
        <w:ind w:left="4369" w:hanging="360"/>
      </w:pPr>
      <w:rPr>
        <w:rFonts w:ascii="Wingdings" w:hAnsi="Wingdings" w:hint="default"/>
      </w:rPr>
    </w:lvl>
    <w:lvl w:ilvl="6" w:tentative="1">
      <w:start w:val="1"/>
      <w:numFmt w:val="bullet"/>
      <w:lvlText w:val=""/>
      <w:lvlJc w:val="left"/>
      <w:pPr>
        <w:ind w:left="5089" w:hanging="360"/>
      </w:pPr>
      <w:rPr>
        <w:rFonts w:ascii="Symbol" w:hAnsi="Symbol" w:hint="default"/>
      </w:rPr>
    </w:lvl>
    <w:lvl w:ilvl="7" w:tentative="1">
      <w:start w:val="1"/>
      <w:numFmt w:val="bullet"/>
      <w:lvlText w:val="o"/>
      <w:lvlJc w:val="left"/>
      <w:pPr>
        <w:ind w:left="5809" w:hanging="360"/>
      </w:pPr>
      <w:rPr>
        <w:rFonts w:ascii="Courier New" w:hAnsi="Courier New" w:cs="Courier New" w:hint="default"/>
      </w:rPr>
    </w:lvl>
    <w:lvl w:ilvl="8" w:tentative="1">
      <w:start w:val="1"/>
      <w:numFmt w:val="bullet"/>
      <w:lvlText w:val=""/>
      <w:lvlJc w:val="left"/>
      <w:pPr>
        <w:ind w:left="6529" w:hanging="360"/>
      </w:pPr>
      <w:rPr>
        <w:rFonts w:ascii="Wingdings" w:hAnsi="Wingdings" w:hint="default"/>
      </w:rPr>
    </w:lvl>
  </w:abstractNum>
  <w:abstractNum w:abstractNumId="38">
    <w:nsid w:val="526F4232"/>
    <w:multiLevelType w:val="hybridMultilevel"/>
    <w:tmpl w:val="6B66C9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2A70DCD"/>
    <w:multiLevelType w:val="hybridMultilevel"/>
    <w:tmpl w:val="2FFC3F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Century Gothic" w:hAnsi="Century Gothic" w:hint="default"/>
      </w:rPr>
    </w:lvl>
    <w:lvl w:ilvl="2" w:tentative="1">
      <w:start w:val="1"/>
      <w:numFmt w:val="bullet"/>
      <w:lvlText w:val="►"/>
      <w:lvlJc w:val="left"/>
      <w:pPr>
        <w:tabs>
          <w:tab w:val="num" w:pos="2160"/>
        </w:tabs>
        <w:ind w:left="2160" w:hanging="360"/>
      </w:pPr>
      <w:rPr>
        <w:rFonts w:ascii="Century Gothic" w:hAnsi="Century Gothic" w:hint="default"/>
      </w:rPr>
    </w:lvl>
    <w:lvl w:ilvl="3" w:tentative="1">
      <w:start w:val="1"/>
      <w:numFmt w:val="bullet"/>
      <w:lvlText w:val="►"/>
      <w:lvlJc w:val="left"/>
      <w:pPr>
        <w:tabs>
          <w:tab w:val="num" w:pos="2880"/>
        </w:tabs>
        <w:ind w:left="2880" w:hanging="360"/>
      </w:pPr>
      <w:rPr>
        <w:rFonts w:ascii="Century Gothic" w:hAnsi="Century Gothic" w:hint="default"/>
      </w:rPr>
    </w:lvl>
    <w:lvl w:ilvl="4" w:tentative="1">
      <w:start w:val="1"/>
      <w:numFmt w:val="bullet"/>
      <w:lvlText w:val="►"/>
      <w:lvlJc w:val="left"/>
      <w:pPr>
        <w:tabs>
          <w:tab w:val="num" w:pos="3600"/>
        </w:tabs>
        <w:ind w:left="3600" w:hanging="360"/>
      </w:pPr>
      <w:rPr>
        <w:rFonts w:ascii="Century Gothic" w:hAnsi="Century Gothic" w:hint="default"/>
      </w:rPr>
    </w:lvl>
    <w:lvl w:ilvl="5" w:tentative="1">
      <w:start w:val="1"/>
      <w:numFmt w:val="bullet"/>
      <w:lvlText w:val="►"/>
      <w:lvlJc w:val="left"/>
      <w:pPr>
        <w:tabs>
          <w:tab w:val="num" w:pos="4320"/>
        </w:tabs>
        <w:ind w:left="4320" w:hanging="360"/>
      </w:pPr>
      <w:rPr>
        <w:rFonts w:ascii="Century Gothic" w:hAnsi="Century Gothic" w:hint="default"/>
      </w:rPr>
    </w:lvl>
    <w:lvl w:ilvl="6" w:tentative="1">
      <w:start w:val="1"/>
      <w:numFmt w:val="bullet"/>
      <w:lvlText w:val="►"/>
      <w:lvlJc w:val="left"/>
      <w:pPr>
        <w:tabs>
          <w:tab w:val="num" w:pos="5040"/>
        </w:tabs>
        <w:ind w:left="5040" w:hanging="360"/>
      </w:pPr>
      <w:rPr>
        <w:rFonts w:ascii="Century Gothic" w:hAnsi="Century Gothic" w:hint="default"/>
      </w:rPr>
    </w:lvl>
    <w:lvl w:ilvl="7" w:tentative="1">
      <w:start w:val="1"/>
      <w:numFmt w:val="bullet"/>
      <w:lvlText w:val="►"/>
      <w:lvlJc w:val="left"/>
      <w:pPr>
        <w:tabs>
          <w:tab w:val="num" w:pos="5760"/>
        </w:tabs>
        <w:ind w:left="5760" w:hanging="360"/>
      </w:pPr>
      <w:rPr>
        <w:rFonts w:ascii="Century Gothic" w:hAnsi="Century Gothic" w:hint="default"/>
      </w:rPr>
    </w:lvl>
    <w:lvl w:ilvl="8" w:tentative="1">
      <w:start w:val="1"/>
      <w:numFmt w:val="bullet"/>
      <w:lvlText w:val="►"/>
      <w:lvlJc w:val="left"/>
      <w:pPr>
        <w:tabs>
          <w:tab w:val="num" w:pos="6480"/>
        </w:tabs>
        <w:ind w:left="6480" w:hanging="360"/>
      </w:pPr>
      <w:rPr>
        <w:rFonts w:ascii="Century Gothic" w:hAnsi="Century Gothic" w:hint="default"/>
      </w:rPr>
    </w:lvl>
  </w:abstractNum>
  <w:abstractNum w:abstractNumId="40">
    <w:nsid w:val="56996FD3"/>
    <w:multiLevelType w:val="hybridMultilevel"/>
    <w:tmpl w:val="8A344F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B63674"/>
    <w:multiLevelType w:val="hybridMultilevel"/>
    <w:tmpl w:val="65C81708"/>
    <w:lvl w:ilvl="0">
      <w:start w:val="1"/>
      <w:numFmt w:val="decimal"/>
      <w:lvlText w:val="%1)"/>
      <w:lvlJc w:val="left"/>
      <w:pPr>
        <w:ind w:left="720" w:hanging="360"/>
      </w:pPr>
      <w:rPr>
        <w:rFonts w:hint="default"/>
        <w:b w:val="0"/>
        <w:i w:val="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F8F3086"/>
    <w:multiLevelType w:val="hybridMultilevel"/>
    <w:tmpl w:val="9A8C80B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05F6248"/>
    <w:multiLevelType w:val="hybridMultilevel"/>
    <w:tmpl w:val="78F6EE4E"/>
    <w:lvl w:ilvl="0">
      <w:start w:val="0"/>
      <w:numFmt w:val="bullet"/>
      <w:lvlText w:val="-"/>
      <w:lvlJc w:val="left"/>
      <w:pPr>
        <w:tabs>
          <w:tab w:val="num" w:pos="720"/>
        </w:tabs>
        <w:ind w:left="720" w:hanging="360"/>
      </w:pPr>
      <w:rPr>
        <w:rFonts w:ascii="Century Gothic" w:eastAsia="Times New Roman" w:hAnsi="Century Gothic" w:cs="Times New Roman"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36C68B6"/>
    <w:multiLevelType w:val="hybridMultilevel"/>
    <w:tmpl w:val="A03ED1A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E161B64"/>
    <w:multiLevelType w:val="hybridMultilevel"/>
    <w:tmpl w:val="19DC74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64791B"/>
    <w:multiLevelType w:val="hybridMultilevel"/>
    <w:tmpl w:val="5C72157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ymbol" w:eastAsia="Times New Roman" w:hAnsi="Symbol" w:cs="Century Gothic"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B34EC6"/>
    <w:multiLevelType w:val="hybridMultilevel"/>
    <w:tmpl w:val="A600D6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E235BF3"/>
    <w:multiLevelType w:val="hybridMultilevel"/>
    <w:tmpl w:val="74F6798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30"/>
  </w:num>
  <w:num w:numId="4">
    <w:abstractNumId w:val="16"/>
  </w:num>
  <w:num w:numId="5">
    <w:abstractNumId w:val="20"/>
  </w:num>
  <w:num w:numId="6">
    <w:abstractNumId w:val="10"/>
  </w:num>
  <w:num w:numId="7">
    <w:abstractNumId w:val="6"/>
  </w:num>
  <w:num w:numId="8">
    <w:abstractNumId w:val="27"/>
  </w:num>
  <w:num w:numId="9">
    <w:abstractNumId w:val="34"/>
  </w:num>
  <w:num w:numId="10">
    <w:abstractNumId w:val="43"/>
  </w:num>
  <w:num w:numId="11">
    <w:abstractNumId w:val="14"/>
  </w:num>
  <w:num w:numId="12">
    <w:abstractNumId w:val="37"/>
  </w:num>
  <w:num w:numId="13">
    <w:abstractNumId w:val="42"/>
  </w:num>
  <w:num w:numId="14">
    <w:abstractNumId w:val="3"/>
  </w:num>
  <w:num w:numId="15">
    <w:abstractNumId w:val="28"/>
  </w:num>
  <w:num w:numId="16">
    <w:abstractNumId w:val="11"/>
  </w:num>
  <w:num w:numId="17">
    <w:abstractNumId w:val="18"/>
  </w:num>
  <w:num w:numId="18">
    <w:abstractNumId w:val="21"/>
  </w:num>
  <w:num w:numId="19">
    <w:abstractNumId w:val="40"/>
  </w:num>
  <w:num w:numId="20">
    <w:abstractNumId w:val="39"/>
  </w:num>
  <w:num w:numId="21">
    <w:abstractNumId w:val="33"/>
  </w:num>
  <w:num w:numId="22">
    <w:abstractNumId w:val="44"/>
  </w:num>
  <w:num w:numId="23">
    <w:abstractNumId w:val="31"/>
  </w:num>
  <w:num w:numId="24">
    <w:abstractNumId w:val="19"/>
  </w:num>
  <w:num w:numId="25">
    <w:abstractNumId w:val="5"/>
  </w:num>
  <w:num w:numId="26">
    <w:abstractNumId w:val="17"/>
  </w:num>
  <w:num w:numId="27">
    <w:abstractNumId w:val="9"/>
  </w:num>
  <w:num w:numId="28">
    <w:abstractNumId w:val="2"/>
  </w:num>
  <w:num w:numId="29">
    <w:abstractNumId w:val="45"/>
  </w:num>
  <w:num w:numId="30">
    <w:abstractNumId w:val="41"/>
  </w:num>
  <w:num w:numId="31">
    <w:abstractNumId w:val="23"/>
  </w:num>
  <w:num w:numId="32">
    <w:abstractNumId w:val="25"/>
  </w:num>
  <w:num w:numId="33">
    <w:abstractNumId w:val="35"/>
  </w:num>
  <w:num w:numId="34">
    <w:abstractNumId w:val="13"/>
  </w:num>
  <w:num w:numId="35">
    <w:abstractNumId w:val="48"/>
  </w:num>
  <w:num w:numId="36">
    <w:abstractNumId w:val="36"/>
  </w:num>
  <w:num w:numId="37">
    <w:abstractNumId w:val="47"/>
  </w:num>
  <w:num w:numId="38">
    <w:abstractNumId w:val="8"/>
  </w:num>
  <w:num w:numId="39">
    <w:abstractNumId w:val="7"/>
  </w:num>
  <w:num w:numId="40">
    <w:abstractNumId w:val="34"/>
  </w:num>
  <w:num w:numId="41">
    <w:abstractNumId w:val="22"/>
  </w:num>
  <w:num w:numId="42">
    <w:abstractNumId w:val="4"/>
  </w:num>
  <w:num w:numId="43">
    <w:abstractNumId w:val="29"/>
  </w:num>
  <w:num w:numId="44">
    <w:abstractNumId w:val="46"/>
  </w:num>
  <w:num w:numId="45">
    <w:abstractNumId w:val="32"/>
  </w:num>
  <w:num w:numId="46">
    <w:abstractNumId w:val="38"/>
  </w:num>
  <w:num w:numId="47">
    <w:abstractNumId w:val="2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9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08"/>
  <w:hyphenationZone w:val="283"/>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E0"/>
    <w:rsid w:val="0000034B"/>
    <w:rsid w:val="000003F3"/>
    <w:rsid w:val="00000A38"/>
    <w:rsid w:val="00001B6D"/>
    <w:rsid w:val="00001F43"/>
    <w:rsid w:val="000021E5"/>
    <w:rsid w:val="000022E0"/>
    <w:rsid w:val="0000251E"/>
    <w:rsid w:val="00002686"/>
    <w:rsid w:val="00002D13"/>
    <w:rsid w:val="00002EAB"/>
    <w:rsid w:val="00002FB2"/>
    <w:rsid w:val="00003206"/>
    <w:rsid w:val="0000338D"/>
    <w:rsid w:val="00003867"/>
    <w:rsid w:val="00005940"/>
    <w:rsid w:val="0000598D"/>
    <w:rsid w:val="00005A61"/>
    <w:rsid w:val="000063B4"/>
    <w:rsid w:val="000065D2"/>
    <w:rsid w:val="00006610"/>
    <w:rsid w:val="000076EE"/>
    <w:rsid w:val="0001057D"/>
    <w:rsid w:val="0001155D"/>
    <w:rsid w:val="00011767"/>
    <w:rsid w:val="00011E5D"/>
    <w:rsid w:val="0001248D"/>
    <w:rsid w:val="00012B3A"/>
    <w:rsid w:val="00013183"/>
    <w:rsid w:val="000135BC"/>
    <w:rsid w:val="00013A56"/>
    <w:rsid w:val="0001407B"/>
    <w:rsid w:val="00014628"/>
    <w:rsid w:val="000148D0"/>
    <w:rsid w:val="00014964"/>
    <w:rsid w:val="000149B0"/>
    <w:rsid w:val="00014ABB"/>
    <w:rsid w:val="00014CE6"/>
    <w:rsid w:val="00015CDF"/>
    <w:rsid w:val="00016776"/>
    <w:rsid w:val="0001697F"/>
    <w:rsid w:val="0001706F"/>
    <w:rsid w:val="00017E53"/>
    <w:rsid w:val="00017FD9"/>
    <w:rsid w:val="0002019B"/>
    <w:rsid w:val="00020ACC"/>
    <w:rsid w:val="00020E15"/>
    <w:rsid w:val="0002155C"/>
    <w:rsid w:val="00021804"/>
    <w:rsid w:val="00021DDF"/>
    <w:rsid w:val="00022374"/>
    <w:rsid w:val="00022380"/>
    <w:rsid w:val="000225EE"/>
    <w:rsid w:val="00023ADB"/>
    <w:rsid w:val="00023C5E"/>
    <w:rsid w:val="00023D4C"/>
    <w:rsid w:val="00023D67"/>
    <w:rsid w:val="00024320"/>
    <w:rsid w:val="000251CA"/>
    <w:rsid w:val="00025570"/>
    <w:rsid w:val="00025BD0"/>
    <w:rsid w:val="00025D01"/>
    <w:rsid w:val="00025DC1"/>
    <w:rsid w:val="0002627F"/>
    <w:rsid w:val="00026465"/>
    <w:rsid w:val="0002670C"/>
    <w:rsid w:val="00026797"/>
    <w:rsid w:val="000277DE"/>
    <w:rsid w:val="00027B5E"/>
    <w:rsid w:val="000307CF"/>
    <w:rsid w:val="00031932"/>
    <w:rsid w:val="00031987"/>
    <w:rsid w:val="00031BAE"/>
    <w:rsid w:val="00032576"/>
    <w:rsid w:val="000327C5"/>
    <w:rsid w:val="000331A6"/>
    <w:rsid w:val="00034142"/>
    <w:rsid w:val="0003433B"/>
    <w:rsid w:val="0003453E"/>
    <w:rsid w:val="00034610"/>
    <w:rsid w:val="00035400"/>
    <w:rsid w:val="00035E10"/>
    <w:rsid w:val="00035FB7"/>
    <w:rsid w:val="00036799"/>
    <w:rsid w:val="000367BB"/>
    <w:rsid w:val="00037095"/>
    <w:rsid w:val="00037E39"/>
    <w:rsid w:val="0004008E"/>
    <w:rsid w:val="00040601"/>
    <w:rsid w:val="00040FB0"/>
    <w:rsid w:val="00041E59"/>
    <w:rsid w:val="00041E71"/>
    <w:rsid w:val="000423E1"/>
    <w:rsid w:val="0004245C"/>
    <w:rsid w:val="00043315"/>
    <w:rsid w:val="000436DE"/>
    <w:rsid w:val="00044286"/>
    <w:rsid w:val="00044BFF"/>
    <w:rsid w:val="00044DEC"/>
    <w:rsid w:val="00046680"/>
    <w:rsid w:val="00046998"/>
    <w:rsid w:val="00046BF2"/>
    <w:rsid w:val="00046C9E"/>
    <w:rsid w:val="000472D1"/>
    <w:rsid w:val="0004772F"/>
    <w:rsid w:val="0004781C"/>
    <w:rsid w:val="0004782B"/>
    <w:rsid w:val="00047BF7"/>
    <w:rsid w:val="00047D74"/>
    <w:rsid w:val="00050430"/>
    <w:rsid w:val="00050739"/>
    <w:rsid w:val="00050AE6"/>
    <w:rsid w:val="00050C4E"/>
    <w:rsid w:val="00051340"/>
    <w:rsid w:val="00051355"/>
    <w:rsid w:val="00051601"/>
    <w:rsid w:val="0005184F"/>
    <w:rsid w:val="00053098"/>
    <w:rsid w:val="000535EE"/>
    <w:rsid w:val="000550EF"/>
    <w:rsid w:val="0005543C"/>
    <w:rsid w:val="000554EB"/>
    <w:rsid w:val="00055EF9"/>
    <w:rsid w:val="00056011"/>
    <w:rsid w:val="0005671F"/>
    <w:rsid w:val="00056D37"/>
    <w:rsid w:val="000572CC"/>
    <w:rsid w:val="00057934"/>
    <w:rsid w:val="00061C45"/>
    <w:rsid w:val="00061EBC"/>
    <w:rsid w:val="0006213C"/>
    <w:rsid w:val="000626E8"/>
    <w:rsid w:val="00062CAE"/>
    <w:rsid w:val="000633FD"/>
    <w:rsid w:val="00063DF7"/>
    <w:rsid w:val="000645CC"/>
    <w:rsid w:val="00065008"/>
    <w:rsid w:val="00065303"/>
    <w:rsid w:val="00065905"/>
    <w:rsid w:val="00065A99"/>
    <w:rsid w:val="00066182"/>
    <w:rsid w:val="00066AE9"/>
    <w:rsid w:val="00066E5C"/>
    <w:rsid w:val="000671E9"/>
    <w:rsid w:val="000678CF"/>
    <w:rsid w:val="000678E7"/>
    <w:rsid w:val="000679E6"/>
    <w:rsid w:val="00070131"/>
    <w:rsid w:val="00071090"/>
    <w:rsid w:val="000711C9"/>
    <w:rsid w:val="00071C15"/>
    <w:rsid w:val="00072F6A"/>
    <w:rsid w:val="000733FB"/>
    <w:rsid w:val="00073A77"/>
    <w:rsid w:val="00073F10"/>
    <w:rsid w:val="00074624"/>
    <w:rsid w:val="00074B6F"/>
    <w:rsid w:val="00074BB6"/>
    <w:rsid w:val="00075E35"/>
    <w:rsid w:val="000765A9"/>
    <w:rsid w:val="00076697"/>
    <w:rsid w:val="00076D65"/>
    <w:rsid w:val="00077303"/>
    <w:rsid w:val="0007760F"/>
    <w:rsid w:val="000779D2"/>
    <w:rsid w:val="00077F5B"/>
    <w:rsid w:val="000801AC"/>
    <w:rsid w:val="000808A1"/>
    <w:rsid w:val="00080A91"/>
    <w:rsid w:val="00081323"/>
    <w:rsid w:val="00081396"/>
    <w:rsid w:val="000814CE"/>
    <w:rsid w:val="000821BB"/>
    <w:rsid w:val="000821C5"/>
    <w:rsid w:val="00082638"/>
    <w:rsid w:val="000828CD"/>
    <w:rsid w:val="000836E9"/>
    <w:rsid w:val="000837A1"/>
    <w:rsid w:val="00083F88"/>
    <w:rsid w:val="0008549F"/>
    <w:rsid w:val="00085BEA"/>
    <w:rsid w:val="00086154"/>
    <w:rsid w:val="00086A23"/>
    <w:rsid w:val="0008702B"/>
    <w:rsid w:val="00087998"/>
    <w:rsid w:val="00087BB0"/>
    <w:rsid w:val="00087D5B"/>
    <w:rsid w:val="000906C9"/>
    <w:rsid w:val="00090764"/>
    <w:rsid w:val="00090A31"/>
    <w:rsid w:val="00090E2E"/>
    <w:rsid w:val="00090EE9"/>
    <w:rsid w:val="000911E2"/>
    <w:rsid w:val="00091304"/>
    <w:rsid w:val="00091658"/>
    <w:rsid w:val="0009197D"/>
    <w:rsid w:val="00091B7E"/>
    <w:rsid w:val="00091F54"/>
    <w:rsid w:val="00092514"/>
    <w:rsid w:val="00093292"/>
    <w:rsid w:val="00093825"/>
    <w:rsid w:val="00094354"/>
    <w:rsid w:val="000943B2"/>
    <w:rsid w:val="00094B04"/>
    <w:rsid w:val="00094B35"/>
    <w:rsid w:val="00095660"/>
    <w:rsid w:val="00095CC0"/>
    <w:rsid w:val="00095F0A"/>
    <w:rsid w:val="00096168"/>
    <w:rsid w:val="00096337"/>
    <w:rsid w:val="00096B41"/>
    <w:rsid w:val="00096D3A"/>
    <w:rsid w:val="00097432"/>
    <w:rsid w:val="000974BF"/>
    <w:rsid w:val="0009770B"/>
    <w:rsid w:val="000978C6"/>
    <w:rsid w:val="000A0E54"/>
    <w:rsid w:val="000A0EB6"/>
    <w:rsid w:val="000A1D8B"/>
    <w:rsid w:val="000A1DBE"/>
    <w:rsid w:val="000A22B9"/>
    <w:rsid w:val="000A2CA6"/>
    <w:rsid w:val="000A43D9"/>
    <w:rsid w:val="000A4481"/>
    <w:rsid w:val="000A4556"/>
    <w:rsid w:val="000A46FD"/>
    <w:rsid w:val="000A4741"/>
    <w:rsid w:val="000A5A74"/>
    <w:rsid w:val="000A5AF9"/>
    <w:rsid w:val="000A5F88"/>
    <w:rsid w:val="000A67BF"/>
    <w:rsid w:val="000A72D7"/>
    <w:rsid w:val="000A7EAA"/>
    <w:rsid w:val="000B0071"/>
    <w:rsid w:val="000B0761"/>
    <w:rsid w:val="000B0808"/>
    <w:rsid w:val="000B08F9"/>
    <w:rsid w:val="000B0A0F"/>
    <w:rsid w:val="000B0B23"/>
    <w:rsid w:val="000B1040"/>
    <w:rsid w:val="000B194D"/>
    <w:rsid w:val="000B1BEF"/>
    <w:rsid w:val="000B22F8"/>
    <w:rsid w:val="000B2D00"/>
    <w:rsid w:val="000B30F6"/>
    <w:rsid w:val="000B34B1"/>
    <w:rsid w:val="000B39D4"/>
    <w:rsid w:val="000B3E3B"/>
    <w:rsid w:val="000B45BE"/>
    <w:rsid w:val="000B45C8"/>
    <w:rsid w:val="000B4827"/>
    <w:rsid w:val="000B4F7D"/>
    <w:rsid w:val="000B55AB"/>
    <w:rsid w:val="000B613F"/>
    <w:rsid w:val="000B76B2"/>
    <w:rsid w:val="000B7913"/>
    <w:rsid w:val="000C079E"/>
    <w:rsid w:val="000C0A2F"/>
    <w:rsid w:val="000C0B93"/>
    <w:rsid w:val="000C0CE4"/>
    <w:rsid w:val="000C0CF1"/>
    <w:rsid w:val="000C1263"/>
    <w:rsid w:val="000C1CC8"/>
    <w:rsid w:val="000C1F36"/>
    <w:rsid w:val="000C209E"/>
    <w:rsid w:val="000C2A0E"/>
    <w:rsid w:val="000C35A4"/>
    <w:rsid w:val="000C3A63"/>
    <w:rsid w:val="000C3D2C"/>
    <w:rsid w:val="000C4BD5"/>
    <w:rsid w:val="000C4D51"/>
    <w:rsid w:val="000C4F80"/>
    <w:rsid w:val="000C5217"/>
    <w:rsid w:val="000C6C9E"/>
    <w:rsid w:val="000C6D65"/>
    <w:rsid w:val="000C6E71"/>
    <w:rsid w:val="000C76A5"/>
    <w:rsid w:val="000C7CB5"/>
    <w:rsid w:val="000C7D50"/>
    <w:rsid w:val="000D1378"/>
    <w:rsid w:val="000D14FA"/>
    <w:rsid w:val="000D19F1"/>
    <w:rsid w:val="000D1B17"/>
    <w:rsid w:val="000D1C58"/>
    <w:rsid w:val="000D1E7F"/>
    <w:rsid w:val="000D28CF"/>
    <w:rsid w:val="000D2A06"/>
    <w:rsid w:val="000D3056"/>
    <w:rsid w:val="000D31A9"/>
    <w:rsid w:val="000D372C"/>
    <w:rsid w:val="000D3736"/>
    <w:rsid w:val="000D39AE"/>
    <w:rsid w:val="000D4063"/>
    <w:rsid w:val="000D48A3"/>
    <w:rsid w:val="000D4BFB"/>
    <w:rsid w:val="000D4F2A"/>
    <w:rsid w:val="000D53BD"/>
    <w:rsid w:val="000D5A6F"/>
    <w:rsid w:val="000D5E0A"/>
    <w:rsid w:val="000D60DF"/>
    <w:rsid w:val="000D63CD"/>
    <w:rsid w:val="000D699C"/>
    <w:rsid w:val="000D6AA4"/>
    <w:rsid w:val="000D6C67"/>
    <w:rsid w:val="000D7820"/>
    <w:rsid w:val="000D797C"/>
    <w:rsid w:val="000D7E5D"/>
    <w:rsid w:val="000D7F18"/>
    <w:rsid w:val="000E07B4"/>
    <w:rsid w:val="000E1022"/>
    <w:rsid w:val="000E1A4B"/>
    <w:rsid w:val="000E1DE1"/>
    <w:rsid w:val="000E2321"/>
    <w:rsid w:val="000E23D8"/>
    <w:rsid w:val="000E2684"/>
    <w:rsid w:val="000E2A03"/>
    <w:rsid w:val="000E2CF7"/>
    <w:rsid w:val="000E2E2C"/>
    <w:rsid w:val="000E2F3F"/>
    <w:rsid w:val="000E33AD"/>
    <w:rsid w:val="000E3522"/>
    <w:rsid w:val="000E3681"/>
    <w:rsid w:val="000E3D5D"/>
    <w:rsid w:val="000E4F48"/>
    <w:rsid w:val="000E4F77"/>
    <w:rsid w:val="000E52E7"/>
    <w:rsid w:val="000E5392"/>
    <w:rsid w:val="000E5928"/>
    <w:rsid w:val="000E592B"/>
    <w:rsid w:val="000E5C17"/>
    <w:rsid w:val="000E5CB5"/>
    <w:rsid w:val="000E6554"/>
    <w:rsid w:val="000E6A9B"/>
    <w:rsid w:val="000E71BB"/>
    <w:rsid w:val="000E739B"/>
    <w:rsid w:val="000E75E3"/>
    <w:rsid w:val="000E7654"/>
    <w:rsid w:val="000E7697"/>
    <w:rsid w:val="000E78F2"/>
    <w:rsid w:val="000F15B3"/>
    <w:rsid w:val="000F2056"/>
    <w:rsid w:val="000F219B"/>
    <w:rsid w:val="000F21F9"/>
    <w:rsid w:val="000F221E"/>
    <w:rsid w:val="000F23BB"/>
    <w:rsid w:val="000F25C4"/>
    <w:rsid w:val="000F28DD"/>
    <w:rsid w:val="000F2A96"/>
    <w:rsid w:val="000F4312"/>
    <w:rsid w:val="000F479E"/>
    <w:rsid w:val="000F4E11"/>
    <w:rsid w:val="000F599A"/>
    <w:rsid w:val="000F5BDF"/>
    <w:rsid w:val="000F5E0A"/>
    <w:rsid w:val="000F6E32"/>
    <w:rsid w:val="000F7273"/>
    <w:rsid w:val="000F7413"/>
    <w:rsid w:val="000F77AB"/>
    <w:rsid w:val="000F7994"/>
    <w:rsid w:val="000F7E91"/>
    <w:rsid w:val="000F7FB8"/>
    <w:rsid w:val="001001E0"/>
    <w:rsid w:val="001001E1"/>
    <w:rsid w:val="001002BE"/>
    <w:rsid w:val="00101BDC"/>
    <w:rsid w:val="00101C3B"/>
    <w:rsid w:val="001024BD"/>
    <w:rsid w:val="0010258E"/>
    <w:rsid w:val="00102BFB"/>
    <w:rsid w:val="0010343B"/>
    <w:rsid w:val="00103A76"/>
    <w:rsid w:val="00103F7A"/>
    <w:rsid w:val="00104C1B"/>
    <w:rsid w:val="0010506B"/>
    <w:rsid w:val="00105423"/>
    <w:rsid w:val="00105994"/>
    <w:rsid w:val="00105DB1"/>
    <w:rsid w:val="0010685C"/>
    <w:rsid w:val="0010687A"/>
    <w:rsid w:val="001069A8"/>
    <w:rsid w:val="00106DF8"/>
    <w:rsid w:val="00106F9F"/>
    <w:rsid w:val="001070DB"/>
    <w:rsid w:val="00107525"/>
    <w:rsid w:val="001075AE"/>
    <w:rsid w:val="00107AB1"/>
    <w:rsid w:val="00107D9A"/>
    <w:rsid w:val="0011005C"/>
    <w:rsid w:val="001103DE"/>
    <w:rsid w:val="00110898"/>
    <w:rsid w:val="0011142B"/>
    <w:rsid w:val="001114D5"/>
    <w:rsid w:val="00111E1C"/>
    <w:rsid w:val="001122E9"/>
    <w:rsid w:val="00112968"/>
    <w:rsid w:val="00112E73"/>
    <w:rsid w:val="001134C1"/>
    <w:rsid w:val="00113729"/>
    <w:rsid w:val="0011405F"/>
    <w:rsid w:val="0011434A"/>
    <w:rsid w:val="00114FD3"/>
    <w:rsid w:val="0011536C"/>
    <w:rsid w:val="001154B7"/>
    <w:rsid w:val="001169B4"/>
    <w:rsid w:val="00116D35"/>
    <w:rsid w:val="00116D75"/>
    <w:rsid w:val="00117438"/>
    <w:rsid w:val="0011778D"/>
    <w:rsid w:val="0011798D"/>
    <w:rsid w:val="00117A41"/>
    <w:rsid w:val="00117B9C"/>
    <w:rsid w:val="00120FF6"/>
    <w:rsid w:val="00121317"/>
    <w:rsid w:val="00121544"/>
    <w:rsid w:val="00121E68"/>
    <w:rsid w:val="001221FD"/>
    <w:rsid w:val="00122E7E"/>
    <w:rsid w:val="001235E7"/>
    <w:rsid w:val="0012374B"/>
    <w:rsid w:val="00124934"/>
    <w:rsid w:val="00124CC0"/>
    <w:rsid w:val="00124EB7"/>
    <w:rsid w:val="0012502C"/>
    <w:rsid w:val="00125095"/>
    <w:rsid w:val="00125AE0"/>
    <w:rsid w:val="00125F96"/>
    <w:rsid w:val="00126F82"/>
    <w:rsid w:val="00127321"/>
    <w:rsid w:val="00127417"/>
    <w:rsid w:val="001277BB"/>
    <w:rsid w:val="00130871"/>
    <w:rsid w:val="00131012"/>
    <w:rsid w:val="00131853"/>
    <w:rsid w:val="00131C16"/>
    <w:rsid w:val="001329F3"/>
    <w:rsid w:val="00132AD4"/>
    <w:rsid w:val="0013310A"/>
    <w:rsid w:val="0013315B"/>
    <w:rsid w:val="00133526"/>
    <w:rsid w:val="001338D5"/>
    <w:rsid w:val="00133A46"/>
    <w:rsid w:val="00133DD9"/>
    <w:rsid w:val="0013473D"/>
    <w:rsid w:val="0013490B"/>
    <w:rsid w:val="001349A2"/>
    <w:rsid w:val="00134A9D"/>
    <w:rsid w:val="00135CF8"/>
    <w:rsid w:val="00136233"/>
    <w:rsid w:val="0013629D"/>
    <w:rsid w:val="001368CF"/>
    <w:rsid w:val="00136D26"/>
    <w:rsid w:val="00136D94"/>
    <w:rsid w:val="00136EEA"/>
    <w:rsid w:val="001373B2"/>
    <w:rsid w:val="001376F6"/>
    <w:rsid w:val="00137EEF"/>
    <w:rsid w:val="00140466"/>
    <w:rsid w:val="00140FC8"/>
    <w:rsid w:val="0014133F"/>
    <w:rsid w:val="00141635"/>
    <w:rsid w:val="00141718"/>
    <w:rsid w:val="00141D91"/>
    <w:rsid w:val="00141F42"/>
    <w:rsid w:val="0014208E"/>
    <w:rsid w:val="00142345"/>
    <w:rsid w:val="00142A8B"/>
    <w:rsid w:val="00142B2E"/>
    <w:rsid w:val="00142B75"/>
    <w:rsid w:val="00142D9C"/>
    <w:rsid w:val="00143804"/>
    <w:rsid w:val="001447A8"/>
    <w:rsid w:val="00144BD2"/>
    <w:rsid w:val="00146CD2"/>
    <w:rsid w:val="00146F1F"/>
    <w:rsid w:val="00147D3F"/>
    <w:rsid w:val="001504E8"/>
    <w:rsid w:val="00150EFD"/>
    <w:rsid w:val="00150FE4"/>
    <w:rsid w:val="00151056"/>
    <w:rsid w:val="00151657"/>
    <w:rsid w:val="00152972"/>
    <w:rsid w:val="00152BED"/>
    <w:rsid w:val="001542DC"/>
    <w:rsid w:val="00154DAF"/>
    <w:rsid w:val="00154F0E"/>
    <w:rsid w:val="00155C5A"/>
    <w:rsid w:val="001561F4"/>
    <w:rsid w:val="00156483"/>
    <w:rsid w:val="00156966"/>
    <w:rsid w:val="00156CCA"/>
    <w:rsid w:val="001571F2"/>
    <w:rsid w:val="0015729B"/>
    <w:rsid w:val="001572FC"/>
    <w:rsid w:val="0015741D"/>
    <w:rsid w:val="001603F8"/>
    <w:rsid w:val="001604A3"/>
    <w:rsid w:val="0016059E"/>
    <w:rsid w:val="00161095"/>
    <w:rsid w:val="00161995"/>
    <w:rsid w:val="00161A41"/>
    <w:rsid w:val="001623C8"/>
    <w:rsid w:val="00162607"/>
    <w:rsid w:val="001627C2"/>
    <w:rsid w:val="001627D4"/>
    <w:rsid w:val="00162838"/>
    <w:rsid w:val="00162A26"/>
    <w:rsid w:val="00162C23"/>
    <w:rsid w:val="00163142"/>
    <w:rsid w:val="00164297"/>
    <w:rsid w:val="001649E0"/>
    <w:rsid w:val="00165699"/>
    <w:rsid w:val="00165732"/>
    <w:rsid w:val="001659D2"/>
    <w:rsid w:val="001659E3"/>
    <w:rsid w:val="00165C60"/>
    <w:rsid w:val="00166C21"/>
    <w:rsid w:val="00166ED5"/>
    <w:rsid w:val="00167612"/>
    <w:rsid w:val="00167627"/>
    <w:rsid w:val="0016775A"/>
    <w:rsid w:val="001679C1"/>
    <w:rsid w:val="001679CD"/>
    <w:rsid w:val="00170BE4"/>
    <w:rsid w:val="00171092"/>
    <w:rsid w:val="001714DD"/>
    <w:rsid w:val="00171DE5"/>
    <w:rsid w:val="00171FD7"/>
    <w:rsid w:val="00173083"/>
    <w:rsid w:val="0017361B"/>
    <w:rsid w:val="001736BC"/>
    <w:rsid w:val="00173F10"/>
    <w:rsid w:val="0017486B"/>
    <w:rsid w:val="00174EC0"/>
    <w:rsid w:val="001750A7"/>
    <w:rsid w:val="001751DD"/>
    <w:rsid w:val="0017533D"/>
    <w:rsid w:val="00175487"/>
    <w:rsid w:val="0017576B"/>
    <w:rsid w:val="00175870"/>
    <w:rsid w:val="00175AB4"/>
    <w:rsid w:val="00175E3A"/>
    <w:rsid w:val="00175F71"/>
    <w:rsid w:val="00176443"/>
    <w:rsid w:val="00176DB8"/>
    <w:rsid w:val="00180127"/>
    <w:rsid w:val="00180975"/>
    <w:rsid w:val="00181074"/>
    <w:rsid w:val="0018115E"/>
    <w:rsid w:val="00181644"/>
    <w:rsid w:val="001817B2"/>
    <w:rsid w:val="001817B9"/>
    <w:rsid w:val="001820D4"/>
    <w:rsid w:val="0018218C"/>
    <w:rsid w:val="001822EF"/>
    <w:rsid w:val="00182630"/>
    <w:rsid w:val="00182C74"/>
    <w:rsid w:val="00183053"/>
    <w:rsid w:val="001837D1"/>
    <w:rsid w:val="001849F7"/>
    <w:rsid w:val="0018549E"/>
    <w:rsid w:val="00185E97"/>
    <w:rsid w:val="0018602C"/>
    <w:rsid w:val="0018641A"/>
    <w:rsid w:val="00186485"/>
    <w:rsid w:val="0018693A"/>
    <w:rsid w:val="00186E15"/>
    <w:rsid w:val="00186EA0"/>
    <w:rsid w:val="0018723C"/>
    <w:rsid w:val="001872FC"/>
    <w:rsid w:val="00187A13"/>
    <w:rsid w:val="00190D3B"/>
    <w:rsid w:val="00190FDA"/>
    <w:rsid w:val="0019100C"/>
    <w:rsid w:val="0019164C"/>
    <w:rsid w:val="001917BA"/>
    <w:rsid w:val="00191D00"/>
    <w:rsid w:val="00192693"/>
    <w:rsid w:val="00192A1C"/>
    <w:rsid w:val="00193377"/>
    <w:rsid w:val="00193C2E"/>
    <w:rsid w:val="00193C67"/>
    <w:rsid w:val="00193D9F"/>
    <w:rsid w:val="00193F4A"/>
    <w:rsid w:val="00194542"/>
    <w:rsid w:val="00194E78"/>
    <w:rsid w:val="001951FB"/>
    <w:rsid w:val="001956F3"/>
    <w:rsid w:val="001959AC"/>
    <w:rsid w:val="00195D4B"/>
    <w:rsid w:val="001964FE"/>
    <w:rsid w:val="0019678B"/>
    <w:rsid w:val="00196D82"/>
    <w:rsid w:val="00196FA8"/>
    <w:rsid w:val="00197761"/>
    <w:rsid w:val="001A005E"/>
    <w:rsid w:val="001A0483"/>
    <w:rsid w:val="001A04A6"/>
    <w:rsid w:val="001A05E9"/>
    <w:rsid w:val="001A07FD"/>
    <w:rsid w:val="001A25D3"/>
    <w:rsid w:val="001A3834"/>
    <w:rsid w:val="001A38C6"/>
    <w:rsid w:val="001A3B8A"/>
    <w:rsid w:val="001A4457"/>
    <w:rsid w:val="001A4542"/>
    <w:rsid w:val="001A4887"/>
    <w:rsid w:val="001A4B31"/>
    <w:rsid w:val="001A4E3B"/>
    <w:rsid w:val="001A5038"/>
    <w:rsid w:val="001A59A7"/>
    <w:rsid w:val="001A60D3"/>
    <w:rsid w:val="001A6129"/>
    <w:rsid w:val="001A61D6"/>
    <w:rsid w:val="001A754F"/>
    <w:rsid w:val="001B02F2"/>
    <w:rsid w:val="001B0370"/>
    <w:rsid w:val="001B1134"/>
    <w:rsid w:val="001B1137"/>
    <w:rsid w:val="001B1843"/>
    <w:rsid w:val="001B25C1"/>
    <w:rsid w:val="001B26B9"/>
    <w:rsid w:val="001B2A19"/>
    <w:rsid w:val="001B2C40"/>
    <w:rsid w:val="001B2F0D"/>
    <w:rsid w:val="001B3169"/>
    <w:rsid w:val="001B326E"/>
    <w:rsid w:val="001B344A"/>
    <w:rsid w:val="001B38CB"/>
    <w:rsid w:val="001B4046"/>
    <w:rsid w:val="001B4F16"/>
    <w:rsid w:val="001B5165"/>
    <w:rsid w:val="001B522E"/>
    <w:rsid w:val="001B5F8A"/>
    <w:rsid w:val="001B6152"/>
    <w:rsid w:val="001B61CE"/>
    <w:rsid w:val="001B64C5"/>
    <w:rsid w:val="001B75A5"/>
    <w:rsid w:val="001B77B4"/>
    <w:rsid w:val="001B7976"/>
    <w:rsid w:val="001B7A97"/>
    <w:rsid w:val="001C0346"/>
    <w:rsid w:val="001C11E6"/>
    <w:rsid w:val="001C21D5"/>
    <w:rsid w:val="001C25FE"/>
    <w:rsid w:val="001C2B53"/>
    <w:rsid w:val="001C2C9E"/>
    <w:rsid w:val="001C2F1C"/>
    <w:rsid w:val="001C3552"/>
    <w:rsid w:val="001C411C"/>
    <w:rsid w:val="001C4270"/>
    <w:rsid w:val="001C44C2"/>
    <w:rsid w:val="001C46D9"/>
    <w:rsid w:val="001C4718"/>
    <w:rsid w:val="001C491B"/>
    <w:rsid w:val="001C4AE4"/>
    <w:rsid w:val="001C4AEB"/>
    <w:rsid w:val="001C4F07"/>
    <w:rsid w:val="001C4F39"/>
    <w:rsid w:val="001C5315"/>
    <w:rsid w:val="001C5345"/>
    <w:rsid w:val="001C5957"/>
    <w:rsid w:val="001C5F07"/>
    <w:rsid w:val="001C636E"/>
    <w:rsid w:val="001C690F"/>
    <w:rsid w:val="001C69AA"/>
    <w:rsid w:val="001C6A89"/>
    <w:rsid w:val="001C7059"/>
    <w:rsid w:val="001C7607"/>
    <w:rsid w:val="001C7D97"/>
    <w:rsid w:val="001C7FB6"/>
    <w:rsid w:val="001D1B0C"/>
    <w:rsid w:val="001D21A7"/>
    <w:rsid w:val="001D273D"/>
    <w:rsid w:val="001D2996"/>
    <w:rsid w:val="001D2C17"/>
    <w:rsid w:val="001D31B1"/>
    <w:rsid w:val="001D344A"/>
    <w:rsid w:val="001D361B"/>
    <w:rsid w:val="001D37D1"/>
    <w:rsid w:val="001D3813"/>
    <w:rsid w:val="001D38B9"/>
    <w:rsid w:val="001D3D25"/>
    <w:rsid w:val="001D3D4A"/>
    <w:rsid w:val="001D4005"/>
    <w:rsid w:val="001D447F"/>
    <w:rsid w:val="001D47C6"/>
    <w:rsid w:val="001D4C8E"/>
    <w:rsid w:val="001D5421"/>
    <w:rsid w:val="001D5A21"/>
    <w:rsid w:val="001D5E3D"/>
    <w:rsid w:val="001D65E4"/>
    <w:rsid w:val="001D71DD"/>
    <w:rsid w:val="001D73AD"/>
    <w:rsid w:val="001D7BA1"/>
    <w:rsid w:val="001E069D"/>
    <w:rsid w:val="001E0E40"/>
    <w:rsid w:val="001E1237"/>
    <w:rsid w:val="001E1490"/>
    <w:rsid w:val="001E177B"/>
    <w:rsid w:val="001E1AA1"/>
    <w:rsid w:val="001E1CE9"/>
    <w:rsid w:val="001E1DDE"/>
    <w:rsid w:val="001E25E3"/>
    <w:rsid w:val="001E2E35"/>
    <w:rsid w:val="001E30C5"/>
    <w:rsid w:val="001E323A"/>
    <w:rsid w:val="001E3C08"/>
    <w:rsid w:val="001E400D"/>
    <w:rsid w:val="001E4D18"/>
    <w:rsid w:val="001E4DBF"/>
    <w:rsid w:val="001E4E59"/>
    <w:rsid w:val="001E4EEE"/>
    <w:rsid w:val="001E5058"/>
    <w:rsid w:val="001E60BE"/>
    <w:rsid w:val="001E626B"/>
    <w:rsid w:val="001E6815"/>
    <w:rsid w:val="001E6BF4"/>
    <w:rsid w:val="001E718E"/>
    <w:rsid w:val="001F000E"/>
    <w:rsid w:val="001F0189"/>
    <w:rsid w:val="001F0D9D"/>
    <w:rsid w:val="001F13CD"/>
    <w:rsid w:val="001F14E2"/>
    <w:rsid w:val="001F1850"/>
    <w:rsid w:val="001F206C"/>
    <w:rsid w:val="001F292B"/>
    <w:rsid w:val="001F2C26"/>
    <w:rsid w:val="001F3295"/>
    <w:rsid w:val="001F3B5C"/>
    <w:rsid w:val="001F3E63"/>
    <w:rsid w:val="001F40FE"/>
    <w:rsid w:val="001F430B"/>
    <w:rsid w:val="001F4BF0"/>
    <w:rsid w:val="001F4FAD"/>
    <w:rsid w:val="001F5896"/>
    <w:rsid w:val="001F5C7C"/>
    <w:rsid w:val="001F5CE7"/>
    <w:rsid w:val="001F6218"/>
    <w:rsid w:val="001F67B0"/>
    <w:rsid w:val="001F6E51"/>
    <w:rsid w:val="001F6F6F"/>
    <w:rsid w:val="001F7F57"/>
    <w:rsid w:val="00200556"/>
    <w:rsid w:val="0020080C"/>
    <w:rsid w:val="00201415"/>
    <w:rsid w:val="00201729"/>
    <w:rsid w:val="0020196E"/>
    <w:rsid w:val="00201E76"/>
    <w:rsid w:val="00202066"/>
    <w:rsid w:val="0020222E"/>
    <w:rsid w:val="00202AED"/>
    <w:rsid w:val="00204D44"/>
    <w:rsid w:val="00204E41"/>
    <w:rsid w:val="00204F29"/>
    <w:rsid w:val="00205147"/>
    <w:rsid w:val="00205151"/>
    <w:rsid w:val="0020525D"/>
    <w:rsid w:val="002056E6"/>
    <w:rsid w:val="00205C68"/>
    <w:rsid w:val="00205EF2"/>
    <w:rsid w:val="002063E5"/>
    <w:rsid w:val="00206BE7"/>
    <w:rsid w:val="00206C3A"/>
    <w:rsid w:val="0020705A"/>
    <w:rsid w:val="0020739F"/>
    <w:rsid w:val="00207A6F"/>
    <w:rsid w:val="00210073"/>
    <w:rsid w:val="00210094"/>
    <w:rsid w:val="00210527"/>
    <w:rsid w:val="002105AF"/>
    <w:rsid w:val="00210CED"/>
    <w:rsid w:val="00211219"/>
    <w:rsid w:val="002113CB"/>
    <w:rsid w:val="00211BD0"/>
    <w:rsid w:val="00211C85"/>
    <w:rsid w:val="00211D1B"/>
    <w:rsid w:val="00211E75"/>
    <w:rsid w:val="00212B3F"/>
    <w:rsid w:val="00212C92"/>
    <w:rsid w:val="0021385D"/>
    <w:rsid w:val="00213961"/>
    <w:rsid w:val="002140D9"/>
    <w:rsid w:val="002147F5"/>
    <w:rsid w:val="00214839"/>
    <w:rsid w:val="00214BAC"/>
    <w:rsid w:val="00215092"/>
    <w:rsid w:val="002150F9"/>
    <w:rsid w:val="0021563D"/>
    <w:rsid w:val="00215F54"/>
    <w:rsid w:val="00215F5E"/>
    <w:rsid w:val="00216D1F"/>
    <w:rsid w:val="0021789F"/>
    <w:rsid w:val="00217933"/>
    <w:rsid w:val="00217CAA"/>
    <w:rsid w:val="0022021D"/>
    <w:rsid w:val="00220B15"/>
    <w:rsid w:val="00220F0A"/>
    <w:rsid w:val="00220F10"/>
    <w:rsid w:val="00220F75"/>
    <w:rsid w:val="002210C6"/>
    <w:rsid w:val="0022135C"/>
    <w:rsid w:val="002214A5"/>
    <w:rsid w:val="00221849"/>
    <w:rsid w:val="002218E5"/>
    <w:rsid w:val="00222288"/>
    <w:rsid w:val="00222588"/>
    <w:rsid w:val="00222952"/>
    <w:rsid w:val="00222A0E"/>
    <w:rsid w:val="00222E7D"/>
    <w:rsid w:val="00223351"/>
    <w:rsid w:val="002248A1"/>
    <w:rsid w:val="00224C3F"/>
    <w:rsid w:val="0022525D"/>
    <w:rsid w:val="0022554D"/>
    <w:rsid w:val="002259AF"/>
    <w:rsid w:val="00225CF1"/>
    <w:rsid w:val="00225F53"/>
    <w:rsid w:val="002262C1"/>
    <w:rsid w:val="002264F3"/>
    <w:rsid w:val="0022679F"/>
    <w:rsid w:val="00226C44"/>
    <w:rsid w:val="00227587"/>
    <w:rsid w:val="00227A8B"/>
    <w:rsid w:val="00227F7C"/>
    <w:rsid w:val="002300D8"/>
    <w:rsid w:val="0023034B"/>
    <w:rsid w:val="002305DF"/>
    <w:rsid w:val="002308A9"/>
    <w:rsid w:val="00231517"/>
    <w:rsid w:val="0023180C"/>
    <w:rsid w:val="002318DD"/>
    <w:rsid w:val="0023203F"/>
    <w:rsid w:val="00232750"/>
    <w:rsid w:val="002330D5"/>
    <w:rsid w:val="00233512"/>
    <w:rsid w:val="00233656"/>
    <w:rsid w:val="0023374C"/>
    <w:rsid w:val="00234633"/>
    <w:rsid w:val="00234719"/>
    <w:rsid w:val="002348E4"/>
    <w:rsid w:val="00234CC4"/>
    <w:rsid w:val="00235061"/>
    <w:rsid w:val="00235421"/>
    <w:rsid w:val="002354DE"/>
    <w:rsid w:val="00235CCF"/>
    <w:rsid w:val="002369A7"/>
    <w:rsid w:val="00236FF9"/>
    <w:rsid w:val="0024055B"/>
    <w:rsid w:val="00240954"/>
    <w:rsid w:val="002419E7"/>
    <w:rsid w:val="00242B7E"/>
    <w:rsid w:val="00243199"/>
    <w:rsid w:val="00243640"/>
    <w:rsid w:val="002438D9"/>
    <w:rsid w:val="00243CA1"/>
    <w:rsid w:val="00244378"/>
    <w:rsid w:val="0024449D"/>
    <w:rsid w:val="00244769"/>
    <w:rsid w:val="002448F3"/>
    <w:rsid w:val="00245DE2"/>
    <w:rsid w:val="0024617E"/>
    <w:rsid w:val="002466CB"/>
    <w:rsid w:val="0024673E"/>
    <w:rsid w:val="00247059"/>
    <w:rsid w:val="0024708C"/>
    <w:rsid w:val="00247148"/>
    <w:rsid w:val="002473AC"/>
    <w:rsid w:val="00247777"/>
    <w:rsid w:val="00247CB2"/>
    <w:rsid w:val="002502C4"/>
    <w:rsid w:val="00250334"/>
    <w:rsid w:val="002506FB"/>
    <w:rsid w:val="0025087C"/>
    <w:rsid w:val="00250E42"/>
    <w:rsid w:val="00250E62"/>
    <w:rsid w:val="002512AB"/>
    <w:rsid w:val="002519CC"/>
    <w:rsid w:val="00251D2C"/>
    <w:rsid w:val="00252B10"/>
    <w:rsid w:val="00252C11"/>
    <w:rsid w:val="00252E73"/>
    <w:rsid w:val="002533CC"/>
    <w:rsid w:val="002535EF"/>
    <w:rsid w:val="00253D2F"/>
    <w:rsid w:val="00255931"/>
    <w:rsid w:val="00255D5F"/>
    <w:rsid w:val="00255F0B"/>
    <w:rsid w:val="00256499"/>
    <w:rsid w:val="00256980"/>
    <w:rsid w:val="00256B16"/>
    <w:rsid w:val="00256CE9"/>
    <w:rsid w:val="00256ED4"/>
    <w:rsid w:val="00257ECB"/>
    <w:rsid w:val="00260B91"/>
    <w:rsid w:val="00260F6A"/>
    <w:rsid w:val="00261154"/>
    <w:rsid w:val="002615C3"/>
    <w:rsid w:val="00261D9A"/>
    <w:rsid w:val="0026202B"/>
    <w:rsid w:val="002620B7"/>
    <w:rsid w:val="002621A7"/>
    <w:rsid w:val="0026220B"/>
    <w:rsid w:val="00262503"/>
    <w:rsid w:val="00262AB3"/>
    <w:rsid w:val="00262E11"/>
    <w:rsid w:val="00262E13"/>
    <w:rsid w:val="00263155"/>
    <w:rsid w:val="0026333E"/>
    <w:rsid w:val="00263B3C"/>
    <w:rsid w:val="00263EA9"/>
    <w:rsid w:val="0026457D"/>
    <w:rsid w:val="00264C68"/>
    <w:rsid w:val="002651E8"/>
    <w:rsid w:val="002654AC"/>
    <w:rsid w:val="00265796"/>
    <w:rsid w:val="00265C9C"/>
    <w:rsid w:val="00265DD4"/>
    <w:rsid w:val="00265F4F"/>
    <w:rsid w:val="00266255"/>
    <w:rsid w:val="002662D9"/>
    <w:rsid w:val="00266416"/>
    <w:rsid w:val="0026679E"/>
    <w:rsid w:val="00266B8C"/>
    <w:rsid w:val="00266BF7"/>
    <w:rsid w:val="00266D5F"/>
    <w:rsid w:val="0026707D"/>
    <w:rsid w:val="002670B7"/>
    <w:rsid w:val="0026723E"/>
    <w:rsid w:val="00267599"/>
    <w:rsid w:val="00267953"/>
    <w:rsid w:val="00267D71"/>
    <w:rsid w:val="00267FEF"/>
    <w:rsid w:val="002708F8"/>
    <w:rsid w:val="0027099C"/>
    <w:rsid w:val="00270F3A"/>
    <w:rsid w:val="002716D9"/>
    <w:rsid w:val="00271CEC"/>
    <w:rsid w:val="00271E40"/>
    <w:rsid w:val="00272011"/>
    <w:rsid w:val="00272D46"/>
    <w:rsid w:val="00273055"/>
    <w:rsid w:val="002736A1"/>
    <w:rsid w:val="00273B0A"/>
    <w:rsid w:val="0027492E"/>
    <w:rsid w:val="00275242"/>
    <w:rsid w:val="0027549B"/>
    <w:rsid w:val="002756AA"/>
    <w:rsid w:val="002756F2"/>
    <w:rsid w:val="00275833"/>
    <w:rsid w:val="00275A6D"/>
    <w:rsid w:val="00275AEA"/>
    <w:rsid w:val="00275DE7"/>
    <w:rsid w:val="00275EF4"/>
    <w:rsid w:val="00276167"/>
    <w:rsid w:val="00276671"/>
    <w:rsid w:val="00277060"/>
    <w:rsid w:val="002771D6"/>
    <w:rsid w:val="00280356"/>
    <w:rsid w:val="0028084B"/>
    <w:rsid w:val="00280C8B"/>
    <w:rsid w:val="00280CC5"/>
    <w:rsid w:val="00280D44"/>
    <w:rsid w:val="00282083"/>
    <w:rsid w:val="00282431"/>
    <w:rsid w:val="002824DC"/>
    <w:rsid w:val="002826E1"/>
    <w:rsid w:val="002830A3"/>
    <w:rsid w:val="002831BD"/>
    <w:rsid w:val="002834FA"/>
    <w:rsid w:val="00283B8E"/>
    <w:rsid w:val="00283BEF"/>
    <w:rsid w:val="00283CD6"/>
    <w:rsid w:val="00283D4E"/>
    <w:rsid w:val="00283EF3"/>
    <w:rsid w:val="0028411E"/>
    <w:rsid w:val="002859C4"/>
    <w:rsid w:val="00285A49"/>
    <w:rsid w:val="00285BB2"/>
    <w:rsid w:val="0028626D"/>
    <w:rsid w:val="002866B6"/>
    <w:rsid w:val="00286B79"/>
    <w:rsid w:val="002871E8"/>
    <w:rsid w:val="002872BB"/>
    <w:rsid w:val="00287406"/>
    <w:rsid w:val="00287522"/>
    <w:rsid w:val="002875B1"/>
    <w:rsid w:val="002877F0"/>
    <w:rsid w:val="00287B43"/>
    <w:rsid w:val="00287BDD"/>
    <w:rsid w:val="00287E5B"/>
    <w:rsid w:val="00290206"/>
    <w:rsid w:val="0029035B"/>
    <w:rsid w:val="00290B74"/>
    <w:rsid w:val="00291940"/>
    <w:rsid w:val="00292441"/>
    <w:rsid w:val="0029246D"/>
    <w:rsid w:val="002928E3"/>
    <w:rsid w:val="00292AB2"/>
    <w:rsid w:val="00292C8A"/>
    <w:rsid w:val="00292FBD"/>
    <w:rsid w:val="002933DD"/>
    <w:rsid w:val="002935E8"/>
    <w:rsid w:val="0029366B"/>
    <w:rsid w:val="00293A84"/>
    <w:rsid w:val="002940CB"/>
    <w:rsid w:val="002946FA"/>
    <w:rsid w:val="00294D51"/>
    <w:rsid w:val="0029502D"/>
    <w:rsid w:val="002951F6"/>
    <w:rsid w:val="00295878"/>
    <w:rsid w:val="00295918"/>
    <w:rsid w:val="00295949"/>
    <w:rsid w:val="00295AB3"/>
    <w:rsid w:val="00295FA3"/>
    <w:rsid w:val="0029659F"/>
    <w:rsid w:val="0029719A"/>
    <w:rsid w:val="002973F2"/>
    <w:rsid w:val="0029753F"/>
    <w:rsid w:val="00297B3F"/>
    <w:rsid w:val="00297D65"/>
    <w:rsid w:val="002A024F"/>
    <w:rsid w:val="002A1481"/>
    <w:rsid w:val="002A1976"/>
    <w:rsid w:val="002A2476"/>
    <w:rsid w:val="002A35B4"/>
    <w:rsid w:val="002A37F8"/>
    <w:rsid w:val="002A401E"/>
    <w:rsid w:val="002A4B1F"/>
    <w:rsid w:val="002A4FB8"/>
    <w:rsid w:val="002A50D7"/>
    <w:rsid w:val="002A58D6"/>
    <w:rsid w:val="002A5D48"/>
    <w:rsid w:val="002A738A"/>
    <w:rsid w:val="002A77AB"/>
    <w:rsid w:val="002A7AB2"/>
    <w:rsid w:val="002A7CCB"/>
    <w:rsid w:val="002A7F13"/>
    <w:rsid w:val="002B088F"/>
    <w:rsid w:val="002B0E1F"/>
    <w:rsid w:val="002B0F6C"/>
    <w:rsid w:val="002B1624"/>
    <w:rsid w:val="002B1651"/>
    <w:rsid w:val="002B1CCC"/>
    <w:rsid w:val="002B1D05"/>
    <w:rsid w:val="002B2114"/>
    <w:rsid w:val="002B26B7"/>
    <w:rsid w:val="002B26FF"/>
    <w:rsid w:val="002B330B"/>
    <w:rsid w:val="002B3B53"/>
    <w:rsid w:val="002B3C2F"/>
    <w:rsid w:val="002B3D7D"/>
    <w:rsid w:val="002B3D88"/>
    <w:rsid w:val="002B3FFE"/>
    <w:rsid w:val="002B4308"/>
    <w:rsid w:val="002B44B4"/>
    <w:rsid w:val="002B510F"/>
    <w:rsid w:val="002B56BB"/>
    <w:rsid w:val="002B5B66"/>
    <w:rsid w:val="002B6295"/>
    <w:rsid w:val="002B6657"/>
    <w:rsid w:val="002B6FE5"/>
    <w:rsid w:val="002B7645"/>
    <w:rsid w:val="002B7669"/>
    <w:rsid w:val="002C050C"/>
    <w:rsid w:val="002C088A"/>
    <w:rsid w:val="002C0BC8"/>
    <w:rsid w:val="002C0F25"/>
    <w:rsid w:val="002C11A1"/>
    <w:rsid w:val="002C181B"/>
    <w:rsid w:val="002C1C9B"/>
    <w:rsid w:val="002C2504"/>
    <w:rsid w:val="002C2637"/>
    <w:rsid w:val="002C2723"/>
    <w:rsid w:val="002C3031"/>
    <w:rsid w:val="002C4420"/>
    <w:rsid w:val="002C4581"/>
    <w:rsid w:val="002C4645"/>
    <w:rsid w:val="002C4BB0"/>
    <w:rsid w:val="002C516D"/>
    <w:rsid w:val="002C5B3D"/>
    <w:rsid w:val="002C6C52"/>
    <w:rsid w:val="002C6E99"/>
    <w:rsid w:val="002C74C6"/>
    <w:rsid w:val="002C75F5"/>
    <w:rsid w:val="002C76B1"/>
    <w:rsid w:val="002C7B3F"/>
    <w:rsid w:val="002C7D10"/>
    <w:rsid w:val="002D0C37"/>
    <w:rsid w:val="002D1C64"/>
    <w:rsid w:val="002D21A3"/>
    <w:rsid w:val="002D2D54"/>
    <w:rsid w:val="002D3422"/>
    <w:rsid w:val="002D35B5"/>
    <w:rsid w:val="002D436D"/>
    <w:rsid w:val="002D5219"/>
    <w:rsid w:val="002D6240"/>
    <w:rsid w:val="002D6420"/>
    <w:rsid w:val="002D690F"/>
    <w:rsid w:val="002D6AAA"/>
    <w:rsid w:val="002D6ECF"/>
    <w:rsid w:val="002D70C3"/>
    <w:rsid w:val="002D7A67"/>
    <w:rsid w:val="002D7B9D"/>
    <w:rsid w:val="002E09D4"/>
    <w:rsid w:val="002E0BB9"/>
    <w:rsid w:val="002E1208"/>
    <w:rsid w:val="002E154E"/>
    <w:rsid w:val="002E16D8"/>
    <w:rsid w:val="002E1B0E"/>
    <w:rsid w:val="002E20F1"/>
    <w:rsid w:val="002E233F"/>
    <w:rsid w:val="002E2A0E"/>
    <w:rsid w:val="002E2AD2"/>
    <w:rsid w:val="002E364B"/>
    <w:rsid w:val="002E3A0B"/>
    <w:rsid w:val="002E434F"/>
    <w:rsid w:val="002E455B"/>
    <w:rsid w:val="002E4588"/>
    <w:rsid w:val="002E47DD"/>
    <w:rsid w:val="002E4FB8"/>
    <w:rsid w:val="002E4FCA"/>
    <w:rsid w:val="002E51FA"/>
    <w:rsid w:val="002E5DFB"/>
    <w:rsid w:val="002E617F"/>
    <w:rsid w:val="002E61AB"/>
    <w:rsid w:val="002E6232"/>
    <w:rsid w:val="002E6D1B"/>
    <w:rsid w:val="002E6DBD"/>
    <w:rsid w:val="002E6EBC"/>
    <w:rsid w:val="002E76A4"/>
    <w:rsid w:val="002E7855"/>
    <w:rsid w:val="002E7D51"/>
    <w:rsid w:val="002F0158"/>
    <w:rsid w:val="002F058C"/>
    <w:rsid w:val="002F0C30"/>
    <w:rsid w:val="002F141B"/>
    <w:rsid w:val="002F1C46"/>
    <w:rsid w:val="002F2015"/>
    <w:rsid w:val="002F2070"/>
    <w:rsid w:val="002F28AE"/>
    <w:rsid w:val="002F2A2F"/>
    <w:rsid w:val="002F2C4B"/>
    <w:rsid w:val="002F343E"/>
    <w:rsid w:val="002F3530"/>
    <w:rsid w:val="002F3DD5"/>
    <w:rsid w:val="002F3FFC"/>
    <w:rsid w:val="002F4E0C"/>
    <w:rsid w:val="002F5168"/>
    <w:rsid w:val="002F523D"/>
    <w:rsid w:val="002F539D"/>
    <w:rsid w:val="002F56FF"/>
    <w:rsid w:val="002F585E"/>
    <w:rsid w:val="002F5A84"/>
    <w:rsid w:val="002F5F9F"/>
    <w:rsid w:val="002F79B1"/>
    <w:rsid w:val="002F7AEF"/>
    <w:rsid w:val="0030048A"/>
    <w:rsid w:val="003005DF"/>
    <w:rsid w:val="00300927"/>
    <w:rsid w:val="003009CF"/>
    <w:rsid w:val="00300DBF"/>
    <w:rsid w:val="003015F8"/>
    <w:rsid w:val="00301A87"/>
    <w:rsid w:val="00301EB5"/>
    <w:rsid w:val="00302468"/>
    <w:rsid w:val="00302B8C"/>
    <w:rsid w:val="0030399C"/>
    <w:rsid w:val="00303C43"/>
    <w:rsid w:val="00303C55"/>
    <w:rsid w:val="00304220"/>
    <w:rsid w:val="003048C6"/>
    <w:rsid w:val="00304C36"/>
    <w:rsid w:val="0030579F"/>
    <w:rsid w:val="00305C08"/>
    <w:rsid w:val="00306C88"/>
    <w:rsid w:val="003104A8"/>
    <w:rsid w:val="003109FC"/>
    <w:rsid w:val="00311F34"/>
    <w:rsid w:val="00312987"/>
    <w:rsid w:val="00312B49"/>
    <w:rsid w:val="0031313E"/>
    <w:rsid w:val="00313251"/>
    <w:rsid w:val="00313284"/>
    <w:rsid w:val="003133BA"/>
    <w:rsid w:val="00313A97"/>
    <w:rsid w:val="00313DAE"/>
    <w:rsid w:val="0031420E"/>
    <w:rsid w:val="00314270"/>
    <w:rsid w:val="003143AC"/>
    <w:rsid w:val="00314495"/>
    <w:rsid w:val="00314521"/>
    <w:rsid w:val="0031495F"/>
    <w:rsid w:val="00314AA1"/>
    <w:rsid w:val="00314AA3"/>
    <w:rsid w:val="00314DEC"/>
    <w:rsid w:val="00314E41"/>
    <w:rsid w:val="00314FD8"/>
    <w:rsid w:val="0031570D"/>
    <w:rsid w:val="00315A32"/>
    <w:rsid w:val="00315B51"/>
    <w:rsid w:val="00315E4A"/>
    <w:rsid w:val="0031607D"/>
    <w:rsid w:val="003160E9"/>
    <w:rsid w:val="003173B8"/>
    <w:rsid w:val="003208E4"/>
    <w:rsid w:val="0032170E"/>
    <w:rsid w:val="003218DA"/>
    <w:rsid w:val="00321B59"/>
    <w:rsid w:val="00321E8B"/>
    <w:rsid w:val="003220C4"/>
    <w:rsid w:val="00322116"/>
    <w:rsid w:val="0032253D"/>
    <w:rsid w:val="00322543"/>
    <w:rsid w:val="003225A8"/>
    <w:rsid w:val="00322670"/>
    <w:rsid w:val="003226A9"/>
    <w:rsid w:val="00322AB0"/>
    <w:rsid w:val="0032315A"/>
    <w:rsid w:val="0032373D"/>
    <w:rsid w:val="0032423E"/>
    <w:rsid w:val="0032459F"/>
    <w:rsid w:val="003249CC"/>
    <w:rsid w:val="003249D2"/>
    <w:rsid w:val="0032510F"/>
    <w:rsid w:val="003256C8"/>
    <w:rsid w:val="00325780"/>
    <w:rsid w:val="0032603A"/>
    <w:rsid w:val="0032613D"/>
    <w:rsid w:val="00326287"/>
    <w:rsid w:val="00326AED"/>
    <w:rsid w:val="00326E51"/>
    <w:rsid w:val="003276AE"/>
    <w:rsid w:val="003300C8"/>
    <w:rsid w:val="00330403"/>
    <w:rsid w:val="00330549"/>
    <w:rsid w:val="00330584"/>
    <w:rsid w:val="00330807"/>
    <w:rsid w:val="00330D4A"/>
    <w:rsid w:val="003310D4"/>
    <w:rsid w:val="0033162D"/>
    <w:rsid w:val="00331911"/>
    <w:rsid w:val="00331C11"/>
    <w:rsid w:val="00332132"/>
    <w:rsid w:val="003329BE"/>
    <w:rsid w:val="00332A09"/>
    <w:rsid w:val="00332D4B"/>
    <w:rsid w:val="003331E5"/>
    <w:rsid w:val="003335F5"/>
    <w:rsid w:val="003337E1"/>
    <w:rsid w:val="00333DB9"/>
    <w:rsid w:val="00334D9C"/>
    <w:rsid w:val="00334DCE"/>
    <w:rsid w:val="00335657"/>
    <w:rsid w:val="00335778"/>
    <w:rsid w:val="00336527"/>
    <w:rsid w:val="00336C51"/>
    <w:rsid w:val="003375F8"/>
    <w:rsid w:val="0033762D"/>
    <w:rsid w:val="003376DD"/>
    <w:rsid w:val="00337C01"/>
    <w:rsid w:val="00340318"/>
    <w:rsid w:val="00340364"/>
    <w:rsid w:val="00340428"/>
    <w:rsid w:val="00341031"/>
    <w:rsid w:val="003412F9"/>
    <w:rsid w:val="00341869"/>
    <w:rsid w:val="00342361"/>
    <w:rsid w:val="0034295D"/>
    <w:rsid w:val="003431D6"/>
    <w:rsid w:val="003434FE"/>
    <w:rsid w:val="0034363B"/>
    <w:rsid w:val="0034367F"/>
    <w:rsid w:val="00343FC1"/>
    <w:rsid w:val="0034478A"/>
    <w:rsid w:val="0034487A"/>
    <w:rsid w:val="00344C3A"/>
    <w:rsid w:val="00344C91"/>
    <w:rsid w:val="0034555D"/>
    <w:rsid w:val="00345765"/>
    <w:rsid w:val="00345D1E"/>
    <w:rsid w:val="00345F2D"/>
    <w:rsid w:val="00346209"/>
    <w:rsid w:val="00346A51"/>
    <w:rsid w:val="00346D7C"/>
    <w:rsid w:val="00346D8D"/>
    <w:rsid w:val="00347029"/>
    <w:rsid w:val="00347141"/>
    <w:rsid w:val="0034745C"/>
    <w:rsid w:val="0034763A"/>
    <w:rsid w:val="0035045A"/>
    <w:rsid w:val="00350665"/>
    <w:rsid w:val="00351CC5"/>
    <w:rsid w:val="0035276F"/>
    <w:rsid w:val="00353023"/>
    <w:rsid w:val="003531A1"/>
    <w:rsid w:val="003535E1"/>
    <w:rsid w:val="00353E03"/>
    <w:rsid w:val="0035528B"/>
    <w:rsid w:val="003554F6"/>
    <w:rsid w:val="00355945"/>
    <w:rsid w:val="00355A3C"/>
    <w:rsid w:val="00356C08"/>
    <w:rsid w:val="00356D05"/>
    <w:rsid w:val="003570F3"/>
    <w:rsid w:val="00357B1A"/>
    <w:rsid w:val="00357D6F"/>
    <w:rsid w:val="00357DAD"/>
    <w:rsid w:val="00357FAE"/>
    <w:rsid w:val="00360958"/>
    <w:rsid w:val="00360E79"/>
    <w:rsid w:val="003610E1"/>
    <w:rsid w:val="00361129"/>
    <w:rsid w:val="003616C2"/>
    <w:rsid w:val="0036208B"/>
    <w:rsid w:val="00362242"/>
    <w:rsid w:val="003623D9"/>
    <w:rsid w:val="003628DE"/>
    <w:rsid w:val="00362C74"/>
    <w:rsid w:val="00362D17"/>
    <w:rsid w:val="00362E0D"/>
    <w:rsid w:val="00362F44"/>
    <w:rsid w:val="00363F2C"/>
    <w:rsid w:val="0036457B"/>
    <w:rsid w:val="00365008"/>
    <w:rsid w:val="00365491"/>
    <w:rsid w:val="0036571B"/>
    <w:rsid w:val="00365BDA"/>
    <w:rsid w:val="00365EB2"/>
    <w:rsid w:val="003662B7"/>
    <w:rsid w:val="00366E33"/>
    <w:rsid w:val="00367399"/>
    <w:rsid w:val="00367B4E"/>
    <w:rsid w:val="003705AE"/>
    <w:rsid w:val="00370B0F"/>
    <w:rsid w:val="003714F0"/>
    <w:rsid w:val="0037157F"/>
    <w:rsid w:val="00371668"/>
    <w:rsid w:val="0037190F"/>
    <w:rsid w:val="00371984"/>
    <w:rsid w:val="00372295"/>
    <w:rsid w:val="0037239E"/>
    <w:rsid w:val="00372788"/>
    <w:rsid w:val="00373430"/>
    <w:rsid w:val="003736F5"/>
    <w:rsid w:val="00373AC3"/>
    <w:rsid w:val="00373D26"/>
    <w:rsid w:val="00374493"/>
    <w:rsid w:val="00374611"/>
    <w:rsid w:val="00374DB1"/>
    <w:rsid w:val="00374E08"/>
    <w:rsid w:val="00374FA8"/>
    <w:rsid w:val="003752F2"/>
    <w:rsid w:val="00375321"/>
    <w:rsid w:val="003756E5"/>
    <w:rsid w:val="0037599F"/>
    <w:rsid w:val="00375DA7"/>
    <w:rsid w:val="00375FB4"/>
    <w:rsid w:val="00376070"/>
    <w:rsid w:val="003764AE"/>
    <w:rsid w:val="003764B6"/>
    <w:rsid w:val="003766A5"/>
    <w:rsid w:val="00376A51"/>
    <w:rsid w:val="00376E17"/>
    <w:rsid w:val="00377B07"/>
    <w:rsid w:val="00380487"/>
    <w:rsid w:val="00381063"/>
    <w:rsid w:val="003814A8"/>
    <w:rsid w:val="00381DC7"/>
    <w:rsid w:val="003827B7"/>
    <w:rsid w:val="003831FF"/>
    <w:rsid w:val="00383D76"/>
    <w:rsid w:val="00383DAD"/>
    <w:rsid w:val="00383F1A"/>
    <w:rsid w:val="00384262"/>
    <w:rsid w:val="003844D2"/>
    <w:rsid w:val="003845F6"/>
    <w:rsid w:val="00384896"/>
    <w:rsid w:val="0038530B"/>
    <w:rsid w:val="003854A5"/>
    <w:rsid w:val="003857E7"/>
    <w:rsid w:val="00385C6B"/>
    <w:rsid w:val="00386FC2"/>
    <w:rsid w:val="00387A3D"/>
    <w:rsid w:val="00390420"/>
    <w:rsid w:val="00390541"/>
    <w:rsid w:val="00390A43"/>
    <w:rsid w:val="00390CB2"/>
    <w:rsid w:val="00390D13"/>
    <w:rsid w:val="00390E64"/>
    <w:rsid w:val="00391693"/>
    <w:rsid w:val="00391AD2"/>
    <w:rsid w:val="003921A8"/>
    <w:rsid w:val="003921D5"/>
    <w:rsid w:val="00392201"/>
    <w:rsid w:val="00392373"/>
    <w:rsid w:val="00392553"/>
    <w:rsid w:val="00392710"/>
    <w:rsid w:val="003929C5"/>
    <w:rsid w:val="00392ABE"/>
    <w:rsid w:val="00392DA7"/>
    <w:rsid w:val="00394A04"/>
    <w:rsid w:val="00394A58"/>
    <w:rsid w:val="00395B75"/>
    <w:rsid w:val="00395BA4"/>
    <w:rsid w:val="00395C05"/>
    <w:rsid w:val="00397747"/>
    <w:rsid w:val="00397BFC"/>
    <w:rsid w:val="00397CE3"/>
    <w:rsid w:val="003A00C6"/>
    <w:rsid w:val="003A0E9C"/>
    <w:rsid w:val="003A129C"/>
    <w:rsid w:val="003A1A96"/>
    <w:rsid w:val="003A1C71"/>
    <w:rsid w:val="003A2049"/>
    <w:rsid w:val="003A22E3"/>
    <w:rsid w:val="003A291D"/>
    <w:rsid w:val="003A2DE0"/>
    <w:rsid w:val="003A321B"/>
    <w:rsid w:val="003A35B2"/>
    <w:rsid w:val="003A366B"/>
    <w:rsid w:val="003A3897"/>
    <w:rsid w:val="003A3F27"/>
    <w:rsid w:val="003A53D3"/>
    <w:rsid w:val="003A5A06"/>
    <w:rsid w:val="003A5B4C"/>
    <w:rsid w:val="003A5DA2"/>
    <w:rsid w:val="003A5F9E"/>
    <w:rsid w:val="003A617A"/>
    <w:rsid w:val="003A618E"/>
    <w:rsid w:val="003A6989"/>
    <w:rsid w:val="003A6C79"/>
    <w:rsid w:val="003A6F57"/>
    <w:rsid w:val="003A7C27"/>
    <w:rsid w:val="003A7CEE"/>
    <w:rsid w:val="003A7D17"/>
    <w:rsid w:val="003A7EE3"/>
    <w:rsid w:val="003B0547"/>
    <w:rsid w:val="003B0A4B"/>
    <w:rsid w:val="003B10DC"/>
    <w:rsid w:val="003B17CA"/>
    <w:rsid w:val="003B1BB6"/>
    <w:rsid w:val="003B1CF6"/>
    <w:rsid w:val="003B271E"/>
    <w:rsid w:val="003B37BB"/>
    <w:rsid w:val="003B3D5A"/>
    <w:rsid w:val="003B4609"/>
    <w:rsid w:val="003B49E4"/>
    <w:rsid w:val="003B4DCE"/>
    <w:rsid w:val="003B534F"/>
    <w:rsid w:val="003B55ED"/>
    <w:rsid w:val="003B5657"/>
    <w:rsid w:val="003B57EB"/>
    <w:rsid w:val="003B580D"/>
    <w:rsid w:val="003B591A"/>
    <w:rsid w:val="003B592E"/>
    <w:rsid w:val="003B62E8"/>
    <w:rsid w:val="003B64C9"/>
    <w:rsid w:val="003B6F63"/>
    <w:rsid w:val="003B781E"/>
    <w:rsid w:val="003C0628"/>
    <w:rsid w:val="003C0C85"/>
    <w:rsid w:val="003C15F8"/>
    <w:rsid w:val="003C1D45"/>
    <w:rsid w:val="003C232E"/>
    <w:rsid w:val="003C272B"/>
    <w:rsid w:val="003C2B94"/>
    <w:rsid w:val="003C2C55"/>
    <w:rsid w:val="003C3050"/>
    <w:rsid w:val="003C305A"/>
    <w:rsid w:val="003C375F"/>
    <w:rsid w:val="003C4010"/>
    <w:rsid w:val="003C4CED"/>
    <w:rsid w:val="003C4FB9"/>
    <w:rsid w:val="003C60C2"/>
    <w:rsid w:val="003C7259"/>
    <w:rsid w:val="003C743A"/>
    <w:rsid w:val="003C7C1B"/>
    <w:rsid w:val="003D02ED"/>
    <w:rsid w:val="003D09BD"/>
    <w:rsid w:val="003D0C4C"/>
    <w:rsid w:val="003D0F06"/>
    <w:rsid w:val="003D0FA1"/>
    <w:rsid w:val="003D16F7"/>
    <w:rsid w:val="003D2523"/>
    <w:rsid w:val="003D291B"/>
    <w:rsid w:val="003D2961"/>
    <w:rsid w:val="003D2C20"/>
    <w:rsid w:val="003D2C87"/>
    <w:rsid w:val="003D2DE0"/>
    <w:rsid w:val="003D3802"/>
    <w:rsid w:val="003D39FC"/>
    <w:rsid w:val="003D3EA1"/>
    <w:rsid w:val="003D4033"/>
    <w:rsid w:val="003D4579"/>
    <w:rsid w:val="003D4E7A"/>
    <w:rsid w:val="003D563B"/>
    <w:rsid w:val="003D570D"/>
    <w:rsid w:val="003D5809"/>
    <w:rsid w:val="003D5CAC"/>
    <w:rsid w:val="003D678E"/>
    <w:rsid w:val="003D6966"/>
    <w:rsid w:val="003D6A6A"/>
    <w:rsid w:val="003D6A93"/>
    <w:rsid w:val="003D6B5E"/>
    <w:rsid w:val="003D76E4"/>
    <w:rsid w:val="003D7D3A"/>
    <w:rsid w:val="003D7DCA"/>
    <w:rsid w:val="003D7F0B"/>
    <w:rsid w:val="003E0960"/>
    <w:rsid w:val="003E1105"/>
    <w:rsid w:val="003E32EE"/>
    <w:rsid w:val="003E3937"/>
    <w:rsid w:val="003E3BA9"/>
    <w:rsid w:val="003E3C4D"/>
    <w:rsid w:val="003E3EA1"/>
    <w:rsid w:val="003E4170"/>
    <w:rsid w:val="003E436E"/>
    <w:rsid w:val="003E46EE"/>
    <w:rsid w:val="003E4D1B"/>
    <w:rsid w:val="003E4EBD"/>
    <w:rsid w:val="003E5581"/>
    <w:rsid w:val="003E586E"/>
    <w:rsid w:val="003E6027"/>
    <w:rsid w:val="003E63BB"/>
    <w:rsid w:val="003E6598"/>
    <w:rsid w:val="003E6661"/>
    <w:rsid w:val="003E7031"/>
    <w:rsid w:val="003E762E"/>
    <w:rsid w:val="003E76E9"/>
    <w:rsid w:val="003F043A"/>
    <w:rsid w:val="003F1EE9"/>
    <w:rsid w:val="003F218B"/>
    <w:rsid w:val="003F2371"/>
    <w:rsid w:val="003F242D"/>
    <w:rsid w:val="003F2881"/>
    <w:rsid w:val="003F3441"/>
    <w:rsid w:val="003F37D8"/>
    <w:rsid w:val="003F38DF"/>
    <w:rsid w:val="003F39A3"/>
    <w:rsid w:val="003F3FC0"/>
    <w:rsid w:val="003F4369"/>
    <w:rsid w:val="003F4BA7"/>
    <w:rsid w:val="003F4F53"/>
    <w:rsid w:val="003F52FB"/>
    <w:rsid w:val="003F54B9"/>
    <w:rsid w:val="003F6355"/>
    <w:rsid w:val="003F68D9"/>
    <w:rsid w:val="003F6A7D"/>
    <w:rsid w:val="003F6D5F"/>
    <w:rsid w:val="003F6EB8"/>
    <w:rsid w:val="003F6F0E"/>
    <w:rsid w:val="003F6F7A"/>
    <w:rsid w:val="003F7BB9"/>
    <w:rsid w:val="003F7D59"/>
    <w:rsid w:val="003F7EFC"/>
    <w:rsid w:val="00400B36"/>
    <w:rsid w:val="004010CC"/>
    <w:rsid w:val="00401375"/>
    <w:rsid w:val="004013E4"/>
    <w:rsid w:val="00401725"/>
    <w:rsid w:val="0040174A"/>
    <w:rsid w:val="0040185D"/>
    <w:rsid w:val="00401ECA"/>
    <w:rsid w:val="00402BB0"/>
    <w:rsid w:val="00402F85"/>
    <w:rsid w:val="004032FD"/>
    <w:rsid w:val="00403A72"/>
    <w:rsid w:val="00403DE3"/>
    <w:rsid w:val="00404488"/>
    <w:rsid w:val="00404A05"/>
    <w:rsid w:val="004055E4"/>
    <w:rsid w:val="004067AA"/>
    <w:rsid w:val="004067D9"/>
    <w:rsid w:val="0040699F"/>
    <w:rsid w:val="0040775F"/>
    <w:rsid w:val="004078E5"/>
    <w:rsid w:val="0040791C"/>
    <w:rsid w:val="00410355"/>
    <w:rsid w:val="00410521"/>
    <w:rsid w:val="0041074C"/>
    <w:rsid w:val="00411CD1"/>
    <w:rsid w:val="00412221"/>
    <w:rsid w:val="004124A5"/>
    <w:rsid w:val="004126AE"/>
    <w:rsid w:val="0041273F"/>
    <w:rsid w:val="00413BC0"/>
    <w:rsid w:val="0041463E"/>
    <w:rsid w:val="00414ED1"/>
    <w:rsid w:val="00414F0A"/>
    <w:rsid w:val="00416466"/>
    <w:rsid w:val="00417061"/>
    <w:rsid w:val="0041798E"/>
    <w:rsid w:val="00417993"/>
    <w:rsid w:val="00417E6F"/>
    <w:rsid w:val="00417FE0"/>
    <w:rsid w:val="00420566"/>
    <w:rsid w:val="004205D1"/>
    <w:rsid w:val="004207AE"/>
    <w:rsid w:val="00420DB3"/>
    <w:rsid w:val="00420F5A"/>
    <w:rsid w:val="00420FA6"/>
    <w:rsid w:val="00420FEB"/>
    <w:rsid w:val="0042110F"/>
    <w:rsid w:val="00421270"/>
    <w:rsid w:val="00421503"/>
    <w:rsid w:val="00421B05"/>
    <w:rsid w:val="00422195"/>
    <w:rsid w:val="00422215"/>
    <w:rsid w:val="00422784"/>
    <w:rsid w:val="00422D14"/>
    <w:rsid w:val="00422DE6"/>
    <w:rsid w:val="0042381A"/>
    <w:rsid w:val="00423AC7"/>
    <w:rsid w:val="00423BF9"/>
    <w:rsid w:val="00423C38"/>
    <w:rsid w:val="00424041"/>
    <w:rsid w:val="004243FC"/>
    <w:rsid w:val="004244A6"/>
    <w:rsid w:val="004245A1"/>
    <w:rsid w:val="00425FDB"/>
    <w:rsid w:val="00426805"/>
    <w:rsid w:val="00426E90"/>
    <w:rsid w:val="00426F78"/>
    <w:rsid w:val="00427220"/>
    <w:rsid w:val="004275A9"/>
    <w:rsid w:val="0042761C"/>
    <w:rsid w:val="004278A7"/>
    <w:rsid w:val="0042792F"/>
    <w:rsid w:val="00427D0B"/>
    <w:rsid w:val="004304F4"/>
    <w:rsid w:val="004310A3"/>
    <w:rsid w:val="00431122"/>
    <w:rsid w:val="00431582"/>
    <w:rsid w:val="00432114"/>
    <w:rsid w:val="0043268C"/>
    <w:rsid w:val="004327F2"/>
    <w:rsid w:val="00432FB2"/>
    <w:rsid w:val="00432FD0"/>
    <w:rsid w:val="0043345D"/>
    <w:rsid w:val="0043354F"/>
    <w:rsid w:val="00433A54"/>
    <w:rsid w:val="00433A8B"/>
    <w:rsid w:val="00433E6F"/>
    <w:rsid w:val="00433F26"/>
    <w:rsid w:val="00434757"/>
    <w:rsid w:val="00434ACE"/>
    <w:rsid w:val="00434C37"/>
    <w:rsid w:val="00435117"/>
    <w:rsid w:val="00435544"/>
    <w:rsid w:val="00435664"/>
    <w:rsid w:val="00435747"/>
    <w:rsid w:val="00435DCD"/>
    <w:rsid w:val="0043619B"/>
    <w:rsid w:val="00436324"/>
    <w:rsid w:val="00436BD1"/>
    <w:rsid w:val="00437181"/>
    <w:rsid w:val="0043720D"/>
    <w:rsid w:val="004375F4"/>
    <w:rsid w:val="00437DA3"/>
    <w:rsid w:val="0044023F"/>
    <w:rsid w:val="00440BEB"/>
    <w:rsid w:val="004413D7"/>
    <w:rsid w:val="00441656"/>
    <w:rsid w:val="00441DB3"/>
    <w:rsid w:val="004425DD"/>
    <w:rsid w:val="00443FC3"/>
    <w:rsid w:val="00444667"/>
    <w:rsid w:val="00444695"/>
    <w:rsid w:val="00444AFA"/>
    <w:rsid w:val="00444F1E"/>
    <w:rsid w:val="004451C4"/>
    <w:rsid w:val="00445475"/>
    <w:rsid w:val="0044572E"/>
    <w:rsid w:val="00446593"/>
    <w:rsid w:val="004469C8"/>
    <w:rsid w:val="00446ACF"/>
    <w:rsid w:val="00446FF2"/>
    <w:rsid w:val="0044743E"/>
    <w:rsid w:val="004474D1"/>
    <w:rsid w:val="00447A8C"/>
    <w:rsid w:val="00447FB2"/>
    <w:rsid w:val="00450A13"/>
    <w:rsid w:val="00450B86"/>
    <w:rsid w:val="00451314"/>
    <w:rsid w:val="00451A0A"/>
    <w:rsid w:val="00452238"/>
    <w:rsid w:val="004523D6"/>
    <w:rsid w:val="004529DF"/>
    <w:rsid w:val="00452F76"/>
    <w:rsid w:val="004534BA"/>
    <w:rsid w:val="004535BD"/>
    <w:rsid w:val="00453610"/>
    <w:rsid w:val="00453722"/>
    <w:rsid w:val="0045390C"/>
    <w:rsid w:val="00453B7B"/>
    <w:rsid w:val="00454056"/>
    <w:rsid w:val="004543CE"/>
    <w:rsid w:val="0045457D"/>
    <w:rsid w:val="00454968"/>
    <w:rsid w:val="00454CE3"/>
    <w:rsid w:val="00455170"/>
    <w:rsid w:val="00455B3B"/>
    <w:rsid w:val="00456976"/>
    <w:rsid w:val="00456A4B"/>
    <w:rsid w:val="00456C6A"/>
    <w:rsid w:val="00456EB9"/>
    <w:rsid w:val="00456F57"/>
    <w:rsid w:val="004575DD"/>
    <w:rsid w:val="00457FFA"/>
    <w:rsid w:val="00460512"/>
    <w:rsid w:val="00460AB1"/>
    <w:rsid w:val="00460B6C"/>
    <w:rsid w:val="0046102C"/>
    <w:rsid w:val="00461230"/>
    <w:rsid w:val="004614BD"/>
    <w:rsid w:val="004616DB"/>
    <w:rsid w:val="004618E0"/>
    <w:rsid w:val="0046197A"/>
    <w:rsid w:val="004620AE"/>
    <w:rsid w:val="00462805"/>
    <w:rsid w:val="00462FAC"/>
    <w:rsid w:val="00463387"/>
    <w:rsid w:val="00464488"/>
    <w:rsid w:val="00464A0A"/>
    <w:rsid w:val="00464E71"/>
    <w:rsid w:val="00465002"/>
    <w:rsid w:val="004657CB"/>
    <w:rsid w:val="00465800"/>
    <w:rsid w:val="0046582B"/>
    <w:rsid w:val="0046583B"/>
    <w:rsid w:val="00465E35"/>
    <w:rsid w:val="0046602C"/>
    <w:rsid w:val="0046789F"/>
    <w:rsid w:val="00467CBC"/>
    <w:rsid w:val="00467E95"/>
    <w:rsid w:val="00470E02"/>
    <w:rsid w:val="00471259"/>
    <w:rsid w:val="00471C49"/>
    <w:rsid w:val="00472B36"/>
    <w:rsid w:val="004744A4"/>
    <w:rsid w:val="004744D9"/>
    <w:rsid w:val="00474572"/>
    <w:rsid w:val="00475200"/>
    <w:rsid w:val="00476166"/>
    <w:rsid w:val="004762B4"/>
    <w:rsid w:val="00476721"/>
    <w:rsid w:val="00476CD5"/>
    <w:rsid w:val="00476F0F"/>
    <w:rsid w:val="004770A9"/>
    <w:rsid w:val="004772ED"/>
    <w:rsid w:val="00477E8A"/>
    <w:rsid w:val="00481009"/>
    <w:rsid w:val="00481604"/>
    <w:rsid w:val="00481750"/>
    <w:rsid w:val="0048181B"/>
    <w:rsid w:val="00481B5E"/>
    <w:rsid w:val="00482236"/>
    <w:rsid w:val="004823BA"/>
    <w:rsid w:val="004827C5"/>
    <w:rsid w:val="00482A57"/>
    <w:rsid w:val="00483351"/>
    <w:rsid w:val="004834AA"/>
    <w:rsid w:val="00483690"/>
    <w:rsid w:val="00483724"/>
    <w:rsid w:val="00483F39"/>
    <w:rsid w:val="004846DD"/>
    <w:rsid w:val="0048483B"/>
    <w:rsid w:val="0048487B"/>
    <w:rsid w:val="00484A75"/>
    <w:rsid w:val="00484AA6"/>
    <w:rsid w:val="00484CB0"/>
    <w:rsid w:val="00487198"/>
    <w:rsid w:val="004874B1"/>
    <w:rsid w:val="00487BC4"/>
    <w:rsid w:val="0049026A"/>
    <w:rsid w:val="0049058C"/>
    <w:rsid w:val="00490C77"/>
    <w:rsid w:val="00491199"/>
    <w:rsid w:val="00491884"/>
    <w:rsid w:val="00491E26"/>
    <w:rsid w:val="00492986"/>
    <w:rsid w:val="00492AED"/>
    <w:rsid w:val="00493FCB"/>
    <w:rsid w:val="00494312"/>
    <w:rsid w:val="004947CB"/>
    <w:rsid w:val="00494A6B"/>
    <w:rsid w:val="0049684F"/>
    <w:rsid w:val="0049690E"/>
    <w:rsid w:val="00496B9B"/>
    <w:rsid w:val="00496CF7"/>
    <w:rsid w:val="00496FC7"/>
    <w:rsid w:val="004971AC"/>
    <w:rsid w:val="00497897"/>
    <w:rsid w:val="00497DC0"/>
    <w:rsid w:val="00497FC1"/>
    <w:rsid w:val="004A0030"/>
    <w:rsid w:val="004A10EF"/>
    <w:rsid w:val="004A152D"/>
    <w:rsid w:val="004A17FD"/>
    <w:rsid w:val="004A1BB0"/>
    <w:rsid w:val="004A1C67"/>
    <w:rsid w:val="004A1F26"/>
    <w:rsid w:val="004A2114"/>
    <w:rsid w:val="004A21E8"/>
    <w:rsid w:val="004A2340"/>
    <w:rsid w:val="004A266F"/>
    <w:rsid w:val="004A2781"/>
    <w:rsid w:val="004A2917"/>
    <w:rsid w:val="004A2921"/>
    <w:rsid w:val="004A2991"/>
    <w:rsid w:val="004A29F4"/>
    <w:rsid w:val="004A2BE0"/>
    <w:rsid w:val="004A2D91"/>
    <w:rsid w:val="004A2FAE"/>
    <w:rsid w:val="004A3A77"/>
    <w:rsid w:val="004A472F"/>
    <w:rsid w:val="004A4A58"/>
    <w:rsid w:val="004A4EA0"/>
    <w:rsid w:val="004A5491"/>
    <w:rsid w:val="004A5582"/>
    <w:rsid w:val="004A55A6"/>
    <w:rsid w:val="004A5646"/>
    <w:rsid w:val="004A59B2"/>
    <w:rsid w:val="004A5A87"/>
    <w:rsid w:val="004A5DFC"/>
    <w:rsid w:val="004A6281"/>
    <w:rsid w:val="004A68FA"/>
    <w:rsid w:val="004A6CE3"/>
    <w:rsid w:val="004A77F3"/>
    <w:rsid w:val="004B0018"/>
    <w:rsid w:val="004B07DB"/>
    <w:rsid w:val="004B0C34"/>
    <w:rsid w:val="004B145B"/>
    <w:rsid w:val="004B163E"/>
    <w:rsid w:val="004B1819"/>
    <w:rsid w:val="004B3447"/>
    <w:rsid w:val="004B38EB"/>
    <w:rsid w:val="004B3B26"/>
    <w:rsid w:val="004B3B6A"/>
    <w:rsid w:val="004B3E38"/>
    <w:rsid w:val="004B3F97"/>
    <w:rsid w:val="004B4402"/>
    <w:rsid w:val="004B4958"/>
    <w:rsid w:val="004B4A46"/>
    <w:rsid w:val="004B4FA6"/>
    <w:rsid w:val="004B53EA"/>
    <w:rsid w:val="004B5591"/>
    <w:rsid w:val="004B574B"/>
    <w:rsid w:val="004B5B12"/>
    <w:rsid w:val="004B5BD4"/>
    <w:rsid w:val="004B5F89"/>
    <w:rsid w:val="004B6010"/>
    <w:rsid w:val="004B6C16"/>
    <w:rsid w:val="004B7190"/>
    <w:rsid w:val="004B77AC"/>
    <w:rsid w:val="004B7E3A"/>
    <w:rsid w:val="004C01CF"/>
    <w:rsid w:val="004C0308"/>
    <w:rsid w:val="004C0B2B"/>
    <w:rsid w:val="004C19D4"/>
    <w:rsid w:val="004C1B49"/>
    <w:rsid w:val="004C1DD2"/>
    <w:rsid w:val="004C22B0"/>
    <w:rsid w:val="004C27FD"/>
    <w:rsid w:val="004C334D"/>
    <w:rsid w:val="004C3D61"/>
    <w:rsid w:val="004C40A3"/>
    <w:rsid w:val="004C49E3"/>
    <w:rsid w:val="004C4E74"/>
    <w:rsid w:val="004C4EE5"/>
    <w:rsid w:val="004C5158"/>
    <w:rsid w:val="004C5166"/>
    <w:rsid w:val="004C558B"/>
    <w:rsid w:val="004C582F"/>
    <w:rsid w:val="004C5F48"/>
    <w:rsid w:val="004C5F4A"/>
    <w:rsid w:val="004C6202"/>
    <w:rsid w:val="004C65AF"/>
    <w:rsid w:val="004C6988"/>
    <w:rsid w:val="004C69E0"/>
    <w:rsid w:val="004C6F73"/>
    <w:rsid w:val="004C7221"/>
    <w:rsid w:val="004C735D"/>
    <w:rsid w:val="004C7438"/>
    <w:rsid w:val="004C77A5"/>
    <w:rsid w:val="004D0071"/>
    <w:rsid w:val="004D07DE"/>
    <w:rsid w:val="004D0B3F"/>
    <w:rsid w:val="004D0EC1"/>
    <w:rsid w:val="004D29EE"/>
    <w:rsid w:val="004D3173"/>
    <w:rsid w:val="004D317A"/>
    <w:rsid w:val="004D349F"/>
    <w:rsid w:val="004D3BD5"/>
    <w:rsid w:val="004D435E"/>
    <w:rsid w:val="004D44F8"/>
    <w:rsid w:val="004D4FEA"/>
    <w:rsid w:val="004D51AA"/>
    <w:rsid w:val="004D5794"/>
    <w:rsid w:val="004D6649"/>
    <w:rsid w:val="004D672B"/>
    <w:rsid w:val="004D6AC7"/>
    <w:rsid w:val="004D7A2D"/>
    <w:rsid w:val="004D7A91"/>
    <w:rsid w:val="004D7AC1"/>
    <w:rsid w:val="004D7F00"/>
    <w:rsid w:val="004E0231"/>
    <w:rsid w:val="004E099F"/>
    <w:rsid w:val="004E13F4"/>
    <w:rsid w:val="004E178E"/>
    <w:rsid w:val="004E1B07"/>
    <w:rsid w:val="004E1B1A"/>
    <w:rsid w:val="004E1D34"/>
    <w:rsid w:val="004E1E82"/>
    <w:rsid w:val="004E1F67"/>
    <w:rsid w:val="004E25C5"/>
    <w:rsid w:val="004E25E8"/>
    <w:rsid w:val="004E29AB"/>
    <w:rsid w:val="004E33C1"/>
    <w:rsid w:val="004E4045"/>
    <w:rsid w:val="004E4120"/>
    <w:rsid w:val="004E6105"/>
    <w:rsid w:val="004E73C6"/>
    <w:rsid w:val="004E767F"/>
    <w:rsid w:val="004E77C4"/>
    <w:rsid w:val="004F015D"/>
    <w:rsid w:val="004F01DA"/>
    <w:rsid w:val="004F04E4"/>
    <w:rsid w:val="004F0ACC"/>
    <w:rsid w:val="004F14E3"/>
    <w:rsid w:val="004F152C"/>
    <w:rsid w:val="004F338B"/>
    <w:rsid w:val="004F35CB"/>
    <w:rsid w:val="004F4013"/>
    <w:rsid w:val="004F41A8"/>
    <w:rsid w:val="004F44EE"/>
    <w:rsid w:val="004F5237"/>
    <w:rsid w:val="004F5D4E"/>
    <w:rsid w:val="004F6763"/>
    <w:rsid w:val="004F677D"/>
    <w:rsid w:val="004F6B46"/>
    <w:rsid w:val="004F6B7F"/>
    <w:rsid w:val="004F6CD9"/>
    <w:rsid w:val="004F6F45"/>
    <w:rsid w:val="004F7C5B"/>
    <w:rsid w:val="004F7FE9"/>
    <w:rsid w:val="00500095"/>
    <w:rsid w:val="00500C95"/>
    <w:rsid w:val="00501063"/>
    <w:rsid w:val="0050118A"/>
    <w:rsid w:val="0050175E"/>
    <w:rsid w:val="00501C1F"/>
    <w:rsid w:val="00502000"/>
    <w:rsid w:val="00502036"/>
    <w:rsid w:val="00503DE1"/>
    <w:rsid w:val="0050430C"/>
    <w:rsid w:val="00504679"/>
    <w:rsid w:val="005046B5"/>
    <w:rsid w:val="005048B0"/>
    <w:rsid w:val="00504BDA"/>
    <w:rsid w:val="00505497"/>
    <w:rsid w:val="005056C4"/>
    <w:rsid w:val="005058F4"/>
    <w:rsid w:val="00505AA8"/>
    <w:rsid w:val="00505C05"/>
    <w:rsid w:val="00505CAD"/>
    <w:rsid w:val="00505F12"/>
    <w:rsid w:val="0050641F"/>
    <w:rsid w:val="005065B4"/>
    <w:rsid w:val="0050672F"/>
    <w:rsid w:val="0050735D"/>
    <w:rsid w:val="0050768A"/>
    <w:rsid w:val="00507980"/>
    <w:rsid w:val="00507C48"/>
    <w:rsid w:val="00507E70"/>
    <w:rsid w:val="00510558"/>
    <w:rsid w:val="00510B30"/>
    <w:rsid w:val="0051108B"/>
    <w:rsid w:val="005112DC"/>
    <w:rsid w:val="00511405"/>
    <w:rsid w:val="00511B43"/>
    <w:rsid w:val="00511F06"/>
    <w:rsid w:val="005126F5"/>
    <w:rsid w:val="00512976"/>
    <w:rsid w:val="00512F76"/>
    <w:rsid w:val="0051318C"/>
    <w:rsid w:val="005131A5"/>
    <w:rsid w:val="00513B30"/>
    <w:rsid w:val="00513C83"/>
    <w:rsid w:val="005140CD"/>
    <w:rsid w:val="005144A0"/>
    <w:rsid w:val="005144E7"/>
    <w:rsid w:val="00514753"/>
    <w:rsid w:val="005149DF"/>
    <w:rsid w:val="00514CAB"/>
    <w:rsid w:val="00514E97"/>
    <w:rsid w:val="005152DB"/>
    <w:rsid w:val="005154DD"/>
    <w:rsid w:val="00515911"/>
    <w:rsid w:val="00515C03"/>
    <w:rsid w:val="00515EA0"/>
    <w:rsid w:val="0051626E"/>
    <w:rsid w:val="0051690B"/>
    <w:rsid w:val="00517586"/>
    <w:rsid w:val="00517C24"/>
    <w:rsid w:val="00517C95"/>
    <w:rsid w:val="00520123"/>
    <w:rsid w:val="0052048B"/>
    <w:rsid w:val="005209E7"/>
    <w:rsid w:val="00521079"/>
    <w:rsid w:val="005213E6"/>
    <w:rsid w:val="005216C4"/>
    <w:rsid w:val="00521886"/>
    <w:rsid w:val="00521BE8"/>
    <w:rsid w:val="00521DA1"/>
    <w:rsid w:val="00522765"/>
    <w:rsid w:val="005227F0"/>
    <w:rsid w:val="00522A35"/>
    <w:rsid w:val="00522AC1"/>
    <w:rsid w:val="00522D87"/>
    <w:rsid w:val="00523378"/>
    <w:rsid w:val="00523681"/>
    <w:rsid w:val="0052535A"/>
    <w:rsid w:val="00525640"/>
    <w:rsid w:val="00525F3F"/>
    <w:rsid w:val="00525F46"/>
    <w:rsid w:val="0052699C"/>
    <w:rsid w:val="00527022"/>
    <w:rsid w:val="005274AB"/>
    <w:rsid w:val="005278F8"/>
    <w:rsid w:val="00527FDA"/>
    <w:rsid w:val="00530677"/>
    <w:rsid w:val="005306C2"/>
    <w:rsid w:val="00530AAD"/>
    <w:rsid w:val="00530BE1"/>
    <w:rsid w:val="00530BEB"/>
    <w:rsid w:val="00530C8E"/>
    <w:rsid w:val="00530FD9"/>
    <w:rsid w:val="00530FE2"/>
    <w:rsid w:val="005312A3"/>
    <w:rsid w:val="0053199E"/>
    <w:rsid w:val="00531AE1"/>
    <w:rsid w:val="0053207C"/>
    <w:rsid w:val="0053207D"/>
    <w:rsid w:val="005323CB"/>
    <w:rsid w:val="00532513"/>
    <w:rsid w:val="00533C1E"/>
    <w:rsid w:val="00533E2A"/>
    <w:rsid w:val="00534048"/>
    <w:rsid w:val="005347DE"/>
    <w:rsid w:val="00534F70"/>
    <w:rsid w:val="00534FAA"/>
    <w:rsid w:val="00535720"/>
    <w:rsid w:val="00535B68"/>
    <w:rsid w:val="00535C10"/>
    <w:rsid w:val="00535F8F"/>
    <w:rsid w:val="00536737"/>
    <w:rsid w:val="00536A0E"/>
    <w:rsid w:val="00536F8E"/>
    <w:rsid w:val="00537074"/>
    <w:rsid w:val="005374DC"/>
    <w:rsid w:val="0053776F"/>
    <w:rsid w:val="005377F2"/>
    <w:rsid w:val="00537969"/>
    <w:rsid w:val="005379F1"/>
    <w:rsid w:val="0054050E"/>
    <w:rsid w:val="00540AF6"/>
    <w:rsid w:val="00540CC1"/>
    <w:rsid w:val="005411EB"/>
    <w:rsid w:val="005418E1"/>
    <w:rsid w:val="005425E9"/>
    <w:rsid w:val="00542652"/>
    <w:rsid w:val="0054274B"/>
    <w:rsid w:val="00542ECA"/>
    <w:rsid w:val="005432EF"/>
    <w:rsid w:val="00543A52"/>
    <w:rsid w:val="00543FC9"/>
    <w:rsid w:val="00544846"/>
    <w:rsid w:val="005460E8"/>
    <w:rsid w:val="005465A7"/>
    <w:rsid w:val="00546D9A"/>
    <w:rsid w:val="005470F0"/>
    <w:rsid w:val="00547314"/>
    <w:rsid w:val="00547701"/>
    <w:rsid w:val="00550AEA"/>
    <w:rsid w:val="00551429"/>
    <w:rsid w:val="00551818"/>
    <w:rsid w:val="00551AE6"/>
    <w:rsid w:val="00551D67"/>
    <w:rsid w:val="005521B6"/>
    <w:rsid w:val="0055252F"/>
    <w:rsid w:val="00552CA3"/>
    <w:rsid w:val="00552D04"/>
    <w:rsid w:val="00552F17"/>
    <w:rsid w:val="00553225"/>
    <w:rsid w:val="0055341B"/>
    <w:rsid w:val="00553E08"/>
    <w:rsid w:val="00554487"/>
    <w:rsid w:val="00554C72"/>
    <w:rsid w:val="00554DEA"/>
    <w:rsid w:val="005552A2"/>
    <w:rsid w:val="005555ED"/>
    <w:rsid w:val="00555DF3"/>
    <w:rsid w:val="00555E08"/>
    <w:rsid w:val="00556125"/>
    <w:rsid w:val="00556574"/>
    <w:rsid w:val="00556E72"/>
    <w:rsid w:val="00556F2A"/>
    <w:rsid w:val="005570BC"/>
    <w:rsid w:val="00557280"/>
    <w:rsid w:val="00557487"/>
    <w:rsid w:val="005574EF"/>
    <w:rsid w:val="005577EA"/>
    <w:rsid w:val="00557EFA"/>
    <w:rsid w:val="00560A48"/>
    <w:rsid w:val="0056107B"/>
    <w:rsid w:val="00561095"/>
    <w:rsid w:val="00561568"/>
    <w:rsid w:val="0056186F"/>
    <w:rsid w:val="005623C1"/>
    <w:rsid w:val="00562417"/>
    <w:rsid w:val="00562859"/>
    <w:rsid w:val="005628B2"/>
    <w:rsid w:val="00563033"/>
    <w:rsid w:val="005632BC"/>
    <w:rsid w:val="005635AC"/>
    <w:rsid w:val="005638BB"/>
    <w:rsid w:val="00563E69"/>
    <w:rsid w:val="00564CC8"/>
    <w:rsid w:val="00564CD5"/>
    <w:rsid w:val="00564E5C"/>
    <w:rsid w:val="00565059"/>
    <w:rsid w:val="00565B1C"/>
    <w:rsid w:val="00565E1B"/>
    <w:rsid w:val="00566058"/>
    <w:rsid w:val="005660CC"/>
    <w:rsid w:val="00566683"/>
    <w:rsid w:val="00566A32"/>
    <w:rsid w:val="00567326"/>
    <w:rsid w:val="005679FB"/>
    <w:rsid w:val="00567D49"/>
    <w:rsid w:val="00567D85"/>
    <w:rsid w:val="00567FBD"/>
    <w:rsid w:val="00567FFB"/>
    <w:rsid w:val="0057002A"/>
    <w:rsid w:val="005701DD"/>
    <w:rsid w:val="005702A2"/>
    <w:rsid w:val="005708AF"/>
    <w:rsid w:val="00570EA0"/>
    <w:rsid w:val="00570FDA"/>
    <w:rsid w:val="00571836"/>
    <w:rsid w:val="00571858"/>
    <w:rsid w:val="0057208B"/>
    <w:rsid w:val="005722D8"/>
    <w:rsid w:val="00572575"/>
    <w:rsid w:val="0057288E"/>
    <w:rsid w:val="00572BF0"/>
    <w:rsid w:val="005732CB"/>
    <w:rsid w:val="0057403A"/>
    <w:rsid w:val="005741B1"/>
    <w:rsid w:val="0057458E"/>
    <w:rsid w:val="00574F78"/>
    <w:rsid w:val="00575308"/>
    <w:rsid w:val="0057561A"/>
    <w:rsid w:val="00575A34"/>
    <w:rsid w:val="00575A3F"/>
    <w:rsid w:val="00575BEB"/>
    <w:rsid w:val="00575D08"/>
    <w:rsid w:val="0057612D"/>
    <w:rsid w:val="00576BC0"/>
    <w:rsid w:val="005774DD"/>
    <w:rsid w:val="00577664"/>
    <w:rsid w:val="0057773B"/>
    <w:rsid w:val="00577A07"/>
    <w:rsid w:val="00577A40"/>
    <w:rsid w:val="00577E20"/>
    <w:rsid w:val="005805F5"/>
    <w:rsid w:val="00580E00"/>
    <w:rsid w:val="00581BE7"/>
    <w:rsid w:val="00581DF2"/>
    <w:rsid w:val="00582645"/>
    <w:rsid w:val="005834F6"/>
    <w:rsid w:val="0058362E"/>
    <w:rsid w:val="00583A4F"/>
    <w:rsid w:val="00583E98"/>
    <w:rsid w:val="00584319"/>
    <w:rsid w:val="00584D26"/>
    <w:rsid w:val="00584FD5"/>
    <w:rsid w:val="00585197"/>
    <w:rsid w:val="005851DF"/>
    <w:rsid w:val="005851E8"/>
    <w:rsid w:val="00585420"/>
    <w:rsid w:val="00585BF1"/>
    <w:rsid w:val="0058601D"/>
    <w:rsid w:val="005861D0"/>
    <w:rsid w:val="00586558"/>
    <w:rsid w:val="005871A7"/>
    <w:rsid w:val="00587476"/>
    <w:rsid w:val="00587D7A"/>
    <w:rsid w:val="005902B0"/>
    <w:rsid w:val="005906F4"/>
    <w:rsid w:val="0059081B"/>
    <w:rsid w:val="0059083D"/>
    <w:rsid w:val="0059095B"/>
    <w:rsid w:val="00590C34"/>
    <w:rsid w:val="005922E6"/>
    <w:rsid w:val="005927E0"/>
    <w:rsid w:val="00593737"/>
    <w:rsid w:val="00593990"/>
    <w:rsid w:val="005941A5"/>
    <w:rsid w:val="0059429A"/>
    <w:rsid w:val="00594806"/>
    <w:rsid w:val="00594E07"/>
    <w:rsid w:val="00595094"/>
    <w:rsid w:val="005950E5"/>
    <w:rsid w:val="00595324"/>
    <w:rsid w:val="00595485"/>
    <w:rsid w:val="0059573C"/>
    <w:rsid w:val="005957B0"/>
    <w:rsid w:val="005958BC"/>
    <w:rsid w:val="00596319"/>
    <w:rsid w:val="00596A43"/>
    <w:rsid w:val="00596C66"/>
    <w:rsid w:val="00597063"/>
    <w:rsid w:val="00597519"/>
    <w:rsid w:val="0059799D"/>
    <w:rsid w:val="005979FC"/>
    <w:rsid w:val="00597F10"/>
    <w:rsid w:val="005A007C"/>
    <w:rsid w:val="005A01C8"/>
    <w:rsid w:val="005A0A84"/>
    <w:rsid w:val="005A118A"/>
    <w:rsid w:val="005A17CA"/>
    <w:rsid w:val="005A1C66"/>
    <w:rsid w:val="005A1C81"/>
    <w:rsid w:val="005A211C"/>
    <w:rsid w:val="005A2DE4"/>
    <w:rsid w:val="005A33A1"/>
    <w:rsid w:val="005A3404"/>
    <w:rsid w:val="005A3772"/>
    <w:rsid w:val="005A39D1"/>
    <w:rsid w:val="005A3B42"/>
    <w:rsid w:val="005A406F"/>
    <w:rsid w:val="005A5A3E"/>
    <w:rsid w:val="005A5F7F"/>
    <w:rsid w:val="005A60BA"/>
    <w:rsid w:val="005A6198"/>
    <w:rsid w:val="005A6A1D"/>
    <w:rsid w:val="005A7224"/>
    <w:rsid w:val="005A7290"/>
    <w:rsid w:val="005A73A6"/>
    <w:rsid w:val="005A7426"/>
    <w:rsid w:val="005B07CD"/>
    <w:rsid w:val="005B07EA"/>
    <w:rsid w:val="005B0B38"/>
    <w:rsid w:val="005B0D95"/>
    <w:rsid w:val="005B1307"/>
    <w:rsid w:val="005B225A"/>
    <w:rsid w:val="005B28D4"/>
    <w:rsid w:val="005B3274"/>
    <w:rsid w:val="005B3312"/>
    <w:rsid w:val="005B402F"/>
    <w:rsid w:val="005B4145"/>
    <w:rsid w:val="005B43C6"/>
    <w:rsid w:val="005B4E5C"/>
    <w:rsid w:val="005B51ED"/>
    <w:rsid w:val="005B5202"/>
    <w:rsid w:val="005B5D8B"/>
    <w:rsid w:val="005B6015"/>
    <w:rsid w:val="005B7DC5"/>
    <w:rsid w:val="005C0445"/>
    <w:rsid w:val="005C0731"/>
    <w:rsid w:val="005C0E56"/>
    <w:rsid w:val="005C183A"/>
    <w:rsid w:val="005C1D5B"/>
    <w:rsid w:val="005C2C59"/>
    <w:rsid w:val="005C2E0A"/>
    <w:rsid w:val="005C3333"/>
    <w:rsid w:val="005C341D"/>
    <w:rsid w:val="005C357E"/>
    <w:rsid w:val="005C3692"/>
    <w:rsid w:val="005C3A03"/>
    <w:rsid w:val="005C3A95"/>
    <w:rsid w:val="005C3BD0"/>
    <w:rsid w:val="005C41B0"/>
    <w:rsid w:val="005C481A"/>
    <w:rsid w:val="005C4BC5"/>
    <w:rsid w:val="005C4C4A"/>
    <w:rsid w:val="005C53E8"/>
    <w:rsid w:val="005C6257"/>
    <w:rsid w:val="005C63DF"/>
    <w:rsid w:val="005C673A"/>
    <w:rsid w:val="005C6A14"/>
    <w:rsid w:val="005C6F6D"/>
    <w:rsid w:val="005C72EE"/>
    <w:rsid w:val="005D0786"/>
    <w:rsid w:val="005D0C43"/>
    <w:rsid w:val="005D0EAD"/>
    <w:rsid w:val="005D25FA"/>
    <w:rsid w:val="005D29C8"/>
    <w:rsid w:val="005D30F8"/>
    <w:rsid w:val="005D3481"/>
    <w:rsid w:val="005D3E24"/>
    <w:rsid w:val="005D4212"/>
    <w:rsid w:val="005D43B5"/>
    <w:rsid w:val="005D4889"/>
    <w:rsid w:val="005D660A"/>
    <w:rsid w:val="005D6663"/>
    <w:rsid w:val="005D7A7A"/>
    <w:rsid w:val="005D7A93"/>
    <w:rsid w:val="005E0225"/>
    <w:rsid w:val="005E06C8"/>
    <w:rsid w:val="005E084E"/>
    <w:rsid w:val="005E0862"/>
    <w:rsid w:val="005E0876"/>
    <w:rsid w:val="005E16EF"/>
    <w:rsid w:val="005E17CE"/>
    <w:rsid w:val="005E19B6"/>
    <w:rsid w:val="005E1CC6"/>
    <w:rsid w:val="005E1F4E"/>
    <w:rsid w:val="005E2180"/>
    <w:rsid w:val="005E22C6"/>
    <w:rsid w:val="005E2438"/>
    <w:rsid w:val="005E2576"/>
    <w:rsid w:val="005E29F1"/>
    <w:rsid w:val="005E2CDE"/>
    <w:rsid w:val="005E31E9"/>
    <w:rsid w:val="005E38CF"/>
    <w:rsid w:val="005E41F0"/>
    <w:rsid w:val="005E4601"/>
    <w:rsid w:val="005E467F"/>
    <w:rsid w:val="005E4AA0"/>
    <w:rsid w:val="005E5248"/>
    <w:rsid w:val="005E5BE7"/>
    <w:rsid w:val="005E5CCC"/>
    <w:rsid w:val="005E604B"/>
    <w:rsid w:val="005E64A3"/>
    <w:rsid w:val="005E6B12"/>
    <w:rsid w:val="005E7665"/>
    <w:rsid w:val="005E767C"/>
    <w:rsid w:val="005E7868"/>
    <w:rsid w:val="005F001E"/>
    <w:rsid w:val="005F0A25"/>
    <w:rsid w:val="005F0AA0"/>
    <w:rsid w:val="005F1007"/>
    <w:rsid w:val="005F104A"/>
    <w:rsid w:val="005F1287"/>
    <w:rsid w:val="005F1BE1"/>
    <w:rsid w:val="005F2075"/>
    <w:rsid w:val="005F2200"/>
    <w:rsid w:val="005F28E8"/>
    <w:rsid w:val="005F2A89"/>
    <w:rsid w:val="005F2DB0"/>
    <w:rsid w:val="005F2FE4"/>
    <w:rsid w:val="005F38FC"/>
    <w:rsid w:val="005F3C68"/>
    <w:rsid w:val="005F3C6D"/>
    <w:rsid w:val="005F3C7E"/>
    <w:rsid w:val="005F3D1C"/>
    <w:rsid w:val="005F3D77"/>
    <w:rsid w:val="005F55A0"/>
    <w:rsid w:val="005F5900"/>
    <w:rsid w:val="005F5924"/>
    <w:rsid w:val="005F59EC"/>
    <w:rsid w:val="005F5A8B"/>
    <w:rsid w:val="005F5F10"/>
    <w:rsid w:val="005F604A"/>
    <w:rsid w:val="005F670A"/>
    <w:rsid w:val="005F69FE"/>
    <w:rsid w:val="005F6AF9"/>
    <w:rsid w:val="005F6EB1"/>
    <w:rsid w:val="005F6F72"/>
    <w:rsid w:val="005F7CA8"/>
    <w:rsid w:val="005F7F12"/>
    <w:rsid w:val="00600232"/>
    <w:rsid w:val="006008DF"/>
    <w:rsid w:val="0060139B"/>
    <w:rsid w:val="00601523"/>
    <w:rsid w:val="00601551"/>
    <w:rsid w:val="006015C4"/>
    <w:rsid w:val="00601771"/>
    <w:rsid w:val="0060199F"/>
    <w:rsid w:val="00601A6E"/>
    <w:rsid w:val="00601E85"/>
    <w:rsid w:val="006021E1"/>
    <w:rsid w:val="006029C6"/>
    <w:rsid w:val="006031F2"/>
    <w:rsid w:val="006033F0"/>
    <w:rsid w:val="00603A1F"/>
    <w:rsid w:val="00603B96"/>
    <w:rsid w:val="00603C10"/>
    <w:rsid w:val="00604177"/>
    <w:rsid w:val="0060486E"/>
    <w:rsid w:val="00605A13"/>
    <w:rsid w:val="00606049"/>
    <w:rsid w:val="00606570"/>
    <w:rsid w:val="0060698A"/>
    <w:rsid w:val="00606BD9"/>
    <w:rsid w:val="00607B62"/>
    <w:rsid w:val="00607FE7"/>
    <w:rsid w:val="00610096"/>
    <w:rsid w:val="00610467"/>
    <w:rsid w:val="00611334"/>
    <w:rsid w:val="00612B3E"/>
    <w:rsid w:val="006132E2"/>
    <w:rsid w:val="00613634"/>
    <w:rsid w:val="00613937"/>
    <w:rsid w:val="006139C9"/>
    <w:rsid w:val="00613A84"/>
    <w:rsid w:val="00613AF2"/>
    <w:rsid w:val="00613FB6"/>
    <w:rsid w:val="0061470E"/>
    <w:rsid w:val="0061482D"/>
    <w:rsid w:val="0061499D"/>
    <w:rsid w:val="00614C63"/>
    <w:rsid w:val="006154D0"/>
    <w:rsid w:val="00615B79"/>
    <w:rsid w:val="00615EE0"/>
    <w:rsid w:val="006161BD"/>
    <w:rsid w:val="00616839"/>
    <w:rsid w:val="00616A16"/>
    <w:rsid w:val="00616AA5"/>
    <w:rsid w:val="006174AF"/>
    <w:rsid w:val="0061778D"/>
    <w:rsid w:val="006178BE"/>
    <w:rsid w:val="00617970"/>
    <w:rsid w:val="00620CA5"/>
    <w:rsid w:val="00620E2B"/>
    <w:rsid w:val="00621C6A"/>
    <w:rsid w:val="00622145"/>
    <w:rsid w:val="0062295E"/>
    <w:rsid w:val="006229BB"/>
    <w:rsid w:val="0062316F"/>
    <w:rsid w:val="00623260"/>
    <w:rsid w:val="00623F04"/>
    <w:rsid w:val="00624346"/>
    <w:rsid w:val="00624E24"/>
    <w:rsid w:val="00625025"/>
    <w:rsid w:val="006251F2"/>
    <w:rsid w:val="0062584B"/>
    <w:rsid w:val="00626721"/>
    <w:rsid w:val="0062726C"/>
    <w:rsid w:val="006273B2"/>
    <w:rsid w:val="006275D2"/>
    <w:rsid w:val="00627690"/>
    <w:rsid w:val="006279F5"/>
    <w:rsid w:val="00627A16"/>
    <w:rsid w:val="00627ABA"/>
    <w:rsid w:val="00627CC2"/>
    <w:rsid w:val="00630171"/>
    <w:rsid w:val="006304F3"/>
    <w:rsid w:val="0063064E"/>
    <w:rsid w:val="0063088A"/>
    <w:rsid w:val="00631116"/>
    <w:rsid w:val="00631C75"/>
    <w:rsid w:val="00631D01"/>
    <w:rsid w:val="00632052"/>
    <w:rsid w:val="0063219C"/>
    <w:rsid w:val="006322BB"/>
    <w:rsid w:val="0063252E"/>
    <w:rsid w:val="00632724"/>
    <w:rsid w:val="0063299F"/>
    <w:rsid w:val="006329A4"/>
    <w:rsid w:val="00632D81"/>
    <w:rsid w:val="0063318D"/>
    <w:rsid w:val="00633AE7"/>
    <w:rsid w:val="0063423A"/>
    <w:rsid w:val="00634973"/>
    <w:rsid w:val="00634C23"/>
    <w:rsid w:val="00634DD8"/>
    <w:rsid w:val="006357DC"/>
    <w:rsid w:val="00635986"/>
    <w:rsid w:val="0063632E"/>
    <w:rsid w:val="00636522"/>
    <w:rsid w:val="0063666D"/>
    <w:rsid w:val="006367A3"/>
    <w:rsid w:val="0063699F"/>
    <w:rsid w:val="00636D02"/>
    <w:rsid w:val="00637078"/>
    <w:rsid w:val="006372F2"/>
    <w:rsid w:val="006378EE"/>
    <w:rsid w:val="00640014"/>
    <w:rsid w:val="006405EA"/>
    <w:rsid w:val="0064062F"/>
    <w:rsid w:val="00640645"/>
    <w:rsid w:val="006408B8"/>
    <w:rsid w:val="00640E1E"/>
    <w:rsid w:val="00641F18"/>
    <w:rsid w:val="00642050"/>
    <w:rsid w:val="00642132"/>
    <w:rsid w:val="00642CFF"/>
    <w:rsid w:val="00643329"/>
    <w:rsid w:val="006434C4"/>
    <w:rsid w:val="0064371B"/>
    <w:rsid w:val="0064383D"/>
    <w:rsid w:val="00643888"/>
    <w:rsid w:val="00643F4D"/>
    <w:rsid w:val="006446B8"/>
    <w:rsid w:val="006448AC"/>
    <w:rsid w:val="0064544C"/>
    <w:rsid w:val="00646117"/>
    <w:rsid w:val="0064694C"/>
    <w:rsid w:val="00646B46"/>
    <w:rsid w:val="00647512"/>
    <w:rsid w:val="00647804"/>
    <w:rsid w:val="00650097"/>
    <w:rsid w:val="0065023E"/>
    <w:rsid w:val="00650B12"/>
    <w:rsid w:val="00650D50"/>
    <w:rsid w:val="00650DA4"/>
    <w:rsid w:val="00651060"/>
    <w:rsid w:val="00651440"/>
    <w:rsid w:val="00651462"/>
    <w:rsid w:val="00651540"/>
    <w:rsid w:val="00651911"/>
    <w:rsid w:val="00651DA6"/>
    <w:rsid w:val="0065219E"/>
    <w:rsid w:val="006523C1"/>
    <w:rsid w:val="0065240E"/>
    <w:rsid w:val="006524B7"/>
    <w:rsid w:val="0065271A"/>
    <w:rsid w:val="00653091"/>
    <w:rsid w:val="0065316F"/>
    <w:rsid w:val="006532E6"/>
    <w:rsid w:val="006532EE"/>
    <w:rsid w:val="00653461"/>
    <w:rsid w:val="00653663"/>
    <w:rsid w:val="0065369A"/>
    <w:rsid w:val="00653C96"/>
    <w:rsid w:val="006542CE"/>
    <w:rsid w:val="00654557"/>
    <w:rsid w:val="006547D0"/>
    <w:rsid w:val="00654A37"/>
    <w:rsid w:val="00654D4B"/>
    <w:rsid w:val="006553DE"/>
    <w:rsid w:val="00655670"/>
    <w:rsid w:val="006561DD"/>
    <w:rsid w:val="006563CB"/>
    <w:rsid w:val="00656BEC"/>
    <w:rsid w:val="006571D0"/>
    <w:rsid w:val="00657761"/>
    <w:rsid w:val="00657BD5"/>
    <w:rsid w:val="00657D5F"/>
    <w:rsid w:val="00657D68"/>
    <w:rsid w:val="00657E30"/>
    <w:rsid w:val="00657E6C"/>
    <w:rsid w:val="00657E8B"/>
    <w:rsid w:val="00660573"/>
    <w:rsid w:val="0066089F"/>
    <w:rsid w:val="00660ADA"/>
    <w:rsid w:val="00660B47"/>
    <w:rsid w:val="00660C32"/>
    <w:rsid w:val="006610C1"/>
    <w:rsid w:val="00662FD1"/>
    <w:rsid w:val="00663446"/>
    <w:rsid w:val="006637C8"/>
    <w:rsid w:val="00663B38"/>
    <w:rsid w:val="00663D7E"/>
    <w:rsid w:val="00663ED2"/>
    <w:rsid w:val="006647EE"/>
    <w:rsid w:val="00664C3B"/>
    <w:rsid w:val="00665C0D"/>
    <w:rsid w:val="00666FBC"/>
    <w:rsid w:val="00670ABF"/>
    <w:rsid w:val="00670E3F"/>
    <w:rsid w:val="00672921"/>
    <w:rsid w:val="00672DEF"/>
    <w:rsid w:val="006730AE"/>
    <w:rsid w:val="006734A8"/>
    <w:rsid w:val="00673AF9"/>
    <w:rsid w:val="00673D7E"/>
    <w:rsid w:val="0067423E"/>
    <w:rsid w:val="0067498F"/>
    <w:rsid w:val="006756FB"/>
    <w:rsid w:val="006765B3"/>
    <w:rsid w:val="00676C50"/>
    <w:rsid w:val="00677003"/>
    <w:rsid w:val="006771EC"/>
    <w:rsid w:val="00677398"/>
    <w:rsid w:val="0068050D"/>
    <w:rsid w:val="00680656"/>
    <w:rsid w:val="00680658"/>
    <w:rsid w:val="00680823"/>
    <w:rsid w:val="00680D06"/>
    <w:rsid w:val="00681252"/>
    <w:rsid w:val="006812DF"/>
    <w:rsid w:val="0068133A"/>
    <w:rsid w:val="006816BA"/>
    <w:rsid w:val="0068187A"/>
    <w:rsid w:val="00681961"/>
    <w:rsid w:val="006819AB"/>
    <w:rsid w:val="00681FA2"/>
    <w:rsid w:val="00682407"/>
    <w:rsid w:val="006827D0"/>
    <w:rsid w:val="0068328D"/>
    <w:rsid w:val="00683772"/>
    <w:rsid w:val="006837FC"/>
    <w:rsid w:val="00683A9D"/>
    <w:rsid w:val="00683BC2"/>
    <w:rsid w:val="00683CA2"/>
    <w:rsid w:val="00684511"/>
    <w:rsid w:val="0068467A"/>
    <w:rsid w:val="00684997"/>
    <w:rsid w:val="00685016"/>
    <w:rsid w:val="00685909"/>
    <w:rsid w:val="00685946"/>
    <w:rsid w:val="00685CC7"/>
    <w:rsid w:val="00685EA7"/>
    <w:rsid w:val="0068682C"/>
    <w:rsid w:val="00686D7D"/>
    <w:rsid w:val="0068796F"/>
    <w:rsid w:val="00690538"/>
    <w:rsid w:val="00690643"/>
    <w:rsid w:val="00691C43"/>
    <w:rsid w:val="00691FF1"/>
    <w:rsid w:val="006921FD"/>
    <w:rsid w:val="0069250E"/>
    <w:rsid w:val="0069291A"/>
    <w:rsid w:val="00692BBC"/>
    <w:rsid w:val="006930CF"/>
    <w:rsid w:val="006936C0"/>
    <w:rsid w:val="00693A3E"/>
    <w:rsid w:val="00693BF4"/>
    <w:rsid w:val="00693E9C"/>
    <w:rsid w:val="00694467"/>
    <w:rsid w:val="00694D89"/>
    <w:rsid w:val="00695548"/>
    <w:rsid w:val="006959D6"/>
    <w:rsid w:val="00695BF3"/>
    <w:rsid w:val="00695C87"/>
    <w:rsid w:val="00695DD3"/>
    <w:rsid w:val="00696846"/>
    <w:rsid w:val="00696E15"/>
    <w:rsid w:val="00696E26"/>
    <w:rsid w:val="0069725B"/>
    <w:rsid w:val="006977D9"/>
    <w:rsid w:val="00697E04"/>
    <w:rsid w:val="006A006A"/>
    <w:rsid w:val="006A02A6"/>
    <w:rsid w:val="006A058A"/>
    <w:rsid w:val="006A085C"/>
    <w:rsid w:val="006A0CCD"/>
    <w:rsid w:val="006A0D81"/>
    <w:rsid w:val="006A111F"/>
    <w:rsid w:val="006A1602"/>
    <w:rsid w:val="006A1671"/>
    <w:rsid w:val="006A1707"/>
    <w:rsid w:val="006A1918"/>
    <w:rsid w:val="006A1934"/>
    <w:rsid w:val="006A1962"/>
    <w:rsid w:val="006A1AA0"/>
    <w:rsid w:val="006A1F1E"/>
    <w:rsid w:val="006A2216"/>
    <w:rsid w:val="006A293E"/>
    <w:rsid w:val="006A2A0D"/>
    <w:rsid w:val="006A2E08"/>
    <w:rsid w:val="006A3BB6"/>
    <w:rsid w:val="006A3F31"/>
    <w:rsid w:val="006A4299"/>
    <w:rsid w:val="006A42EC"/>
    <w:rsid w:val="006A4468"/>
    <w:rsid w:val="006A45AE"/>
    <w:rsid w:val="006A4604"/>
    <w:rsid w:val="006A4A34"/>
    <w:rsid w:val="006A4B47"/>
    <w:rsid w:val="006A526E"/>
    <w:rsid w:val="006A5442"/>
    <w:rsid w:val="006A561F"/>
    <w:rsid w:val="006A609F"/>
    <w:rsid w:val="006A661D"/>
    <w:rsid w:val="006A67B6"/>
    <w:rsid w:val="006A6D7B"/>
    <w:rsid w:val="006A6E0C"/>
    <w:rsid w:val="006A6EA4"/>
    <w:rsid w:val="006A6F2A"/>
    <w:rsid w:val="006A7CF8"/>
    <w:rsid w:val="006B0105"/>
    <w:rsid w:val="006B0273"/>
    <w:rsid w:val="006B09A8"/>
    <w:rsid w:val="006B0C5B"/>
    <w:rsid w:val="006B11F0"/>
    <w:rsid w:val="006B13EA"/>
    <w:rsid w:val="006B13FC"/>
    <w:rsid w:val="006B18E3"/>
    <w:rsid w:val="006B1A84"/>
    <w:rsid w:val="006B1DA8"/>
    <w:rsid w:val="006B2603"/>
    <w:rsid w:val="006B264D"/>
    <w:rsid w:val="006B2AB4"/>
    <w:rsid w:val="006B2E3D"/>
    <w:rsid w:val="006B2F7D"/>
    <w:rsid w:val="006B3185"/>
    <w:rsid w:val="006B32F1"/>
    <w:rsid w:val="006B37E1"/>
    <w:rsid w:val="006B3EB6"/>
    <w:rsid w:val="006B3FFA"/>
    <w:rsid w:val="006B412C"/>
    <w:rsid w:val="006B4408"/>
    <w:rsid w:val="006B4BBF"/>
    <w:rsid w:val="006B4EA4"/>
    <w:rsid w:val="006B4F13"/>
    <w:rsid w:val="006B524C"/>
    <w:rsid w:val="006B52CF"/>
    <w:rsid w:val="006B538B"/>
    <w:rsid w:val="006B5420"/>
    <w:rsid w:val="006B5892"/>
    <w:rsid w:val="006B5EB2"/>
    <w:rsid w:val="006B6046"/>
    <w:rsid w:val="006B6699"/>
    <w:rsid w:val="006B69E8"/>
    <w:rsid w:val="006B6CEF"/>
    <w:rsid w:val="006B6D14"/>
    <w:rsid w:val="006B75E5"/>
    <w:rsid w:val="006B7C78"/>
    <w:rsid w:val="006B7F6A"/>
    <w:rsid w:val="006C06A0"/>
    <w:rsid w:val="006C0707"/>
    <w:rsid w:val="006C0A70"/>
    <w:rsid w:val="006C0DC5"/>
    <w:rsid w:val="006C1793"/>
    <w:rsid w:val="006C1A47"/>
    <w:rsid w:val="006C1D91"/>
    <w:rsid w:val="006C1DAE"/>
    <w:rsid w:val="006C271F"/>
    <w:rsid w:val="006C2BEC"/>
    <w:rsid w:val="006C2DAA"/>
    <w:rsid w:val="006C2F7C"/>
    <w:rsid w:val="006C31D0"/>
    <w:rsid w:val="006C39C5"/>
    <w:rsid w:val="006C3B22"/>
    <w:rsid w:val="006C3E7E"/>
    <w:rsid w:val="006C41A9"/>
    <w:rsid w:val="006C4343"/>
    <w:rsid w:val="006C490E"/>
    <w:rsid w:val="006C4B89"/>
    <w:rsid w:val="006C52C7"/>
    <w:rsid w:val="006C5320"/>
    <w:rsid w:val="006C5564"/>
    <w:rsid w:val="006C573A"/>
    <w:rsid w:val="006C5B0C"/>
    <w:rsid w:val="006C5F9C"/>
    <w:rsid w:val="006C6B9E"/>
    <w:rsid w:val="006C7438"/>
    <w:rsid w:val="006C7585"/>
    <w:rsid w:val="006C7820"/>
    <w:rsid w:val="006D05A6"/>
    <w:rsid w:val="006D08FC"/>
    <w:rsid w:val="006D09E3"/>
    <w:rsid w:val="006D0D73"/>
    <w:rsid w:val="006D10FA"/>
    <w:rsid w:val="006D134B"/>
    <w:rsid w:val="006D137C"/>
    <w:rsid w:val="006D1979"/>
    <w:rsid w:val="006D1C9C"/>
    <w:rsid w:val="006D1CC2"/>
    <w:rsid w:val="006D300C"/>
    <w:rsid w:val="006D3344"/>
    <w:rsid w:val="006D34AD"/>
    <w:rsid w:val="006D39DB"/>
    <w:rsid w:val="006D3A31"/>
    <w:rsid w:val="006D401B"/>
    <w:rsid w:val="006D4049"/>
    <w:rsid w:val="006D4C9A"/>
    <w:rsid w:val="006D4E7E"/>
    <w:rsid w:val="006D580D"/>
    <w:rsid w:val="006D5CDB"/>
    <w:rsid w:val="006D5EF4"/>
    <w:rsid w:val="006D65F2"/>
    <w:rsid w:val="006D6835"/>
    <w:rsid w:val="006D6921"/>
    <w:rsid w:val="006D70CD"/>
    <w:rsid w:val="006D7130"/>
    <w:rsid w:val="006D76CF"/>
    <w:rsid w:val="006D7F79"/>
    <w:rsid w:val="006D7FDE"/>
    <w:rsid w:val="006E0D93"/>
    <w:rsid w:val="006E1226"/>
    <w:rsid w:val="006E1B58"/>
    <w:rsid w:val="006E1C9C"/>
    <w:rsid w:val="006E2001"/>
    <w:rsid w:val="006E22D8"/>
    <w:rsid w:val="006E262C"/>
    <w:rsid w:val="006E30B3"/>
    <w:rsid w:val="006E31EF"/>
    <w:rsid w:val="006E4542"/>
    <w:rsid w:val="006E4F36"/>
    <w:rsid w:val="006E523F"/>
    <w:rsid w:val="006E52F7"/>
    <w:rsid w:val="006E5458"/>
    <w:rsid w:val="006E55CA"/>
    <w:rsid w:val="006E5B47"/>
    <w:rsid w:val="006E62E5"/>
    <w:rsid w:val="006E63C7"/>
    <w:rsid w:val="006E6475"/>
    <w:rsid w:val="006E65EF"/>
    <w:rsid w:val="006E732B"/>
    <w:rsid w:val="006E7383"/>
    <w:rsid w:val="006E752A"/>
    <w:rsid w:val="006E7801"/>
    <w:rsid w:val="006E7F7D"/>
    <w:rsid w:val="006F0791"/>
    <w:rsid w:val="006F082A"/>
    <w:rsid w:val="006F0942"/>
    <w:rsid w:val="006F0F66"/>
    <w:rsid w:val="006F1095"/>
    <w:rsid w:val="006F1352"/>
    <w:rsid w:val="006F1EA1"/>
    <w:rsid w:val="006F208F"/>
    <w:rsid w:val="006F2257"/>
    <w:rsid w:val="006F27B4"/>
    <w:rsid w:val="006F2DE5"/>
    <w:rsid w:val="006F2E2C"/>
    <w:rsid w:val="006F3527"/>
    <w:rsid w:val="006F3A2E"/>
    <w:rsid w:val="006F3AE9"/>
    <w:rsid w:val="006F41C0"/>
    <w:rsid w:val="006F4353"/>
    <w:rsid w:val="006F4378"/>
    <w:rsid w:val="006F45B5"/>
    <w:rsid w:val="006F5324"/>
    <w:rsid w:val="006F5A3F"/>
    <w:rsid w:val="006F5AAF"/>
    <w:rsid w:val="006F5E2E"/>
    <w:rsid w:val="006F6123"/>
    <w:rsid w:val="006F6735"/>
    <w:rsid w:val="006F68B4"/>
    <w:rsid w:val="006F6AAA"/>
    <w:rsid w:val="006F6D58"/>
    <w:rsid w:val="006F70AC"/>
    <w:rsid w:val="006F73F9"/>
    <w:rsid w:val="00700279"/>
    <w:rsid w:val="007007AB"/>
    <w:rsid w:val="00700B40"/>
    <w:rsid w:val="00700C40"/>
    <w:rsid w:val="00700EB3"/>
    <w:rsid w:val="007013D7"/>
    <w:rsid w:val="00702234"/>
    <w:rsid w:val="007023F5"/>
    <w:rsid w:val="007028C6"/>
    <w:rsid w:val="007029A3"/>
    <w:rsid w:val="00702BAB"/>
    <w:rsid w:val="0070341D"/>
    <w:rsid w:val="00703989"/>
    <w:rsid w:val="007043AE"/>
    <w:rsid w:val="00704B1E"/>
    <w:rsid w:val="00704BE1"/>
    <w:rsid w:val="007054B3"/>
    <w:rsid w:val="007058CD"/>
    <w:rsid w:val="0070619F"/>
    <w:rsid w:val="007061A5"/>
    <w:rsid w:val="00706493"/>
    <w:rsid w:val="007064B1"/>
    <w:rsid w:val="00706784"/>
    <w:rsid w:val="00706B7F"/>
    <w:rsid w:val="00706CFF"/>
    <w:rsid w:val="007074BB"/>
    <w:rsid w:val="007078F1"/>
    <w:rsid w:val="0071049B"/>
    <w:rsid w:val="007104DD"/>
    <w:rsid w:val="0071053C"/>
    <w:rsid w:val="0071054A"/>
    <w:rsid w:val="00710A65"/>
    <w:rsid w:val="00711A16"/>
    <w:rsid w:val="00712323"/>
    <w:rsid w:val="007127C3"/>
    <w:rsid w:val="00712A85"/>
    <w:rsid w:val="00712C91"/>
    <w:rsid w:val="00712F1E"/>
    <w:rsid w:val="007130E2"/>
    <w:rsid w:val="007130E6"/>
    <w:rsid w:val="0071334F"/>
    <w:rsid w:val="007134C9"/>
    <w:rsid w:val="00714651"/>
    <w:rsid w:val="0071473A"/>
    <w:rsid w:val="007155B5"/>
    <w:rsid w:val="00715AF0"/>
    <w:rsid w:val="00715ED2"/>
    <w:rsid w:val="00716351"/>
    <w:rsid w:val="0071637A"/>
    <w:rsid w:val="00716A18"/>
    <w:rsid w:val="00716B58"/>
    <w:rsid w:val="00716D37"/>
    <w:rsid w:val="00717593"/>
    <w:rsid w:val="00720215"/>
    <w:rsid w:val="00720301"/>
    <w:rsid w:val="00720766"/>
    <w:rsid w:val="00720EB3"/>
    <w:rsid w:val="00720EC8"/>
    <w:rsid w:val="0072124A"/>
    <w:rsid w:val="007213C2"/>
    <w:rsid w:val="00721C53"/>
    <w:rsid w:val="00721DBD"/>
    <w:rsid w:val="00721E52"/>
    <w:rsid w:val="0072204C"/>
    <w:rsid w:val="00722144"/>
    <w:rsid w:val="00723162"/>
    <w:rsid w:val="0072348B"/>
    <w:rsid w:val="007239DA"/>
    <w:rsid w:val="00723A0A"/>
    <w:rsid w:val="00723C81"/>
    <w:rsid w:val="00723E54"/>
    <w:rsid w:val="00724EAF"/>
    <w:rsid w:val="00725740"/>
    <w:rsid w:val="00725ED3"/>
    <w:rsid w:val="00725EEE"/>
    <w:rsid w:val="00726A2B"/>
    <w:rsid w:val="0072755A"/>
    <w:rsid w:val="007279E7"/>
    <w:rsid w:val="00727B44"/>
    <w:rsid w:val="00727D62"/>
    <w:rsid w:val="00727F4E"/>
    <w:rsid w:val="0073057E"/>
    <w:rsid w:val="0073090E"/>
    <w:rsid w:val="00730CB4"/>
    <w:rsid w:val="00731AD1"/>
    <w:rsid w:val="007325CB"/>
    <w:rsid w:val="007330D4"/>
    <w:rsid w:val="00733167"/>
    <w:rsid w:val="007332B3"/>
    <w:rsid w:val="00733661"/>
    <w:rsid w:val="00733940"/>
    <w:rsid w:val="00733D63"/>
    <w:rsid w:val="00733E3F"/>
    <w:rsid w:val="0073468C"/>
    <w:rsid w:val="00734C02"/>
    <w:rsid w:val="0073502E"/>
    <w:rsid w:val="00735508"/>
    <w:rsid w:val="00735743"/>
    <w:rsid w:val="007361A2"/>
    <w:rsid w:val="00737F48"/>
    <w:rsid w:val="00740245"/>
    <w:rsid w:val="00740F79"/>
    <w:rsid w:val="0074101E"/>
    <w:rsid w:val="007411CC"/>
    <w:rsid w:val="00742060"/>
    <w:rsid w:val="00742317"/>
    <w:rsid w:val="00742906"/>
    <w:rsid w:val="00743078"/>
    <w:rsid w:val="007431EB"/>
    <w:rsid w:val="007435D4"/>
    <w:rsid w:val="0074381A"/>
    <w:rsid w:val="0074385E"/>
    <w:rsid w:val="007438DA"/>
    <w:rsid w:val="0074395D"/>
    <w:rsid w:val="00743FC5"/>
    <w:rsid w:val="00743FF6"/>
    <w:rsid w:val="00744679"/>
    <w:rsid w:val="0074498C"/>
    <w:rsid w:val="00745945"/>
    <w:rsid w:val="007459D0"/>
    <w:rsid w:val="00745F03"/>
    <w:rsid w:val="00746058"/>
    <w:rsid w:val="0074622D"/>
    <w:rsid w:val="00746639"/>
    <w:rsid w:val="0074674A"/>
    <w:rsid w:val="00746D22"/>
    <w:rsid w:val="007471D2"/>
    <w:rsid w:val="00747475"/>
    <w:rsid w:val="0074775F"/>
    <w:rsid w:val="0074796E"/>
    <w:rsid w:val="00747A4A"/>
    <w:rsid w:val="00750B0E"/>
    <w:rsid w:val="007519C3"/>
    <w:rsid w:val="007528F5"/>
    <w:rsid w:val="00752916"/>
    <w:rsid w:val="00752BCE"/>
    <w:rsid w:val="00752D72"/>
    <w:rsid w:val="007536FE"/>
    <w:rsid w:val="00753760"/>
    <w:rsid w:val="007537D3"/>
    <w:rsid w:val="0075396F"/>
    <w:rsid w:val="0075474E"/>
    <w:rsid w:val="00755B17"/>
    <w:rsid w:val="007561E6"/>
    <w:rsid w:val="00756BB7"/>
    <w:rsid w:val="00756EBF"/>
    <w:rsid w:val="00756F70"/>
    <w:rsid w:val="00756F8B"/>
    <w:rsid w:val="00757572"/>
    <w:rsid w:val="007576A8"/>
    <w:rsid w:val="00757CF1"/>
    <w:rsid w:val="00760309"/>
    <w:rsid w:val="00760447"/>
    <w:rsid w:val="00760540"/>
    <w:rsid w:val="00760C4F"/>
    <w:rsid w:val="007617BA"/>
    <w:rsid w:val="00761CA2"/>
    <w:rsid w:val="00762139"/>
    <w:rsid w:val="007629DF"/>
    <w:rsid w:val="00763028"/>
    <w:rsid w:val="007638EA"/>
    <w:rsid w:val="00763BCC"/>
    <w:rsid w:val="00763C82"/>
    <w:rsid w:val="00763F1A"/>
    <w:rsid w:val="00763F3B"/>
    <w:rsid w:val="00763FA4"/>
    <w:rsid w:val="00764226"/>
    <w:rsid w:val="0076427A"/>
    <w:rsid w:val="00764D1F"/>
    <w:rsid w:val="00765292"/>
    <w:rsid w:val="007652B9"/>
    <w:rsid w:val="007654B9"/>
    <w:rsid w:val="00765CE7"/>
    <w:rsid w:val="00765F8F"/>
    <w:rsid w:val="0076628A"/>
    <w:rsid w:val="007674E7"/>
    <w:rsid w:val="00767667"/>
    <w:rsid w:val="00767AB8"/>
    <w:rsid w:val="00767FDB"/>
    <w:rsid w:val="007701CF"/>
    <w:rsid w:val="00770A0A"/>
    <w:rsid w:val="00770BA0"/>
    <w:rsid w:val="00771306"/>
    <w:rsid w:val="007732A9"/>
    <w:rsid w:val="0077376C"/>
    <w:rsid w:val="00773E10"/>
    <w:rsid w:val="0077412E"/>
    <w:rsid w:val="00774CE7"/>
    <w:rsid w:val="007752C9"/>
    <w:rsid w:val="00775985"/>
    <w:rsid w:val="00775A97"/>
    <w:rsid w:val="00775AE8"/>
    <w:rsid w:val="00775D51"/>
    <w:rsid w:val="00775DDE"/>
    <w:rsid w:val="00776AEE"/>
    <w:rsid w:val="00776B5A"/>
    <w:rsid w:val="0077716D"/>
    <w:rsid w:val="00777374"/>
    <w:rsid w:val="007775FE"/>
    <w:rsid w:val="00777980"/>
    <w:rsid w:val="00780206"/>
    <w:rsid w:val="00780213"/>
    <w:rsid w:val="007811CE"/>
    <w:rsid w:val="007812FD"/>
    <w:rsid w:val="0078149D"/>
    <w:rsid w:val="00781631"/>
    <w:rsid w:val="007816C3"/>
    <w:rsid w:val="007816CD"/>
    <w:rsid w:val="00782282"/>
    <w:rsid w:val="0078228C"/>
    <w:rsid w:val="007823F2"/>
    <w:rsid w:val="00783286"/>
    <w:rsid w:val="00783836"/>
    <w:rsid w:val="00783A39"/>
    <w:rsid w:val="0078455C"/>
    <w:rsid w:val="00784C4E"/>
    <w:rsid w:val="00784FD1"/>
    <w:rsid w:val="007855BF"/>
    <w:rsid w:val="007859BE"/>
    <w:rsid w:val="00785D77"/>
    <w:rsid w:val="007870E9"/>
    <w:rsid w:val="00787BC6"/>
    <w:rsid w:val="007906BD"/>
    <w:rsid w:val="0079094B"/>
    <w:rsid w:val="00790D89"/>
    <w:rsid w:val="0079104B"/>
    <w:rsid w:val="00791299"/>
    <w:rsid w:val="00791C07"/>
    <w:rsid w:val="00791ECB"/>
    <w:rsid w:val="0079215B"/>
    <w:rsid w:val="007926B9"/>
    <w:rsid w:val="00792B37"/>
    <w:rsid w:val="00792CDB"/>
    <w:rsid w:val="00793141"/>
    <w:rsid w:val="00794FB9"/>
    <w:rsid w:val="007950D7"/>
    <w:rsid w:val="00795510"/>
    <w:rsid w:val="0079636A"/>
    <w:rsid w:val="007965EE"/>
    <w:rsid w:val="00796A5B"/>
    <w:rsid w:val="00796F63"/>
    <w:rsid w:val="00797056"/>
    <w:rsid w:val="00797226"/>
    <w:rsid w:val="007974F5"/>
    <w:rsid w:val="00797E9D"/>
    <w:rsid w:val="00797EA6"/>
    <w:rsid w:val="00797FE9"/>
    <w:rsid w:val="007A0300"/>
    <w:rsid w:val="007A092C"/>
    <w:rsid w:val="007A1041"/>
    <w:rsid w:val="007A14ED"/>
    <w:rsid w:val="007A1CAE"/>
    <w:rsid w:val="007A1F4C"/>
    <w:rsid w:val="007A26DF"/>
    <w:rsid w:val="007A26F6"/>
    <w:rsid w:val="007A2E02"/>
    <w:rsid w:val="007A3891"/>
    <w:rsid w:val="007A4203"/>
    <w:rsid w:val="007A48B6"/>
    <w:rsid w:val="007A4A18"/>
    <w:rsid w:val="007A4B23"/>
    <w:rsid w:val="007A4BE7"/>
    <w:rsid w:val="007A4CCE"/>
    <w:rsid w:val="007A5809"/>
    <w:rsid w:val="007A587F"/>
    <w:rsid w:val="007A591C"/>
    <w:rsid w:val="007A615E"/>
    <w:rsid w:val="007A68CD"/>
    <w:rsid w:val="007A75CC"/>
    <w:rsid w:val="007A79F7"/>
    <w:rsid w:val="007A7A9A"/>
    <w:rsid w:val="007A7CC4"/>
    <w:rsid w:val="007B0E1A"/>
    <w:rsid w:val="007B1380"/>
    <w:rsid w:val="007B252F"/>
    <w:rsid w:val="007B2B1D"/>
    <w:rsid w:val="007B2D7D"/>
    <w:rsid w:val="007B2F4A"/>
    <w:rsid w:val="007B3319"/>
    <w:rsid w:val="007B345A"/>
    <w:rsid w:val="007B3CAE"/>
    <w:rsid w:val="007B3CDD"/>
    <w:rsid w:val="007B4350"/>
    <w:rsid w:val="007B4AA7"/>
    <w:rsid w:val="007B4D1B"/>
    <w:rsid w:val="007B5025"/>
    <w:rsid w:val="007B50BF"/>
    <w:rsid w:val="007B5803"/>
    <w:rsid w:val="007B5D27"/>
    <w:rsid w:val="007B5DAF"/>
    <w:rsid w:val="007B67A7"/>
    <w:rsid w:val="007B6A1C"/>
    <w:rsid w:val="007B744F"/>
    <w:rsid w:val="007B7702"/>
    <w:rsid w:val="007B7A19"/>
    <w:rsid w:val="007B7CA8"/>
    <w:rsid w:val="007B7D4E"/>
    <w:rsid w:val="007B7FF0"/>
    <w:rsid w:val="007C0064"/>
    <w:rsid w:val="007C038C"/>
    <w:rsid w:val="007C03EA"/>
    <w:rsid w:val="007C07A1"/>
    <w:rsid w:val="007C1231"/>
    <w:rsid w:val="007C157A"/>
    <w:rsid w:val="007C1BEB"/>
    <w:rsid w:val="007C2033"/>
    <w:rsid w:val="007C2053"/>
    <w:rsid w:val="007C22F7"/>
    <w:rsid w:val="007C24D4"/>
    <w:rsid w:val="007C3073"/>
    <w:rsid w:val="007C30F0"/>
    <w:rsid w:val="007C30FA"/>
    <w:rsid w:val="007C35F9"/>
    <w:rsid w:val="007C432C"/>
    <w:rsid w:val="007C470F"/>
    <w:rsid w:val="007C4CAE"/>
    <w:rsid w:val="007C5175"/>
    <w:rsid w:val="007C5303"/>
    <w:rsid w:val="007C53E2"/>
    <w:rsid w:val="007C5F22"/>
    <w:rsid w:val="007C64A1"/>
    <w:rsid w:val="007C6CD3"/>
    <w:rsid w:val="007C74D4"/>
    <w:rsid w:val="007C78D2"/>
    <w:rsid w:val="007C79D4"/>
    <w:rsid w:val="007C7D54"/>
    <w:rsid w:val="007D0B51"/>
    <w:rsid w:val="007D0BED"/>
    <w:rsid w:val="007D0D2E"/>
    <w:rsid w:val="007D0E5D"/>
    <w:rsid w:val="007D16B5"/>
    <w:rsid w:val="007D18D5"/>
    <w:rsid w:val="007D1F09"/>
    <w:rsid w:val="007D20A3"/>
    <w:rsid w:val="007D224C"/>
    <w:rsid w:val="007D2566"/>
    <w:rsid w:val="007D2A6E"/>
    <w:rsid w:val="007D2ADC"/>
    <w:rsid w:val="007D2C7A"/>
    <w:rsid w:val="007D3205"/>
    <w:rsid w:val="007D32DD"/>
    <w:rsid w:val="007D3407"/>
    <w:rsid w:val="007D37AA"/>
    <w:rsid w:val="007D3822"/>
    <w:rsid w:val="007D4411"/>
    <w:rsid w:val="007D442F"/>
    <w:rsid w:val="007D4A55"/>
    <w:rsid w:val="007D532D"/>
    <w:rsid w:val="007D54E1"/>
    <w:rsid w:val="007D5866"/>
    <w:rsid w:val="007D5C4B"/>
    <w:rsid w:val="007D618E"/>
    <w:rsid w:val="007D63C3"/>
    <w:rsid w:val="007D6678"/>
    <w:rsid w:val="007D677D"/>
    <w:rsid w:val="007D6917"/>
    <w:rsid w:val="007D733C"/>
    <w:rsid w:val="007D76B5"/>
    <w:rsid w:val="007D77EF"/>
    <w:rsid w:val="007D78A7"/>
    <w:rsid w:val="007D7E93"/>
    <w:rsid w:val="007E011A"/>
    <w:rsid w:val="007E06B4"/>
    <w:rsid w:val="007E06CD"/>
    <w:rsid w:val="007E0DF8"/>
    <w:rsid w:val="007E12E7"/>
    <w:rsid w:val="007E1378"/>
    <w:rsid w:val="007E158F"/>
    <w:rsid w:val="007E1B63"/>
    <w:rsid w:val="007E2B0E"/>
    <w:rsid w:val="007E2FD9"/>
    <w:rsid w:val="007E3C5A"/>
    <w:rsid w:val="007E402E"/>
    <w:rsid w:val="007E44A2"/>
    <w:rsid w:val="007E4D0A"/>
    <w:rsid w:val="007E55EA"/>
    <w:rsid w:val="007E5653"/>
    <w:rsid w:val="007E64D0"/>
    <w:rsid w:val="007E6633"/>
    <w:rsid w:val="007E6C35"/>
    <w:rsid w:val="007E7724"/>
    <w:rsid w:val="007E78DE"/>
    <w:rsid w:val="007E7A51"/>
    <w:rsid w:val="007E7B83"/>
    <w:rsid w:val="007E7C48"/>
    <w:rsid w:val="007F02FE"/>
    <w:rsid w:val="007F06B1"/>
    <w:rsid w:val="007F085D"/>
    <w:rsid w:val="007F0C03"/>
    <w:rsid w:val="007F0CE1"/>
    <w:rsid w:val="007F1920"/>
    <w:rsid w:val="007F1E8A"/>
    <w:rsid w:val="007F248D"/>
    <w:rsid w:val="007F2880"/>
    <w:rsid w:val="007F33AC"/>
    <w:rsid w:val="007F36F5"/>
    <w:rsid w:val="007F3816"/>
    <w:rsid w:val="007F3891"/>
    <w:rsid w:val="007F404B"/>
    <w:rsid w:val="007F4599"/>
    <w:rsid w:val="007F5123"/>
    <w:rsid w:val="007F532F"/>
    <w:rsid w:val="007F584D"/>
    <w:rsid w:val="007F5EE5"/>
    <w:rsid w:val="007F63DD"/>
    <w:rsid w:val="007F6979"/>
    <w:rsid w:val="007F6B58"/>
    <w:rsid w:val="007F6F17"/>
    <w:rsid w:val="007F6F81"/>
    <w:rsid w:val="007F7019"/>
    <w:rsid w:val="008009AF"/>
    <w:rsid w:val="00801708"/>
    <w:rsid w:val="00801E2B"/>
    <w:rsid w:val="00801EB5"/>
    <w:rsid w:val="0080254D"/>
    <w:rsid w:val="008027C6"/>
    <w:rsid w:val="00802804"/>
    <w:rsid w:val="00802AF8"/>
    <w:rsid w:val="008030D8"/>
    <w:rsid w:val="008030DA"/>
    <w:rsid w:val="0080354B"/>
    <w:rsid w:val="008038AC"/>
    <w:rsid w:val="00803A6C"/>
    <w:rsid w:val="008049BE"/>
    <w:rsid w:val="008049E3"/>
    <w:rsid w:val="00804C28"/>
    <w:rsid w:val="00805018"/>
    <w:rsid w:val="008051AE"/>
    <w:rsid w:val="008053EF"/>
    <w:rsid w:val="00805CD1"/>
    <w:rsid w:val="00805EC5"/>
    <w:rsid w:val="0080678F"/>
    <w:rsid w:val="00807648"/>
    <w:rsid w:val="0080782B"/>
    <w:rsid w:val="00807C2E"/>
    <w:rsid w:val="00807D9C"/>
    <w:rsid w:val="00807F7B"/>
    <w:rsid w:val="00810FA7"/>
    <w:rsid w:val="008111AE"/>
    <w:rsid w:val="0081139A"/>
    <w:rsid w:val="008116E1"/>
    <w:rsid w:val="00811C7B"/>
    <w:rsid w:val="008125A7"/>
    <w:rsid w:val="00812989"/>
    <w:rsid w:val="00813367"/>
    <w:rsid w:val="00813536"/>
    <w:rsid w:val="00813728"/>
    <w:rsid w:val="008138F1"/>
    <w:rsid w:val="00813A1B"/>
    <w:rsid w:val="00813E2A"/>
    <w:rsid w:val="00813F66"/>
    <w:rsid w:val="008146D3"/>
    <w:rsid w:val="00814961"/>
    <w:rsid w:val="00814EA4"/>
    <w:rsid w:val="00815362"/>
    <w:rsid w:val="008154EA"/>
    <w:rsid w:val="0081582A"/>
    <w:rsid w:val="00815AF8"/>
    <w:rsid w:val="008166C1"/>
    <w:rsid w:val="0081717E"/>
    <w:rsid w:val="00817262"/>
    <w:rsid w:val="00817B07"/>
    <w:rsid w:val="00817B53"/>
    <w:rsid w:val="00817BDC"/>
    <w:rsid w:val="00817DAF"/>
    <w:rsid w:val="00820154"/>
    <w:rsid w:val="008201AA"/>
    <w:rsid w:val="00820A51"/>
    <w:rsid w:val="00820CF7"/>
    <w:rsid w:val="00821C5C"/>
    <w:rsid w:val="00821F37"/>
    <w:rsid w:val="00822087"/>
    <w:rsid w:val="00822547"/>
    <w:rsid w:val="00822597"/>
    <w:rsid w:val="0082277A"/>
    <w:rsid w:val="00822E40"/>
    <w:rsid w:val="00822EA8"/>
    <w:rsid w:val="00823347"/>
    <w:rsid w:val="0082348F"/>
    <w:rsid w:val="00823954"/>
    <w:rsid w:val="00823C63"/>
    <w:rsid w:val="00824689"/>
    <w:rsid w:val="008258E4"/>
    <w:rsid w:val="00825C6B"/>
    <w:rsid w:val="00825EF5"/>
    <w:rsid w:val="008266BB"/>
    <w:rsid w:val="00826A77"/>
    <w:rsid w:val="0082727A"/>
    <w:rsid w:val="008277B9"/>
    <w:rsid w:val="0082795B"/>
    <w:rsid w:val="00827D8A"/>
    <w:rsid w:val="00830039"/>
    <w:rsid w:val="00830691"/>
    <w:rsid w:val="008308D7"/>
    <w:rsid w:val="00830A5A"/>
    <w:rsid w:val="008319E1"/>
    <w:rsid w:val="00831AFA"/>
    <w:rsid w:val="00831CFD"/>
    <w:rsid w:val="00831F6A"/>
    <w:rsid w:val="008321BC"/>
    <w:rsid w:val="008321E2"/>
    <w:rsid w:val="0083232C"/>
    <w:rsid w:val="00832A16"/>
    <w:rsid w:val="00833D84"/>
    <w:rsid w:val="00833E75"/>
    <w:rsid w:val="00833F03"/>
    <w:rsid w:val="0083461F"/>
    <w:rsid w:val="00834740"/>
    <w:rsid w:val="0083492C"/>
    <w:rsid w:val="00834A32"/>
    <w:rsid w:val="00834B61"/>
    <w:rsid w:val="00834D38"/>
    <w:rsid w:val="0083506D"/>
    <w:rsid w:val="00835206"/>
    <w:rsid w:val="00835460"/>
    <w:rsid w:val="00836120"/>
    <w:rsid w:val="008364AE"/>
    <w:rsid w:val="008364F4"/>
    <w:rsid w:val="00836791"/>
    <w:rsid w:val="00836FA3"/>
    <w:rsid w:val="00837D56"/>
    <w:rsid w:val="0084021B"/>
    <w:rsid w:val="008406A7"/>
    <w:rsid w:val="00840FAD"/>
    <w:rsid w:val="008413AB"/>
    <w:rsid w:val="008417AF"/>
    <w:rsid w:val="00841AF3"/>
    <w:rsid w:val="008424C8"/>
    <w:rsid w:val="00843006"/>
    <w:rsid w:val="0084335A"/>
    <w:rsid w:val="008437BF"/>
    <w:rsid w:val="0084388F"/>
    <w:rsid w:val="00843B14"/>
    <w:rsid w:val="00843E15"/>
    <w:rsid w:val="00843E5E"/>
    <w:rsid w:val="00844D3D"/>
    <w:rsid w:val="00845263"/>
    <w:rsid w:val="008458E3"/>
    <w:rsid w:val="00845D73"/>
    <w:rsid w:val="00845F9F"/>
    <w:rsid w:val="00846D54"/>
    <w:rsid w:val="00847110"/>
    <w:rsid w:val="008473DB"/>
    <w:rsid w:val="00847404"/>
    <w:rsid w:val="00847A08"/>
    <w:rsid w:val="00847DD6"/>
    <w:rsid w:val="00847FC6"/>
    <w:rsid w:val="0085029E"/>
    <w:rsid w:val="00850778"/>
    <w:rsid w:val="00850B63"/>
    <w:rsid w:val="00851706"/>
    <w:rsid w:val="00851ACA"/>
    <w:rsid w:val="00851FA3"/>
    <w:rsid w:val="008523CC"/>
    <w:rsid w:val="0085298D"/>
    <w:rsid w:val="00852B2E"/>
    <w:rsid w:val="00853235"/>
    <w:rsid w:val="00853389"/>
    <w:rsid w:val="00853496"/>
    <w:rsid w:val="00853608"/>
    <w:rsid w:val="00853729"/>
    <w:rsid w:val="008538DD"/>
    <w:rsid w:val="0085412F"/>
    <w:rsid w:val="008542BE"/>
    <w:rsid w:val="008559BB"/>
    <w:rsid w:val="00855B8A"/>
    <w:rsid w:val="00855C44"/>
    <w:rsid w:val="00855FB2"/>
    <w:rsid w:val="0085627E"/>
    <w:rsid w:val="00857320"/>
    <w:rsid w:val="008575F5"/>
    <w:rsid w:val="00857AAE"/>
    <w:rsid w:val="00857B2E"/>
    <w:rsid w:val="008602C1"/>
    <w:rsid w:val="008604B3"/>
    <w:rsid w:val="00860761"/>
    <w:rsid w:val="00860AC5"/>
    <w:rsid w:val="00861F07"/>
    <w:rsid w:val="00863954"/>
    <w:rsid w:val="00863D1F"/>
    <w:rsid w:val="00863FDB"/>
    <w:rsid w:val="00863FE9"/>
    <w:rsid w:val="00864393"/>
    <w:rsid w:val="00864600"/>
    <w:rsid w:val="0086487E"/>
    <w:rsid w:val="00865086"/>
    <w:rsid w:val="00865135"/>
    <w:rsid w:val="00865636"/>
    <w:rsid w:val="0086565A"/>
    <w:rsid w:val="0086573F"/>
    <w:rsid w:val="00865964"/>
    <w:rsid w:val="00865B15"/>
    <w:rsid w:val="008665CE"/>
    <w:rsid w:val="00866CB8"/>
    <w:rsid w:val="00866F09"/>
    <w:rsid w:val="008671AC"/>
    <w:rsid w:val="00867283"/>
    <w:rsid w:val="00867DE3"/>
    <w:rsid w:val="0087073A"/>
    <w:rsid w:val="00870C2E"/>
    <w:rsid w:val="00870EFC"/>
    <w:rsid w:val="00871883"/>
    <w:rsid w:val="00871CBB"/>
    <w:rsid w:val="008721A3"/>
    <w:rsid w:val="0087232D"/>
    <w:rsid w:val="008725D8"/>
    <w:rsid w:val="00873153"/>
    <w:rsid w:val="00873767"/>
    <w:rsid w:val="00873AA7"/>
    <w:rsid w:val="008740CE"/>
    <w:rsid w:val="00874BF4"/>
    <w:rsid w:val="0087540B"/>
    <w:rsid w:val="008754BF"/>
    <w:rsid w:val="00875971"/>
    <w:rsid w:val="0087598A"/>
    <w:rsid w:val="0087654C"/>
    <w:rsid w:val="008765D2"/>
    <w:rsid w:val="00876BA6"/>
    <w:rsid w:val="008771CF"/>
    <w:rsid w:val="0087724C"/>
    <w:rsid w:val="00877FB8"/>
    <w:rsid w:val="0088035E"/>
    <w:rsid w:val="008803C2"/>
    <w:rsid w:val="008803FA"/>
    <w:rsid w:val="008804CE"/>
    <w:rsid w:val="008807A4"/>
    <w:rsid w:val="00880946"/>
    <w:rsid w:val="00880BEE"/>
    <w:rsid w:val="00880CC9"/>
    <w:rsid w:val="00881403"/>
    <w:rsid w:val="008822F9"/>
    <w:rsid w:val="0088264D"/>
    <w:rsid w:val="00882838"/>
    <w:rsid w:val="00883551"/>
    <w:rsid w:val="00883835"/>
    <w:rsid w:val="00883F99"/>
    <w:rsid w:val="008841C3"/>
    <w:rsid w:val="00884926"/>
    <w:rsid w:val="00884995"/>
    <w:rsid w:val="00884DA7"/>
    <w:rsid w:val="00885387"/>
    <w:rsid w:val="00885447"/>
    <w:rsid w:val="00885F54"/>
    <w:rsid w:val="008861BD"/>
    <w:rsid w:val="0088643D"/>
    <w:rsid w:val="0088663C"/>
    <w:rsid w:val="00887359"/>
    <w:rsid w:val="00887A10"/>
    <w:rsid w:val="008900F7"/>
    <w:rsid w:val="008901A8"/>
    <w:rsid w:val="00891523"/>
    <w:rsid w:val="008916FB"/>
    <w:rsid w:val="008918C4"/>
    <w:rsid w:val="00891B55"/>
    <w:rsid w:val="00891BE4"/>
    <w:rsid w:val="00892B86"/>
    <w:rsid w:val="00892B94"/>
    <w:rsid w:val="00892BDE"/>
    <w:rsid w:val="00893170"/>
    <w:rsid w:val="008934D3"/>
    <w:rsid w:val="0089352F"/>
    <w:rsid w:val="00893581"/>
    <w:rsid w:val="00893AEF"/>
    <w:rsid w:val="00893E01"/>
    <w:rsid w:val="008948C9"/>
    <w:rsid w:val="0089510F"/>
    <w:rsid w:val="008966CA"/>
    <w:rsid w:val="0089682B"/>
    <w:rsid w:val="00896B07"/>
    <w:rsid w:val="00897E26"/>
    <w:rsid w:val="00897EF3"/>
    <w:rsid w:val="008A023D"/>
    <w:rsid w:val="008A04DC"/>
    <w:rsid w:val="008A0C84"/>
    <w:rsid w:val="008A0CA8"/>
    <w:rsid w:val="008A0CAA"/>
    <w:rsid w:val="008A161F"/>
    <w:rsid w:val="008A20C7"/>
    <w:rsid w:val="008A2511"/>
    <w:rsid w:val="008A2D5F"/>
    <w:rsid w:val="008A3189"/>
    <w:rsid w:val="008A371E"/>
    <w:rsid w:val="008A3809"/>
    <w:rsid w:val="008A3B51"/>
    <w:rsid w:val="008A481C"/>
    <w:rsid w:val="008A50F2"/>
    <w:rsid w:val="008A5AFF"/>
    <w:rsid w:val="008A5C16"/>
    <w:rsid w:val="008A6370"/>
    <w:rsid w:val="008A64F1"/>
    <w:rsid w:val="008A653C"/>
    <w:rsid w:val="008A6F19"/>
    <w:rsid w:val="008A754A"/>
    <w:rsid w:val="008A770B"/>
    <w:rsid w:val="008A78D5"/>
    <w:rsid w:val="008B047A"/>
    <w:rsid w:val="008B0AC2"/>
    <w:rsid w:val="008B0E53"/>
    <w:rsid w:val="008B1257"/>
    <w:rsid w:val="008B131A"/>
    <w:rsid w:val="008B1540"/>
    <w:rsid w:val="008B1E41"/>
    <w:rsid w:val="008B221E"/>
    <w:rsid w:val="008B2873"/>
    <w:rsid w:val="008B29E5"/>
    <w:rsid w:val="008B3056"/>
    <w:rsid w:val="008B3265"/>
    <w:rsid w:val="008B3E6F"/>
    <w:rsid w:val="008B444B"/>
    <w:rsid w:val="008B4583"/>
    <w:rsid w:val="008B4CD0"/>
    <w:rsid w:val="008B5586"/>
    <w:rsid w:val="008B5B26"/>
    <w:rsid w:val="008B5FC7"/>
    <w:rsid w:val="008B663B"/>
    <w:rsid w:val="008B7094"/>
    <w:rsid w:val="008B7904"/>
    <w:rsid w:val="008B7A67"/>
    <w:rsid w:val="008C0166"/>
    <w:rsid w:val="008C034D"/>
    <w:rsid w:val="008C05BF"/>
    <w:rsid w:val="008C0723"/>
    <w:rsid w:val="008C2488"/>
    <w:rsid w:val="008C2A4C"/>
    <w:rsid w:val="008C3002"/>
    <w:rsid w:val="008C32EF"/>
    <w:rsid w:val="008C3503"/>
    <w:rsid w:val="008C3BB6"/>
    <w:rsid w:val="008C3CDD"/>
    <w:rsid w:val="008C3DA2"/>
    <w:rsid w:val="008C3E1A"/>
    <w:rsid w:val="008C40E9"/>
    <w:rsid w:val="008C4447"/>
    <w:rsid w:val="008C4BC8"/>
    <w:rsid w:val="008C4CFB"/>
    <w:rsid w:val="008C4DF2"/>
    <w:rsid w:val="008C5A8F"/>
    <w:rsid w:val="008C62A4"/>
    <w:rsid w:val="008C775A"/>
    <w:rsid w:val="008D06D4"/>
    <w:rsid w:val="008D0B5C"/>
    <w:rsid w:val="008D1100"/>
    <w:rsid w:val="008D184A"/>
    <w:rsid w:val="008D18DF"/>
    <w:rsid w:val="008D1D34"/>
    <w:rsid w:val="008D1DB3"/>
    <w:rsid w:val="008D1F20"/>
    <w:rsid w:val="008D256E"/>
    <w:rsid w:val="008D25CC"/>
    <w:rsid w:val="008D25D4"/>
    <w:rsid w:val="008D2DCA"/>
    <w:rsid w:val="008D4AEA"/>
    <w:rsid w:val="008D5411"/>
    <w:rsid w:val="008D5E18"/>
    <w:rsid w:val="008D7387"/>
    <w:rsid w:val="008D7C8D"/>
    <w:rsid w:val="008D7E20"/>
    <w:rsid w:val="008D7F47"/>
    <w:rsid w:val="008E016A"/>
    <w:rsid w:val="008E09FB"/>
    <w:rsid w:val="008E0A07"/>
    <w:rsid w:val="008E1539"/>
    <w:rsid w:val="008E18A1"/>
    <w:rsid w:val="008E1A51"/>
    <w:rsid w:val="008E2B74"/>
    <w:rsid w:val="008E2C20"/>
    <w:rsid w:val="008E2DA0"/>
    <w:rsid w:val="008E316F"/>
    <w:rsid w:val="008E34EB"/>
    <w:rsid w:val="008E353D"/>
    <w:rsid w:val="008E3C1B"/>
    <w:rsid w:val="008E40E3"/>
    <w:rsid w:val="008E45C9"/>
    <w:rsid w:val="008E4D0B"/>
    <w:rsid w:val="008E4D92"/>
    <w:rsid w:val="008E4EBB"/>
    <w:rsid w:val="008E51F5"/>
    <w:rsid w:val="008E60C1"/>
    <w:rsid w:val="008E6334"/>
    <w:rsid w:val="008E66DA"/>
    <w:rsid w:val="008E6804"/>
    <w:rsid w:val="008E6DA4"/>
    <w:rsid w:val="008E6E71"/>
    <w:rsid w:val="008E727E"/>
    <w:rsid w:val="008E76DB"/>
    <w:rsid w:val="008E795A"/>
    <w:rsid w:val="008F0B88"/>
    <w:rsid w:val="008F0EC0"/>
    <w:rsid w:val="008F1954"/>
    <w:rsid w:val="008F1DC1"/>
    <w:rsid w:val="008F1E85"/>
    <w:rsid w:val="008F20E8"/>
    <w:rsid w:val="008F270E"/>
    <w:rsid w:val="008F2DEA"/>
    <w:rsid w:val="008F2E96"/>
    <w:rsid w:val="008F317D"/>
    <w:rsid w:val="008F35FF"/>
    <w:rsid w:val="008F3880"/>
    <w:rsid w:val="008F3C06"/>
    <w:rsid w:val="008F469A"/>
    <w:rsid w:val="008F4E87"/>
    <w:rsid w:val="008F51A9"/>
    <w:rsid w:val="008F51FE"/>
    <w:rsid w:val="008F56D5"/>
    <w:rsid w:val="008F5DE9"/>
    <w:rsid w:val="008F5EAA"/>
    <w:rsid w:val="008F5FD1"/>
    <w:rsid w:val="008F60BE"/>
    <w:rsid w:val="008F6469"/>
    <w:rsid w:val="008F6BBC"/>
    <w:rsid w:val="008F6D87"/>
    <w:rsid w:val="008F76F0"/>
    <w:rsid w:val="008F7E0A"/>
    <w:rsid w:val="0090061F"/>
    <w:rsid w:val="00901176"/>
    <w:rsid w:val="00901701"/>
    <w:rsid w:val="00901AB6"/>
    <w:rsid w:val="00901B9A"/>
    <w:rsid w:val="00902F75"/>
    <w:rsid w:val="00903254"/>
    <w:rsid w:val="009037DB"/>
    <w:rsid w:val="00903CF3"/>
    <w:rsid w:val="00904340"/>
    <w:rsid w:val="00904444"/>
    <w:rsid w:val="00904B19"/>
    <w:rsid w:val="00904DE1"/>
    <w:rsid w:val="009051A5"/>
    <w:rsid w:val="00905A83"/>
    <w:rsid w:val="00906247"/>
    <w:rsid w:val="009069CE"/>
    <w:rsid w:val="00906A3A"/>
    <w:rsid w:val="00906F09"/>
    <w:rsid w:val="00907160"/>
    <w:rsid w:val="0090741D"/>
    <w:rsid w:val="00907459"/>
    <w:rsid w:val="0090786F"/>
    <w:rsid w:val="0090788D"/>
    <w:rsid w:val="009078E2"/>
    <w:rsid w:val="00907C40"/>
    <w:rsid w:val="00907CBE"/>
    <w:rsid w:val="00907FB7"/>
    <w:rsid w:val="009104EF"/>
    <w:rsid w:val="00910641"/>
    <w:rsid w:val="0091074B"/>
    <w:rsid w:val="00910F80"/>
    <w:rsid w:val="009110F2"/>
    <w:rsid w:val="00911640"/>
    <w:rsid w:val="00911675"/>
    <w:rsid w:val="00911BBA"/>
    <w:rsid w:val="0091211B"/>
    <w:rsid w:val="0091240A"/>
    <w:rsid w:val="00912492"/>
    <w:rsid w:val="0091255A"/>
    <w:rsid w:val="009127FA"/>
    <w:rsid w:val="009135A1"/>
    <w:rsid w:val="0091386F"/>
    <w:rsid w:val="00913CEA"/>
    <w:rsid w:val="0091445F"/>
    <w:rsid w:val="009144E1"/>
    <w:rsid w:val="00914715"/>
    <w:rsid w:val="0091488E"/>
    <w:rsid w:val="009148A9"/>
    <w:rsid w:val="00914CA5"/>
    <w:rsid w:val="00914D71"/>
    <w:rsid w:val="00914EF8"/>
    <w:rsid w:val="0091540E"/>
    <w:rsid w:val="0091598E"/>
    <w:rsid w:val="00915993"/>
    <w:rsid w:val="00915C86"/>
    <w:rsid w:val="00916078"/>
    <w:rsid w:val="009161C2"/>
    <w:rsid w:val="009164FF"/>
    <w:rsid w:val="00917078"/>
    <w:rsid w:val="0091718D"/>
    <w:rsid w:val="00917289"/>
    <w:rsid w:val="009178A1"/>
    <w:rsid w:val="00917E15"/>
    <w:rsid w:val="00917F21"/>
    <w:rsid w:val="00920553"/>
    <w:rsid w:val="00920620"/>
    <w:rsid w:val="009207EB"/>
    <w:rsid w:val="00920CA5"/>
    <w:rsid w:val="00920D88"/>
    <w:rsid w:val="00921052"/>
    <w:rsid w:val="0092161A"/>
    <w:rsid w:val="009217CF"/>
    <w:rsid w:val="00921C2F"/>
    <w:rsid w:val="00921CD3"/>
    <w:rsid w:val="009221C0"/>
    <w:rsid w:val="00922356"/>
    <w:rsid w:val="00922772"/>
    <w:rsid w:val="009230FD"/>
    <w:rsid w:val="009231C1"/>
    <w:rsid w:val="00924196"/>
    <w:rsid w:val="009245D3"/>
    <w:rsid w:val="00924CC6"/>
    <w:rsid w:val="0092534E"/>
    <w:rsid w:val="0092538A"/>
    <w:rsid w:val="0092539A"/>
    <w:rsid w:val="009255D7"/>
    <w:rsid w:val="00925A5B"/>
    <w:rsid w:val="00925ADD"/>
    <w:rsid w:val="00925B61"/>
    <w:rsid w:val="00925CCD"/>
    <w:rsid w:val="00925D44"/>
    <w:rsid w:val="009261BE"/>
    <w:rsid w:val="009261E4"/>
    <w:rsid w:val="00926313"/>
    <w:rsid w:val="00926457"/>
    <w:rsid w:val="00926A6C"/>
    <w:rsid w:val="0092740C"/>
    <w:rsid w:val="00930163"/>
    <w:rsid w:val="009304F7"/>
    <w:rsid w:val="00930C67"/>
    <w:rsid w:val="00930E74"/>
    <w:rsid w:val="00931166"/>
    <w:rsid w:val="009313BC"/>
    <w:rsid w:val="0093196C"/>
    <w:rsid w:val="00931CD9"/>
    <w:rsid w:val="0093292B"/>
    <w:rsid w:val="009334B1"/>
    <w:rsid w:val="009338EE"/>
    <w:rsid w:val="00933AF9"/>
    <w:rsid w:val="00933D70"/>
    <w:rsid w:val="00933EC9"/>
    <w:rsid w:val="009344A0"/>
    <w:rsid w:val="009363F0"/>
    <w:rsid w:val="00936457"/>
    <w:rsid w:val="0093669B"/>
    <w:rsid w:val="00936FB4"/>
    <w:rsid w:val="009371ED"/>
    <w:rsid w:val="00937B63"/>
    <w:rsid w:val="00940055"/>
    <w:rsid w:val="009402AD"/>
    <w:rsid w:val="00940633"/>
    <w:rsid w:val="00940A3E"/>
    <w:rsid w:val="00940C30"/>
    <w:rsid w:val="00940F82"/>
    <w:rsid w:val="00941738"/>
    <w:rsid w:val="00942D81"/>
    <w:rsid w:val="00943B70"/>
    <w:rsid w:val="009441E3"/>
    <w:rsid w:val="00944836"/>
    <w:rsid w:val="009449D8"/>
    <w:rsid w:val="00945B39"/>
    <w:rsid w:val="00945B8F"/>
    <w:rsid w:val="00945B91"/>
    <w:rsid w:val="009461D2"/>
    <w:rsid w:val="00946343"/>
    <w:rsid w:val="00946B32"/>
    <w:rsid w:val="009473D5"/>
    <w:rsid w:val="009479CB"/>
    <w:rsid w:val="00947B48"/>
    <w:rsid w:val="00947E51"/>
    <w:rsid w:val="00950129"/>
    <w:rsid w:val="00950787"/>
    <w:rsid w:val="00950AF6"/>
    <w:rsid w:val="00950C91"/>
    <w:rsid w:val="00950F1B"/>
    <w:rsid w:val="009516C3"/>
    <w:rsid w:val="009520A4"/>
    <w:rsid w:val="009520BD"/>
    <w:rsid w:val="0095212D"/>
    <w:rsid w:val="009528B7"/>
    <w:rsid w:val="00952A4E"/>
    <w:rsid w:val="00952F46"/>
    <w:rsid w:val="00953941"/>
    <w:rsid w:val="00953B9B"/>
    <w:rsid w:val="00953BEB"/>
    <w:rsid w:val="00953D54"/>
    <w:rsid w:val="00954C6D"/>
    <w:rsid w:val="00955105"/>
    <w:rsid w:val="00955533"/>
    <w:rsid w:val="00955BBC"/>
    <w:rsid w:val="00955ED7"/>
    <w:rsid w:val="00955F64"/>
    <w:rsid w:val="009565FB"/>
    <w:rsid w:val="00957953"/>
    <w:rsid w:val="00957CFA"/>
    <w:rsid w:val="00957D1D"/>
    <w:rsid w:val="0096016C"/>
    <w:rsid w:val="009602A3"/>
    <w:rsid w:val="009604B6"/>
    <w:rsid w:val="00961107"/>
    <w:rsid w:val="0096195B"/>
    <w:rsid w:val="00961F3C"/>
    <w:rsid w:val="00962129"/>
    <w:rsid w:val="00962831"/>
    <w:rsid w:val="00962A44"/>
    <w:rsid w:val="00962E75"/>
    <w:rsid w:val="009636C1"/>
    <w:rsid w:val="00963E5D"/>
    <w:rsid w:val="009640D4"/>
    <w:rsid w:val="00964108"/>
    <w:rsid w:val="0096439C"/>
    <w:rsid w:val="00964732"/>
    <w:rsid w:val="00964935"/>
    <w:rsid w:val="00965466"/>
    <w:rsid w:val="00965539"/>
    <w:rsid w:val="00965B07"/>
    <w:rsid w:val="00965C58"/>
    <w:rsid w:val="00965DE1"/>
    <w:rsid w:val="00967172"/>
    <w:rsid w:val="00967275"/>
    <w:rsid w:val="0096737A"/>
    <w:rsid w:val="0097110A"/>
    <w:rsid w:val="00971288"/>
    <w:rsid w:val="00971655"/>
    <w:rsid w:val="00971730"/>
    <w:rsid w:val="00971CD0"/>
    <w:rsid w:val="0097262D"/>
    <w:rsid w:val="00972DC8"/>
    <w:rsid w:val="00973303"/>
    <w:rsid w:val="00973F15"/>
    <w:rsid w:val="009748DE"/>
    <w:rsid w:val="0097524B"/>
    <w:rsid w:val="009752FE"/>
    <w:rsid w:val="009753B2"/>
    <w:rsid w:val="009755DD"/>
    <w:rsid w:val="00975F44"/>
    <w:rsid w:val="009762BD"/>
    <w:rsid w:val="00976862"/>
    <w:rsid w:val="00976A26"/>
    <w:rsid w:val="00976BDE"/>
    <w:rsid w:val="00976E5A"/>
    <w:rsid w:val="00977237"/>
    <w:rsid w:val="00977458"/>
    <w:rsid w:val="00977535"/>
    <w:rsid w:val="00977803"/>
    <w:rsid w:val="00977983"/>
    <w:rsid w:val="00977CBD"/>
    <w:rsid w:val="00977DD3"/>
    <w:rsid w:val="009803D1"/>
    <w:rsid w:val="00980BF6"/>
    <w:rsid w:val="00980E1A"/>
    <w:rsid w:val="00981034"/>
    <w:rsid w:val="00981149"/>
    <w:rsid w:val="009812D0"/>
    <w:rsid w:val="009813AE"/>
    <w:rsid w:val="00981841"/>
    <w:rsid w:val="00982245"/>
    <w:rsid w:val="00982A36"/>
    <w:rsid w:val="00982B44"/>
    <w:rsid w:val="00984C2C"/>
    <w:rsid w:val="00984ED6"/>
    <w:rsid w:val="0098572A"/>
    <w:rsid w:val="00985DD2"/>
    <w:rsid w:val="009864C8"/>
    <w:rsid w:val="009876D1"/>
    <w:rsid w:val="00987CAD"/>
    <w:rsid w:val="00987DDA"/>
    <w:rsid w:val="00990690"/>
    <w:rsid w:val="00990968"/>
    <w:rsid w:val="009909F7"/>
    <w:rsid w:val="00991336"/>
    <w:rsid w:val="00991B38"/>
    <w:rsid w:val="0099267F"/>
    <w:rsid w:val="00992961"/>
    <w:rsid w:val="009929B3"/>
    <w:rsid w:val="00992D16"/>
    <w:rsid w:val="00993A2B"/>
    <w:rsid w:val="0099472C"/>
    <w:rsid w:val="009947CF"/>
    <w:rsid w:val="00994E37"/>
    <w:rsid w:val="009952AF"/>
    <w:rsid w:val="009953D2"/>
    <w:rsid w:val="00995A19"/>
    <w:rsid w:val="00996066"/>
    <w:rsid w:val="00996333"/>
    <w:rsid w:val="00997177"/>
    <w:rsid w:val="009978A6"/>
    <w:rsid w:val="00997A2E"/>
    <w:rsid w:val="00997DF4"/>
    <w:rsid w:val="00997FA5"/>
    <w:rsid w:val="009A0040"/>
    <w:rsid w:val="009A015B"/>
    <w:rsid w:val="009A02B2"/>
    <w:rsid w:val="009A02C4"/>
    <w:rsid w:val="009A02D2"/>
    <w:rsid w:val="009A1049"/>
    <w:rsid w:val="009A1C2F"/>
    <w:rsid w:val="009A211D"/>
    <w:rsid w:val="009A21AE"/>
    <w:rsid w:val="009A228E"/>
    <w:rsid w:val="009A2897"/>
    <w:rsid w:val="009A2B94"/>
    <w:rsid w:val="009A3649"/>
    <w:rsid w:val="009A3F74"/>
    <w:rsid w:val="009A444B"/>
    <w:rsid w:val="009A45C8"/>
    <w:rsid w:val="009A52CA"/>
    <w:rsid w:val="009A52D5"/>
    <w:rsid w:val="009A55AE"/>
    <w:rsid w:val="009A56AB"/>
    <w:rsid w:val="009A6C7E"/>
    <w:rsid w:val="009A6F8C"/>
    <w:rsid w:val="009A700D"/>
    <w:rsid w:val="009A7185"/>
    <w:rsid w:val="009B0134"/>
    <w:rsid w:val="009B0AA8"/>
    <w:rsid w:val="009B0E72"/>
    <w:rsid w:val="009B20D5"/>
    <w:rsid w:val="009B24F5"/>
    <w:rsid w:val="009B28EB"/>
    <w:rsid w:val="009B306B"/>
    <w:rsid w:val="009B3C9C"/>
    <w:rsid w:val="009B4342"/>
    <w:rsid w:val="009B47F9"/>
    <w:rsid w:val="009B4C1F"/>
    <w:rsid w:val="009B4F54"/>
    <w:rsid w:val="009B4FDD"/>
    <w:rsid w:val="009B5547"/>
    <w:rsid w:val="009B5909"/>
    <w:rsid w:val="009B6099"/>
    <w:rsid w:val="009B61CE"/>
    <w:rsid w:val="009B659C"/>
    <w:rsid w:val="009B79DC"/>
    <w:rsid w:val="009B7A79"/>
    <w:rsid w:val="009B7E1B"/>
    <w:rsid w:val="009C065E"/>
    <w:rsid w:val="009C0DC6"/>
    <w:rsid w:val="009C1759"/>
    <w:rsid w:val="009C1DE7"/>
    <w:rsid w:val="009C29B4"/>
    <w:rsid w:val="009C2A6F"/>
    <w:rsid w:val="009C2BE8"/>
    <w:rsid w:val="009C2F25"/>
    <w:rsid w:val="009C3475"/>
    <w:rsid w:val="009C43A3"/>
    <w:rsid w:val="009C4622"/>
    <w:rsid w:val="009C4788"/>
    <w:rsid w:val="009C4BC8"/>
    <w:rsid w:val="009C4E34"/>
    <w:rsid w:val="009C525E"/>
    <w:rsid w:val="009C54B2"/>
    <w:rsid w:val="009C5CFA"/>
    <w:rsid w:val="009C6250"/>
    <w:rsid w:val="009C6639"/>
    <w:rsid w:val="009C6808"/>
    <w:rsid w:val="009C6854"/>
    <w:rsid w:val="009C6A61"/>
    <w:rsid w:val="009C6AC9"/>
    <w:rsid w:val="009C6E11"/>
    <w:rsid w:val="009C6FB5"/>
    <w:rsid w:val="009C6FCA"/>
    <w:rsid w:val="009C7423"/>
    <w:rsid w:val="009C7893"/>
    <w:rsid w:val="009C7D3A"/>
    <w:rsid w:val="009D01D9"/>
    <w:rsid w:val="009D025D"/>
    <w:rsid w:val="009D03DD"/>
    <w:rsid w:val="009D0589"/>
    <w:rsid w:val="009D097B"/>
    <w:rsid w:val="009D10A3"/>
    <w:rsid w:val="009D1217"/>
    <w:rsid w:val="009D122B"/>
    <w:rsid w:val="009D1C0D"/>
    <w:rsid w:val="009D2410"/>
    <w:rsid w:val="009D2482"/>
    <w:rsid w:val="009D2E10"/>
    <w:rsid w:val="009D2E50"/>
    <w:rsid w:val="009D30E1"/>
    <w:rsid w:val="009D3C3A"/>
    <w:rsid w:val="009D3EE4"/>
    <w:rsid w:val="009D4142"/>
    <w:rsid w:val="009D469C"/>
    <w:rsid w:val="009D46F0"/>
    <w:rsid w:val="009D4A8F"/>
    <w:rsid w:val="009D4D96"/>
    <w:rsid w:val="009D4F23"/>
    <w:rsid w:val="009D660C"/>
    <w:rsid w:val="009D6827"/>
    <w:rsid w:val="009D73A2"/>
    <w:rsid w:val="009D77CA"/>
    <w:rsid w:val="009E03D8"/>
    <w:rsid w:val="009E21B6"/>
    <w:rsid w:val="009E22B0"/>
    <w:rsid w:val="009E268A"/>
    <w:rsid w:val="009E26E8"/>
    <w:rsid w:val="009E296D"/>
    <w:rsid w:val="009E2CB7"/>
    <w:rsid w:val="009E2F55"/>
    <w:rsid w:val="009E3022"/>
    <w:rsid w:val="009E311F"/>
    <w:rsid w:val="009E3201"/>
    <w:rsid w:val="009E36AA"/>
    <w:rsid w:val="009E45CA"/>
    <w:rsid w:val="009E4AEC"/>
    <w:rsid w:val="009E51AC"/>
    <w:rsid w:val="009E51F1"/>
    <w:rsid w:val="009E5700"/>
    <w:rsid w:val="009E5AD2"/>
    <w:rsid w:val="009E6653"/>
    <w:rsid w:val="009E6E27"/>
    <w:rsid w:val="009E6F6B"/>
    <w:rsid w:val="009E6FDC"/>
    <w:rsid w:val="009E75BF"/>
    <w:rsid w:val="009E7699"/>
    <w:rsid w:val="009E784A"/>
    <w:rsid w:val="009E7DBA"/>
    <w:rsid w:val="009F0987"/>
    <w:rsid w:val="009F0996"/>
    <w:rsid w:val="009F14A5"/>
    <w:rsid w:val="009F1B4F"/>
    <w:rsid w:val="009F2232"/>
    <w:rsid w:val="009F349E"/>
    <w:rsid w:val="009F468B"/>
    <w:rsid w:val="009F4843"/>
    <w:rsid w:val="009F498E"/>
    <w:rsid w:val="009F4A5E"/>
    <w:rsid w:val="009F4CB5"/>
    <w:rsid w:val="009F53C7"/>
    <w:rsid w:val="009F6325"/>
    <w:rsid w:val="009F650A"/>
    <w:rsid w:val="009F6C5A"/>
    <w:rsid w:val="009F7418"/>
    <w:rsid w:val="009F7466"/>
    <w:rsid w:val="009F7538"/>
    <w:rsid w:val="009F7574"/>
    <w:rsid w:val="009F7987"/>
    <w:rsid w:val="00A0060A"/>
    <w:rsid w:val="00A01373"/>
    <w:rsid w:val="00A0196E"/>
    <w:rsid w:val="00A01F57"/>
    <w:rsid w:val="00A02618"/>
    <w:rsid w:val="00A029DB"/>
    <w:rsid w:val="00A02AB6"/>
    <w:rsid w:val="00A02BC6"/>
    <w:rsid w:val="00A033C2"/>
    <w:rsid w:val="00A033E0"/>
    <w:rsid w:val="00A038CA"/>
    <w:rsid w:val="00A0453E"/>
    <w:rsid w:val="00A04A07"/>
    <w:rsid w:val="00A04BC5"/>
    <w:rsid w:val="00A04F40"/>
    <w:rsid w:val="00A04F43"/>
    <w:rsid w:val="00A05029"/>
    <w:rsid w:val="00A05794"/>
    <w:rsid w:val="00A05E52"/>
    <w:rsid w:val="00A05EC6"/>
    <w:rsid w:val="00A05F0D"/>
    <w:rsid w:val="00A06F5F"/>
    <w:rsid w:val="00A07310"/>
    <w:rsid w:val="00A07711"/>
    <w:rsid w:val="00A07DFD"/>
    <w:rsid w:val="00A07F67"/>
    <w:rsid w:val="00A10673"/>
    <w:rsid w:val="00A107D0"/>
    <w:rsid w:val="00A12219"/>
    <w:rsid w:val="00A128AC"/>
    <w:rsid w:val="00A12BA8"/>
    <w:rsid w:val="00A133EA"/>
    <w:rsid w:val="00A1372B"/>
    <w:rsid w:val="00A13A32"/>
    <w:rsid w:val="00A13D2E"/>
    <w:rsid w:val="00A14333"/>
    <w:rsid w:val="00A14B9C"/>
    <w:rsid w:val="00A14DAB"/>
    <w:rsid w:val="00A157C6"/>
    <w:rsid w:val="00A15A3B"/>
    <w:rsid w:val="00A15D1E"/>
    <w:rsid w:val="00A16491"/>
    <w:rsid w:val="00A16BC2"/>
    <w:rsid w:val="00A17DCB"/>
    <w:rsid w:val="00A2018B"/>
    <w:rsid w:val="00A205E6"/>
    <w:rsid w:val="00A206B1"/>
    <w:rsid w:val="00A209FD"/>
    <w:rsid w:val="00A20C96"/>
    <w:rsid w:val="00A20CD9"/>
    <w:rsid w:val="00A21095"/>
    <w:rsid w:val="00A21CD5"/>
    <w:rsid w:val="00A22310"/>
    <w:rsid w:val="00A229BB"/>
    <w:rsid w:val="00A22AA6"/>
    <w:rsid w:val="00A22BDB"/>
    <w:rsid w:val="00A22BF5"/>
    <w:rsid w:val="00A23122"/>
    <w:rsid w:val="00A23892"/>
    <w:rsid w:val="00A238D3"/>
    <w:rsid w:val="00A23F2F"/>
    <w:rsid w:val="00A24AC6"/>
    <w:rsid w:val="00A24AC9"/>
    <w:rsid w:val="00A24FDA"/>
    <w:rsid w:val="00A2589A"/>
    <w:rsid w:val="00A258BF"/>
    <w:rsid w:val="00A259A0"/>
    <w:rsid w:val="00A2627F"/>
    <w:rsid w:val="00A26EB2"/>
    <w:rsid w:val="00A27091"/>
    <w:rsid w:val="00A274DF"/>
    <w:rsid w:val="00A275BB"/>
    <w:rsid w:val="00A2772C"/>
    <w:rsid w:val="00A3002A"/>
    <w:rsid w:val="00A30984"/>
    <w:rsid w:val="00A30F3C"/>
    <w:rsid w:val="00A3105B"/>
    <w:rsid w:val="00A31742"/>
    <w:rsid w:val="00A3195C"/>
    <w:rsid w:val="00A31B37"/>
    <w:rsid w:val="00A31FF3"/>
    <w:rsid w:val="00A32764"/>
    <w:rsid w:val="00A32E30"/>
    <w:rsid w:val="00A331C1"/>
    <w:rsid w:val="00A33201"/>
    <w:rsid w:val="00A33FCF"/>
    <w:rsid w:val="00A3415F"/>
    <w:rsid w:val="00A342BA"/>
    <w:rsid w:val="00A343A1"/>
    <w:rsid w:val="00A34B59"/>
    <w:rsid w:val="00A34D2B"/>
    <w:rsid w:val="00A34F51"/>
    <w:rsid w:val="00A351C3"/>
    <w:rsid w:val="00A351FA"/>
    <w:rsid w:val="00A35568"/>
    <w:rsid w:val="00A35980"/>
    <w:rsid w:val="00A35BA7"/>
    <w:rsid w:val="00A35C31"/>
    <w:rsid w:val="00A35D5A"/>
    <w:rsid w:val="00A3652C"/>
    <w:rsid w:val="00A36DA4"/>
    <w:rsid w:val="00A37604"/>
    <w:rsid w:val="00A37A72"/>
    <w:rsid w:val="00A37A7E"/>
    <w:rsid w:val="00A409B6"/>
    <w:rsid w:val="00A40B79"/>
    <w:rsid w:val="00A40C0C"/>
    <w:rsid w:val="00A40D8D"/>
    <w:rsid w:val="00A421AE"/>
    <w:rsid w:val="00A4234E"/>
    <w:rsid w:val="00A430B1"/>
    <w:rsid w:val="00A430F5"/>
    <w:rsid w:val="00A4327D"/>
    <w:rsid w:val="00A43352"/>
    <w:rsid w:val="00A43BE6"/>
    <w:rsid w:val="00A44307"/>
    <w:rsid w:val="00A44747"/>
    <w:rsid w:val="00A447C4"/>
    <w:rsid w:val="00A44AF2"/>
    <w:rsid w:val="00A44CDB"/>
    <w:rsid w:val="00A44E97"/>
    <w:rsid w:val="00A451D3"/>
    <w:rsid w:val="00A45211"/>
    <w:rsid w:val="00A45AA8"/>
    <w:rsid w:val="00A46558"/>
    <w:rsid w:val="00A46A02"/>
    <w:rsid w:val="00A46EC3"/>
    <w:rsid w:val="00A47041"/>
    <w:rsid w:val="00A47068"/>
    <w:rsid w:val="00A473D7"/>
    <w:rsid w:val="00A4777B"/>
    <w:rsid w:val="00A47B28"/>
    <w:rsid w:val="00A47D26"/>
    <w:rsid w:val="00A50309"/>
    <w:rsid w:val="00A51B5C"/>
    <w:rsid w:val="00A51F8D"/>
    <w:rsid w:val="00A52514"/>
    <w:rsid w:val="00A527AA"/>
    <w:rsid w:val="00A52A47"/>
    <w:rsid w:val="00A5308E"/>
    <w:rsid w:val="00A53219"/>
    <w:rsid w:val="00A5327A"/>
    <w:rsid w:val="00A54993"/>
    <w:rsid w:val="00A56DB3"/>
    <w:rsid w:val="00A56E1A"/>
    <w:rsid w:val="00A573E8"/>
    <w:rsid w:val="00A57848"/>
    <w:rsid w:val="00A57C00"/>
    <w:rsid w:val="00A603C4"/>
    <w:rsid w:val="00A6054D"/>
    <w:rsid w:val="00A6060E"/>
    <w:rsid w:val="00A6079D"/>
    <w:rsid w:val="00A60819"/>
    <w:rsid w:val="00A612F7"/>
    <w:rsid w:val="00A61C0E"/>
    <w:rsid w:val="00A61DCB"/>
    <w:rsid w:val="00A61F5C"/>
    <w:rsid w:val="00A62790"/>
    <w:rsid w:val="00A62CE3"/>
    <w:rsid w:val="00A62FBF"/>
    <w:rsid w:val="00A6343C"/>
    <w:rsid w:val="00A635F3"/>
    <w:rsid w:val="00A6404F"/>
    <w:rsid w:val="00A64760"/>
    <w:rsid w:val="00A6476B"/>
    <w:rsid w:val="00A6490A"/>
    <w:rsid w:val="00A65B0A"/>
    <w:rsid w:val="00A65CDD"/>
    <w:rsid w:val="00A65F08"/>
    <w:rsid w:val="00A661BE"/>
    <w:rsid w:val="00A66484"/>
    <w:rsid w:val="00A6683B"/>
    <w:rsid w:val="00A66856"/>
    <w:rsid w:val="00A66959"/>
    <w:rsid w:val="00A66E08"/>
    <w:rsid w:val="00A66E70"/>
    <w:rsid w:val="00A67243"/>
    <w:rsid w:val="00A67ED5"/>
    <w:rsid w:val="00A70046"/>
    <w:rsid w:val="00A704AB"/>
    <w:rsid w:val="00A70886"/>
    <w:rsid w:val="00A708C9"/>
    <w:rsid w:val="00A70B2C"/>
    <w:rsid w:val="00A70C57"/>
    <w:rsid w:val="00A712DF"/>
    <w:rsid w:val="00A71DCD"/>
    <w:rsid w:val="00A71FA3"/>
    <w:rsid w:val="00A72219"/>
    <w:rsid w:val="00A7256C"/>
    <w:rsid w:val="00A73214"/>
    <w:rsid w:val="00A7383D"/>
    <w:rsid w:val="00A74360"/>
    <w:rsid w:val="00A75144"/>
    <w:rsid w:val="00A75413"/>
    <w:rsid w:val="00A75FBC"/>
    <w:rsid w:val="00A76633"/>
    <w:rsid w:val="00A768D3"/>
    <w:rsid w:val="00A77267"/>
    <w:rsid w:val="00A77369"/>
    <w:rsid w:val="00A77958"/>
    <w:rsid w:val="00A77C5C"/>
    <w:rsid w:val="00A77E14"/>
    <w:rsid w:val="00A81F59"/>
    <w:rsid w:val="00A824BE"/>
    <w:rsid w:val="00A82823"/>
    <w:rsid w:val="00A83591"/>
    <w:rsid w:val="00A83960"/>
    <w:rsid w:val="00A83F42"/>
    <w:rsid w:val="00A84227"/>
    <w:rsid w:val="00A85A43"/>
    <w:rsid w:val="00A8740E"/>
    <w:rsid w:val="00A87761"/>
    <w:rsid w:val="00A877E9"/>
    <w:rsid w:val="00A87AE4"/>
    <w:rsid w:val="00A87F5A"/>
    <w:rsid w:val="00A900B0"/>
    <w:rsid w:val="00A903FE"/>
    <w:rsid w:val="00A908B4"/>
    <w:rsid w:val="00A90D54"/>
    <w:rsid w:val="00A90DD0"/>
    <w:rsid w:val="00A90F1E"/>
    <w:rsid w:val="00A91086"/>
    <w:rsid w:val="00A92194"/>
    <w:rsid w:val="00A92E71"/>
    <w:rsid w:val="00A943F1"/>
    <w:rsid w:val="00A94891"/>
    <w:rsid w:val="00A9519D"/>
    <w:rsid w:val="00A95541"/>
    <w:rsid w:val="00A95BE6"/>
    <w:rsid w:val="00A9614D"/>
    <w:rsid w:val="00A96636"/>
    <w:rsid w:val="00A966BE"/>
    <w:rsid w:val="00A96E9F"/>
    <w:rsid w:val="00A97314"/>
    <w:rsid w:val="00A9762C"/>
    <w:rsid w:val="00A97C5E"/>
    <w:rsid w:val="00A97FEF"/>
    <w:rsid w:val="00AA01D3"/>
    <w:rsid w:val="00AA042D"/>
    <w:rsid w:val="00AA06FD"/>
    <w:rsid w:val="00AA07E8"/>
    <w:rsid w:val="00AA0D41"/>
    <w:rsid w:val="00AA1005"/>
    <w:rsid w:val="00AA16B9"/>
    <w:rsid w:val="00AA1BF1"/>
    <w:rsid w:val="00AA200C"/>
    <w:rsid w:val="00AA2172"/>
    <w:rsid w:val="00AA2453"/>
    <w:rsid w:val="00AA27E5"/>
    <w:rsid w:val="00AA2B4C"/>
    <w:rsid w:val="00AA2C26"/>
    <w:rsid w:val="00AA2FFF"/>
    <w:rsid w:val="00AA3132"/>
    <w:rsid w:val="00AA3390"/>
    <w:rsid w:val="00AA3502"/>
    <w:rsid w:val="00AA427E"/>
    <w:rsid w:val="00AA43A3"/>
    <w:rsid w:val="00AA4514"/>
    <w:rsid w:val="00AA4EC2"/>
    <w:rsid w:val="00AA5133"/>
    <w:rsid w:val="00AA5593"/>
    <w:rsid w:val="00AA5922"/>
    <w:rsid w:val="00AA5C03"/>
    <w:rsid w:val="00AA5EA9"/>
    <w:rsid w:val="00AA5FEE"/>
    <w:rsid w:val="00AA655B"/>
    <w:rsid w:val="00AA65A9"/>
    <w:rsid w:val="00AA69FA"/>
    <w:rsid w:val="00AA7955"/>
    <w:rsid w:val="00AB030E"/>
    <w:rsid w:val="00AB0412"/>
    <w:rsid w:val="00AB0545"/>
    <w:rsid w:val="00AB05EA"/>
    <w:rsid w:val="00AB0C32"/>
    <w:rsid w:val="00AB0D9A"/>
    <w:rsid w:val="00AB0E35"/>
    <w:rsid w:val="00AB0EBD"/>
    <w:rsid w:val="00AB1BF9"/>
    <w:rsid w:val="00AB20C3"/>
    <w:rsid w:val="00AB2156"/>
    <w:rsid w:val="00AB26E0"/>
    <w:rsid w:val="00AB4406"/>
    <w:rsid w:val="00AB4693"/>
    <w:rsid w:val="00AB470F"/>
    <w:rsid w:val="00AB4928"/>
    <w:rsid w:val="00AB49EB"/>
    <w:rsid w:val="00AB4DE8"/>
    <w:rsid w:val="00AB4F96"/>
    <w:rsid w:val="00AB5E4C"/>
    <w:rsid w:val="00AB6BAC"/>
    <w:rsid w:val="00AB7481"/>
    <w:rsid w:val="00AB7618"/>
    <w:rsid w:val="00AB7718"/>
    <w:rsid w:val="00AB7C12"/>
    <w:rsid w:val="00AB7CEF"/>
    <w:rsid w:val="00AB7DD1"/>
    <w:rsid w:val="00AB7EED"/>
    <w:rsid w:val="00AC0AF8"/>
    <w:rsid w:val="00AC0B6F"/>
    <w:rsid w:val="00AC0C68"/>
    <w:rsid w:val="00AC1410"/>
    <w:rsid w:val="00AC1A25"/>
    <w:rsid w:val="00AC1CD3"/>
    <w:rsid w:val="00AC1ECD"/>
    <w:rsid w:val="00AC1F23"/>
    <w:rsid w:val="00AC289A"/>
    <w:rsid w:val="00AC37A1"/>
    <w:rsid w:val="00AC3818"/>
    <w:rsid w:val="00AC4218"/>
    <w:rsid w:val="00AC47A0"/>
    <w:rsid w:val="00AC4BAD"/>
    <w:rsid w:val="00AC5021"/>
    <w:rsid w:val="00AC5176"/>
    <w:rsid w:val="00AC51DB"/>
    <w:rsid w:val="00AC5342"/>
    <w:rsid w:val="00AC5E1A"/>
    <w:rsid w:val="00AC5FFE"/>
    <w:rsid w:val="00AC63EB"/>
    <w:rsid w:val="00AC6813"/>
    <w:rsid w:val="00AC6821"/>
    <w:rsid w:val="00AC6C6C"/>
    <w:rsid w:val="00AC7A0D"/>
    <w:rsid w:val="00AD06A0"/>
    <w:rsid w:val="00AD07E4"/>
    <w:rsid w:val="00AD0EF6"/>
    <w:rsid w:val="00AD110B"/>
    <w:rsid w:val="00AD148F"/>
    <w:rsid w:val="00AD1696"/>
    <w:rsid w:val="00AD16BD"/>
    <w:rsid w:val="00AD1BE7"/>
    <w:rsid w:val="00AD1F8F"/>
    <w:rsid w:val="00AD2E9E"/>
    <w:rsid w:val="00AD32AA"/>
    <w:rsid w:val="00AD3AC9"/>
    <w:rsid w:val="00AD4430"/>
    <w:rsid w:val="00AD44B9"/>
    <w:rsid w:val="00AD4576"/>
    <w:rsid w:val="00AD4AFE"/>
    <w:rsid w:val="00AD50C3"/>
    <w:rsid w:val="00AD50DC"/>
    <w:rsid w:val="00AD517A"/>
    <w:rsid w:val="00AD5854"/>
    <w:rsid w:val="00AD616C"/>
    <w:rsid w:val="00AD637F"/>
    <w:rsid w:val="00AD65D7"/>
    <w:rsid w:val="00AD7024"/>
    <w:rsid w:val="00AD71F6"/>
    <w:rsid w:val="00AD7868"/>
    <w:rsid w:val="00AD79C2"/>
    <w:rsid w:val="00AE01BB"/>
    <w:rsid w:val="00AE0B8B"/>
    <w:rsid w:val="00AE0E63"/>
    <w:rsid w:val="00AE0F5E"/>
    <w:rsid w:val="00AE172A"/>
    <w:rsid w:val="00AE1881"/>
    <w:rsid w:val="00AE1C6E"/>
    <w:rsid w:val="00AE1D83"/>
    <w:rsid w:val="00AE1D94"/>
    <w:rsid w:val="00AE1F36"/>
    <w:rsid w:val="00AE24EA"/>
    <w:rsid w:val="00AE3700"/>
    <w:rsid w:val="00AE37AF"/>
    <w:rsid w:val="00AE3E4B"/>
    <w:rsid w:val="00AE3E67"/>
    <w:rsid w:val="00AE4592"/>
    <w:rsid w:val="00AE4D8B"/>
    <w:rsid w:val="00AE4EA1"/>
    <w:rsid w:val="00AE50D1"/>
    <w:rsid w:val="00AE60F6"/>
    <w:rsid w:val="00AE62D9"/>
    <w:rsid w:val="00AE6B23"/>
    <w:rsid w:val="00AE6C9B"/>
    <w:rsid w:val="00AE6DB5"/>
    <w:rsid w:val="00AE6F2E"/>
    <w:rsid w:val="00AE7347"/>
    <w:rsid w:val="00AE73D5"/>
    <w:rsid w:val="00AE779A"/>
    <w:rsid w:val="00AE798C"/>
    <w:rsid w:val="00AE79EB"/>
    <w:rsid w:val="00AE7DFE"/>
    <w:rsid w:val="00AF05B8"/>
    <w:rsid w:val="00AF0D4F"/>
    <w:rsid w:val="00AF0DAF"/>
    <w:rsid w:val="00AF2471"/>
    <w:rsid w:val="00AF283E"/>
    <w:rsid w:val="00AF2FFA"/>
    <w:rsid w:val="00AF30B8"/>
    <w:rsid w:val="00AF3165"/>
    <w:rsid w:val="00AF3193"/>
    <w:rsid w:val="00AF3C2F"/>
    <w:rsid w:val="00AF3D35"/>
    <w:rsid w:val="00AF4310"/>
    <w:rsid w:val="00AF45CB"/>
    <w:rsid w:val="00AF47C5"/>
    <w:rsid w:val="00AF4F67"/>
    <w:rsid w:val="00AF553A"/>
    <w:rsid w:val="00AF5E3A"/>
    <w:rsid w:val="00AF5E4F"/>
    <w:rsid w:val="00AF6239"/>
    <w:rsid w:val="00AF6286"/>
    <w:rsid w:val="00AF64E8"/>
    <w:rsid w:val="00AF66D4"/>
    <w:rsid w:val="00AF6BCC"/>
    <w:rsid w:val="00AF6CFB"/>
    <w:rsid w:val="00AF6F29"/>
    <w:rsid w:val="00AF72A3"/>
    <w:rsid w:val="00AF75F2"/>
    <w:rsid w:val="00AF760B"/>
    <w:rsid w:val="00AF7792"/>
    <w:rsid w:val="00AF7824"/>
    <w:rsid w:val="00AF78E9"/>
    <w:rsid w:val="00AF79CA"/>
    <w:rsid w:val="00AF7B89"/>
    <w:rsid w:val="00AF7BE8"/>
    <w:rsid w:val="00B00316"/>
    <w:rsid w:val="00B003ED"/>
    <w:rsid w:val="00B003F8"/>
    <w:rsid w:val="00B00407"/>
    <w:rsid w:val="00B007CE"/>
    <w:rsid w:val="00B009AB"/>
    <w:rsid w:val="00B00EE2"/>
    <w:rsid w:val="00B00F8E"/>
    <w:rsid w:val="00B00FC9"/>
    <w:rsid w:val="00B0147C"/>
    <w:rsid w:val="00B0233E"/>
    <w:rsid w:val="00B02CED"/>
    <w:rsid w:val="00B03230"/>
    <w:rsid w:val="00B048E5"/>
    <w:rsid w:val="00B049DF"/>
    <w:rsid w:val="00B04EDE"/>
    <w:rsid w:val="00B04FB0"/>
    <w:rsid w:val="00B05EB9"/>
    <w:rsid w:val="00B05FE4"/>
    <w:rsid w:val="00B063F7"/>
    <w:rsid w:val="00B0640B"/>
    <w:rsid w:val="00B066F7"/>
    <w:rsid w:val="00B06711"/>
    <w:rsid w:val="00B06BB6"/>
    <w:rsid w:val="00B0731D"/>
    <w:rsid w:val="00B078AC"/>
    <w:rsid w:val="00B07A56"/>
    <w:rsid w:val="00B102F5"/>
    <w:rsid w:val="00B10D31"/>
    <w:rsid w:val="00B1137B"/>
    <w:rsid w:val="00B12517"/>
    <w:rsid w:val="00B12797"/>
    <w:rsid w:val="00B12907"/>
    <w:rsid w:val="00B12AC4"/>
    <w:rsid w:val="00B1350D"/>
    <w:rsid w:val="00B14DB1"/>
    <w:rsid w:val="00B15180"/>
    <w:rsid w:val="00B151C0"/>
    <w:rsid w:val="00B1573D"/>
    <w:rsid w:val="00B157DA"/>
    <w:rsid w:val="00B15929"/>
    <w:rsid w:val="00B159A5"/>
    <w:rsid w:val="00B159E9"/>
    <w:rsid w:val="00B15AC3"/>
    <w:rsid w:val="00B15E1F"/>
    <w:rsid w:val="00B16E08"/>
    <w:rsid w:val="00B1747B"/>
    <w:rsid w:val="00B179BE"/>
    <w:rsid w:val="00B17A81"/>
    <w:rsid w:val="00B20034"/>
    <w:rsid w:val="00B20189"/>
    <w:rsid w:val="00B2034E"/>
    <w:rsid w:val="00B20543"/>
    <w:rsid w:val="00B21644"/>
    <w:rsid w:val="00B22963"/>
    <w:rsid w:val="00B22A54"/>
    <w:rsid w:val="00B236BD"/>
    <w:rsid w:val="00B238AC"/>
    <w:rsid w:val="00B23A43"/>
    <w:rsid w:val="00B24DFC"/>
    <w:rsid w:val="00B2515A"/>
    <w:rsid w:val="00B25191"/>
    <w:rsid w:val="00B2539C"/>
    <w:rsid w:val="00B2548C"/>
    <w:rsid w:val="00B257D9"/>
    <w:rsid w:val="00B25EE8"/>
    <w:rsid w:val="00B261A6"/>
    <w:rsid w:val="00B26628"/>
    <w:rsid w:val="00B26716"/>
    <w:rsid w:val="00B26FB7"/>
    <w:rsid w:val="00B2708F"/>
    <w:rsid w:val="00B27204"/>
    <w:rsid w:val="00B276E0"/>
    <w:rsid w:val="00B279D4"/>
    <w:rsid w:val="00B300A5"/>
    <w:rsid w:val="00B308CC"/>
    <w:rsid w:val="00B30935"/>
    <w:rsid w:val="00B3129A"/>
    <w:rsid w:val="00B31309"/>
    <w:rsid w:val="00B32865"/>
    <w:rsid w:val="00B32A3A"/>
    <w:rsid w:val="00B3303A"/>
    <w:rsid w:val="00B330F6"/>
    <w:rsid w:val="00B350E8"/>
    <w:rsid w:val="00B35631"/>
    <w:rsid w:val="00B35650"/>
    <w:rsid w:val="00B35690"/>
    <w:rsid w:val="00B360A4"/>
    <w:rsid w:val="00B36825"/>
    <w:rsid w:val="00B36D42"/>
    <w:rsid w:val="00B3727F"/>
    <w:rsid w:val="00B37A55"/>
    <w:rsid w:val="00B37EB3"/>
    <w:rsid w:val="00B4030A"/>
    <w:rsid w:val="00B40378"/>
    <w:rsid w:val="00B406DF"/>
    <w:rsid w:val="00B407F7"/>
    <w:rsid w:val="00B40963"/>
    <w:rsid w:val="00B4107F"/>
    <w:rsid w:val="00B416D4"/>
    <w:rsid w:val="00B417B5"/>
    <w:rsid w:val="00B41A58"/>
    <w:rsid w:val="00B41EF7"/>
    <w:rsid w:val="00B4286D"/>
    <w:rsid w:val="00B42D18"/>
    <w:rsid w:val="00B42E9A"/>
    <w:rsid w:val="00B4316D"/>
    <w:rsid w:val="00B435F1"/>
    <w:rsid w:val="00B4378D"/>
    <w:rsid w:val="00B43930"/>
    <w:rsid w:val="00B44056"/>
    <w:rsid w:val="00B447BF"/>
    <w:rsid w:val="00B4510C"/>
    <w:rsid w:val="00B4519C"/>
    <w:rsid w:val="00B451A3"/>
    <w:rsid w:val="00B45653"/>
    <w:rsid w:val="00B456BF"/>
    <w:rsid w:val="00B45B98"/>
    <w:rsid w:val="00B45DEC"/>
    <w:rsid w:val="00B46BA0"/>
    <w:rsid w:val="00B478E5"/>
    <w:rsid w:val="00B47DBE"/>
    <w:rsid w:val="00B50069"/>
    <w:rsid w:val="00B5051C"/>
    <w:rsid w:val="00B50548"/>
    <w:rsid w:val="00B50B25"/>
    <w:rsid w:val="00B50F0C"/>
    <w:rsid w:val="00B50FC3"/>
    <w:rsid w:val="00B511A6"/>
    <w:rsid w:val="00B51659"/>
    <w:rsid w:val="00B5216B"/>
    <w:rsid w:val="00B52326"/>
    <w:rsid w:val="00B52398"/>
    <w:rsid w:val="00B524B9"/>
    <w:rsid w:val="00B52E17"/>
    <w:rsid w:val="00B53357"/>
    <w:rsid w:val="00B53992"/>
    <w:rsid w:val="00B53FEB"/>
    <w:rsid w:val="00B546A5"/>
    <w:rsid w:val="00B54B84"/>
    <w:rsid w:val="00B550C8"/>
    <w:rsid w:val="00B55955"/>
    <w:rsid w:val="00B55D5A"/>
    <w:rsid w:val="00B55E9A"/>
    <w:rsid w:val="00B55F07"/>
    <w:rsid w:val="00B56317"/>
    <w:rsid w:val="00B56542"/>
    <w:rsid w:val="00B572B9"/>
    <w:rsid w:val="00B57883"/>
    <w:rsid w:val="00B57935"/>
    <w:rsid w:val="00B57B5F"/>
    <w:rsid w:val="00B6010B"/>
    <w:rsid w:val="00B60EB0"/>
    <w:rsid w:val="00B61217"/>
    <w:rsid w:val="00B6165F"/>
    <w:rsid w:val="00B617B1"/>
    <w:rsid w:val="00B617DA"/>
    <w:rsid w:val="00B618AB"/>
    <w:rsid w:val="00B61958"/>
    <w:rsid w:val="00B61F77"/>
    <w:rsid w:val="00B6222E"/>
    <w:rsid w:val="00B62606"/>
    <w:rsid w:val="00B628FB"/>
    <w:rsid w:val="00B62D8D"/>
    <w:rsid w:val="00B63184"/>
    <w:rsid w:val="00B63219"/>
    <w:rsid w:val="00B6384F"/>
    <w:rsid w:val="00B6398C"/>
    <w:rsid w:val="00B63F10"/>
    <w:rsid w:val="00B640E7"/>
    <w:rsid w:val="00B641A9"/>
    <w:rsid w:val="00B641EC"/>
    <w:rsid w:val="00B64331"/>
    <w:rsid w:val="00B64B6B"/>
    <w:rsid w:val="00B64E32"/>
    <w:rsid w:val="00B67939"/>
    <w:rsid w:val="00B67FD0"/>
    <w:rsid w:val="00B700AA"/>
    <w:rsid w:val="00B7062F"/>
    <w:rsid w:val="00B70F4F"/>
    <w:rsid w:val="00B7107D"/>
    <w:rsid w:val="00B7121C"/>
    <w:rsid w:val="00B714A0"/>
    <w:rsid w:val="00B717B4"/>
    <w:rsid w:val="00B71B7A"/>
    <w:rsid w:val="00B71BD0"/>
    <w:rsid w:val="00B7284E"/>
    <w:rsid w:val="00B72A9C"/>
    <w:rsid w:val="00B73112"/>
    <w:rsid w:val="00B737EC"/>
    <w:rsid w:val="00B73DEE"/>
    <w:rsid w:val="00B73E85"/>
    <w:rsid w:val="00B740A2"/>
    <w:rsid w:val="00B741AF"/>
    <w:rsid w:val="00B744A1"/>
    <w:rsid w:val="00B74521"/>
    <w:rsid w:val="00B7455E"/>
    <w:rsid w:val="00B74844"/>
    <w:rsid w:val="00B74E0D"/>
    <w:rsid w:val="00B752C2"/>
    <w:rsid w:val="00B75DA5"/>
    <w:rsid w:val="00B762B1"/>
    <w:rsid w:val="00B76634"/>
    <w:rsid w:val="00B772C9"/>
    <w:rsid w:val="00B779F1"/>
    <w:rsid w:val="00B806A8"/>
    <w:rsid w:val="00B80A18"/>
    <w:rsid w:val="00B80B31"/>
    <w:rsid w:val="00B80DF2"/>
    <w:rsid w:val="00B80FFA"/>
    <w:rsid w:val="00B81070"/>
    <w:rsid w:val="00B816EB"/>
    <w:rsid w:val="00B82692"/>
    <w:rsid w:val="00B82F09"/>
    <w:rsid w:val="00B83BF2"/>
    <w:rsid w:val="00B8484B"/>
    <w:rsid w:val="00B84C06"/>
    <w:rsid w:val="00B84C75"/>
    <w:rsid w:val="00B84DE3"/>
    <w:rsid w:val="00B851AA"/>
    <w:rsid w:val="00B851EE"/>
    <w:rsid w:val="00B8529A"/>
    <w:rsid w:val="00B852C9"/>
    <w:rsid w:val="00B854B9"/>
    <w:rsid w:val="00B8587A"/>
    <w:rsid w:val="00B85992"/>
    <w:rsid w:val="00B85CBA"/>
    <w:rsid w:val="00B8697A"/>
    <w:rsid w:val="00B87B2B"/>
    <w:rsid w:val="00B87C95"/>
    <w:rsid w:val="00B87D49"/>
    <w:rsid w:val="00B90492"/>
    <w:rsid w:val="00B9088B"/>
    <w:rsid w:val="00B91524"/>
    <w:rsid w:val="00B9179D"/>
    <w:rsid w:val="00B918C1"/>
    <w:rsid w:val="00B91ADF"/>
    <w:rsid w:val="00B91FAE"/>
    <w:rsid w:val="00B9232C"/>
    <w:rsid w:val="00B927C4"/>
    <w:rsid w:val="00B927CF"/>
    <w:rsid w:val="00B92F52"/>
    <w:rsid w:val="00B931B6"/>
    <w:rsid w:val="00B93693"/>
    <w:rsid w:val="00B93748"/>
    <w:rsid w:val="00B93B41"/>
    <w:rsid w:val="00B93BAB"/>
    <w:rsid w:val="00B93EFF"/>
    <w:rsid w:val="00B94106"/>
    <w:rsid w:val="00B94665"/>
    <w:rsid w:val="00B94866"/>
    <w:rsid w:val="00B94A4A"/>
    <w:rsid w:val="00B94B05"/>
    <w:rsid w:val="00B95249"/>
    <w:rsid w:val="00B9639B"/>
    <w:rsid w:val="00B972DF"/>
    <w:rsid w:val="00B973A4"/>
    <w:rsid w:val="00B975B3"/>
    <w:rsid w:val="00B9776D"/>
    <w:rsid w:val="00B97A81"/>
    <w:rsid w:val="00BA026D"/>
    <w:rsid w:val="00BA0341"/>
    <w:rsid w:val="00BA077B"/>
    <w:rsid w:val="00BA087E"/>
    <w:rsid w:val="00BA0EB8"/>
    <w:rsid w:val="00BA1162"/>
    <w:rsid w:val="00BA1D28"/>
    <w:rsid w:val="00BA1E16"/>
    <w:rsid w:val="00BA21CB"/>
    <w:rsid w:val="00BA2791"/>
    <w:rsid w:val="00BA295F"/>
    <w:rsid w:val="00BA35F4"/>
    <w:rsid w:val="00BA4CDA"/>
    <w:rsid w:val="00BA5589"/>
    <w:rsid w:val="00BA5821"/>
    <w:rsid w:val="00BA5954"/>
    <w:rsid w:val="00BA5DCD"/>
    <w:rsid w:val="00BA689A"/>
    <w:rsid w:val="00BA6BA4"/>
    <w:rsid w:val="00BA7137"/>
    <w:rsid w:val="00BA7294"/>
    <w:rsid w:val="00BA72DF"/>
    <w:rsid w:val="00BA79EE"/>
    <w:rsid w:val="00BA7E08"/>
    <w:rsid w:val="00BB0125"/>
    <w:rsid w:val="00BB02ED"/>
    <w:rsid w:val="00BB0367"/>
    <w:rsid w:val="00BB07D4"/>
    <w:rsid w:val="00BB08F0"/>
    <w:rsid w:val="00BB12E8"/>
    <w:rsid w:val="00BB1532"/>
    <w:rsid w:val="00BB1BFB"/>
    <w:rsid w:val="00BB235F"/>
    <w:rsid w:val="00BB2926"/>
    <w:rsid w:val="00BB2B19"/>
    <w:rsid w:val="00BB3051"/>
    <w:rsid w:val="00BB3076"/>
    <w:rsid w:val="00BB3DB5"/>
    <w:rsid w:val="00BB3E93"/>
    <w:rsid w:val="00BB3E9A"/>
    <w:rsid w:val="00BB3F12"/>
    <w:rsid w:val="00BB430C"/>
    <w:rsid w:val="00BB46ED"/>
    <w:rsid w:val="00BB49B2"/>
    <w:rsid w:val="00BB5F01"/>
    <w:rsid w:val="00BB5F2E"/>
    <w:rsid w:val="00BB619A"/>
    <w:rsid w:val="00BB6D5A"/>
    <w:rsid w:val="00BB6E14"/>
    <w:rsid w:val="00BB712E"/>
    <w:rsid w:val="00BB7315"/>
    <w:rsid w:val="00BB79AF"/>
    <w:rsid w:val="00BB7B15"/>
    <w:rsid w:val="00BC0448"/>
    <w:rsid w:val="00BC1823"/>
    <w:rsid w:val="00BC3007"/>
    <w:rsid w:val="00BC30C2"/>
    <w:rsid w:val="00BC315F"/>
    <w:rsid w:val="00BC342D"/>
    <w:rsid w:val="00BC3579"/>
    <w:rsid w:val="00BC3690"/>
    <w:rsid w:val="00BC3771"/>
    <w:rsid w:val="00BC39ED"/>
    <w:rsid w:val="00BC5321"/>
    <w:rsid w:val="00BC54F9"/>
    <w:rsid w:val="00BC5E95"/>
    <w:rsid w:val="00BC67CA"/>
    <w:rsid w:val="00BC6DEE"/>
    <w:rsid w:val="00BC6ED7"/>
    <w:rsid w:val="00BC723D"/>
    <w:rsid w:val="00BD0080"/>
    <w:rsid w:val="00BD054F"/>
    <w:rsid w:val="00BD09BA"/>
    <w:rsid w:val="00BD0F6F"/>
    <w:rsid w:val="00BD1AF9"/>
    <w:rsid w:val="00BD1AFB"/>
    <w:rsid w:val="00BD1C37"/>
    <w:rsid w:val="00BD1D29"/>
    <w:rsid w:val="00BD2538"/>
    <w:rsid w:val="00BD31B6"/>
    <w:rsid w:val="00BD3B81"/>
    <w:rsid w:val="00BD3D3A"/>
    <w:rsid w:val="00BD3EBB"/>
    <w:rsid w:val="00BD46C4"/>
    <w:rsid w:val="00BD4FA7"/>
    <w:rsid w:val="00BD5027"/>
    <w:rsid w:val="00BD52D8"/>
    <w:rsid w:val="00BD5432"/>
    <w:rsid w:val="00BD5686"/>
    <w:rsid w:val="00BD69A0"/>
    <w:rsid w:val="00BD6AA8"/>
    <w:rsid w:val="00BD7361"/>
    <w:rsid w:val="00BD7746"/>
    <w:rsid w:val="00BD7A71"/>
    <w:rsid w:val="00BE018D"/>
    <w:rsid w:val="00BE02DD"/>
    <w:rsid w:val="00BE0502"/>
    <w:rsid w:val="00BE052C"/>
    <w:rsid w:val="00BE078A"/>
    <w:rsid w:val="00BE08BD"/>
    <w:rsid w:val="00BE137D"/>
    <w:rsid w:val="00BE1E77"/>
    <w:rsid w:val="00BE1E94"/>
    <w:rsid w:val="00BE2037"/>
    <w:rsid w:val="00BE221A"/>
    <w:rsid w:val="00BE2AA1"/>
    <w:rsid w:val="00BE2DC4"/>
    <w:rsid w:val="00BE3191"/>
    <w:rsid w:val="00BE38CC"/>
    <w:rsid w:val="00BE3FC7"/>
    <w:rsid w:val="00BE4422"/>
    <w:rsid w:val="00BE5E2F"/>
    <w:rsid w:val="00BE5F8D"/>
    <w:rsid w:val="00BE6395"/>
    <w:rsid w:val="00BE6564"/>
    <w:rsid w:val="00BE7195"/>
    <w:rsid w:val="00BE764F"/>
    <w:rsid w:val="00BE7B16"/>
    <w:rsid w:val="00BE7E6A"/>
    <w:rsid w:val="00BE7ED6"/>
    <w:rsid w:val="00BF0744"/>
    <w:rsid w:val="00BF09FB"/>
    <w:rsid w:val="00BF0A15"/>
    <w:rsid w:val="00BF0F0B"/>
    <w:rsid w:val="00BF20BC"/>
    <w:rsid w:val="00BF23D7"/>
    <w:rsid w:val="00BF2857"/>
    <w:rsid w:val="00BF2A8B"/>
    <w:rsid w:val="00BF2E66"/>
    <w:rsid w:val="00BF33A2"/>
    <w:rsid w:val="00BF3A5B"/>
    <w:rsid w:val="00BF3E85"/>
    <w:rsid w:val="00BF3F6F"/>
    <w:rsid w:val="00BF461C"/>
    <w:rsid w:val="00BF5784"/>
    <w:rsid w:val="00BF5848"/>
    <w:rsid w:val="00BF5D1B"/>
    <w:rsid w:val="00BF5E19"/>
    <w:rsid w:val="00BF6826"/>
    <w:rsid w:val="00BF6910"/>
    <w:rsid w:val="00BF70C5"/>
    <w:rsid w:val="00BF778C"/>
    <w:rsid w:val="00BF7F2E"/>
    <w:rsid w:val="00C00190"/>
    <w:rsid w:val="00C0048F"/>
    <w:rsid w:val="00C006E8"/>
    <w:rsid w:val="00C00708"/>
    <w:rsid w:val="00C01171"/>
    <w:rsid w:val="00C0122A"/>
    <w:rsid w:val="00C0137B"/>
    <w:rsid w:val="00C01589"/>
    <w:rsid w:val="00C020E3"/>
    <w:rsid w:val="00C020F3"/>
    <w:rsid w:val="00C02234"/>
    <w:rsid w:val="00C02B82"/>
    <w:rsid w:val="00C02BB2"/>
    <w:rsid w:val="00C02FF9"/>
    <w:rsid w:val="00C047AF"/>
    <w:rsid w:val="00C04C24"/>
    <w:rsid w:val="00C04D9D"/>
    <w:rsid w:val="00C05645"/>
    <w:rsid w:val="00C05918"/>
    <w:rsid w:val="00C05A52"/>
    <w:rsid w:val="00C05BFD"/>
    <w:rsid w:val="00C05FC1"/>
    <w:rsid w:val="00C05FCC"/>
    <w:rsid w:val="00C061A6"/>
    <w:rsid w:val="00C06301"/>
    <w:rsid w:val="00C063B4"/>
    <w:rsid w:val="00C06427"/>
    <w:rsid w:val="00C06865"/>
    <w:rsid w:val="00C06C84"/>
    <w:rsid w:val="00C071D0"/>
    <w:rsid w:val="00C07424"/>
    <w:rsid w:val="00C0790A"/>
    <w:rsid w:val="00C07BCE"/>
    <w:rsid w:val="00C07D58"/>
    <w:rsid w:val="00C10112"/>
    <w:rsid w:val="00C10B14"/>
    <w:rsid w:val="00C113EC"/>
    <w:rsid w:val="00C11A2E"/>
    <w:rsid w:val="00C131F8"/>
    <w:rsid w:val="00C138CF"/>
    <w:rsid w:val="00C14BE8"/>
    <w:rsid w:val="00C151C1"/>
    <w:rsid w:val="00C15675"/>
    <w:rsid w:val="00C16403"/>
    <w:rsid w:val="00C165EB"/>
    <w:rsid w:val="00C169DA"/>
    <w:rsid w:val="00C16BA2"/>
    <w:rsid w:val="00C17650"/>
    <w:rsid w:val="00C177DC"/>
    <w:rsid w:val="00C17890"/>
    <w:rsid w:val="00C1792A"/>
    <w:rsid w:val="00C20C76"/>
    <w:rsid w:val="00C2129F"/>
    <w:rsid w:val="00C215F8"/>
    <w:rsid w:val="00C217EC"/>
    <w:rsid w:val="00C21B12"/>
    <w:rsid w:val="00C21CDC"/>
    <w:rsid w:val="00C21DE8"/>
    <w:rsid w:val="00C21FA6"/>
    <w:rsid w:val="00C22D3C"/>
    <w:rsid w:val="00C23312"/>
    <w:rsid w:val="00C234DF"/>
    <w:rsid w:val="00C236CD"/>
    <w:rsid w:val="00C237C9"/>
    <w:rsid w:val="00C23C47"/>
    <w:rsid w:val="00C240D7"/>
    <w:rsid w:val="00C24888"/>
    <w:rsid w:val="00C24BCB"/>
    <w:rsid w:val="00C24E57"/>
    <w:rsid w:val="00C25185"/>
    <w:rsid w:val="00C25383"/>
    <w:rsid w:val="00C253E9"/>
    <w:rsid w:val="00C25AE6"/>
    <w:rsid w:val="00C26350"/>
    <w:rsid w:val="00C265A8"/>
    <w:rsid w:val="00C2691A"/>
    <w:rsid w:val="00C26BC9"/>
    <w:rsid w:val="00C26DCB"/>
    <w:rsid w:val="00C26F30"/>
    <w:rsid w:val="00C274C3"/>
    <w:rsid w:val="00C27A19"/>
    <w:rsid w:val="00C27E10"/>
    <w:rsid w:val="00C30310"/>
    <w:rsid w:val="00C30DB4"/>
    <w:rsid w:val="00C31680"/>
    <w:rsid w:val="00C31C44"/>
    <w:rsid w:val="00C31D5B"/>
    <w:rsid w:val="00C321D3"/>
    <w:rsid w:val="00C322D2"/>
    <w:rsid w:val="00C322FA"/>
    <w:rsid w:val="00C32382"/>
    <w:rsid w:val="00C32385"/>
    <w:rsid w:val="00C3290F"/>
    <w:rsid w:val="00C32AC2"/>
    <w:rsid w:val="00C331AF"/>
    <w:rsid w:val="00C333E4"/>
    <w:rsid w:val="00C33AD1"/>
    <w:rsid w:val="00C33CBD"/>
    <w:rsid w:val="00C3447C"/>
    <w:rsid w:val="00C34565"/>
    <w:rsid w:val="00C34CAB"/>
    <w:rsid w:val="00C35A88"/>
    <w:rsid w:val="00C35A99"/>
    <w:rsid w:val="00C35ADD"/>
    <w:rsid w:val="00C35EA3"/>
    <w:rsid w:val="00C361B6"/>
    <w:rsid w:val="00C3630C"/>
    <w:rsid w:val="00C36653"/>
    <w:rsid w:val="00C36C69"/>
    <w:rsid w:val="00C37531"/>
    <w:rsid w:val="00C378C9"/>
    <w:rsid w:val="00C4030F"/>
    <w:rsid w:val="00C404EF"/>
    <w:rsid w:val="00C4091E"/>
    <w:rsid w:val="00C40D10"/>
    <w:rsid w:val="00C40F0E"/>
    <w:rsid w:val="00C416A0"/>
    <w:rsid w:val="00C41BE3"/>
    <w:rsid w:val="00C420CC"/>
    <w:rsid w:val="00C439F3"/>
    <w:rsid w:val="00C43EA6"/>
    <w:rsid w:val="00C44BF6"/>
    <w:rsid w:val="00C451FA"/>
    <w:rsid w:val="00C45453"/>
    <w:rsid w:val="00C45F40"/>
    <w:rsid w:val="00C460F0"/>
    <w:rsid w:val="00C46667"/>
    <w:rsid w:val="00C4673E"/>
    <w:rsid w:val="00C473EF"/>
    <w:rsid w:val="00C47C09"/>
    <w:rsid w:val="00C47DFD"/>
    <w:rsid w:val="00C47EE3"/>
    <w:rsid w:val="00C50CEB"/>
    <w:rsid w:val="00C510DC"/>
    <w:rsid w:val="00C51729"/>
    <w:rsid w:val="00C517F1"/>
    <w:rsid w:val="00C52504"/>
    <w:rsid w:val="00C52A4E"/>
    <w:rsid w:val="00C53244"/>
    <w:rsid w:val="00C534DD"/>
    <w:rsid w:val="00C5382F"/>
    <w:rsid w:val="00C538AC"/>
    <w:rsid w:val="00C53DF1"/>
    <w:rsid w:val="00C54026"/>
    <w:rsid w:val="00C54495"/>
    <w:rsid w:val="00C5452D"/>
    <w:rsid w:val="00C54D6D"/>
    <w:rsid w:val="00C54EF7"/>
    <w:rsid w:val="00C5577A"/>
    <w:rsid w:val="00C5577D"/>
    <w:rsid w:val="00C55D58"/>
    <w:rsid w:val="00C57382"/>
    <w:rsid w:val="00C57680"/>
    <w:rsid w:val="00C57D32"/>
    <w:rsid w:val="00C57D47"/>
    <w:rsid w:val="00C57D7B"/>
    <w:rsid w:val="00C607C9"/>
    <w:rsid w:val="00C61259"/>
    <w:rsid w:val="00C61283"/>
    <w:rsid w:val="00C61757"/>
    <w:rsid w:val="00C61D17"/>
    <w:rsid w:val="00C62065"/>
    <w:rsid w:val="00C6225D"/>
    <w:rsid w:val="00C62411"/>
    <w:rsid w:val="00C62487"/>
    <w:rsid w:val="00C62645"/>
    <w:rsid w:val="00C627A7"/>
    <w:rsid w:val="00C62B61"/>
    <w:rsid w:val="00C62C8F"/>
    <w:rsid w:val="00C62CE4"/>
    <w:rsid w:val="00C63134"/>
    <w:rsid w:val="00C63237"/>
    <w:rsid w:val="00C63489"/>
    <w:rsid w:val="00C6385C"/>
    <w:rsid w:val="00C63D08"/>
    <w:rsid w:val="00C63DB7"/>
    <w:rsid w:val="00C64DDA"/>
    <w:rsid w:val="00C659C2"/>
    <w:rsid w:val="00C65CD6"/>
    <w:rsid w:val="00C66419"/>
    <w:rsid w:val="00C66936"/>
    <w:rsid w:val="00C6697C"/>
    <w:rsid w:val="00C66F63"/>
    <w:rsid w:val="00C67261"/>
    <w:rsid w:val="00C67407"/>
    <w:rsid w:val="00C67689"/>
    <w:rsid w:val="00C676F0"/>
    <w:rsid w:val="00C67790"/>
    <w:rsid w:val="00C67999"/>
    <w:rsid w:val="00C67CDE"/>
    <w:rsid w:val="00C7090E"/>
    <w:rsid w:val="00C70959"/>
    <w:rsid w:val="00C70AF0"/>
    <w:rsid w:val="00C70B19"/>
    <w:rsid w:val="00C71075"/>
    <w:rsid w:val="00C712BE"/>
    <w:rsid w:val="00C719CB"/>
    <w:rsid w:val="00C71ECC"/>
    <w:rsid w:val="00C71FFB"/>
    <w:rsid w:val="00C724F7"/>
    <w:rsid w:val="00C72BAC"/>
    <w:rsid w:val="00C746B3"/>
    <w:rsid w:val="00C74718"/>
    <w:rsid w:val="00C748DD"/>
    <w:rsid w:val="00C749DF"/>
    <w:rsid w:val="00C74E0C"/>
    <w:rsid w:val="00C75AE6"/>
    <w:rsid w:val="00C75B34"/>
    <w:rsid w:val="00C75B91"/>
    <w:rsid w:val="00C75C30"/>
    <w:rsid w:val="00C76078"/>
    <w:rsid w:val="00C7656E"/>
    <w:rsid w:val="00C76670"/>
    <w:rsid w:val="00C76A96"/>
    <w:rsid w:val="00C76C8D"/>
    <w:rsid w:val="00C76E32"/>
    <w:rsid w:val="00C76F80"/>
    <w:rsid w:val="00C8005A"/>
    <w:rsid w:val="00C80325"/>
    <w:rsid w:val="00C80A88"/>
    <w:rsid w:val="00C80C9F"/>
    <w:rsid w:val="00C80ED3"/>
    <w:rsid w:val="00C80F29"/>
    <w:rsid w:val="00C814EA"/>
    <w:rsid w:val="00C817E0"/>
    <w:rsid w:val="00C81993"/>
    <w:rsid w:val="00C83FA1"/>
    <w:rsid w:val="00C84853"/>
    <w:rsid w:val="00C848A7"/>
    <w:rsid w:val="00C84CBD"/>
    <w:rsid w:val="00C84DDA"/>
    <w:rsid w:val="00C85A1B"/>
    <w:rsid w:val="00C8668B"/>
    <w:rsid w:val="00C870CF"/>
    <w:rsid w:val="00C87F07"/>
    <w:rsid w:val="00C90FC3"/>
    <w:rsid w:val="00C91669"/>
    <w:rsid w:val="00C918E1"/>
    <w:rsid w:val="00C91D4F"/>
    <w:rsid w:val="00C920F5"/>
    <w:rsid w:val="00C92B03"/>
    <w:rsid w:val="00C92B1D"/>
    <w:rsid w:val="00C92D6E"/>
    <w:rsid w:val="00C93286"/>
    <w:rsid w:val="00C9336C"/>
    <w:rsid w:val="00C93432"/>
    <w:rsid w:val="00C93988"/>
    <w:rsid w:val="00C942B8"/>
    <w:rsid w:val="00C94BBB"/>
    <w:rsid w:val="00C94CBC"/>
    <w:rsid w:val="00C955F1"/>
    <w:rsid w:val="00C9615A"/>
    <w:rsid w:val="00C961C0"/>
    <w:rsid w:val="00C96251"/>
    <w:rsid w:val="00C9626A"/>
    <w:rsid w:val="00C96725"/>
    <w:rsid w:val="00C96F0F"/>
    <w:rsid w:val="00C96FA3"/>
    <w:rsid w:val="00C97AAB"/>
    <w:rsid w:val="00C97BD7"/>
    <w:rsid w:val="00C97F37"/>
    <w:rsid w:val="00CA052F"/>
    <w:rsid w:val="00CA0D56"/>
    <w:rsid w:val="00CA1587"/>
    <w:rsid w:val="00CA2B0F"/>
    <w:rsid w:val="00CA2C80"/>
    <w:rsid w:val="00CA367D"/>
    <w:rsid w:val="00CA3BC0"/>
    <w:rsid w:val="00CA3CAF"/>
    <w:rsid w:val="00CA3F73"/>
    <w:rsid w:val="00CA4223"/>
    <w:rsid w:val="00CA43E0"/>
    <w:rsid w:val="00CA47BD"/>
    <w:rsid w:val="00CA4878"/>
    <w:rsid w:val="00CA53BD"/>
    <w:rsid w:val="00CA58B4"/>
    <w:rsid w:val="00CA5945"/>
    <w:rsid w:val="00CA599C"/>
    <w:rsid w:val="00CA5AB5"/>
    <w:rsid w:val="00CA5B53"/>
    <w:rsid w:val="00CA62AA"/>
    <w:rsid w:val="00CA681D"/>
    <w:rsid w:val="00CA6BBF"/>
    <w:rsid w:val="00CA6DA9"/>
    <w:rsid w:val="00CA6DF2"/>
    <w:rsid w:val="00CA70C2"/>
    <w:rsid w:val="00CA73BD"/>
    <w:rsid w:val="00CA7934"/>
    <w:rsid w:val="00CA7E5C"/>
    <w:rsid w:val="00CA7F64"/>
    <w:rsid w:val="00CB08C9"/>
    <w:rsid w:val="00CB0A8A"/>
    <w:rsid w:val="00CB1819"/>
    <w:rsid w:val="00CB1824"/>
    <w:rsid w:val="00CB1AB2"/>
    <w:rsid w:val="00CB1DC0"/>
    <w:rsid w:val="00CB24DD"/>
    <w:rsid w:val="00CB28C3"/>
    <w:rsid w:val="00CB2A19"/>
    <w:rsid w:val="00CB37B3"/>
    <w:rsid w:val="00CB381F"/>
    <w:rsid w:val="00CB3853"/>
    <w:rsid w:val="00CB3ED3"/>
    <w:rsid w:val="00CB3FD2"/>
    <w:rsid w:val="00CB42FC"/>
    <w:rsid w:val="00CB5985"/>
    <w:rsid w:val="00CB5A55"/>
    <w:rsid w:val="00CB6F2C"/>
    <w:rsid w:val="00CB7547"/>
    <w:rsid w:val="00CB7836"/>
    <w:rsid w:val="00CB7D0D"/>
    <w:rsid w:val="00CC00F9"/>
    <w:rsid w:val="00CC0FBB"/>
    <w:rsid w:val="00CC170A"/>
    <w:rsid w:val="00CC2303"/>
    <w:rsid w:val="00CC2934"/>
    <w:rsid w:val="00CC3097"/>
    <w:rsid w:val="00CC3959"/>
    <w:rsid w:val="00CC3A07"/>
    <w:rsid w:val="00CC3A73"/>
    <w:rsid w:val="00CC48B5"/>
    <w:rsid w:val="00CC4CB0"/>
    <w:rsid w:val="00CC4E2A"/>
    <w:rsid w:val="00CC509A"/>
    <w:rsid w:val="00CC5231"/>
    <w:rsid w:val="00CC5516"/>
    <w:rsid w:val="00CC5603"/>
    <w:rsid w:val="00CC562B"/>
    <w:rsid w:val="00CC5CBA"/>
    <w:rsid w:val="00CC5CCE"/>
    <w:rsid w:val="00CC5F66"/>
    <w:rsid w:val="00CC61DF"/>
    <w:rsid w:val="00CC6729"/>
    <w:rsid w:val="00CC6B56"/>
    <w:rsid w:val="00CC6D3A"/>
    <w:rsid w:val="00CC6EF2"/>
    <w:rsid w:val="00CC72FA"/>
    <w:rsid w:val="00CD00CD"/>
    <w:rsid w:val="00CD042A"/>
    <w:rsid w:val="00CD0B3F"/>
    <w:rsid w:val="00CD1064"/>
    <w:rsid w:val="00CD12F9"/>
    <w:rsid w:val="00CD1483"/>
    <w:rsid w:val="00CD1AB3"/>
    <w:rsid w:val="00CD2076"/>
    <w:rsid w:val="00CD20CA"/>
    <w:rsid w:val="00CD2364"/>
    <w:rsid w:val="00CD24BC"/>
    <w:rsid w:val="00CD2704"/>
    <w:rsid w:val="00CD2980"/>
    <w:rsid w:val="00CD2FCF"/>
    <w:rsid w:val="00CD4100"/>
    <w:rsid w:val="00CD4445"/>
    <w:rsid w:val="00CD5616"/>
    <w:rsid w:val="00CD5617"/>
    <w:rsid w:val="00CD5CFD"/>
    <w:rsid w:val="00CD663F"/>
    <w:rsid w:val="00CD6807"/>
    <w:rsid w:val="00CD6886"/>
    <w:rsid w:val="00CD6E79"/>
    <w:rsid w:val="00CD6F8A"/>
    <w:rsid w:val="00CD6FC6"/>
    <w:rsid w:val="00CD76A0"/>
    <w:rsid w:val="00CD7913"/>
    <w:rsid w:val="00CD7D3E"/>
    <w:rsid w:val="00CE06E7"/>
    <w:rsid w:val="00CE092A"/>
    <w:rsid w:val="00CE0B1E"/>
    <w:rsid w:val="00CE1019"/>
    <w:rsid w:val="00CE112A"/>
    <w:rsid w:val="00CE1509"/>
    <w:rsid w:val="00CE15BF"/>
    <w:rsid w:val="00CE1696"/>
    <w:rsid w:val="00CE177C"/>
    <w:rsid w:val="00CE1C35"/>
    <w:rsid w:val="00CE1F5D"/>
    <w:rsid w:val="00CE214C"/>
    <w:rsid w:val="00CE29C9"/>
    <w:rsid w:val="00CE2A53"/>
    <w:rsid w:val="00CE2D0D"/>
    <w:rsid w:val="00CE2F12"/>
    <w:rsid w:val="00CE30CB"/>
    <w:rsid w:val="00CE3960"/>
    <w:rsid w:val="00CE3C98"/>
    <w:rsid w:val="00CE44C7"/>
    <w:rsid w:val="00CE4552"/>
    <w:rsid w:val="00CE496B"/>
    <w:rsid w:val="00CE5493"/>
    <w:rsid w:val="00CE5666"/>
    <w:rsid w:val="00CE574D"/>
    <w:rsid w:val="00CE5B00"/>
    <w:rsid w:val="00CE5B48"/>
    <w:rsid w:val="00CE5D40"/>
    <w:rsid w:val="00CE60BE"/>
    <w:rsid w:val="00CE619A"/>
    <w:rsid w:val="00CE69D5"/>
    <w:rsid w:val="00CE6FD0"/>
    <w:rsid w:val="00CE70BA"/>
    <w:rsid w:val="00CE74B9"/>
    <w:rsid w:val="00CE7732"/>
    <w:rsid w:val="00CE7CEC"/>
    <w:rsid w:val="00CE7FA1"/>
    <w:rsid w:val="00CE7FBE"/>
    <w:rsid w:val="00CF04D1"/>
    <w:rsid w:val="00CF0A86"/>
    <w:rsid w:val="00CF0FDD"/>
    <w:rsid w:val="00CF16C6"/>
    <w:rsid w:val="00CF16E5"/>
    <w:rsid w:val="00CF172E"/>
    <w:rsid w:val="00CF17E3"/>
    <w:rsid w:val="00CF1A48"/>
    <w:rsid w:val="00CF1D74"/>
    <w:rsid w:val="00CF1F76"/>
    <w:rsid w:val="00CF2017"/>
    <w:rsid w:val="00CF24AE"/>
    <w:rsid w:val="00CF27FE"/>
    <w:rsid w:val="00CF2924"/>
    <w:rsid w:val="00CF2C1C"/>
    <w:rsid w:val="00CF2FF4"/>
    <w:rsid w:val="00CF34E7"/>
    <w:rsid w:val="00CF3EA8"/>
    <w:rsid w:val="00CF4188"/>
    <w:rsid w:val="00CF424E"/>
    <w:rsid w:val="00CF42A3"/>
    <w:rsid w:val="00CF4350"/>
    <w:rsid w:val="00CF4A5B"/>
    <w:rsid w:val="00CF4A97"/>
    <w:rsid w:val="00CF4C4F"/>
    <w:rsid w:val="00CF5662"/>
    <w:rsid w:val="00CF57C4"/>
    <w:rsid w:val="00CF5E0E"/>
    <w:rsid w:val="00CF63FC"/>
    <w:rsid w:val="00CF66B5"/>
    <w:rsid w:val="00CF7013"/>
    <w:rsid w:val="00CF7421"/>
    <w:rsid w:val="00CF7602"/>
    <w:rsid w:val="00CF76E7"/>
    <w:rsid w:val="00CF7801"/>
    <w:rsid w:val="00CF7F34"/>
    <w:rsid w:val="00D002E7"/>
    <w:rsid w:val="00D003E6"/>
    <w:rsid w:val="00D0083E"/>
    <w:rsid w:val="00D0095D"/>
    <w:rsid w:val="00D00A44"/>
    <w:rsid w:val="00D00CB0"/>
    <w:rsid w:val="00D0114F"/>
    <w:rsid w:val="00D0187C"/>
    <w:rsid w:val="00D01B34"/>
    <w:rsid w:val="00D01B5A"/>
    <w:rsid w:val="00D01ED1"/>
    <w:rsid w:val="00D0204E"/>
    <w:rsid w:val="00D0211C"/>
    <w:rsid w:val="00D02924"/>
    <w:rsid w:val="00D029E3"/>
    <w:rsid w:val="00D03004"/>
    <w:rsid w:val="00D0301C"/>
    <w:rsid w:val="00D03533"/>
    <w:rsid w:val="00D039B1"/>
    <w:rsid w:val="00D03A26"/>
    <w:rsid w:val="00D03EEF"/>
    <w:rsid w:val="00D0409A"/>
    <w:rsid w:val="00D04581"/>
    <w:rsid w:val="00D0502A"/>
    <w:rsid w:val="00D0594F"/>
    <w:rsid w:val="00D065BB"/>
    <w:rsid w:val="00D06653"/>
    <w:rsid w:val="00D068D2"/>
    <w:rsid w:val="00D07121"/>
    <w:rsid w:val="00D07988"/>
    <w:rsid w:val="00D079DA"/>
    <w:rsid w:val="00D1042B"/>
    <w:rsid w:val="00D10517"/>
    <w:rsid w:val="00D105EA"/>
    <w:rsid w:val="00D106DF"/>
    <w:rsid w:val="00D10CCF"/>
    <w:rsid w:val="00D11C9C"/>
    <w:rsid w:val="00D1201F"/>
    <w:rsid w:val="00D128B5"/>
    <w:rsid w:val="00D13436"/>
    <w:rsid w:val="00D13501"/>
    <w:rsid w:val="00D13620"/>
    <w:rsid w:val="00D13A31"/>
    <w:rsid w:val="00D13D0D"/>
    <w:rsid w:val="00D13EAE"/>
    <w:rsid w:val="00D140CB"/>
    <w:rsid w:val="00D141CF"/>
    <w:rsid w:val="00D14DEC"/>
    <w:rsid w:val="00D14EED"/>
    <w:rsid w:val="00D14F3A"/>
    <w:rsid w:val="00D14F8F"/>
    <w:rsid w:val="00D15109"/>
    <w:rsid w:val="00D1535F"/>
    <w:rsid w:val="00D15485"/>
    <w:rsid w:val="00D15E57"/>
    <w:rsid w:val="00D16903"/>
    <w:rsid w:val="00D16EDA"/>
    <w:rsid w:val="00D1757A"/>
    <w:rsid w:val="00D178BB"/>
    <w:rsid w:val="00D17C2F"/>
    <w:rsid w:val="00D17E31"/>
    <w:rsid w:val="00D17EBA"/>
    <w:rsid w:val="00D2027B"/>
    <w:rsid w:val="00D209F3"/>
    <w:rsid w:val="00D2264B"/>
    <w:rsid w:val="00D226B9"/>
    <w:rsid w:val="00D22E50"/>
    <w:rsid w:val="00D23607"/>
    <w:rsid w:val="00D238E7"/>
    <w:rsid w:val="00D2431B"/>
    <w:rsid w:val="00D24536"/>
    <w:rsid w:val="00D24572"/>
    <w:rsid w:val="00D246F9"/>
    <w:rsid w:val="00D25E21"/>
    <w:rsid w:val="00D26BED"/>
    <w:rsid w:val="00D26BFF"/>
    <w:rsid w:val="00D27139"/>
    <w:rsid w:val="00D30653"/>
    <w:rsid w:val="00D30DD7"/>
    <w:rsid w:val="00D30FF2"/>
    <w:rsid w:val="00D314D1"/>
    <w:rsid w:val="00D31690"/>
    <w:rsid w:val="00D31F31"/>
    <w:rsid w:val="00D32678"/>
    <w:rsid w:val="00D328D1"/>
    <w:rsid w:val="00D3304E"/>
    <w:rsid w:val="00D33894"/>
    <w:rsid w:val="00D338A7"/>
    <w:rsid w:val="00D33A1B"/>
    <w:rsid w:val="00D33A41"/>
    <w:rsid w:val="00D3471A"/>
    <w:rsid w:val="00D34931"/>
    <w:rsid w:val="00D35FDA"/>
    <w:rsid w:val="00D360BF"/>
    <w:rsid w:val="00D362DB"/>
    <w:rsid w:val="00D36625"/>
    <w:rsid w:val="00D36CE2"/>
    <w:rsid w:val="00D37076"/>
    <w:rsid w:val="00D372D5"/>
    <w:rsid w:val="00D374FE"/>
    <w:rsid w:val="00D375B5"/>
    <w:rsid w:val="00D401A6"/>
    <w:rsid w:val="00D40479"/>
    <w:rsid w:val="00D40D98"/>
    <w:rsid w:val="00D40DF0"/>
    <w:rsid w:val="00D4101C"/>
    <w:rsid w:val="00D41223"/>
    <w:rsid w:val="00D4159B"/>
    <w:rsid w:val="00D41802"/>
    <w:rsid w:val="00D41955"/>
    <w:rsid w:val="00D419BD"/>
    <w:rsid w:val="00D42515"/>
    <w:rsid w:val="00D428B1"/>
    <w:rsid w:val="00D441F0"/>
    <w:rsid w:val="00D445CC"/>
    <w:rsid w:val="00D44978"/>
    <w:rsid w:val="00D44A68"/>
    <w:rsid w:val="00D45624"/>
    <w:rsid w:val="00D45783"/>
    <w:rsid w:val="00D4600A"/>
    <w:rsid w:val="00D462AD"/>
    <w:rsid w:val="00D464DD"/>
    <w:rsid w:val="00D4678D"/>
    <w:rsid w:val="00D46ED8"/>
    <w:rsid w:val="00D500E8"/>
    <w:rsid w:val="00D508EE"/>
    <w:rsid w:val="00D5092E"/>
    <w:rsid w:val="00D50931"/>
    <w:rsid w:val="00D50CF8"/>
    <w:rsid w:val="00D51492"/>
    <w:rsid w:val="00D515A9"/>
    <w:rsid w:val="00D51754"/>
    <w:rsid w:val="00D51C5B"/>
    <w:rsid w:val="00D52555"/>
    <w:rsid w:val="00D527FF"/>
    <w:rsid w:val="00D531AD"/>
    <w:rsid w:val="00D53268"/>
    <w:rsid w:val="00D5337F"/>
    <w:rsid w:val="00D5365E"/>
    <w:rsid w:val="00D53C84"/>
    <w:rsid w:val="00D54971"/>
    <w:rsid w:val="00D56686"/>
    <w:rsid w:val="00D567B2"/>
    <w:rsid w:val="00D56AE7"/>
    <w:rsid w:val="00D57646"/>
    <w:rsid w:val="00D577E3"/>
    <w:rsid w:val="00D578C8"/>
    <w:rsid w:val="00D60768"/>
    <w:rsid w:val="00D60771"/>
    <w:rsid w:val="00D60E09"/>
    <w:rsid w:val="00D6164E"/>
    <w:rsid w:val="00D616E5"/>
    <w:rsid w:val="00D61B7E"/>
    <w:rsid w:val="00D61CF7"/>
    <w:rsid w:val="00D62718"/>
    <w:rsid w:val="00D62A64"/>
    <w:rsid w:val="00D62B83"/>
    <w:rsid w:val="00D62E18"/>
    <w:rsid w:val="00D63B56"/>
    <w:rsid w:val="00D63CAA"/>
    <w:rsid w:val="00D64BD7"/>
    <w:rsid w:val="00D64E40"/>
    <w:rsid w:val="00D65155"/>
    <w:rsid w:val="00D6533D"/>
    <w:rsid w:val="00D65926"/>
    <w:rsid w:val="00D65F16"/>
    <w:rsid w:val="00D665B7"/>
    <w:rsid w:val="00D6660B"/>
    <w:rsid w:val="00D66960"/>
    <w:rsid w:val="00D66B66"/>
    <w:rsid w:val="00D66C7B"/>
    <w:rsid w:val="00D67126"/>
    <w:rsid w:val="00D677AC"/>
    <w:rsid w:val="00D67BC1"/>
    <w:rsid w:val="00D67FEE"/>
    <w:rsid w:val="00D708F4"/>
    <w:rsid w:val="00D70EEF"/>
    <w:rsid w:val="00D71928"/>
    <w:rsid w:val="00D71FC8"/>
    <w:rsid w:val="00D72309"/>
    <w:rsid w:val="00D729C9"/>
    <w:rsid w:val="00D72D82"/>
    <w:rsid w:val="00D730A1"/>
    <w:rsid w:val="00D7315C"/>
    <w:rsid w:val="00D73592"/>
    <w:rsid w:val="00D736D2"/>
    <w:rsid w:val="00D737E1"/>
    <w:rsid w:val="00D738F8"/>
    <w:rsid w:val="00D73CAB"/>
    <w:rsid w:val="00D74437"/>
    <w:rsid w:val="00D74519"/>
    <w:rsid w:val="00D74743"/>
    <w:rsid w:val="00D748D5"/>
    <w:rsid w:val="00D7531A"/>
    <w:rsid w:val="00D7572D"/>
    <w:rsid w:val="00D758F7"/>
    <w:rsid w:val="00D762C2"/>
    <w:rsid w:val="00D76797"/>
    <w:rsid w:val="00D76D2F"/>
    <w:rsid w:val="00D77648"/>
    <w:rsid w:val="00D77B04"/>
    <w:rsid w:val="00D77E51"/>
    <w:rsid w:val="00D80063"/>
    <w:rsid w:val="00D8054B"/>
    <w:rsid w:val="00D80976"/>
    <w:rsid w:val="00D809EF"/>
    <w:rsid w:val="00D81CD3"/>
    <w:rsid w:val="00D82343"/>
    <w:rsid w:val="00D835DD"/>
    <w:rsid w:val="00D83722"/>
    <w:rsid w:val="00D83784"/>
    <w:rsid w:val="00D83C12"/>
    <w:rsid w:val="00D83EED"/>
    <w:rsid w:val="00D848DE"/>
    <w:rsid w:val="00D851BD"/>
    <w:rsid w:val="00D8580B"/>
    <w:rsid w:val="00D85B49"/>
    <w:rsid w:val="00D85C63"/>
    <w:rsid w:val="00D85F77"/>
    <w:rsid w:val="00D85FE2"/>
    <w:rsid w:val="00D86CF6"/>
    <w:rsid w:val="00D86E5A"/>
    <w:rsid w:val="00D8727E"/>
    <w:rsid w:val="00D87D89"/>
    <w:rsid w:val="00D87F4D"/>
    <w:rsid w:val="00D907F4"/>
    <w:rsid w:val="00D915DA"/>
    <w:rsid w:val="00D91AB4"/>
    <w:rsid w:val="00D91C3D"/>
    <w:rsid w:val="00D91D7C"/>
    <w:rsid w:val="00D91E21"/>
    <w:rsid w:val="00D929BD"/>
    <w:rsid w:val="00D92CA1"/>
    <w:rsid w:val="00D92D41"/>
    <w:rsid w:val="00D9367C"/>
    <w:rsid w:val="00D939D2"/>
    <w:rsid w:val="00D9480C"/>
    <w:rsid w:val="00D95681"/>
    <w:rsid w:val="00D959F0"/>
    <w:rsid w:val="00D9607E"/>
    <w:rsid w:val="00D96350"/>
    <w:rsid w:val="00D96B11"/>
    <w:rsid w:val="00D96EC9"/>
    <w:rsid w:val="00D96F2E"/>
    <w:rsid w:val="00D96FDA"/>
    <w:rsid w:val="00D96FF5"/>
    <w:rsid w:val="00D976CA"/>
    <w:rsid w:val="00D979AB"/>
    <w:rsid w:val="00D97FA8"/>
    <w:rsid w:val="00DA0314"/>
    <w:rsid w:val="00DA0CAA"/>
    <w:rsid w:val="00DA2444"/>
    <w:rsid w:val="00DA2B60"/>
    <w:rsid w:val="00DA2FBE"/>
    <w:rsid w:val="00DA4088"/>
    <w:rsid w:val="00DA47EE"/>
    <w:rsid w:val="00DA4ADB"/>
    <w:rsid w:val="00DA4D88"/>
    <w:rsid w:val="00DA4FE5"/>
    <w:rsid w:val="00DA5042"/>
    <w:rsid w:val="00DA5B47"/>
    <w:rsid w:val="00DA5E9C"/>
    <w:rsid w:val="00DA63D4"/>
    <w:rsid w:val="00DA68DB"/>
    <w:rsid w:val="00DA6AAF"/>
    <w:rsid w:val="00DA6D42"/>
    <w:rsid w:val="00DA6E1B"/>
    <w:rsid w:val="00DA7416"/>
    <w:rsid w:val="00DA7F54"/>
    <w:rsid w:val="00DB11EB"/>
    <w:rsid w:val="00DB2AD1"/>
    <w:rsid w:val="00DB2EF4"/>
    <w:rsid w:val="00DB31AE"/>
    <w:rsid w:val="00DB3BD9"/>
    <w:rsid w:val="00DB3D87"/>
    <w:rsid w:val="00DB4186"/>
    <w:rsid w:val="00DB46F3"/>
    <w:rsid w:val="00DB4FEC"/>
    <w:rsid w:val="00DB5557"/>
    <w:rsid w:val="00DB585A"/>
    <w:rsid w:val="00DB6355"/>
    <w:rsid w:val="00DB646D"/>
    <w:rsid w:val="00DB64E8"/>
    <w:rsid w:val="00DB7140"/>
    <w:rsid w:val="00DB71C7"/>
    <w:rsid w:val="00DB76D4"/>
    <w:rsid w:val="00DC0B74"/>
    <w:rsid w:val="00DC1387"/>
    <w:rsid w:val="00DC15D2"/>
    <w:rsid w:val="00DC1FE5"/>
    <w:rsid w:val="00DC2312"/>
    <w:rsid w:val="00DC2510"/>
    <w:rsid w:val="00DC2513"/>
    <w:rsid w:val="00DC2BCB"/>
    <w:rsid w:val="00DC317D"/>
    <w:rsid w:val="00DC39B6"/>
    <w:rsid w:val="00DC4194"/>
    <w:rsid w:val="00DC4493"/>
    <w:rsid w:val="00DC4BCB"/>
    <w:rsid w:val="00DC4F8A"/>
    <w:rsid w:val="00DC5048"/>
    <w:rsid w:val="00DC65B5"/>
    <w:rsid w:val="00DC69FA"/>
    <w:rsid w:val="00DC74E8"/>
    <w:rsid w:val="00DC7BB9"/>
    <w:rsid w:val="00DC7F8C"/>
    <w:rsid w:val="00DD08CA"/>
    <w:rsid w:val="00DD0924"/>
    <w:rsid w:val="00DD1C92"/>
    <w:rsid w:val="00DD2236"/>
    <w:rsid w:val="00DD254B"/>
    <w:rsid w:val="00DD2694"/>
    <w:rsid w:val="00DD2ECC"/>
    <w:rsid w:val="00DD4FDD"/>
    <w:rsid w:val="00DD5709"/>
    <w:rsid w:val="00DD5DD9"/>
    <w:rsid w:val="00DD5E08"/>
    <w:rsid w:val="00DD5E28"/>
    <w:rsid w:val="00DD614B"/>
    <w:rsid w:val="00DD673E"/>
    <w:rsid w:val="00DD6872"/>
    <w:rsid w:val="00DD69ED"/>
    <w:rsid w:val="00DD6C30"/>
    <w:rsid w:val="00DD6E2A"/>
    <w:rsid w:val="00DD703B"/>
    <w:rsid w:val="00DD7A67"/>
    <w:rsid w:val="00DE0215"/>
    <w:rsid w:val="00DE0327"/>
    <w:rsid w:val="00DE0449"/>
    <w:rsid w:val="00DE05C3"/>
    <w:rsid w:val="00DE07B2"/>
    <w:rsid w:val="00DE09F7"/>
    <w:rsid w:val="00DE10B9"/>
    <w:rsid w:val="00DE1AD2"/>
    <w:rsid w:val="00DE1D0D"/>
    <w:rsid w:val="00DE1DB7"/>
    <w:rsid w:val="00DE24B7"/>
    <w:rsid w:val="00DE296D"/>
    <w:rsid w:val="00DE2D59"/>
    <w:rsid w:val="00DE31FF"/>
    <w:rsid w:val="00DE34DF"/>
    <w:rsid w:val="00DE380A"/>
    <w:rsid w:val="00DE3C31"/>
    <w:rsid w:val="00DE3E3E"/>
    <w:rsid w:val="00DE4084"/>
    <w:rsid w:val="00DE43CA"/>
    <w:rsid w:val="00DE4926"/>
    <w:rsid w:val="00DE4D7B"/>
    <w:rsid w:val="00DE4F65"/>
    <w:rsid w:val="00DE4FAA"/>
    <w:rsid w:val="00DE50E4"/>
    <w:rsid w:val="00DE5241"/>
    <w:rsid w:val="00DE542F"/>
    <w:rsid w:val="00DE5558"/>
    <w:rsid w:val="00DE693C"/>
    <w:rsid w:val="00DE6F57"/>
    <w:rsid w:val="00DE7AF7"/>
    <w:rsid w:val="00DE7C34"/>
    <w:rsid w:val="00DE7CAE"/>
    <w:rsid w:val="00DF08BC"/>
    <w:rsid w:val="00DF0C4F"/>
    <w:rsid w:val="00DF1807"/>
    <w:rsid w:val="00DF19B6"/>
    <w:rsid w:val="00DF26A6"/>
    <w:rsid w:val="00DF283C"/>
    <w:rsid w:val="00DF2AFD"/>
    <w:rsid w:val="00DF3290"/>
    <w:rsid w:val="00DF371B"/>
    <w:rsid w:val="00DF4556"/>
    <w:rsid w:val="00DF4744"/>
    <w:rsid w:val="00DF47C7"/>
    <w:rsid w:val="00DF4B56"/>
    <w:rsid w:val="00DF4BC1"/>
    <w:rsid w:val="00DF4FC3"/>
    <w:rsid w:val="00DF5CED"/>
    <w:rsid w:val="00DF6C0A"/>
    <w:rsid w:val="00DF7141"/>
    <w:rsid w:val="00DF736F"/>
    <w:rsid w:val="00DF73B5"/>
    <w:rsid w:val="00DF7989"/>
    <w:rsid w:val="00DF7D5E"/>
    <w:rsid w:val="00DF7DEA"/>
    <w:rsid w:val="00DF7F2A"/>
    <w:rsid w:val="00E00186"/>
    <w:rsid w:val="00E00397"/>
    <w:rsid w:val="00E00453"/>
    <w:rsid w:val="00E005BF"/>
    <w:rsid w:val="00E0097F"/>
    <w:rsid w:val="00E00A2A"/>
    <w:rsid w:val="00E01864"/>
    <w:rsid w:val="00E01BEF"/>
    <w:rsid w:val="00E01C0F"/>
    <w:rsid w:val="00E0216B"/>
    <w:rsid w:val="00E02503"/>
    <w:rsid w:val="00E02901"/>
    <w:rsid w:val="00E02B8D"/>
    <w:rsid w:val="00E02BED"/>
    <w:rsid w:val="00E02D9B"/>
    <w:rsid w:val="00E02FA6"/>
    <w:rsid w:val="00E035AE"/>
    <w:rsid w:val="00E03814"/>
    <w:rsid w:val="00E03B84"/>
    <w:rsid w:val="00E04118"/>
    <w:rsid w:val="00E0421A"/>
    <w:rsid w:val="00E049D5"/>
    <w:rsid w:val="00E04A4C"/>
    <w:rsid w:val="00E04B08"/>
    <w:rsid w:val="00E05157"/>
    <w:rsid w:val="00E0550C"/>
    <w:rsid w:val="00E05CE6"/>
    <w:rsid w:val="00E06178"/>
    <w:rsid w:val="00E06476"/>
    <w:rsid w:val="00E06CD1"/>
    <w:rsid w:val="00E073F1"/>
    <w:rsid w:val="00E07CD9"/>
    <w:rsid w:val="00E1067B"/>
    <w:rsid w:val="00E10BD5"/>
    <w:rsid w:val="00E10E88"/>
    <w:rsid w:val="00E10F94"/>
    <w:rsid w:val="00E12298"/>
    <w:rsid w:val="00E12A59"/>
    <w:rsid w:val="00E13057"/>
    <w:rsid w:val="00E1320F"/>
    <w:rsid w:val="00E136B3"/>
    <w:rsid w:val="00E13CA6"/>
    <w:rsid w:val="00E13D25"/>
    <w:rsid w:val="00E13F20"/>
    <w:rsid w:val="00E140CC"/>
    <w:rsid w:val="00E141BF"/>
    <w:rsid w:val="00E14805"/>
    <w:rsid w:val="00E14C5F"/>
    <w:rsid w:val="00E15101"/>
    <w:rsid w:val="00E155C2"/>
    <w:rsid w:val="00E15A4E"/>
    <w:rsid w:val="00E15C8B"/>
    <w:rsid w:val="00E16650"/>
    <w:rsid w:val="00E16883"/>
    <w:rsid w:val="00E16F5B"/>
    <w:rsid w:val="00E174CF"/>
    <w:rsid w:val="00E17C0A"/>
    <w:rsid w:val="00E17E9F"/>
    <w:rsid w:val="00E2130C"/>
    <w:rsid w:val="00E21311"/>
    <w:rsid w:val="00E2135F"/>
    <w:rsid w:val="00E216F5"/>
    <w:rsid w:val="00E21AAA"/>
    <w:rsid w:val="00E2257B"/>
    <w:rsid w:val="00E22E79"/>
    <w:rsid w:val="00E236B2"/>
    <w:rsid w:val="00E23F8A"/>
    <w:rsid w:val="00E24034"/>
    <w:rsid w:val="00E24369"/>
    <w:rsid w:val="00E251BF"/>
    <w:rsid w:val="00E2522F"/>
    <w:rsid w:val="00E25B42"/>
    <w:rsid w:val="00E25EAB"/>
    <w:rsid w:val="00E25F87"/>
    <w:rsid w:val="00E268D3"/>
    <w:rsid w:val="00E2755D"/>
    <w:rsid w:val="00E313DC"/>
    <w:rsid w:val="00E318C7"/>
    <w:rsid w:val="00E32081"/>
    <w:rsid w:val="00E32C7A"/>
    <w:rsid w:val="00E32EF2"/>
    <w:rsid w:val="00E33196"/>
    <w:rsid w:val="00E33C83"/>
    <w:rsid w:val="00E33E66"/>
    <w:rsid w:val="00E33FD9"/>
    <w:rsid w:val="00E343DA"/>
    <w:rsid w:val="00E3440A"/>
    <w:rsid w:val="00E347C1"/>
    <w:rsid w:val="00E34C5A"/>
    <w:rsid w:val="00E35AF8"/>
    <w:rsid w:val="00E35C14"/>
    <w:rsid w:val="00E35CB3"/>
    <w:rsid w:val="00E35E31"/>
    <w:rsid w:val="00E360DA"/>
    <w:rsid w:val="00E36E51"/>
    <w:rsid w:val="00E36F95"/>
    <w:rsid w:val="00E37231"/>
    <w:rsid w:val="00E373D9"/>
    <w:rsid w:val="00E37748"/>
    <w:rsid w:val="00E37E05"/>
    <w:rsid w:val="00E37E31"/>
    <w:rsid w:val="00E400C6"/>
    <w:rsid w:val="00E40435"/>
    <w:rsid w:val="00E40D5F"/>
    <w:rsid w:val="00E4122A"/>
    <w:rsid w:val="00E41491"/>
    <w:rsid w:val="00E420B3"/>
    <w:rsid w:val="00E422AE"/>
    <w:rsid w:val="00E4389D"/>
    <w:rsid w:val="00E4428B"/>
    <w:rsid w:val="00E4490C"/>
    <w:rsid w:val="00E449D4"/>
    <w:rsid w:val="00E44ECF"/>
    <w:rsid w:val="00E454AF"/>
    <w:rsid w:val="00E457AC"/>
    <w:rsid w:val="00E45F53"/>
    <w:rsid w:val="00E470C0"/>
    <w:rsid w:val="00E47373"/>
    <w:rsid w:val="00E50648"/>
    <w:rsid w:val="00E50B84"/>
    <w:rsid w:val="00E51EEB"/>
    <w:rsid w:val="00E520F9"/>
    <w:rsid w:val="00E52458"/>
    <w:rsid w:val="00E52497"/>
    <w:rsid w:val="00E5270F"/>
    <w:rsid w:val="00E528AC"/>
    <w:rsid w:val="00E52C4F"/>
    <w:rsid w:val="00E52E88"/>
    <w:rsid w:val="00E53096"/>
    <w:rsid w:val="00E5346E"/>
    <w:rsid w:val="00E53F2F"/>
    <w:rsid w:val="00E54768"/>
    <w:rsid w:val="00E54ECD"/>
    <w:rsid w:val="00E54FF9"/>
    <w:rsid w:val="00E5553E"/>
    <w:rsid w:val="00E559FA"/>
    <w:rsid w:val="00E55C51"/>
    <w:rsid w:val="00E55E48"/>
    <w:rsid w:val="00E55EEB"/>
    <w:rsid w:val="00E55F9D"/>
    <w:rsid w:val="00E55FBA"/>
    <w:rsid w:val="00E56E4A"/>
    <w:rsid w:val="00E57121"/>
    <w:rsid w:val="00E57691"/>
    <w:rsid w:val="00E57877"/>
    <w:rsid w:val="00E57AAE"/>
    <w:rsid w:val="00E600DB"/>
    <w:rsid w:val="00E60397"/>
    <w:rsid w:val="00E60A8E"/>
    <w:rsid w:val="00E61E88"/>
    <w:rsid w:val="00E62544"/>
    <w:rsid w:val="00E625CE"/>
    <w:rsid w:val="00E62886"/>
    <w:rsid w:val="00E645EE"/>
    <w:rsid w:val="00E648D8"/>
    <w:rsid w:val="00E64CE9"/>
    <w:rsid w:val="00E64F26"/>
    <w:rsid w:val="00E64F71"/>
    <w:rsid w:val="00E65D18"/>
    <w:rsid w:val="00E66386"/>
    <w:rsid w:val="00E66496"/>
    <w:rsid w:val="00E66996"/>
    <w:rsid w:val="00E669BD"/>
    <w:rsid w:val="00E67580"/>
    <w:rsid w:val="00E70650"/>
    <w:rsid w:val="00E707DD"/>
    <w:rsid w:val="00E70E39"/>
    <w:rsid w:val="00E712BD"/>
    <w:rsid w:val="00E7151A"/>
    <w:rsid w:val="00E7215E"/>
    <w:rsid w:val="00E72B28"/>
    <w:rsid w:val="00E72FFB"/>
    <w:rsid w:val="00E73717"/>
    <w:rsid w:val="00E73CFF"/>
    <w:rsid w:val="00E73EA5"/>
    <w:rsid w:val="00E74549"/>
    <w:rsid w:val="00E7476D"/>
    <w:rsid w:val="00E74BD4"/>
    <w:rsid w:val="00E74C54"/>
    <w:rsid w:val="00E74F30"/>
    <w:rsid w:val="00E75A8F"/>
    <w:rsid w:val="00E762D9"/>
    <w:rsid w:val="00E771AD"/>
    <w:rsid w:val="00E779AA"/>
    <w:rsid w:val="00E77B7B"/>
    <w:rsid w:val="00E80570"/>
    <w:rsid w:val="00E809F1"/>
    <w:rsid w:val="00E80B70"/>
    <w:rsid w:val="00E80CAD"/>
    <w:rsid w:val="00E80FA3"/>
    <w:rsid w:val="00E8154D"/>
    <w:rsid w:val="00E819CD"/>
    <w:rsid w:val="00E81B74"/>
    <w:rsid w:val="00E81EB0"/>
    <w:rsid w:val="00E81F53"/>
    <w:rsid w:val="00E822FF"/>
    <w:rsid w:val="00E826AB"/>
    <w:rsid w:val="00E82981"/>
    <w:rsid w:val="00E829F5"/>
    <w:rsid w:val="00E83021"/>
    <w:rsid w:val="00E83611"/>
    <w:rsid w:val="00E839C1"/>
    <w:rsid w:val="00E83F54"/>
    <w:rsid w:val="00E848AE"/>
    <w:rsid w:val="00E84AF7"/>
    <w:rsid w:val="00E85831"/>
    <w:rsid w:val="00E8639C"/>
    <w:rsid w:val="00E8652A"/>
    <w:rsid w:val="00E874BC"/>
    <w:rsid w:val="00E9080D"/>
    <w:rsid w:val="00E90A4F"/>
    <w:rsid w:val="00E90AEC"/>
    <w:rsid w:val="00E90C9E"/>
    <w:rsid w:val="00E90DBD"/>
    <w:rsid w:val="00E91D60"/>
    <w:rsid w:val="00E91DD4"/>
    <w:rsid w:val="00E91FF1"/>
    <w:rsid w:val="00E920A0"/>
    <w:rsid w:val="00E927EC"/>
    <w:rsid w:val="00E9319E"/>
    <w:rsid w:val="00E9350C"/>
    <w:rsid w:val="00E93AC3"/>
    <w:rsid w:val="00E93B0F"/>
    <w:rsid w:val="00E94382"/>
    <w:rsid w:val="00E96C7E"/>
    <w:rsid w:val="00E9748D"/>
    <w:rsid w:val="00EA0176"/>
    <w:rsid w:val="00EA0271"/>
    <w:rsid w:val="00EA06F3"/>
    <w:rsid w:val="00EA0E89"/>
    <w:rsid w:val="00EA10BB"/>
    <w:rsid w:val="00EA11B5"/>
    <w:rsid w:val="00EA1971"/>
    <w:rsid w:val="00EA240E"/>
    <w:rsid w:val="00EA2EB3"/>
    <w:rsid w:val="00EA2F8B"/>
    <w:rsid w:val="00EA31A8"/>
    <w:rsid w:val="00EA31D2"/>
    <w:rsid w:val="00EA32AB"/>
    <w:rsid w:val="00EA3C9C"/>
    <w:rsid w:val="00EA3ECC"/>
    <w:rsid w:val="00EA41CF"/>
    <w:rsid w:val="00EA49A3"/>
    <w:rsid w:val="00EA49B3"/>
    <w:rsid w:val="00EA55A3"/>
    <w:rsid w:val="00EA5880"/>
    <w:rsid w:val="00EA5B01"/>
    <w:rsid w:val="00EA601B"/>
    <w:rsid w:val="00EA6214"/>
    <w:rsid w:val="00EA624E"/>
    <w:rsid w:val="00EA6E29"/>
    <w:rsid w:val="00EA6F45"/>
    <w:rsid w:val="00EA709F"/>
    <w:rsid w:val="00EA7158"/>
    <w:rsid w:val="00EA74A8"/>
    <w:rsid w:val="00EA79E3"/>
    <w:rsid w:val="00EA7C99"/>
    <w:rsid w:val="00EB00CF"/>
    <w:rsid w:val="00EB10D0"/>
    <w:rsid w:val="00EB2690"/>
    <w:rsid w:val="00EB26FD"/>
    <w:rsid w:val="00EB2A5F"/>
    <w:rsid w:val="00EB36E2"/>
    <w:rsid w:val="00EB3782"/>
    <w:rsid w:val="00EB4045"/>
    <w:rsid w:val="00EB40F2"/>
    <w:rsid w:val="00EB49EC"/>
    <w:rsid w:val="00EB5285"/>
    <w:rsid w:val="00EB55ED"/>
    <w:rsid w:val="00EB591A"/>
    <w:rsid w:val="00EB649B"/>
    <w:rsid w:val="00EB6CD0"/>
    <w:rsid w:val="00EB6DDD"/>
    <w:rsid w:val="00EB6FD0"/>
    <w:rsid w:val="00EB798D"/>
    <w:rsid w:val="00EC01BA"/>
    <w:rsid w:val="00EC1169"/>
    <w:rsid w:val="00EC12BA"/>
    <w:rsid w:val="00EC1B34"/>
    <w:rsid w:val="00EC1E2B"/>
    <w:rsid w:val="00EC1FBF"/>
    <w:rsid w:val="00EC254A"/>
    <w:rsid w:val="00EC296D"/>
    <w:rsid w:val="00EC2992"/>
    <w:rsid w:val="00EC2E87"/>
    <w:rsid w:val="00EC31EC"/>
    <w:rsid w:val="00EC4271"/>
    <w:rsid w:val="00EC433A"/>
    <w:rsid w:val="00EC4A09"/>
    <w:rsid w:val="00EC4DA0"/>
    <w:rsid w:val="00EC59F4"/>
    <w:rsid w:val="00EC5A30"/>
    <w:rsid w:val="00EC65D0"/>
    <w:rsid w:val="00EC703B"/>
    <w:rsid w:val="00EC7048"/>
    <w:rsid w:val="00EC75B8"/>
    <w:rsid w:val="00EC777D"/>
    <w:rsid w:val="00EC79A3"/>
    <w:rsid w:val="00EC7F0A"/>
    <w:rsid w:val="00ED017C"/>
    <w:rsid w:val="00ED018E"/>
    <w:rsid w:val="00ED0393"/>
    <w:rsid w:val="00ED0562"/>
    <w:rsid w:val="00ED05CD"/>
    <w:rsid w:val="00ED10C2"/>
    <w:rsid w:val="00ED118B"/>
    <w:rsid w:val="00ED187B"/>
    <w:rsid w:val="00ED2D58"/>
    <w:rsid w:val="00ED327E"/>
    <w:rsid w:val="00ED3745"/>
    <w:rsid w:val="00ED41EC"/>
    <w:rsid w:val="00ED46AD"/>
    <w:rsid w:val="00ED5337"/>
    <w:rsid w:val="00ED53C9"/>
    <w:rsid w:val="00ED55DA"/>
    <w:rsid w:val="00ED5B8A"/>
    <w:rsid w:val="00ED5C56"/>
    <w:rsid w:val="00ED5D42"/>
    <w:rsid w:val="00ED6B11"/>
    <w:rsid w:val="00ED6E00"/>
    <w:rsid w:val="00ED71B3"/>
    <w:rsid w:val="00EE0465"/>
    <w:rsid w:val="00EE0A84"/>
    <w:rsid w:val="00EE0AD9"/>
    <w:rsid w:val="00EE0C1F"/>
    <w:rsid w:val="00EE101A"/>
    <w:rsid w:val="00EE12B2"/>
    <w:rsid w:val="00EE1338"/>
    <w:rsid w:val="00EE16E7"/>
    <w:rsid w:val="00EE25E4"/>
    <w:rsid w:val="00EE26E3"/>
    <w:rsid w:val="00EE26FB"/>
    <w:rsid w:val="00EE2A29"/>
    <w:rsid w:val="00EE2E84"/>
    <w:rsid w:val="00EE2F68"/>
    <w:rsid w:val="00EE32A3"/>
    <w:rsid w:val="00EE4730"/>
    <w:rsid w:val="00EE4C68"/>
    <w:rsid w:val="00EE4FE9"/>
    <w:rsid w:val="00EE5963"/>
    <w:rsid w:val="00EE6287"/>
    <w:rsid w:val="00EE63E2"/>
    <w:rsid w:val="00EE6760"/>
    <w:rsid w:val="00EE67A1"/>
    <w:rsid w:val="00EE69A1"/>
    <w:rsid w:val="00EE6B98"/>
    <w:rsid w:val="00EF045E"/>
    <w:rsid w:val="00EF0CB9"/>
    <w:rsid w:val="00EF1251"/>
    <w:rsid w:val="00EF12A9"/>
    <w:rsid w:val="00EF1B7E"/>
    <w:rsid w:val="00EF1D72"/>
    <w:rsid w:val="00EF240E"/>
    <w:rsid w:val="00EF24DA"/>
    <w:rsid w:val="00EF29A1"/>
    <w:rsid w:val="00EF2DEB"/>
    <w:rsid w:val="00EF3F3E"/>
    <w:rsid w:val="00EF405E"/>
    <w:rsid w:val="00EF44EB"/>
    <w:rsid w:val="00EF4747"/>
    <w:rsid w:val="00EF4AFA"/>
    <w:rsid w:val="00EF5129"/>
    <w:rsid w:val="00EF576B"/>
    <w:rsid w:val="00EF5A64"/>
    <w:rsid w:val="00EF5E48"/>
    <w:rsid w:val="00EF6612"/>
    <w:rsid w:val="00EF677B"/>
    <w:rsid w:val="00EF6C8D"/>
    <w:rsid w:val="00EF6F55"/>
    <w:rsid w:val="00EF70CD"/>
    <w:rsid w:val="00EF716A"/>
    <w:rsid w:val="00EF7B91"/>
    <w:rsid w:val="00F00F3B"/>
    <w:rsid w:val="00F01604"/>
    <w:rsid w:val="00F027F9"/>
    <w:rsid w:val="00F02B59"/>
    <w:rsid w:val="00F02C8B"/>
    <w:rsid w:val="00F02C9A"/>
    <w:rsid w:val="00F03E67"/>
    <w:rsid w:val="00F051EB"/>
    <w:rsid w:val="00F0561E"/>
    <w:rsid w:val="00F0597E"/>
    <w:rsid w:val="00F06F2C"/>
    <w:rsid w:val="00F07306"/>
    <w:rsid w:val="00F0745F"/>
    <w:rsid w:val="00F0783A"/>
    <w:rsid w:val="00F07A63"/>
    <w:rsid w:val="00F07C09"/>
    <w:rsid w:val="00F07EF0"/>
    <w:rsid w:val="00F1041D"/>
    <w:rsid w:val="00F1069F"/>
    <w:rsid w:val="00F10D04"/>
    <w:rsid w:val="00F11CFD"/>
    <w:rsid w:val="00F11FE9"/>
    <w:rsid w:val="00F123A8"/>
    <w:rsid w:val="00F12AF0"/>
    <w:rsid w:val="00F12F82"/>
    <w:rsid w:val="00F138F4"/>
    <w:rsid w:val="00F1391A"/>
    <w:rsid w:val="00F13C7F"/>
    <w:rsid w:val="00F14284"/>
    <w:rsid w:val="00F1429F"/>
    <w:rsid w:val="00F14340"/>
    <w:rsid w:val="00F1443A"/>
    <w:rsid w:val="00F144DA"/>
    <w:rsid w:val="00F14542"/>
    <w:rsid w:val="00F1511E"/>
    <w:rsid w:val="00F151D9"/>
    <w:rsid w:val="00F1534D"/>
    <w:rsid w:val="00F159F5"/>
    <w:rsid w:val="00F15CCE"/>
    <w:rsid w:val="00F1673E"/>
    <w:rsid w:val="00F171C6"/>
    <w:rsid w:val="00F1789C"/>
    <w:rsid w:val="00F17D9C"/>
    <w:rsid w:val="00F2125F"/>
    <w:rsid w:val="00F216D3"/>
    <w:rsid w:val="00F2171E"/>
    <w:rsid w:val="00F2181E"/>
    <w:rsid w:val="00F21C8D"/>
    <w:rsid w:val="00F220C5"/>
    <w:rsid w:val="00F222B6"/>
    <w:rsid w:val="00F22487"/>
    <w:rsid w:val="00F2271A"/>
    <w:rsid w:val="00F22FAE"/>
    <w:rsid w:val="00F233C8"/>
    <w:rsid w:val="00F235D7"/>
    <w:rsid w:val="00F23928"/>
    <w:rsid w:val="00F23B3E"/>
    <w:rsid w:val="00F23F34"/>
    <w:rsid w:val="00F2418A"/>
    <w:rsid w:val="00F247DA"/>
    <w:rsid w:val="00F249C9"/>
    <w:rsid w:val="00F24C18"/>
    <w:rsid w:val="00F25C0A"/>
    <w:rsid w:val="00F25E94"/>
    <w:rsid w:val="00F264BA"/>
    <w:rsid w:val="00F26BD8"/>
    <w:rsid w:val="00F26C4C"/>
    <w:rsid w:val="00F2726C"/>
    <w:rsid w:val="00F27383"/>
    <w:rsid w:val="00F27C78"/>
    <w:rsid w:val="00F3076D"/>
    <w:rsid w:val="00F30A4F"/>
    <w:rsid w:val="00F31020"/>
    <w:rsid w:val="00F32594"/>
    <w:rsid w:val="00F32973"/>
    <w:rsid w:val="00F34081"/>
    <w:rsid w:val="00F34250"/>
    <w:rsid w:val="00F35226"/>
    <w:rsid w:val="00F35E13"/>
    <w:rsid w:val="00F36053"/>
    <w:rsid w:val="00F361DC"/>
    <w:rsid w:val="00F36216"/>
    <w:rsid w:val="00F36217"/>
    <w:rsid w:val="00F367C5"/>
    <w:rsid w:val="00F372C9"/>
    <w:rsid w:val="00F37F56"/>
    <w:rsid w:val="00F401A5"/>
    <w:rsid w:val="00F40BAD"/>
    <w:rsid w:val="00F4134E"/>
    <w:rsid w:val="00F41438"/>
    <w:rsid w:val="00F4155A"/>
    <w:rsid w:val="00F41634"/>
    <w:rsid w:val="00F4253E"/>
    <w:rsid w:val="00F436C7"/>
    <w:rsid w:val="00F43878"/>
    <w:rsid w:val="00F44004"/>
    <w:rsid w:val="00F4479F"/>
    <w:rsid w:val="00F4492D"/>
    <w:rsid w:val="00F44FEA"/>
    <w:rsid w:val="00F45255"/>
    <w:rsid w:val="00F457EE"/>
    <w:rsid w:val="00F461AD"/>
    <w:rsid w:val="00F46DDA"/>
    <w:rsid w:val="00F474D5"/>
    <w:rsid w:val="00F47645"/>
    <w:rsid w:val="00F47BBB"/>
    <w:rsid w:val="00F47F06"/>
    <w:rsid w:val="00F50344"/>
    <w:rsid w:val="00F5038E"/>
    <w:rsid w:val="00F5082F"/>
    <w:rsid w:val="00F50C02"/>
    <w:rsid w:val="00F50D1D"/>
    <w:rsid w:val="00F50DE7"/>
    <w:rsid w:val="00F50E01"/>
    <w:rsid w:val="00F51287"/>
    <w:rsid w:val="00F517D1"/>
    <w:rsid w:val="00F51B15"/>
    <w:rsid w:val="00F51F1E"/>
    <w:rsid w:val="00F53137"/>
    <w:rsid w:val="00F539F0"/>
    <w:rsid w:val="00F546AA"/>
    <w:rsid w:val="00F54A14"/>
    <w:rsid w:val="00F54BCC"/>
    <w:rsid w:val="00F54EFC"/>
    <w:rsid w:val="00F54F1E"/>
    <w:rsid w:val="00F55AB7"/>
    <w:rsid w:val="00F55E0D"/>
    <w:rsid w:val="00F5625D"/>
    <w:rsid w:val="00F56A7E"/>
    <w:rsid w:val="00F57E9E"/>
    <w:rsid w:val="00F6012D"/>
    <w:rsid w:val="00F60283"/>
    <w:rsid w:val="00F608B7"/>
    <w:rsid w:val="00F60E1E"/>
    <w:rsid w:val="00F60E2D"/>
    <w:rsid w:val="00F60EB7"/>
    <w:rsid w:val="00F611D3"/>
    <w:rsid w:val="00F616AD"/>
    <w:rsid w:val="00F61742"/>
    <w:rsid w:val="00F61A78"/>
    <w:rsid w:val="00F61AFA"/>
    <w:rsid w:val="00F61DA9"/>
    <w:rsid w:val="00F61E97"/>
    <w:rsid w:val="00F623A6"/>
    <w:rsid w:val="00F62803"/>
    <w:rsid w:val="00F62A69"/>
    <w:rsid w:val="00F62A92"/>
    <w:rsid w:val="00F62C20"/>
    <w:rsid w:val="00F63484"/>
    <w:rsid w:val="00F636CA"/>
    <w:rsid w:val="00F63C71"/>
    <w:rsid w:val="00F646AE"/>
    <w:rsid w:val="00F64765"/>
    <w:rsid w:val="00F647FA"/>
    <w:rsid w:val="00F64C15"/>
    <w:rsid w:val="00F65117"/>
    <w:rsid w:val="00F6525B"/>
    <w:rsid w:val="00F6569F"/>
    <w:rsid w:val="00F65B24"/>
    <w:rsid w:val="00F66492"/>
    <w:rsid w:val="00F675B1"/>
    <w:rsid w:val="00F67B23"/>
    <w:rsid w:val="00F67E20"/>
    <w:rsid w:val="00F708B8"/>
    <w:rsid w:val="00F70FF1"/>
    <w:rsid w:val="00F7138D"/>
    <w:rsid w:val="00F714A1"/>
    <w:rsid w:val="00F71651"/>
    <w:rsid w:val="00F71C12"/>
    <w:rsid w:val="00F71D25"/>
    <w:rsid w:val="00F720BD"/>
    <w:rsid w:val="00F7268E"/>
    <w:rsid w:val="00F727AC"/>
    <w:rsid w:val="00F72933"/>
    <w:rsid w:val="00F730E6"/>
    <w:rsid w:val="00F73880"/>
    <w:rsid w:val="00F7397B"/>
    <w:rsid w:val="00F73B57"/>
    <w:rsid w:val="00F753CC"/>
    <w:rsid w:val="00F755A9"/>
    <w:rsid w:val="00F75F7E"/>
    <w:rsid w:val="00F76C0F"/>
    <w:rsid w:val="00F76F1C"/>
    <w:rsid w:val="00F774F5"/>
    <w:rsid w:val="00F7758A"/>
    <w:rsid w:val="00F775BB"/>
    <w:rsid w:val="00F7764E"/>
    <w:rsid w:val="00F77739"/>
    <w:rsid w:val="00F77A16"/>
    <w:rsid w:val="00F8002E"/>
    <w:rsid w:val="00F8024A"/>
    <w:rsid w:val="00F804C1"/>
    <w:rsid w:val="00F8055F"/>
    <w:rsid w:val="00F80835"/>
    <w:rsid w:val="00F80D2D"/>
    <w:rsid w:val="00F810BB"/>
    <w:rsid w:val="00F81810"/>
    <w:rsid w:val="00F81E71"/>
    <w:rsid w:val="00F81FC4"/>
    <w:rsid w:val="00F82942"/>
    <w:rsid w:val="00F82AE0"/>
    <w:rsid w:val="00F83D58"/>
    <w:rsid w:val="00F84161"/>
    <w:rsid w:val="00F842B8"/>
    <w:rsid w:val="00F847ED"/>
    <w:rsid w:val="00F84A60"/>
    <w:rsid w:val="00F84DD5"/>
    <w:rsid w:val="00F84E04"/>
    <w:rsid w:val="00F85959"/>
    <w:rsid w:val="00F85CA4"/>
    <w:rsid w:val="00F85DA7"/>
    <w:rsid w:val="00F85DF7"/>
    <w:rsid w:val="00F861EF"/>
    <w:rsid w:val="00F862DA"/>
    <w:rsid w:val="00F86870"/>
    <w:rsid w:val="00F868D0"/>
    <w:rsid w:val="00F869A2"/>
    <w:rsid w:val="00F86B88"/>
    <w:rsid w:val="00F8709D"/>
    <w:rsid w:val="00F8748B"/>
    <w:rsid w:val="00F87BAF"/>
    <w:rsid w:val="00F90296"/>
    <w:rsid w:val="00F90471"/>
    <w:rsid w:val="00F9054F"/>
    <w:rsid w:val="00F90C0F"/>
    <w:rsid w:val="00F9170A"/>
    <w:rsid w:val="00F91D9F"/>
    <w:rsid w:val="00F91EB3"/>
    <w:rsid w:val="00F91F3D"/>
    <w:rsid w:val="00F9261C"/>
    <w:rsid w:val="00F93028"/>
    <w:rsid w:val="00F933B5"/>
    <w:rsid w:val="00F935A8"/>
    <w:rsid w:val="00F937C0"/>
    <w:rsid w:val="00F939B0"/>
    <w:rsid w:val="00F939EE"/>
    <w:rsid w:val="00F93C04"/>
    <w:rsid w:val="00F940D3"/>
    <w:rsid w:val="00F94181"/>
    <w:rsid w:val="00F94421"/>
    <w:rsid w:val="00F94424"/>
    <w:rsid w:val="00F94425"/>
    <w:rsid w:val="00F94CD8"/>
    <w:rsid w:val="00F94E46"/>
    <w:rsid w:val="00F95248"/>
    <w:rsid w:val="00F95F0D"/>
    <w:rsid w:val="00F96EB1"/>
    <w:rsid w:val="00F9709A"/>
    <w:rsid w:val="00F97157"/>
    <w:rsid w:val="00F971CD"/>
    <w:rsid w:val="00F97886"/>
    <w:rsid w:val="00F978AE"/>
    <w:rsid w:val="00F979B2"/>
    <w:rsid w:val="00F97A00"/>
    <w:rsid w:val="00F97A89"/>
    <w:rsid w:val="00F97A9D"/>
    <w:rsid w:val="00F97B7D"/>
    <w:rsid w:val="00F97E3A"/>
    <w:rsid w:val="00F97E7B"/>
    <w:rsid w:val="00F97EDB"/>
    <w:rsid w:val="00FA000B"/>
    <w:rsid w:val="00FA02B9"/>
    <w:rsid w:val="00FA116D"/>
    <w:rsid w:val="00FA1558"/>
    <w:rsid w:val="00FA19B1"/>
    <w:rsid w:val="00FA1A07"/>
    <w:rsid w:val="00FA1B90"/>
    <w:rsid w:val="00FA1E64"/>
    <w:rsid w:val="00FA20D1"/>
    <w:rsid w:val="00FA2AA8"/>
    <w:rsid w:val="00FA2C1D"/>
    <w:rsid w:val="00FA34A0"/>
    <w:rsid w:val="00FA34DC"/>
    <w:rsid w:val="00FA40E7"/>
    <w:rsid w:val="00FA4483"/>
    <w:rsid w:val="00FA45B0"/>
    <w:rsid w:val="00FA47EF"/>
    <w:rsid w:val="00FA4852"/>
    <w:rsid w:val="00FA48E7"/>
    <w:rsid w:val="00FA4CBF"/>
    <w:rsid w:val="00FA59A3"/>
    <w:rsid w:val="00FA5AC3"/>
    <w:rsid w:val="00FA5E23"/>
    <w:rsid w:val="00FA60A8"/>
    <w:rsid w:val="00FA70A9"/>
    <w:rsid w:val="00FA732A"/>
    <w:rsid w:val="00FA74E3"/>
    <w:rsid w:val="00FA757C"/>
    <w:rsid w:val="00FA7845"/>
    <w:rsid w:val="00FB003A"/>
    <w:rsid w:val="00FB0306"/>
    <w:rsid w:val="00FB0CED"/>
    <w:rsid w:val="00FB0D1C"/>
    <w:rsid w:val="00FB1271"/>
    <w:rsid w:val="00FB147D"/>
    <w:rsid w:val="00FB1A4A"/>
    <w:rsid w:val="00FB230D"/>
    <w:rsid w:val="00FB2635"/>
    <w:rsid w:val="00FB2773"/>
    <w:rsid w:val="00FB3040"/>
    <w:rsid w:val="00FB3793"/>
    <w:rsid w:val="00FB3BAD"/>
    <w:rsid w:val="00FB4CE8"/>
    <w:rsid w:val="00FB5402"/>
    <w:rsid w:val="00FB630F"/>
    <w:rsid w:val="00FB6471"/>
    <w:rsid w:val="00FB6D75"/>
    <w:rsid w:val="00FB6D7F"/>
    <w:rsid w:val="00FB6E08"/>
    <w:rsid w:val="00FB710D"/>
    <w:rsid w:val="00FB71C8"/>
    <w:rsid w:val="00FB7510"/>
    <w:rsid w:val="00FB784E"/>
    <w:rsid w:val="00FC0D51"/>
    <w:rsid w:val="00FC134B"/>
    <w:rsid w:val="00FC15FE"/>
    <w:rsid w:val="00FC1929"/>
    <w:rsid w:val="00FC1BAD"/>
    <w:rsid w:val="00FC2704"/>
    <w:rsid w:val="00FC3168"/>
    <w:rsid w:val="00FC3590"/>
    <w:rsid w:val="00FC3755"/>
    <w:rsid w:val="00FC3D51"/>
    <w:rsid w:val="00FC3E1C"/>
    <w:rsid w:val="00FC4121"/>
    <w:rsid w:val="00FC4422"/>
    <w:rsid w:val="00FC4492"/>
    <w:rsid w:val="00FC4868"/>
    <w:rsid w:val="00FC49EA"/>
    <w:rsid w:val="00FC580D"/>
    <w:rsid w:val="00FC587D"/>
    <w:rsid w:val="00FC5A54"/>
    <w:rsid w:val="00FC5ACD"/>
    <w:rsid w:val="00FC610C"/>
    <w:rsid w:val="00FC616E"/>
    <w:rsid w:val="00FC63EB"/>
    <w:rsid w:val="00FC65B6"/>
    <w:rsid w:val="00FC6CED"/>
    <w:rsid w:val="00FC7385"/>
    <w:rsid w:val="00FC7757"/>
    <w:rsid w:val="00FC7EED"/>
    <w:rsid w:val="00FD06D0"/>
    <w:rsid w:val="00FD06D5"/>
    <w:rsid w:val="00FD13CB"/>
    <w:rsid w:val="00FD1BC5"/>
    <w:rsid w:val="00FD1C13"/>
    <w:rsid w:val="00FD20B8"/>
    <w:rsid w:val="00FD21D2"/>
    <w:rsid w:val="00FD29B5"/>
    <w:rsid w:val="00FD332C"/>
    <w:rsid w:val="00FD3EA4"/>
    <w:rsid w:val="00FD3F9F"/>
    <w:rsid w:val="00FD44F0"/>
    <w:rsid w:val="00FD46C6"/>
    <w:rsid w:val="00FD4A40"/>
    <w:rsid w:val="00FD52EC"/>
    <w:rsid w:val="00FD59B5"/>
    <w:rsid w:val="00FD5E55"/>
    <w:rsid w:val="00FD60A0"/>
    <w:rsid w:val="00FD62E7"/>
    <w:rsid w:val="00FD6519"/>
    <w:rsid w:val="00FD6BFD"/>
    <w:rsid w:val="00FD6E90"/>
    <w:rsid w:val="00FD6F0F"/>
    <w:rsid w:val="00FD7340"/>
    <w:rsid w:val="00FD7400"/>
    <w:rsid w:val="00FD76B9"/>
    <w:rsid w:val="00FE0F01"/>
    <w:rsid w:val="00FE153E"/>
    <w:rsid w:val="00FE158E"/>
    <w:rsid w:val="00FE176A"/>
    <w:rsid w:val="00FE1809"/>
    <w:rsid w:val="00FE194E"/>
    <w:rsid w:val="00FE1AA1"/>
    <w:rsid w:val="00FE1AFE"/>
    <w:rsid w:val="00FE23ED"/>
    <w:rsid w:val="00FE2EB8"/>
    <w:rsid w:val="00FE31DA"/>
    <w:rsid w:val="00FE33E8"/>
    <w:rsid w:val="00FE345C"/>
    <w:rsid w:val="00FE34D9"/>
    <w:rsid w:val="00FE3768"/>
    <w:rsid w:val="00FE3A18"/>
    <w:rsid w:val="00FE43F8"/>
    <w:rsid w:val="00FE447A"/>
    <w:rsid w:val="00FE4699"/>
    <w:rsid w:val="00FE47F8"/>
    <w:rsid w:val="00FE5ACD"/>
    <w:rsid w:val="00FE5C6C"/>
    <w:rsid w:val="00FE5DFF"/>
    <w:rsid w:val="00FE657D"/>
    <w:rsid w:val="00FE68DC"/>
    <w:rsid w:val="00FE6BC8"/>
    <w:rsid w:val="00FE71F1"/>
    <w:rsid w:val="00FE7A27"/>
    <w:rsid w:val="00FF03B3"/>
    <w:rsid w:val="00FF0489"/>
    <w:rsid w:val="00FF0A60"/>
    <w:rsid w:val="00FF162B"/>
    <w:rsid w:val="00FF21A6"/>
    <w:rsid w:val="00FF28C7"/>
    <w:rsid w:val="00FF2A5B"/>
    <w:rsid w:val="00FF34A7"/>
    <w:rsid w:val="00FF38A8"/>
    <w:rsid w:val="00FF38F6"/>
    <w:rsid w:val="00FF4B35"/>
    <w:rsid w:val="00FF4F48"/>
    <w:rsid w:val="00FF6158"/>
    <w:rsid w:val="00FF6574"/>
    <w:rsid w:val="00FF65F7"/>
    <w:rsid w:val="00FF676F"/>
    <w:rsid w:val="00FF6975"/>
    <w:rsid w:val="00FF6E7E"/>
    <w:rsid w:val="00FF6FAF"/>
    <w:rsid w:val="00FF766B"/>
    <w:rsid w:val="00FF7844"/>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3188D6F-732E-460F-8779-8E219A4D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it-IT"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D08"/>
    <w:rPr>
      <w:sz w:val="24"/>
      <w:szCs w:val="24"/>
    </w:rPr>
  </w:style>
  <w:style w:type="paragraph" w:styleId="Heading1">
    <w:name w:val="heading 1"/>
    <w:basedOn w:val="Normal"/>
    <w:next w:val="Normal"/>
    <w:link w:val="Heading1Char"/>
    <w:qFormat/>
    <w:rsid w:val="00F777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C69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62C74"/>
    <w:pPr>
      <w:keepNext/>
      <w:numPr>
        <w:ilvl w:val="2"/>
        <w:numId w:val="1"/>
      </w:numPr>
      <w:spacing w:before="480"/>
      <w:outlineLvl w:val="2"/>
    </w:pPr>
    <w:rPr>
      <w:rFonts w:ascii="Garamond" w:hAnsi="Garamond"/>
      <w:b/>
      <w:i/>
      <w:sz w:val="22"/>
    </w:rPr>
  </w:style>
  <w:style w:type="paragraph" w:styleId="Heading4">
    <w:name w:val="heading 4"/>
    <w:basedOn w:val="Normal"/>
    <w:next w:val="Normal"/>
    <w:link w:val="Heading4Char"/>
    <w:qFormat/>
    <w:rsid w:val="00F77739"/>
    <w:pPr>
      <w:keepNext/>
      <w:spacing w:before="240" w:after="60"/>
      <w:outlineLvl w:val="3"/>
    </w:pPr>
    <w:rPr>
      <w:b/>
      <w:bCs/>
      <w:sz w:val="28"/>
      <w:szCs w:val="28"/>
    </w:rPr>
  </w:style>
  <w:style w:type="paragraph" w:styleId="Heading5">
    <w:name w:val="heading 5"/>
    <w:basedOn w:val="Normal"/>
    <w:next w:val="Normal"/>
    <w:link w:val="Heading5Char"/>
    <w:qFormat/>
    <w:rsid w:val="006771EC"/>
    <w:pPr>
      <w:spacing w:before="240" w:after="60"/>
      <w:outlineLvl w:val="4"/>
    </w:pPr>
    <w:rPr>
      <w:b/>
      <w:bCs/>
      <w:i/>
      <w:iCs/>
      <w:sz w:val="26"/>
      <w:szCs w:val="26"/>
    </w:rPr>
  </w:style>
  <w:style w:type="paragraph" w:styleId="Heading6">
    <w:name w:val="heading 6"/>
    <w:basedOn w:val="Normal"/>
    <w:next w:val="Normal"/>
    <w:link w:val="Heading6Char"/>
    <w:qFormat/>
    <w:rsid w:val="008E795A"/>
    <w:pPr>
      <w:spacing w:before="240" w:after="60"/>
      <w:outlineLvl w:val="5"/>
    </w:pPr>
    <w:rPr>
      <w:b/>
      <w:bCs/>
      <w:sz w:val="22"/>
      <w:szCs w:val="22"/>
    </w:rPr>
  </w:style>
  <w:style w:type="paragraph" w:styleId="Heading8">
    <w:name w:val="heading 8"/>
    <w:basedOn w:val="Normal"/>
    <w:next w:val="Normal"/>
    <w:link w:val="Heading8Char"/>
    <w:uiPriority w:val="99"/>
    <w:qFormat/>
    <w:rsid w:val="00E9350C"/>
    <w:pPr>
      <w:spacing w:before="240" w:after="60"/>
      <w:outlineLvl w:val="7"/>
    </w:pPr>
    <w:rPr>
      <w:i/>
      <w:iCs/>
    </w:rPr>
  </w:style>
  <w:style w:type="paragraph" w:styleId="Heading9">
    <w:name w:val="heading 9"/>
    <w:basedOn w:val="Normal"/>
    <w:next w:val="Normal"/>
    <w:link w:val="Heading9Char"/>
    <w:uiPriority w:val="99"/>
    <w:qFormat/>
    <w:rsid w:val="006771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9100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4B0018"/>
    <w:rPr>
      <w:rFonts w:ascii="Arial" w:hAnsi="Arial" w:cs="Arial"/>
      <w:b/>
      <w:bCs/>
      <w:i/>
      <w:iCs/>
      <w:sz w:val="28"/>
      <w:szCs w:val="28"/>
    </w:rPr>
  </w:style>
  <w:style w:type="character" w:customStyle="1" w:styleId="Heading3Char">
    <w:name w:val="Heading 3 Char"/>
    <w:basedOn w:val="DefaultParagraphFont"/>
    <w:link w:val="Heading3"/>
    <w:locked/>
    <w:rsid w:val="001D447F"/>
    <w:rPr>
      <w:rFonts w:ascii="Garamond" w:hAnsi="Garamond"/>
      <w:b/>
      <w:i/>
      <w:szCs w:val="24"/>
    </w:rPr>
  </w:style>
  <w:style w:type="character" w:customStyle="1" w:styleId="Heading4Char">
    <w:name w:val="Heading 4 Char"/>
    <w:basedOn w:val="DefaultParagraphFont"/>
    <w:link w:val="Heading4"/>
    <w:locked/>
    <w:rsid w:val="0019100C"/>
    <w:rPr>
      <w:rFonts w:ascii="Calibri" w:hAnsi="Calibri" w:cs="Times New Roman"/>
      <w:b/>
      <w:bCs/>
      <w:sz w:val="28"/>
      <w:szCs w:val="28"/>
    </w:rPr>
  </w:style>
  <w:style w:type="character" w:customStyle="1" w:styleId="Heading5Char">
    <w:name w:val="Heading 5 Char"/>
    <w:basedOn w:val="DefaultParagraphFont"/>
    <w:link w:val="Heading5"/>
    <w:locked/>
    <w:rsid w:val="001E0E40"/>
    <w:rPr>
      <w:rFonts w:cs="Times New Roman"/>
      <w:b/>
      <w:bCs/>
      <w:i/>
      <w:iCs/>
      <w:sz w:val="26"/>
      <w:szCs w:val="26"/>
    </w:rPr>
  </w:style>
  <w:style w:type="character" w:customStyle="1" w:styleId="Heading6Char">
    <w:name w:val="Heading 6 Char"/>
    <w:basedOn w:val="DefaultParagraphFont"/>
    <w:link w:val="Heading6"/>
    <w:locked/>
    <w:rsid w:val="0019100C"/>
    <w:rPr>
      <w:rFonts w:ascii="Calibri" w:hAnsi="Calibri" w:cs="Times New Roman"/>
      <w:b/>
      <w:bCs/>
    </w:rPr>
  </w:style>
  <w:style w:type="character" w:customStyle="1" w:styleId="Heading8Char">
    <w:name w:val="Heading 8 Char"/>
    <w:basedOn w:val="DefaultParagraphFont"/>
    <w:link w:val="Heading8"/>
    <w:uiPriority w:val="99"/>
    <w:semiHidden/>
    <w:locked/>
    <w:rsid w:val="0019100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9100C"/>
    <w:rPr>
      <w:rFonts w:ascii="Cambria" w:hAnsi="Cambria" w:cs="Times New Roman"/>
    </w:rPr>
  </w:style>
  <w:style w:type="paragraph" w:styleId="Footer">
    <w:name w:val="footer"/>
    <w:basedOn w:val="Normal"/>
    <w:link w:val="FooterChar"/>
    <w:rsid w:val="0031570D"/>
    <w:pPr>
      <w:tabs>
        <w:tab w:val="center" w:pos="4819"/>
        <w:tab w:val="right" w:pos="9638"/>
      </w:tabs>
    </w:pPr>
  </w:style>
  <w:style w:type="character" w:customStyle="1" w:styleId="FooterChar">
    <w:name w:val="Footer Char"/>
    <w:basedOn w:val="DefaultParagraphFont"/>
    <w:link w:val="Footer"/>
    <w:locked/>
    <w:rsid w:val="0019100C"/>
    <w:rPr>
      <w:rFonts w:cs="Times New Roman"/>
      <w:sz w:val="24"/>
      <w:szCs w:val="24"/>
    </w:rPr>
  </w:style>
  <w:style w:type="table" w:styleId="TableGrid">
    <w:name w:val="Table Grid"/>
    <w:basedOn w:val="TableNormal"/>
    <w:uiPriority w:val="39"/>
    <w:rsid w:val="00313A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9350C"/>
    <w:rPr>
      <w:rFonts w:ascii="Garamond" w:hAnsi="Garamond"/>
      <w:i/>
      <w:iCs/>
    </w:rPr>
  </w:style>
  <w:style w:type="character" w:customStyle="1" w:styleId="BodyText2Char">
    <w:name w:val="Body Text 2 Char"/>
    <w:basedOn w:val="DefaultParagraphFont"/>
    <w:link w:val="BodyText2"/>
    <w:locked/>
    <w:rsid w:val="0019100C"/>
    <w:rPr>
      <w:rFonts w:cs="Times New Roman"/>
      <w:sz w:val="24"/>
      <w:szCs w:val="24"/>
    </w:rPr>
  </w:style>
  <w:style w:type="paragraph" w:styleId="BodyText">
    <w:name w:val="Body Text"/>
    <w:basedOn w:val="Normal"/>
    <w:link w:val="BodyTextChar"/>
    <w:rsid w:val="003A321B"/>
  </w:style>
  <w:style w:type="character" w:customStyle="1" w:styleId="BodyTextChar">
    <w:name w:val="Body Text Char"/>
    <w:basedOn w:val="DefaultParagraphFont"/>
    <w:link w:val="BodyText"/>
    <w:locked/>
    <w:rsid w:val="001E0E40"/>
    <w:rPr>
      <w:rFonts w:cs="Times New Roman"/>
      <w:sz w:val="24"/>
      <w:szCs w:val="24"/>
    </w:rPr>
  </w:style>
  <w:style w:type="paragraph" w:styleId="BodyText3">
    <w:name w:val="Body Text 3"/>
    <w:basedOn w:val="Normal"/>
    <w:link w:val="BodyText3Char"/>
    <w:uiPriority w:val="99"/>
    <w:rsid w:val="006771EC"/>
    <w:rPr>
      <w:sz w:val="16"/>
      <w:szCs w:val="16"/>
    </w:rPr>
  </w:style>
  <w:style w:type="character" w:customStyle="1" w:styleId="BodyText3Char">
    <w:name w:val="Body Text 3 Char"/>
    <w:basedOn w:val="DefaultParagraphFont"/>
    <w:link w:val="BodyText3"/>
    <w:uiPriority w:val="99"/>
    <w:semiHidden/>
    <w:locked/>
    <w:rsid w:val="0019100C"/>
    <w:rPr>
      <w:rFonts w:cs="Times New Roman"/>
      <w:sz w:val="16"/>
      <w:szCs w:val="16"/>
    </w:rPr>
  </w:style>
  <w:style w:type="paragraph" w:styleId="BodyTextIndent">
    <w:name w:val="Body Text Indent"/>
    <w:basedOn w:val="Normal"/>
    <w:link w:val="BodyTextIndentChar"/>
    <w:rsid w:val="006771EC"/>
    <w:pPr>
      <w:ind w:left="283"/>
    </w:pPr>
  </w:style>
  <w:style w:type="character" w:customStyle="1" w:styleId="BodyTextIndentChar">
    <w:name w:val="Body Text Indent Char"/>
    <w:basedOn w:val="DefaultParagraphFont"/>
    <w:link w:val="BodyTextIndent"/>
    <w:locked/>
    <w:rsid w:val="00315B51"/>
    <w:rPr>
      <w:rFonts w:cs="Times New Roman"/>
      <w:sz w:val="24"/>
      <w:szCs w:val="24"/>
    </w:rPr>
  </w:style>
  <w:style w:type="paragraph" w:styleId="Header">
    <w:name w:val="header"/>
    <w:basedOn w:val="Normal"/>
    <w:link w:val="HeaderChar"/>
    <w:rsid w:val="0050641F"/>
    <w:pPr>
      <w:tabs>
        <w:tab w:val="center" w:pos="4819"/>
        <w:tab w:val="right" w:pos="9638"/>
      </w:tabs>
    </w:pPr>
    <w:rPr>
      <w:sz w:val="20"/>
      <w:szCs w:val="20"/>
    </w:rPr>
  </w:style>
  <w:style w:type="character" w:customStyle="1" w:styleId="HeaderChar">
    <w:name w:val="Header Char"/>
    <w:basedOn w:val="DefaultParagraphFont"/>
    <w:link w:val="Header"/>
    <w:locked/>
    <w:rsid w:val="0019100C"/>
    <w:rPr>
      <w:rFonts w:cs="Times New Roman"/>
      <w:sz w:val="24"/>
      <w:szCs w:val="24"/>
    </w:rPr>
  </w:style>
  <w:style w:type="character" w:styleId="PageNumber">
    <w:name w:val="page number"/>
    <w:basedOn w:val="DefaultParagraphFont"/>
    <w:rsid w:val="001A005E"/>
    <w:rPr>
      <w:rFonts w:cs="Times New Roman"/>
    </w:rPr>
  </w:style>
  <w:style w:type="paragraph" w:styleId="Caption">
    <w:name w:val="caption"/>
    <w:basedOn w:val="Normal"/>
    <w:next w:val="Normal"/>
    <w:qFormat/>
    <w:rsid w:val="009C4622"/>
    <w:pPr>
      <w:spacing w:before="120"/>
    </w:pPr>
    <w:rPr>
      <w:rFonts w:ascii="Garamond" w:hAnsi="Garamond"/>
      <w:b/>
      <w:bCs/>
      <w:sz w:val="20"/>
      <w:szCs w:val="20"/>
    </w:rPr>
  </w:style>
  <w:style w:type="character" w:styleId="Hyperlink">
    <w:name w:val="Hyperlink"/>
    <w:basedOn w:val="DefaultParagraphFont"/>
    <w:uiPriority w:val="99"/>
    <w:rsid w:val="0018549E"/>
    <w:rPr>
      <w:rFonts w:cs="Times New Roman"/>
      <w:color w:val="0000FF"/>
      <w:u w:val="single"/>
    </w:rPr>
  </w:style>
  <w:style w:type="character" w:customStyle="1" w:styleId="h1blue">
    <w:name w:val="h1 blue"/>
    <w:basedOn w:val="DefaultParagraphFont"/>
    <w:uiPriority w:val="99"/>
    <w:rsid w:val="00315A32"/>
    <w:rPr>
      <w:rFonts w:cs="Times New Roman"/>
    </w:rPr>
  </w:style>
  <w:style w:type="character" w:styleId="FootnoteReference">
    <w:name w:val="footnote reference"/>
    <w:basedOn w:val="DefaultParagraphFont"/>
    <w:uiPriority w:val="99"/>
    <w:semiHidden/>
    <w:rsid w:val="006F2DE5"/>
    <w:rPr>
      <w:rFonts w:cs="Times New Roman"/>
      <w:vertAlign w:val="superscript"/>
    </w:rPr>
  </w:style>
  <w:style w:type="paragraph" w:styleId="FootnoteText">
    <w:name w:val="footnote text"/>
    <w:basedOn w:val="Normal"/>
    <w:link w:val="FootnoteTextChar"/>
    <w:uiPriority w:val="99"/>
    <w:semiHidden/>
    <w:rsid w:val="006F2DE5"/>
    <w:rPr>
      <w:rFonts w:ascii="Garamond" w:hAnsi="Garamond"/>
      <w:sz w:val="20"/>
      <w:szCs w:val="20"/>
    </w:rPr>
  </w:style>
  <w:style w:type="character" w:customStyle="1" w:styleId="FootnoteTextChar">
    <w:name w:val="Footnote Text Char"/>
    <w:basedOn w:val="DefaultParagraphFont"/>
    <w:link w:val="FootnoteText"/>
    <w:uiPriority w:val="99"/>
    <w:semiHidden/>
    <w:locked/>
    <w:rsid w:val="0019100C"/>
    <w:rPr>
      <w:rFonts w:cs="Times New Roman"/>
      <w:sz w:val="20"/>
      <w:szCs w:val="20"/>
    </w:rPr>
  </w:style>
  <w:style w:type="paragraph" w:styleId="NormalWeb">
    <w:name w:val="Normal (Web)"/>
    <w:basedOn w:val="Normal"/>
    <w:uiPriority w:val="99"/>
    <w:rsid w:val="00F12F82"/>
    <w:pPr>
      <w:spacing w:before="100" w:beforeAutospacing="1" w:after="100" w:afterAutospacing="1"/>
    </w:pPr>
  </w:style>
  <w:style w:type="paragraph" w:customStyle="1" w:styleId="Default">
    <w:name w:val="Default"/>
    <w:rsid w:val="00F34250"/>
    <w:pPr>
      <w:widowControl w:val="0"/>
      <w:autoSpaceDE w:val="0"/>
      <w:autoSpaceDN w:val="0"/>
      <w:adjustRightInd w:val="0"/>
    </w:pPr>
    <w:rPr>
      <w:rFonts w:ascii="Garamond" w:hAnsi="Garamond" w:cs="Garamond"/>
      <w:color w:val="000000"/>
      <w:sz w:val="24"/>
      <w:szCs w:val="24"/>
    </w:rPr>
  </w:style>
  <w:style w:type="paragraph" w:customStyle="1" w:styleId="CM41">
    <w:name w:val="CM41"/>
    <w:basedOn w:val="Default"/>
    <w:next w:val="Default"/>
    <w:uiPriority w:val="99"/>
    <w:rsid w:val="00F34250"/>
    <w:pPr>
      <w:spacing w:after="328"/>
    </w:pPr>
    <w:rPr>
      <w:rFonts w:cs="Times New Roman"/>
      <w:color w:val="auto"/>
    </w:rPr>
  </w:style>
  <w:style w:type="character" w:styleId="FollowedHyperlink">
    <w:name w:val="FollowedHyperlink"/>
    <w:basedOn w:val="DefaultParagraphFont"/>
    <w:uiPriority w:val="99"/>
    <w:rsid w:val="00AA3502"/>
    <w:rPr>
      <w:rFonts w:cs="Times New Roman"/>
      <w:color w:val="800080"/>
      <w:u w:val="single"/>
    </w:rPr>
  </w:style>
  <w:style w:type="paragraph" w:styleId="BalloonText">
    <w:name w:val="Balloon Text"/>
    <w:basedOn w:val="Normal"/>
    <w:link w:val="BalloonTextChar"/>
    <w:rsid w:val="003D0FA1"/>
    <w:rPr>
      <w:rFonts w:ascii="Tahoma" w:hAnsi="Tahoma" w:cs="Tahoma"/>
      <w:sz w:val="16"/>
      <w:szCs w:val="16"/>
    </w:rPr>
  </w:style>
  <w:style w:type="character" w:customStyle="1" w:styleId="BalloonTextChar">
    <w:name w:val="Balloon Text Char"/>
    <w:basedOn w:val="DefaultParagraphFont"/>
    <w:link w:val="BalloonText"/>
    <w:locked/>
    <w:rsid w:val="0019100C"/>
    <w:rPr>
      <w:rFonts w:cs="Times New Roman"/>
      <w:sz w:val="2"/>
    </w:rPr>
  </w:style>
  <w:style w:type="paragraph" w:styleId="BodyTextIndent2">
    <w:name w:val="Body Text Indent 2"/>
    <w:basedOn w:val="Normal"/>
    <w:link w:val="BodyTextIndent2Char"/>
    <w:uiPriority w:val="99"/>
    <w:rsid w:val="005323CB"/>
    <w:pPr>
      <w:spacing w:line="480" w:lineRule="auto"/>
      <w:ind w:left="283"/>
    </w:pPr>
  </w:style>
  <w:style w:type="character" w:customStyle="1" w:styleId="BodyTextIndent2Char">
    <w:name w:val="Body Text Indent 2 Char"/>
    <w:basedOn w:val="DefaultParagraphFont"/>
    <w:link w:val="BodyTextIndent2"/>
    <w:uiPriority w:val="99"/>
    <w:locked/>
    <w:rsid w:val="0019100C"/>
    <w:rPr>
      <w:rFonts w:cs="Times New Roman"/>
      <w:sz w:val="24"/>
      <w:szCs w:val="24"/>
    </w:rPr>
  </w:style>
  <w:style w:type="paragraph" w:customStyle="1" w:styleId="StandardText">
    <w:name w:val="Standard Text"/>
    <w:basedOn w:val="Normal"/>
    <w:rsid w:val="006F3A2E"/>
    <w:pPr>
      <w:spacing w:after="240" w:line="240" w:lineRule="exact"/>
    </w:pPr>
    <w:rPr>
      <w:lang w:eastAsia="fr-FR"/>
    </w:rPr>
  </w:style>
  <w:style w:type="paragraph" w:styleId="BodyTextIndent3">
    <w:name w:val="Body Text Indent 3"/>
    <w:basedOn w:val="Normal"/>
    <w:link w:val="BodyTextIndent3Char"/>
    <w:rsid w:val="00151657"/>
    <w:pPr>
      <w:ind w:left="283"/>
    </w:pPr>
    <w:rPr>
      <w:sz w:val="16"/>
      <w:szCs w:val="16"/>
    </w:rPr>
  </w:style>
  <w:style w:type="character" w:customStyle="1" w:styleId="BodyTextIndent3Char">
    <w:name w:val="Body Text Indent 3 Char"/>
    <w:basedOn w:val="DefaultParagraphFont"/>
    <w:link w:val="BodyTextIndent3"/>
    <w:locked/>
    <w:rsid w:val="0019100C"/>
    <w:rPr>
      <w:rFonts w:cs="Times New Roman"/>
      <w:sz w:val="16"/>
      <w:szCs w:val="16"/>
    </w:rPr>
  </w:style>
  <w:style w:type="character" w:customStyle="1" w:styleId="Carpredefinitoparagrafo2">
    <w:name w:val="Car. predefinito paragrafo2"/>
    <w:rsid w:val="00D56686"/>
  </w:style>
  <w:style w:type="paragraph" w:styleId="DocumentMap">
    <w:name w:val="Document Map"/>
    <w:basedOn w:val="Normal"/>
    <w:link w:val="DocumentMapChar"/>
    <w:rsid w:val="001A50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locked/>
    <w:rsid w:val="0019100C"/>
    <w:rPr>
      <w:rFonts w:cs="Times New Roman"/>
      <w:sz w:val="2"/>
    </w:rPr>
  </w:style>
  <w:style w:type="paragraph" w:styleId="ListParagraph">
    <w:name w:val="List Paragraph"/>
    <w:basedOn w:val="Normal"/>
    <w:link w:val="ListParagraphChar"/>
    <w:uiPriority w:val="34"/>
    <w:qFormat/>
    <w:rsid w:val="007752C9"/>
    <w:pPr>
      <w:spacing w:after="200" w:line="276" w:lineRule="auto"/>
      <w:ind w:left="720"/>
      <w:contextualSpacing/>
    </w:pPr>
    <w:rPr>
      <w:rFonts w:ascii="Calibri" w:hAnsi="Calibri"/>
      <w:sz w:val="22"/>
      <w:szCs w:val="22"/>
    </w:rPr>
  </w:style>
  <w:style w:type="paragraph" w:customStyle="1" w:styleId="Normale11pt">
    <w:name w:val="Normale + 11 pt"/>
    <w:basedOn w:val="Normal"/>
    <w:rsid w:val="00BD5432"/>
    <w:pPr>
      <w:widowControl w:val="0"/>
      <w:suppressAutoHyphens/>
      <w:autoSpaceDE w:val="0"/>
      <w:ind w:left="-900" w:firstLine="1080"/>
    </w:pPr>
    <w:rPr>
      <w:sz w:val="22"/>
      <w:szCs w:val="22"/>
      <w:lang w:eastAsia="ar-SA"/>
    </w:rPr>
  </w:style>
  <w:style w:type="paragraph" w:customStyle="1" w:styleId="provvestremo">
    <w:name w:val="provv_estremo"/>
    <w:basedOn w:val="Normal"/>
    <w:uiPriority w:val="99"/>
    <w:rsid w:val="00B16E08"/>
    <w:pPr>
      <w:spacing w:before="100" w:beforeAutospacing="1" w:after="100" w:afterAutospacing="1"/>
    </w:pPr>
  </w:style>
  <w:style w:type="paragraph" w:styleId="ListBullet5">
    <w:name w:val="List Bullet 5"/>
    <w:basedOn w:val="Normal"/>
    <w:uiPriority w:val="99"/>
    <w:rsid w:val="00971CD0"/>
    <w:pPr>
      <w:numPr>
        <w:numId w:val="2"/>
      </w:numPr>
      <w:spacing w:before="120"/>
    </w:pPr>
  </w:style>
  <w:style w:type="paragraph" w:customStyle="1" w:styleId="CM4">
    <w:name w:val="CM4"/>
    <w:basedOn w:val="Default"/>
    <w:next w:val="Default"/>
    <w:rsid w:val="00C87F07"/>
    <w:pPr>
      <w:widowControl/>
    </w:pPr>
    <w:rPr>
      <w:rFonts w:ascii="EUAlbertina" w:hAnsi="EUAlbertina" w:cs="Times New Roman"/>
      <w:color w:val="auto"/>
    </w:rPr>
  </w:style>
  <w:style w:type="paragraph" w:customStyle="1" w:styleId="Stile">
    <w:name w:val="Stile"/>
    <w:uiPriority w:val="99"/>
    <w:rsid w:val="00FA34DC"/>
    <w:rPr>
      <w:rFonts w:ascii="Century Gothic" w:hAnsi="Century Gothic"/>
      <w:b/>
      <w:sz w:val="24"/>
      <w:szCs w:val="20"/>
    </w:rPr>
  </w:style>
  <w:style w:type="character" w:styleId="Strong">
    <w:name w:val="Strong"/>
    <w:basedOn w:val="DefaultParagraphFont"/>
    <w:uiPriority w:val="22"/>
    <w:qFormat/>
    <w:locked/>
    <w:rsid w:val="00FA34DC"/>
    <w:rPr>
      <w:rFonts w:cs="Times New Roman"/>
      <w:b/>
      <w:bCs/>
    </w:rPr>
  </w:style>
  <w:style w:type="character" w:customStyle="1" w:styleId="estremosel">
    <w:name w:val="estremosel"/>
    <w:basedOn w:val="DefaultParagraphFont"/>
    <w:uiPriority w:val="99"/>
    <w:rsid w:val="007652B9"/>
    <w:rPr>
      <w:rFonts w:cs="Times New Roman"/>
    </w:rPr>
  </w:style>
  <w:style w:type="character" w:customStyle="1" w:styleId="hps">
    <w:name w:val="hps"/>
    <w:basedOn w:val="DefaultParagraphFont"/>
    <w:rsid w:val="00651540"/>
  </w:style>
  <w:style w:type="character" w:customStyle="1" w:styleId="WW8Num12z1">
    <w:name w:val="WW8Num12z1"/>
    <w:rsid w:val="009E51F1"/>
    <w:rPr>
      <w:rFonts w:ascii="Courier New" w:hAnsi="Courier New" w:cs="Courier New"/>
    </w:rPr>
  </w:style>
  <w:style w:type="character" w:styleId="CommentReference">
    <w:name w:val="annotation reference"/>
    <w:uiPriority w:val="99"/>
    <w:locked/>
    <w:rsid w:val="00530FD9"/>
    <w:rPr>
      <w:sz w:val="16"/>
      <w:szCs w:val="16"/>
    </w:rPr>
  </w:style>
  <w:style w:type="paragraph" w:styleId="CommentText">
    <w:name w:val="annotation text"/>
    <w:basedOn w:val="Normal"/>
    <w:link w:val="CommentTextChar"/>
    <w:uiPriority w:val="99"/>
    <w:locked/>
    <w:rsid w:val="00530FD9"/>
    <w:pPr>
      <w:suppressAutoHyphens/>
    </w:pPr>
    <w:rPr>
      <w:sz w:val="20"/>
      <w:szCs w:val="20"/>
      <w:lang w:eastAsia="ar-SA"/>
    </w:rPr>
  </w:style>
  <w:style w:type="character" w:customStyle="1" w:styleId="CommentTextChar">
    <w:name w:val="Comment Text Char"/>
    <w:basedOn w:val="DefaultParagraphFont"/>
    <w:link w:val="CommentText"/>
    <w:uiPriority w:val="99"/>
    <w:rsid w:val="00530FD9"/>
    <w:rPr>
      <w:sz w:val="20"/>
      <w:szCs w:val="20"/>
      <w:lang w:val="en-GB" w:eastAsia="ar-SA"/>
    </w:rPr>
  </w:style>
  <w:style w:type="paragraph" w:customStyle="1" w:styleId="special">
    <w:name w:val="special"/>
    <w:basedOn w:val="Normal"/>
    <w:rsid w:val="00D1042B"/>
    <w:pPr>
      <w:spacing w:before="100" w:beforeAutospacing="1" w:after="100" w:afterAutospacing="1"/>
    </w:pPr>
  </w:style>
  <w:style w:type="character" w:customStyle="1" w:styleId="riferimento">
    <w:name w:val="riferimento"/>
    <w:basedOn w:val="DefaultParagraphFont"/>
    <w:rsid w:val="00D1042B"/>
  </w:style>
  <w:style w:type="paragraph" w:customStyle="1" w:styleId="Text1">
    <w:name w:val="Text 1"/>
    <w:basedOn w:val="Normal"/>
    <w:rsid w:val="00831AFA"/>
    <w:pPr>
      <w:suppressAutoHyphens/>
      <w:spacing w:after="240"/>
      <w:ind w:left="482"/>
    </w:pPr>
    <w:rPr>
      <w:szCs w:val="20"/>
      <w:lang w:eastAsia="ar-SA"/>
    </w:rPr>
  </w:style>
  <w:style w:type="character" w:customStyle="1" w:styleId="WW8Num2z0">
    <w:name w:val="WW8Num2z0"/>
    <w:rsid w:val="00B80B31"/>
    <w:rPr>
      <w:rFonts w:ascii="Symbol" w:hAnsi="Symbol" w:cs="Symbol"/>
    </w:rPr>
  </w:style>
  <w:style w:type="character" w:customStyle="1" w:styleId="WW8Num3z0">
    <w:name w:val="WW8Num3z0"/>
    <w:rsid w:val="00B80B31"/>
    <w:rPr>
      <w:rFonts w:ascii="Wingdings 2" w:hAnsi="Wingdings 2" w:cs="OpenSymbol"/>
    </w:rPr>
  </w:style>
  <w:style w:type="character" w:customStyle="1" w:styleId="WW8Num3z1">
    <w:name w:val="WW8Num3z1"/>
    <w:rsid w:val="00B80B31"/>
    <w:rPr>
      <w:rFonts w:ascii="OpenSymbol" w:hAnsi="OpenSymbol" w:cs="OpenSymbol"/>
    </w:rPr>
  </w:style>
  <w:style w:type="character" w:customStyle="1" w:styleId="WW8Num5z0">
    <w:name w:val="WW8Num5z0"/>
    <w:rsid w:val="00B80B31"/>
    <w:rPr>
      <w:rFonts w:ascii="Symbol" w:hAnsi="Symbol" w:cs="Symbol"/>
    </w:rPr>
  </w:style>
  <w:style w:type="character" w:customStyle="1" w:styleId="WW8Num6z0">
    <w:name w:val="WW8Num6z0"/>
    <w:rsid w:val="00B80B31"/>
    <w:rPr>
      <w:rFonts w:ascii="Symbol" w:hAnsi="Symbol" w:cs="Symbol"/>
    </w:rPr>
  </w:style>
  <w:style w:type="character" w:customStyle="1" w:styleId="WW8Num7z0">
    <w:name w:val="WW8Num7z0"/>
    <w:rsid w:val="00B80B31"/>
    <w:rPr>
      <w:rFonts w:ascii="Symbol" w:hAnsi="Symbol" w:cs="Symbol"/>
    </w:rPr>
  </w:style>
  <w:style w:type="character" w:customStyle="1" w:styleId="WW8Num8z0">
    <w:name w:val="WW8Num8z0"/>
    <w:rsid w:val="00B80B31"/>
    <w:rPr>
      <w:rFonts w:ascii="Symbol" w:hAnsi="Symbol" w:cs="Symbol"/>
    </w:rPr>
  </w:style>
  <w:style w:type="character" w:customStyle="1" w:styleId="WW8Num10z0">
    <w:name w:val="WW8Num10z0"/>
    <w:rsid w:val="00B80B31"/>
    <w:rPr>
      <w:rFonts w:ascii="Symbol" w:hAnsi="Symbol" w:cs="Symbol"/>
    </w:rPr>
  </w:style>
  <w:style w:type="character" w:customStyle="1" w:styleId="WW8Num11z0">
    <w:name w:val="WW8Num11z0"/>
    <w:rsid w:val="00B80B31"/>
    <w:rPr>
      <w:rFonts w:ascii="Symbol" w:hAnsi="Symbol" w:cs="Symbol"/>
      <w:sz w:val="20"/>
    </w:rPr>
  </w:style>
  <w:style w:type="character" w:customStyle="1" w:styleId="WW8Num11z1">
    <w:name w:val="WW8Num11z1"/>
    <w:rsid w:val="00B80B31"/>
    <w:rPr>
      <w:rFonts w:ascii="Courier New" w:hAnsi="Courier New" w:cs="Courier New"/>
      <w:sz w:val="20"/>
    </w:rPr>
  </w:style>
  <w:style w:type="character" w:customStyle="1" w:styleId="WW8Num11z2">
    <w:name w:val="WW8Num11z2"/>
    <w:rsid w:val="00B80B31"/>
    <w:rPr>
      <w:rFonts w:ascii="Wingdings" w:hAnsi="Wingdings" w:cs="Wingdings"/>
      <w:sz w:val="20"/>
    </w:rPr>
  </w:style>
  <w:style w:type="character" w:customStyle="1" w:styleId="WW8Num12z0">
    <w:name w:val="WW8Num12z0"/>
    <w:rsid w:val="00B80B31"/>
    <w:rPr>
      <w:rFonts w:ascii="Symbol" w:hAnsi="Symbol" w:cs="Symbol"/>
    </w:rPr>
  </w:style>
  <w:style w:type="character" w:customStyle="1" w:styleId="WW8Num12z2">
    <w:name w:val="WW8Num12z2"/>
    <w:rsid w:val="00B80B31"/>
    <w:rPr>
      <w:rFonts w:ascii="Wingdings" w:hAnsi="Wingdings" w:cs="Wingdings"/>
    </w:rPr>
  </w:style>
  <w:style w:type="character" w:customStyle="1" w:styleId="WW8Num13z0">
    <w:name w:val="WW8Num13z0"/>
    <w:rsid w:val="00B80B31"/>
    <w:rPr>
      <w:rFonts w:ascii="Symbol" w:hAnsi="Symbol" w:cs="Symbol"/>
    </w:rPr>
  </w:style>
  <w:style w:type="character" w:customStyle="1" w:styleId="WW8Num14z0">
    <w:name w:val="WW8Num14z0"/>
    <w:rsid w:val="00B80B31"/>
    <w:rPr>
      <w:rFonts w:ascii="Symbol" w:hAnsi="Symbol" w:cs="Symbol"/>
    </w:rPr>
  </w:style>
  <w:style w:type="character" w:customStyle="1" w:styleId="WW8Num14z1">
    <w:name w:val="WW8Num14z1"/>
    <w:rsid w:val="00B80B31"/>
    <w:rPr>
      <w:rFonts w:ascii="Courier New" w:hAnsi="Courier New" w:cs="Courier New"/>
    </w:rPr>
  </w:style>
  <w:style w:type="character" w:customStyle="1" w:styleId="WW8Num14z2">
    <w:name w:val="WW8Num14z2"/>
    <w:rsid w:val="00B80B31"/>
    <w:rPr>
      <w:rFonts w:ascii="Wingdings" w:hAnsi="Wingdings" w:cs="Wingdings"/>
    </w:rPr>
  </w:style>
  <w:style w:type="character" w:customStyle="1" w:styleId="WW8Num15z0">
    <w:name w:val="WW8Num15z0"/>
    <w:rsid w:val="00B80B31"/>
    <w:rPr>
      <w:rFonts w:ascii="Symbol" w:hAnsi="Symbol" w:cs="Symbol"/>
    </w:rPr>
  </w:style>
  <w:style w:type="character" w:customStyle="1" w:styleId="WW8Num15z1">
    <w:name w:val="WW8Num15z1"/>
    <w:rsid w:val="00B80B31"/>
    <w:rPr>
      <w:rFonts w:ascii="Courier New" w:hAnsi="Courier New" w:cs="Courier New"/>
    </w:rPr>
  </w:style>
  <w:style w:type="character" w:customStyle="1" w:styleId="WW8Num15z2">
    <w:name w:val="WW8Num15z2"/>
    <w:rsid w:val="00B80B31"/>
    <w:rPr>
      <w:rFonts w:ascii="Wingdings" w:hAnsi="Wingdings" w:cs="Wingdings"/>
    </w:rPr>
  </w:style>
  <w:style w:type="character" w:customStyle="1" w:styleId="WW8Num16z0">
    <w:name w:val="WW8Num16z0"/>
    <w:rsid w:val="00B80B31"/>
    <w:rPr>
      <w:rFonts w:ascii="Symbol" w:hAnsi="Symbol" w:cs="Symbol"/>
    </w:rPr>
  </w:style>
  <w:style w:type="character" w:customStyle="1" w:styleId="WW8Num16z1">
    <w:name w:val="WW8Num16z1"/>
    <w:rsid w:val="00B80B31"/>
    <w:rPr>
      <w:rFonts w:ascii="Courier New" w:hAnsi="Courier New" w:cs="Courier New"/>
    </w:rPr>
  </w:style>
  <w:style w:type="character" w:customStyle="1" w:styleId="WW8Num16z2">
    <w:name w:val="WW8Num16z2"/>
    <w:rsid w:val="00B80B31"/>
    <w:rPr>
      <w:rFonts w:ascii="Wingdings" w:hAnsi="Wingdings" w:cs="Wingdings"/>
    </w:rPr>
  </w:style>
  <w:style w:type="character" w:customStyle="1" w:styleId="WW8Num17z0">
    <w:name w:val="WW8Num17z0"/>
    <w:rsid w:val="00B80B31"/>
    <w:rPr>
      <w:rFonts w:ascii="Symbol" w:hAnsi="Symbol" w:cs="Symbol"/>
      <w:sz w:val="20"/>
    </w:rPr>
  </w:style>
  <w:style w:type="character" w:customStyle="1" w:styleId="WW8Num17z1">
    <w:name w:val="WW8Num17z1"/>
    <w:rsid w:val="00B80B31"/>
    <w:rPr>
      <w:rFonts w:ascii="Courier New" w:hAnsi="Courier New" w:cs="Courier New"/>
      <w:sz w:val="20"/>
    </w:rPr>
  </w:style>
  <w:style w:type="character" w:customStyle="1" w:styleId="WW8Num17z2">
    <w:name w:val="WW8Num17z2"/>
    <w:rsid w:val="00B80B31"/>
    <w:rPr>
      <w:rFonts w:ascii="Wingdings" w:hAnsi="Wingdings" w:cs="Wingdings"/>
      <w:sz w:val="20"/>
    </w:rPr>
  </w:style>
  <w:style w:type="character" w:customStyle="1" w:styleId="WW8Num18z0">
    <w:name w:val="WW8Num18z0"/>
    <w:rsid w:val="00B80B31"/>
    <w:rPr>
      <w:rFonts w:ascii="Symbol" w:hAnsi="Symbol" w:cs="Symbol"/>
    </w:rPr>
  </w:style>
  <w:style w:type="character" w:customStyle="1" w:styleId="WW8Num18z1">
    <w:name w:val="WW8Num18z1"/>
    <w:rsid w:val="00B80B31"/>
    <w:rPr>
      <w:rFonts w:ascii="Courier New" w:hAnsi="Courier New" w:cs="Courier New"/>
    </w:rPr>
  </w:style>
  <w:style w:type="character" w:customStyle="1" w:styleId="WW8Num18z2">
    <w:name w:val="WW8Num18z2"/>
    <w:rsid w:val="00B80B31"/>
    <w:rPr>
      <w:rFonts w:ascii="Wingdings" w:hAnsi="Wingdings" w:cs="Wingdings"/>
    </w:rPr>
  </w:style>
  <w:style w:type="character" w:customStyle="1" w:styleId="WW8Num19z0">
    <w:name w:val="WW8Num19z0"/>
    <w:rsid w:val="00B80B31"/>
    <w:rPr>
      <w:rFonts w:ascii="Symbol" w:hAnsi="Symbol" w:cs="Times New Roman"/>
      <w:b/>
      <w:i w:val="0"/>
    </w:rPr>
  </w:style>
  <w:style w:type="character" w:customStyle="1" w:styleId="WW8Num19z1">
    <w:name w:val="WW8Num19z1"/>
    <w:rsid w:val="00B80B31"/>
    <w:rPr>
      <w:rFonts w:ascii="Symbol" w:hAnsi="Symbol" w:cs="Symbol"/>
    </w:rPr>
  </w:style>
  <w:style w:type="character" w:customStyle="1" w:styleId="WW8Num20z0">
    <w:name w:val="WW8Num20z0"/>
    <w:rsid w:val="00B80B31"/>
    <w:rPr>
      <w:rFonts w:ascii="Symbol" w:hAnsi="Symbol" w:cs="Symbol"/>
    </w:rPr>
  </w:style>
  <w:style w:type="character" w:customStyle="1" w:styleId="WW8Num20z1">
    <w:name w:val="WW8Num20z1"/>
    <w:rsid w:val="00B80B31"/>
    <w:rPr>
      <w:rFonts w:ascii="Courier New" w:hAnsi="Courier New" w:cs="Courier New"/>
    </w:rPr>
  </w:style>
  <w:style w:type="character" w:customStyle="1" w:styleId="WW8Num20z2">
    <w:name w:val="WW8Num20z2"/>
    <w:rsid w:val="00B80B31"/>
    <w:rPr>
      <w:rFonts w:ascii="Wingdings" w:hAnsi="Wingdings" w:cs="Wingdings"/>
    </w:rPr>
  </w:style>
  <w:style w:type="character" w:customStyle="1" w:styleId="WW8Num21z0">
    <w:name w:val="WW8Num21z0"/>
    <w:rsid w:val="00B80B31"/>
    <w:rPr>
      <w:rFonts w:ascii="Symbol" w:hAnsi="Symbol" w:cs="Symbol"/>
    </w:rPr>
  </w:style>
  <w:style w:type="character" w:customStyle="1" w:styleId="WW8Num21z1">
    <w:name w:val="WW8Num21z1"/>
    <w:rsid w:val="00B80B31"/>
    <w:rPr>
      <w:rFonts w:ascii="Courier New" w:hAnsi="Courier New" w:cs="Courier New"/>
    </w:rPr>
  </w:style>
  <w:style w:type="character" w:customStyle="1" w:styleId="WW8Num21z2">
    <w:name w:val="WW8Num21z2"/>
    <w:rsid w:val="00B80B31"/>
    <w:rPr>
      <w:rFonts w:ascii="Wingdings" w:hAnsi="Wingdings" w:cs="Wingdings"/>
    </w:rPr>
  </w:style>
  <w:style w:type="character" w:customStyle="1" w:styleId="WW8Num22z0">
    <w:name w:val="WW8Num22z0"/>
    <w:rsid w:val="00B80B31"/>
    <w:rPr>
      <w:rFonts w:ascii="Symbol" w:hAnsi="Symbol" w:cs="Symbol"/>
    </w:rPr>
  </w:style>
  <w:style w:type="character" w:customStyle="1" w:styleId="WW8Num22z1">
    <w:name w:val="WW8Num22z1"/>
    <w:rsid w:val="00B80B31"/>
    <w:rPr>
      <w:rFonts w:ascii="Courier New" w:hAnsi="Courier New" w:cs="Courier New"/>
    </w:rPr>
  </w:style>
  <w:style w:type="character" w:customStyle="1" w:styleId="WW8Num22z2">
    <w:name w:val="WW8Num22z2"/>
    <w:rsid w:val="00B80B31"/>
    <w:rPr>
      <w:rFonts w:ascii="Wingdings" w:hAnsi="Wingdings" w:cs="Wingdings"/>
    </w:rPr>
  </w:style>
  <w:style w:type="character" w:customStyle="1" w:styleId="WW8Num23z0">
    <w:name w:val="WW8Num23z0"/>
    <w:rsid w:val="00B80B31"/>
    <w:rPr>
      <w:rFonts w:ascii="Symbol" w:hAnsi="Symbol" w:cs="Symbol"/>
    </w:rPr>
  </w:style>
  <w:style w:type="character" w:customStyle="1" w:styleId="WW8Num23z1">
    <w:name w:val="WW8Num23z1"/>
    <w:rsid w:val="00B80B31"/>
    <w:rPr>
      <w:rFonts w:ascii="Courier New" w:hAnsi="Courier New" w:cs="Courier New"/>
    </w:rPr>
  </w:style>
  <w:style w:type="character" w:customStyle="1" w:styleId="WW8Num23z2">
    <w:name w:val="WW8Num23z2"/>
    <w:rsid w:val="00B80B31"/>
    <w:rPr>
      <w:rFonts w:ascii="Wingdings" w:hAnsi="Wingdings" w:cs="Wingdings"/>
    </w:rPr>
  </w:style>
  <w:style w:type="character" w:customStyle="1" w:styleId="WW8Num24z0">
    <w:name w:val="WW8Num24z0"/>
    <w:rsid w:val="00B80B31"/>
    <w:rPr>
      <w:rFonts w:ascii="Symbol" w:hAnsi="Symbol" w:cs="Symbol"/>
    </w:rPr>
  </w:style>
  <w:style w:type="character" w:customStyle="1" w:styleId="WW8Num24z1">
    <w:name w:val="WW8Num24z1"/>
    <w:rsid w:val="00B80B31"/>
    <w:rPr>
      <w:rFonts w:ascii="Courier New" w:hAnsi="Courier New" w:cs="Courier New"/>
    </w:rPr>
  </w:style>
  <w:style w:type="character" w:customStyle="1" w:styleId="WW8Num24z2">
    <w:name w:val="WW8Num24z2"/>
    <w:rsid w:val="00B80B31"/>
    <w:rPr>
      <w:rFonts w:ascii="Wingdings" w:hAnsi="Wingdings" w:cs="Wingdings"/>
    </w:rPr>
  </w:style>
  <w:style w:type="character" w:customStyle="1" w:styleId="WW8Num25z0">
    <w:name w:val="WW8Num25z0"/>
    <w:rsid w:val="00B80B31"/>
    <w:rPr>
      <w:rFonts w:ascii="Courier New" w:hAnsi="Courier New" w:cs="Courier New"/>
      <w:b w:val="0"/>
      <w:i w:val="0"/>
      <w:sz w:val="20"/>
      <w:szCs w:val="20"/>
    </w:rPr>
  </w:style>
  <w:style w:type="character" w:customStyle="1" w:styleId="WW8Num25z1">
    <w:name w:val="WW8Num25z1"/>
    <w:rsid w:val="00B80B31"/>
    <w:rPr>
      <w:rFonts w:ascii="Courier New" w:hAnsi="Courier New" w:cs="Courier New"/>
    </w:rPr>
  </w:style>
  <w:style w:type="character" w:customStyle="1" w:styleId="Carpredefinitoparagrafo1">
    <w:name w:val="Car. predefinito paragrafo1"/>
    <w:rsid w:val="00B80B31"/>
  </w:style>
  <w:style w:type="character" w:customStyle="1" w:styleId="CorpodeltestoCarattere">
    <w:name w:val="Corpo del testo Carattere"/>
    <w:rsid w:val="00B80B31"/>
    <w:rPr>
      <w:sz w:val="22"/>
      <w:szCs w:val="22"/>
    </w:rPr>
  </w:style>
  <w:style w:type="character" w:customStyle="1" w:styleId="Punti">
    <w:name w:val="Punti"/>
    <w:rsid w:val="00B80B31"/>
    <w:rPr>
      <w:rFonts w:ascii="OpenSymbol" w:eastAsia="OpenSymbol" w:hAnsi="OpenSymbol" w:cs="OpenSymbol"/>
    </w:rPr>
  </w:style>
  <w:style w:type="paragraph" w:customStyle="1" w:styleId="Intestazione2">
    <w:name w:val="Intestazione2"/>
    <w:basedOn w:val="Normal"/>
    <w:next w:val="BodyText"/>
    <w:rsid w:val="00B80B31"/>
    <w:pPr>
      <w:keepNext/>
      <w:suppressAutoHyphens/>
      <w:spacing w:before="240" w:line="276" w:lineRule="auto"/>
    </w:pPr>
    <w:rPr>
      <w:rFonts w:ascii="Arial" w:eastAsia="Arial Unicode MS" w:hAnsi="Arial" w:cs="Arial Unicode MS"/>
      <w:sz w:val="28"/>
      <w:szCs w:val="28"/>
      <w:lang w:eastAsia="zh-CN"/>
    </w:rPr>
  </w:style>
  <w:style w:type="paragraph" w:styleId="List">
    <w:name w:val="List"/>
    <w:basedOn w:val="BodyText"/>
    <w:locked/>
    <w:rsid w:val="00B80B31"/>
    <w:pPr>
      <w:suppressAutoHyphens/>
      <w:spacing w:line="276" w:lineRule="auto"/>
    </w:pPr>
    <w:rPr>
      <w:rFonts w:ascii="Calibri" w:eastAsia="Calibri" w:hAnsi="Calibri" w:cs="Calibri"/>
      <w:sz w:val="22"/>
      <w:szCs w:val="22"/>
      <w:lang w:eastAsia="zh-CN"/>
    </w:rPr>
  </w:style>
  <w:style w:type="paragraph" w:customStyle="1" w:styleId="Indice">
    <w:name w:val="Indice"/>
    <w:basedOn w:val="Normal"/>
    <w:rsid w:val="00B80B31"/>
    <w:pPr>
      <w:suppressLineNumbers/>
      <w:suppressAutoHyphens/>
      <w:spacing w:after="200" w:line="276" w:lineRule="auto"/>
    </w:pPr>
    <w:rPr>
      <w:rFonts w:ascii="Calibri" w:eastAsia="Calibri" w:hAnsi="Calibri" w:cs="Calibri"/>
      <w:sz w:val="22"/>
      <w:szCs w:val="22"/>
      <w:lang w:eastAsia="zh-CN"/>
    </w:rPr>
  </w:style>
  <w:style w:type="paragraph" w:customStyle="1" w:styleId="Intestazione1">
    <w:name w:val="Intestazione1"/>
    <w:basedOn w:val="Normal"/>
    <w:next w:val="BodyText"/>
    <w:rsid w:val="00B80B31"/>
    <w:pPr>
      <w:keepNext/>
      <w:suppressAutoHyphens/>
      <w:spacing w:before="240" w:line="276" w:lineRule="auto"/>
    </w:pPr>
    <w:rPr>
      <w:rFonts w:ascii="Arial" w:eastAsia="Arial Unicode MS" w:hAnsi="Arial" w:cs="Arial Unicode MS"/>
      <w:sz w:val="28"/>
      <w:szCs w:val="28"/>
      <w:lang w:eastAsia="zh-CN"/>
    </w:rPr>
  </w:style>
  <w:style w:type="paragraph" w:customStyle="1" w:styleId="Rientrocorpodeltesto21">
    <w:name w:val="Rientro corpo del testo 21"/>
    <w:basedOn w:val="Normal"/>
    <w:rsid w:val="00B80B31"/>
    <w:pPr>
      <w:suppressAutoHyphens/>
      <w:ind w:firstLine="708"/>
    </w:pPr>
    <w:rPr>
      <w:i/>
      <w:iCs/>
      <w:szCs w:val="20"/>
      <w:lang w:eastAsia="zh-CN"/>
    </w:rPr>
  </w:style>
  <w:style w:type="paragraph" w:customStyle="1" w:styleId="Mappadocumento1">
    <w:name w:val="Mappa documento1"/>
    <w:basedOn w:val="Normal"/>
    <w:rsid w:val="00B80B31"/>
    <w:pPr>
      <w:shd w:val="clear" w:color="auto" w:fill="000080"/>
      <w:suppressAutoHyphens/>
      <w:spacing w:after="200" w:line="276" w:lineRule="auto"/>
    </w:pPr>
    <w:rPr>
      <w:rFonts w:ascii="Tahoma" w:eastAsia="Calibri" w:hAnsi="Tahoma" w:cs="Tahoma"/>
      <w:sz w:val="20"/>
      <w:szCs w:val="20"/>
      <w:lang w:eastAsia="zh-CN"/>
    </w:rPr>
  </w:style>
  <w:style w:type="paragraph" w:customStyle="1" w:styleId="Rientrocorpodeltesto31">
    <w:name w:val="Rientro corpo del testo 31"/>
    <w:basedOn w:val="Normal"/>
    <w:rsid w:val="00B80B31"/>
    <w:pPr>
      <w:suppressAutoHyphens/>
      <w:ind w:left="283"/>
    </w:pPr>
    <w:rPr>
      <w:sz w:val="16"/>
      <w:szCs w:val="16"/>
      <w:lang w:eastAsia="zh-CN"/>
    </w:rPr>
  </w:style>
  <w:style w:type="paragraph" w:styleId="TOC1">
    <w:name w:val="toc 1"/>
    <w:basedOn w:val="Normal"/>
    <w:next w:val="Normal"/>
    <w:uiPriority w:val="39"/>
    <w:rsid w:val="004C01CF"/>
    <w:pPr>
      <w:pBdr>
        <w:top w:val="single" w:sz="4" w:space="1" w:color="auto"/>
        <w:left w:val="single" w:sz="4" w:space="4" w:color="auto"/>
        <w:bottom w:val="single" w:sz="4" w:space="1" w:color="auto"/>
        <w:right w:val="single" w:sz="4" w:space="4" w:color="auto"/>
      </w:pBdr>
      <w:suppressAutoHyphens/>
      <w:spacing w:after="0"/>
      <w:ind w:left="57"/>
    </w:pPr>
    <w:rPr>
      <w:rFonts w:ascii="Century Gothic" w:eastAsia="Calibri" w:hAnsi="Century Gothic" w:cs="Calibri"/>
      <w:b/>
      <w:sz w:val="20"/>
      <w:szCs w:val="22"/>
      <w:lang w:eastAsia="zh-CN"/>
    </w:rPr>
  </w:style>
  <w:style w:type="paragraph" w:customStyle="1" w:styleId="Contenutotabella">
    <w:name w:val="Contenuto tabella"/>
    <w:basedOn w:val="Normal"/>
    <w:rsid w:val="00B80B31"/>
    <w:pPr>
      <w:suppressLineNumbers/>
      <w:suppressAutoHyphens/>
      <w:spacing w:after="200" w:line="276" w:lineRule="auto"/>
    </w:pPr>
    <w:rPr>
      <w:rFonts w:ascii="Calibri" w:eastAsia="Calibri" w:hAnsi="Calibri" w:cs="Calibri"/>
      <w:sz w:val="22"/>
      <w:szCs w:val="22"/>
      <w:lang w:eastAsia="zh-CN"/>
    </w:rPr>
  </w:style>
  <w:style w:type="paragraph" w:customStyle="1" w:styleId="Intestazionetabella">
    <w:name w:val="Intestazione tabella"/>
    <w:basedOn w:val="Contenutotabella"/>
    <w:rsid w:val="00B80B31"/>
    <w:pPr>
      <w:jc w:val="center"/>
    </w:pPr>
    <w:rPr>
      <w:b/>
      <w:bCs/>
    </w:rPr>
  </w:style>
  <w:style w:type="paragraph" w:styleId="TOCHeading">
    <w:name w:val="TOC Heading"/>
    <w:basedOn w:val="Heading1"/>
    <w:next w:val="Normal"/>
    <w:uiPriority w:val="39"/>
    <w:unhideWhenUsed/>
    <w:qFormat/>
    <w:rsid w:val="00B80B31"/>
    <w:pPr>
      <w:keepLines/>
      <w:spacing w:before="84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rsid w:val="003610E1"/>
    <w:pPr>
      <w:framePr w:wrap="around" w:vAnchor="text" w:hAnchor="text" w:y="1"/>
      <w:pBdr>
        <w:top w:val="single" w:sz="4" w:space="1" w:color="auto"/>
        <w:left w:val="single" w:sz="4" w:space="31" w:color="auto"/>
        <w:bottom w:val="single" w:sz="4" w:space="1" w:color="auto"/>
        <w:right w:val="single" w:sz="4" w:space="5" w:color="auto"/>
      </w:pBdr>
      <w:tabs>
        <w:tab w:val="left" w:pos="1134"/>
        <w:tab w:val="right" w:leader="dot" w:pos="8222"/>
      </w:tabs>
      <w:suppressAutoHyphens/>
      <w:spacing w:after="60"/>
      <w:ind w:left="567"/>
    </w:pPr>
    <w:rPr>
      <w:rFonts w:ascii="Century Gothic" w:eastAsia="Calibri" w:hAnsi="Century Gothic" w:cs="Calibri"/>
      <w:noProof/>
      <w:sz w:val="20"/>
      <w:szCs w:val="22"/>
      <w:lang w:eastAsia="zh-CN"/>
    </w:rPr>
  </w:style>
  <w:style w:type="character" w:customStyle="1" w:styleId="Rientrocorpodeltesto3Carattere1">
    <w:name w:val="Rientro corpo del testo 3 Carattere1"/>
    <w:basedOn w:val="DefaultParagraphFont"/>
    <w:rsid w:val="00B80B31"/>
    <w:rPr>
      <w:rFonts w:ascii="Calibri" w:eastAsia="Calibri" w:hAnsi="Calibri" w:cs="Calibri"/>
      <w:sz w:val="16"/>
      <w:szCs w:val="16"/>
      <w:lang w:eastAsia="zh-CN"/>
    </w:rPr>
  </w:style>
  <w:style w:type="paragraph" w:styleId="Title">
    <w:name w:val="Title"/>
    <w:basedOn w:val="Normal"/>
    <w:link w:val="TitleChar"/>
    <w:uiPriority w:val="10"/>
    <w:qFormat/>
    <w:rsid w:val="00B80B31"/>
    <w:pPr>
      <w:jc w:val="center"/>
    </w:pPr>
    <w:rPr>
      <w:sz w:val="44"/>
    </w:rPr>
  </w:style>
  <w:style w:type="character" w:customStyle="1" w:styleId="TitleChar">
    <w:name w:val="Title Char"/>
    <w:basedOn w:val="DefaultParagraphFont"/>
    <w:link w:val="Title"/>
    <w:uiPriority w:val="10"/>
    <w:rsid w:val="00B80B31"/>
    <w:rPr>
      <w:sz w:val="44"/>
      <w:szCs w:val="24"/>
    </w:rPr>
  </w:style>
  <w:style w:type="character" w:customStyle="1" w:styleId="HTMLPreformattedChar">
    <w:name w:val="HTML Preformatted Char"/>
    <w:basedOn w:val="DefaultParagraphFont"/>
    <w:link w:val="HTMLPreformatted"/>
    <w:uiPriority w:val="99"/>
    <w:rsid w:val="00B80B31"/>
    <w:rPr>
      <w:rFonts w:ascii="Courier New" w:hAnsi="Courier New" w:cs="Courier New"/>
      <w:sz w:val="20"/>
      <w:szCs w:val="20"/>
    </w:rPr>
  </w:style>
  <w:style w:type="paragraph" w:styleId="HTMLPreformatted">
    <w:name w:val="HTML Preformatted"/>
    <w:basedOn w:val="Normal"/>
    <w:link w:val="HTMLPreformattedChar"/>
    <w:uiPriority w:val="99"/>
    <w:unhideWhenUsed/>
    <w:locked/>
    <w:rsid w:val="00B8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ientrocorpodeltestoCarattere1">
    <w:name w:val="Rientro corpo del testo Carattere1"/>
    <w:basedOn w:val="DefaultParagraphFont"/>
    <w:rsid w:val="00B80B31"/>
    <w:rPr>
      <w:rFonts w:ascii="Calibri" w:eastAsia="Calibri" w:hAnsi="Calibri" w:cs="Calibri"/>
      <w:sz w:val="22"/>
      <w:szCs w:val="22"/>
      <w:lang w:eastAsia="zh-CN"/>
    </w:rPr>
  </w:style>
  <w:style w:type="character" w:customStyle="1" w:styleId="TestofumettoCarattere1">
    <w:name w:val="Testo fumetto Carattere1"/>
    <w:basedOn w:val="DefaultParagraphFont"/>
    <w:rsid w:val="00B80B31"/>
    <w:rPr>
      <w:rFonts w:ascii="Tahoma" w:eastAsia="Calibri" w:hAnsi="Tahoma" w:cs="Tahoma"/>
      <w:sz w:val="16"/>
      <w:szCs w:val="16"/>
      <w:lang w:eastAsia="zh-CN"/>
    </w:rPr>
  </w:style>
  <w:style w:type="character" w:customStyle="1" w:styleId="IntestazioneCarattere1">
    <w:name w:val="Intestazione Carattere1"/>
    <w:basedOn w:val="DefaultParagraphFont"/>
    <w:rsid w:val="00B80B31"/>
    <w:rPr>
      <w:rFonts w:ascii="Calibri" w:eastAsia="Calibri" w:hAnsi="Calibri" w:cs="Calibri"/>
      <w:sz w:val="22"/>
      <w:szCs w:val="22"/>
      <w:lang w:eastAsia="zh-CN"/>
    </w:rPr>
  </w:style>
  <w:style w:type="character" w:customStyle="1" w:styleId="PidipaginaCarattere1">
    <w:name w:val="Piè di pagina Carattere1"/>
    <w:basedOn w:val="DefaultParagraphFont"/>
    <w:rsid w:val="00B80B31"/>
    <w:rPr>
      <w:rFonts w:ascii="Calibri" w:eastAsia="Calibri" w:hAnsi="Calibri" w:cs="Calibri"/>
      <w:sz w:val="22"/>
      <w:szCs w:val="22"/>
      <w:lang w:eastAsia="zh-CN"/>
    </w:rPr>
  </w:style>
  <w:style w:type="character" w:customStyle="1" w:styleId="CommentSubjectChar">
    <w:name w:val="Comment Subject Char"/>
    <w:basedOn w:val="CommentTextChar"/>
    <w:link w:val="CommentSubject"/>
    <w:semiHidden/>
    <w:rsid w:val="00B80B31"/>
    <w:rPr>
      <w:rFonts w:ascii="Calibri" w:eastAsia="Calibri" w:hAnsi="Calibri" w:cs="Calibri"/>
      <w:b/>
      <w:bCs/>
      <w:sz w:val="20"/>
      <w:szCs w:val="20"/>
      <w:lang w:val="en-GB" w:eastAsia="zh-CN"/>
    </w:rPr>
  </w:style>
  <w:style w:type="paragraph" w:styleId="CommentSubject">
    <w:name w:val="annotation subject"/>
    <w:basedOn w:val="CommentText"/>
    <w:next w:val="CommentText"/>
    <w:link w:val="CommentSubjectChar"/>
    <w:semiHidden/>
    <w:unhideWhenUsed/>
    <w:locked/>
    <w:rsid w:val="00B80B31"/>
    <w:pPr>
      <w:spacing w:after="200"/>
    </w:pPr>
    <w:rPr>
      <w:rFonts w:ascii="Calibri" w:eastAsia="Calibri" w:hAnsi="Calibri" w:cs="Calibri"/>
      <w:b/>
      <w:bCs/>
      <w:lang w:eastAsia="zh-CN"/>
    </w:rPr>
  </w:style>
  <w:style w:type="character" w:customStyle="1" w:styleId="EndnoteTextChar">
    <w:name w:val="Endnote Text Char"/>
    <w:basedOn w:val="DefaultParagraphFont"/>
    <w:link w:val="EndnoteText"/>
    <w:semiHidden/>
    <w:rsid w:val="00B80B31"/>
    <w:rPr>
      <w:rFonts w:ascii="Calibri" w:eastAsia="Calibri" w:hAnsi="Calibri" w:cs="Calibri"/>
      <w:sz w:val="20"/>
      <w:szCs w:val="20"/>
      <w:lang w:eastAsia="zh-CN"/>
    </w:rPr>
  </w:style>
  <w:style w:type="paragraph" w:styleId="EndnoteText">
    <w:name w:val="endnote text"/>
    <w:basedOn w:val="Normal"/>
    <w:link w:val="EndnoteTextChar"/>
    <w:semiHidden/>
    <w:unhideWhenUsed/>
    <w:locked/>
    <w:rsid w:val="00B80B31"/>
    <w:pPr>
      <w:suppressAutoHyphens/>
    </w:pPr>
    <w:rPr>
      <w:rFonts w:ascii="Calibri" w:eastAsia="Calibri" w:hAnsi="Calibri" w:cs="Calibri"/>
      <w:sz w:val="20"/>
      <w:szCs w:val="20"/>
      <w:lang w:eastAsia="zh-CN"/>
    </w:rPr>
  </w:style>
  <w:style w:type="table" w:customStyle="1" w:styleId="Grigliatabella1">
    <w:name w:val="Griglia tabella1"/>
    <w:basedOn w:val="TableNormal"/>
    <w:next w:val="TableGrid"/>
    <w:uiPriority w:val="39"/>
    <w:rsid w:val="00206C3A"/>
    <w:rPr>
      <w:rFonts w:ascii="Calibri" w:eastAsia="Calibri" w:hAnsi="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1">
    <w:name w:val="Style11"/>
    <w:basedOn w:val="Normal"/>
    <w:rsid w:val="00F1391A"/>
    <w:pPr>
      <w:widowControl w:val="0"/>
      <w:autoSpaceDE w:val="0"/>
      <w:autoSpaceDN w:val="0"/>
      <w:adjustRightInd w:val="0"/>
      <w:spacing w:line="252" w:lineRule="exact"/>
    </w:pPr>
    <w:rPr>
      <w:rFonts w:ascii="Candara" w:hAnsi="Candara"/>
    </w:rPr>
  </w:style>
  <w:style w:type="character" w:customStyle="1" w:styleId="FontStyle59">
    <w:name w:val="Font Style59"/>
    <w:rsid w:val="00F1391A"/>
    <w:rPr>
      <w:rFonts w:ascii="Century Gothic" w:hAnsi="Century Gothic"/>
      <w:sz w:val="20"/>
    </w:rPr>
  </w:style>
  <w:style w:type="character" w:customStyle="1" w:styleId="apple-converted-space">
    <w:name w:val="apple-converted-space"/>
    <w:basedOn w:val="DefaultParagraphFont"/>
    <w:rsid w:val="00B93EFF"/>
  </w:style>
  <w:style w:type="character" w:customStyle="1" w:styleId="ListParagraphChar">
    <w:name w:val="List Paragraph Char"/>
    <w:link w:val="ListParagraph"/>
    <w:uiPriority w:val="34"/>
    <w:rsid w:val="00DB4FEC"/>
    <w:rPr>
      <w:rFonts w:ascii="Calibri" w:hAnsi="Calibri"/>
    </w:rPr>
  </w:style>
  <w:style w:type="paragraph" w:customStyle="1" w:styleId="standardtext0">
    <w:name w:val="standardtext"/>
    <w:basedOn w:val="Normal"/>
    <w:rsid w:val="00537074"/>
    <w:pPr>
      <w:spacing w:before="100" w:beforeAutospacing="1" w:after="100" w:afterAutospacing="1"/>
      <w:jc w:val="left"/>
    </w:pPr>
  </w:style>
  <w:style w:type="character" w:customStyle="1" w:styleId="tlid-translation">
    <w:name w:val="tlid-translation"/>
    <w:basedOn w:val="DefaultParagraphFont"/>
    <w:rsid w:val="00603C10"/>
  </w:style>
  <w:style w:type="character" w:customStyle="1" w:styleId="Bodytext20">
    <w:name w:val="Body text (2)_"/>
    <w:basedOn w:val="DefaultParagraphFont"/>
    <w:link w:val="Bodytext21"/>
    <w:rsid w:val="009B28EB"/>
    <w:rPr>
      <w:rFonts w:ascii="Arial" w:eastAsia="Arial" w:hAnsi="Arial" w:cs="Arial"/>
      <w:sz w:val="11"/>
      <w:szCs w:val="11"/>
      <w:shd w:val="clear" w:color="auto" w:fill="FFFFFF"/>
    </w:rPr>
  </w:style>
  <w:style w:type="character" w:customStyle="1" w:styleId="Bodytext27pt">
    <w:name w:val="Body text (2) + 7 pt"/>
    <w:basedOn w:val="Bodytext20"/>
    <w:rsid w:val="009B28EB"/>
    <w:rPr>
      <w:rFonts w:ascii="Arial" w:eastAsia="Arial" w:hAnsi="Arial" w:cs="Arial"/>
      <w:color w:val="6F6E78"/>
      <w:spacing w:val="0"/>
      <w:w w:val="100"/>
      <w:position w:val="0"/>
      <w:sz w:val="14"/>
      <w:szCs w:val="14"/>
      <w:shd w:val="clear" w:color="auto" w:fill="FFFFFF"/>
      <w:lang w:val="en-GB" w:eastAsia="it-IT" w:bidi="it-IT"/>
    </w:rPr>
  </w:style>
  <w:style w:type="paragraph" w:customStyle="1" w:styleId="Bodytext21">
    <w:name w:val="Body text (2)"/>
    <w:basedOn w:val="Normal"/>
    <w:link w:val="Bodytext20"/>
    <w:rsid w:val="009B28EB"/>
    <w:pPr>
      <w:widowControl w:val="0"/>
      <w:shd w:val="clear" w:color="auto" w:fill="FFFFFF"/>
      <w:spacing w:after="2100" w:line="122" w:lineRule="exact"/>
      <w:jc w:val="lef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2.xml" /><Relationship Id="rId11" Type="http://schemas.openxmlformats.org/officeDocument/2006/relationships/hyperlink" Target="https://www.ansf.it/documents/19/3733389/0001962017_100117.pdf" TargetMode="External" /><Relationship Id="rId12" Type="http://schemas.openxmlformats.org/officeDocument/2006/relationships/hyperlink" Target="https://www.ansf.it/documents/19/91ef9b44-8360-4f24-b012-caea25912e76" TargetMode="External" /><Relationship Id="rId13" Type="http://schemas.openxmlformats.org/officeDocument/2006/relationships/hyperlink" Target="https://www.ansf.it/documents/19/cdd6975e-6999-4ebc-8710-e71b1c337358" TargetMode="External" /><Relationship Id="rId14" Type="http://schemas.openxmlformats.org/officeDocument/2006/relationships/hyperlink" Target="https://www.ansf.it/documents/19/373e80ba-83a5-450c-9eb2-1f03748d3a69" TargetMode="External" /><Relationship Id="rId15" Type="http://schemas.openxmlformats.org/officeDocument/2006/relationships/hyperlink" Target="https://www.ansf.it/documents/19/3733389/2017_4_4_ANSF%20a%20Operatori%20su%20allarme%20vigilante%20e%20soccorso%20treni.pdf" TargetMode="External" /><Relationship Id="rId16" Type="http://schemas.openxmlformats.org/officeDocument/2006/relationships/hyperlink" Target="https://www.ansf.it/documents/19/c6e608af-5f47-4032-97d3-e7039d0ce3e3" TargetMode="External" /><Relationship Id="rId17" Type="http://schemas.openxmlformats.org/officeDocument/2006/relationships/hyperlink" Target="https://www.ansf.it/documents/19/7f9217ec-1730-462e-9e9d-57d12c470fc8" TargetMode="External" /><Relationship Id="rId18" Type="http://schemas.openxmlformats.org/officeDocument/2006/relationships/hyperlink" Target="https://www.ansf.it/documents/19/5e280ba4-19e7-4fda-9433-706bb841509f" TargetMode="External" /><Relationship Id="rId19" Type="http://schemas.openxmlformats.org/officeDocument/2006/relationships/hyperlink" Target="https://www.ansf.it/documents/19/3733389/2017_4_26_ANSF%20a%20Regionali%20su%20competenze%20753.pdf" TargetMode="External" /><Relationship Id="rId2" Type="http://schemas.openxmlformats.org/officeDocument/2006/relationships/settings" Target="settings.xml" /><Relationship Id="rId20" Type="http://schemas.openxmlformats.org/officeDocument/2006/relationships/hyperlink" Target="https://www.ansf.it/documents/19/4bf3784d-122e-4b89-a32a-7ff0c6cdd749" TargetMode="External" /><Relationship Id="rId21" Type="http://schemas.openxmlformats.org/officeDocument/2006/relationships/hyperlink" Target="https://www.ansf.it/documents/19/281741c1-d71e-48b6-8515-50bc29969b87" TargetMode="External" /><Relationship Id="rId22" Type="http://schemas.openxmlformats.org/officeDocument/2006/relationships/chart" Target="charts/chart3.xml" /><Relationship Id="rId23" Type="http://schemas.openxmlformats.org/officeDocument/2006/relationships/image" Target="media/image2.emf"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webSettings" Target="webSettings.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chart" Target="charts/chart16.xml" /><Relationship Id="rId37" Type="http://schemas.openxmlformats.org/officeDocument/2006/relationships/chart" Target="charts/chart17.xml" /><Relationship Id="rId38" Type="http://schemas.openxmlformats.org/officeDocument/2006/relationships/chart" Target="charts/chart18.xml" /><Relationship Id="rId39" Type="http://schemas.openxmlformats.org/officeDocument/2006/relationships/chart" Target="charts/chart19.xml" /><Relationship Id="rId4" Type="http://schemas.openxmlformats.org/officeDocument/2006/relationships/fontTable" Target="fontTable.xml" /><Relationship Id="rId40" Type="http://schemas.openxmlformats.org/officeDocument/2006/relationships/image" Target="media/image3.png" /><Relationship Id="rId41" Type="http://schemas.openxmlformats.org/officeDocument/2006/relationships/image" Target="media/image4.png" /><Relationship Id="rId42" Type="http://schemas.openxmlformats.org/officeDocument/2006/relationships/image" Target="media/image5.png" /><Relationship Id="rId43" Type="http://schemas.openxmlformats.org/officeDocument/2006/relationships/image" Target="media/image6.png" /><Relationship Id="rId44" Type="http://schemas.openxmlformats.org/officeDocument/2006/relationships/image" Target="media/image7.png" /><Relationship Id="rId45" Type="http://schemas.openxmlformats.org/officeDocument/2006/relationships/image" Target="media/image8.png" /><Relationship Id="rId46" Type="http://schemas.openxmlformats.org/officeDocument/2006/relationships/image" Target="media/image9.jpeg" /><Relationship Id="rId47" Type="http://schemas.openxmlformats.org/officeDocument/2006/relationships/image" Target="media/image10.jpeg" /><Relationship Id="rId48" Type="http://schemas.openxmlformats.org/officeDocument/2006/relationships/header" Target="header2.xml" /><Relationship Id="rId49" Type="http://schemas.openxmlformats.org/officeDocument/2006/relationships/footer" Target="footer2.xm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www.ansf.it" TargetMode="External" /><Relationship Id="rId9" Type="http://schemas.openxmlformats.org/officeDocument/2006/relationships/chart" Target="charts/chart1.xml" /></Relationships>
</file>

<file path=word/_rels/footer1.xml.rels>&#65279;<?xml version="1.0" encoding="utf-8" standalone="yes"?><Relationships xmlns="http://schemas.openxmlformats.org/package/2006/relationships"><Relationship Id="rId1" Type="http://schemas.openxmlformats.org/officeDocument/2006/relationships/hyperlink" Target="mailto:agenzia.sicurezza@ansf.gov.it" TargetMode="External" /><Relationship Id="rId2" Type="http://schemas.openxmlformats.org/officeDocument/2006/relationships/hyperlink" Target="http://www.ansf.it"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1.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 Id="rId2" Type="http://schemas.openxmlformats.org/officeDocument/2006/relationships/chartUserShapes" Target="../drawings/drawing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utente\Desktop\RAPPORTO%20PRELIMINARE%202016\ANDREA%20prospetto%20cantieri%20dal%202001%20al%202014-1.xlsx" TargetMode="External" /><Relationship Id="rId2" Type="http://schemas.openxmlformats.org/officeDocument/2006/relationships/chartUserShapes" Target="../drawings/drawing5.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a\Desktop\generale\lavori%202018\calcolo%20%20spad%20agg%20al%202017%20per%20RA%202018.xlsx" TargetMode="External" /></Relationships>
</file>

<file path=word/charts/_rels/chart16.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7.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8.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19.xml.rels>&#65279;<?xml version="1.0" encoding="utf-8" standalone="yes"?><Relationships xmlns="http://schemas.openxmlformats.org/package/2006/relationships"><Relationship Id="rId1" Type="http://schemas.openxmlformats.org/officeDocument/2006/relationships/oleObject" Target="file:///C:\Users\utente\Desktop\RAPPORTO%20PRELIMINARE%202017\SIMONA%20dati%20aggiornati%20per%20RAPPORTO%20PRELIMINARE%202017_rev.2.xls" TargetMode="External" /><Relationship Id="rId2" Type="http://schemas.openxmlformats.org/officeDocument/2006/relationships/chartUserShapes" Target="../drawings/drawing6.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 Id="rId2" Type="http://schemas.openxmlformats.org/officeDocument/2006/relationships/chartUserShapes" Target="../drawings/drawing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 Id="rId2" Type="http://schemas.openxmlformats.org/officeDocument/2006/relationships/chartUserShapes" Target="../drawings/drawing3.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 Id="rId2" Type="http://schemas.openxmlformats.org/officeDocument/2006/relationships/chartUserShapes" Target="../drawings/drawing4.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utente\Desktop\RAPPORTO%20ANNUALE%202017\SIMONA%20dati%20aggiornati%20per%20RAPPORTO%20ANNUALE%202017.xls"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t>NUMBER OF SIGNIFICANT ACCIDENTS FOR MLN TR-KM</a:t>
            </a:r>
            <a:br>
              <a:rPr lang="it-IT" sz="800" b="1" i="0" u="none" strike="noStrike" baseline="0"/>
            </a:br>
            <a:r>
              <a:rPr lang="it-IT" sz="800" b="1" i="0" u="none" strike="noStrike" baseline="0"/>
              <a:t>AND NUMBER OF VICTIMS FOR MLN TR-KM</a:t>
            </a:r>
          </a:p>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ysClr val="windowText" lastClr="000000"/>
                </a:solidFill>
                <a:latin typeface="Century Gothic" panose="020B0502020202020204" pitchFamily="34" charset="0"/>
              </a:rPr>
              <a:t>[IT Railway Network]</a:t>
            </a:r>
          </a:p>
        </c:rich>
      </c:tx>
      <c:layout/>
      <c:overlay val="0"/>
      <c:spPr>
        <a:noFill/>
        <a:ln w="25400">
          <a:noFill/>
        </a:ln>
      </c:spPr>
    </c:title>
    <c:autoTitleDeleted val="0"/>
    <c:plotArea>
      <c:layout/>
      <c:scatterChart>
        <c:scatterStyle val="lineMarker"/>
        <c:varyColors val="0"/>
        <c:ser>
          <c:idx val="0"/>
          <c:order val="0"/>
          <c:spPr>
            <a:ln w="28575">
              <a:noFill/>
            </a:ln>
          </c:spPr>
          <c:dPt>
            <c:idx val="11"/>
            <c:bubble3D val="0"/>
            <c:marker>
              <c:symbol val="square"/>
              <c:size val="6"/>
              <c:spPr>
                <a:solidFill>
                  <a:schemeClr val="accent6">
                    <a:lumMod val="75000"/>
                  </a:schemeClr>
                </a:solidFill>
                <a:ln>
                  <a:solidFill>
                    <a:schemeClr val="accent6">
                      <a:lumMod val="75000"/>
                    </a:schemeClr>
                  </a:solidFill>
                </a:ln>
              </c:spPr>
            </c:marker>
            <c:extLst>
              <c:ext xmlns:c="http://schemas.openxmlformats.org/drawingml/2006/chart" xmlns:c16="http://schemas.microsoft.com/office/drawing/2014/chart" uri="{C3380CC4-5D6E-409C-BE32-E72D297353CC}">
                <c16:uniqueId val="{00000000-3D35-45BF-A51D-287A1D7850F8}"/>
              </c:ext>
            </c:extLst>
          </c:dPt>
          <c:dPt>
            <c:idx val="12"/>
            <c:bubble3D val="0"/>
            <c:marker>
              <c:symbol val="square"/>
              <c:size val="5"/>
              <c:spPr>
                <a:solidFill>
                  <a:schemeClr val="accent6">
                    <a:lumMod val="75000"/>
                  </a:schemeClr>
                </a:solidFill>
                <a:ln>
                  <a:solidFill>
                    <a:schemeClr val="accent6">
                      <a:lumMod val="75000"/>
                    </a:schemeClr>
                  </a:solidFill>
                </a:ln>
              </c:spPr>
            </c:marker>
            <c:extLst>
              <c:ext xmlns:c="http://schemas.openxmlformats.org/drawingml/2006/chart" xmlns:c16="http://schemas.microsoft.com/office/drawing/2014/chart" uri="{C3380CC4-5D6E-409C-BE32-E72D297353CC}">
                <c16:uniqueId val="{00000001-3D35-45BF-A51D-287A1D7850F8}"/>
              </c:ext>
            </c:extLst>
          </c:dPt>
          <c:dLbls>
            <c:dLbl>
              <c:idx val="0"/>
              <c:layout>
                <c:manualLayout>
                  <c:x val="-0.0047305011939822138"/>
                  <c:y val="-0.019427069046409177"/>
                </c:manualLayout>
              </c:layout>
              <c:tx>
                <c:rich>
                  <a:bodyPr/>
                  <a:lstStyle/>
                  <a:p>
                    <a:fld id="{51d96cd9-6617-4167-957f-2a56adda023e}"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2-3D35-45BF-A51D-287A1D7850F8}"/>
                </c:ext>
              </c:extLst>
            </c:dLbl>
            <c:dLbl>
              <c:idx val="1"/>
              <c:layout>
                <c:manualLayout>
                  <c:x val="-0.0074491600353670129"/>
                  <c:y val="-0.030087643955984691"/>
                </c:manualLayout>
              </c:layout>
              <c:tx>
                <c:rich>
                  <a:bodyPr/>
                  <a:lstStyle/>
                  <a:p>
                    <a:fld id="{71ea7d62-bbb2-453e-8fb8-7f9c3b15e808}"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3-3D35-45BF-A51D-287A1D7850F8}"/>
                </c:ext>
              </c:extLst>
            </c:dLbl>
            <c:dLbl>
              <c:idx val="2"/>
              <c:layout>
                <c:manualLayout>
                  <c:x val="-0.0582891246684351"/>
                  <c:y val="-0.041509688501958387"/>
                </c:manualLayout>
              </c:layout>
              <c:tx>
                <c:rich>
                  <a:bodyPr/>
                  <a:lstStyle/>
                  <a:p>
                    <a:fld id="{48d182e9-03e8-479d-a9b8-697e8349bfbf}"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4-3D35-45BF-A51D-287A1D7850F8}"/>
                </c:ext>
              </c:extLst>
            </c:dLbl>
            <c:dLbl>
              <c:idx val="3"/>
              <c:layout>
                <c:manualLayout>
                  <c:x val="-0.056078691423519011"/>
                  <c:y val="-0.026280295773993413"/>
                </c:manualLayout>
              </c:layout>
              <c:tx>
                <c:rich>
                  <a:bodyPr/>
                  <a:lstStyle/>
                  <a:p>
                    <a:fld id="{b028f62c-3c87-488e-8402-e5b804b93d4b}"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5-3D35-45BF-A51D-287A1D7850F8}"/>
                </c:ext>
              </c:extLst>
            </c:dLbl>
            <c:dLbl>
              <c:idx val="4"/>
              <c:layout>
                <c:manualLayout>
                  <c:x val="-0.013572234173646065"/>
                  <c:y val="-0.02323441722840049"/>
                </c:manualLayout>
              </c:layout>
              <c:tx>
                <c:rich>
                  <a:bodyPr/>
                  <a:lstStyle/>
                  <a:p>
                    <a:fld id="{2b7aef73-079e-45ba-8e30-174104132bf7}"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6-3D35-45BF-A51D-287A1D7850F8}"/>
                </c:ext>
              </c:extLst>
            </c:dLbl>
            <c:dLbl>
              <c:idx val="5"/>
              <c:layout>
                <c:manualLayout>
                  <c:x val="-0.0052387267904510093"/>
                  <c:y val="-0.0034362066820460249"/>
                </c:manualLayout>
              </c:layout>
              <c:tx>
                <c:rich>
                  <a:bodyPr/>
                  <a:lstStyle/>
                  <a:p>
                    <a:fld id="{1e6fec96-fd89-4349-9122-a8eda9ad06cc}"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7-3D35-45BF-A51D-287A1D7850F8}"/>
                </c:ext>
              </c:extLst>
            </c:dLbl>
            <c:dLbl>
              <c:idx val="6"/>
              <c:layout>
                <c:manualLayout>
                  <c:x val="-0.014080459770114942"/>
                  <c:y val="-0.026280295773993413"/>
                </c:manualLayout>
              </c:layout>
              <c:tx>
                <c:rich>
                  <a:bodyPr/>
                  <a:lstStyle/>
                  <a:p>
                    <a:fld id="{fa9c599a-94be-45b9-83f7-aea0883c2797}"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8-3D35-45BF-A51D-287A1D7850F8}"/>
                </c:ext>
              </c:extLst>
            </c:dLbl>
            <c:dLbl>
              <c:idx val="7"/>
              <c:layout>
                <c:manualLayout>
                  <c:x val="-0.0052387267904509286"/>
                  <c:y val="-0.0034362066820459551"/>
                </c:manualLayout>
              </c:layout>
              <c:tx>
                <c:rich>
                  <a:bodyPr/>
                  <a:lstStyle/>
                  <a:p>
                    <a:fld id="{05f8b330-c551-4ab0-a881-833b9cd34536}"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9-3D35-45BF-A51D-287A1D7850F8}"/>
                </c:ext>
              </c:extLst>
            </c:dLbl>
            <c:dLbl>
              <c:idx val="8"/>
              <c:layout>
                <c:manualLayout>
                  <c:x val="-0.011870026525198939"/>
                  <c:y val="0.01560053422791019"/>
                </c:manualLayout>
              </c:layout>
              <c:tx>
                <c:rich>
                  <a:bodyPr/>
                  <a:lstStyle/>
                  <a:p>
                    <a:fld id="{36aa246e-3a73-4193-98cb-b3ec0eb04e95}"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A-3D35-45BF-A51D-287A1D7850F8}"/>
                </c:ext>
              </c:extLst>
            </c:dLbl>
            <c:dLbl>
              <c:idx val="9"/>
              <c:layout>
                <c:manualLayout>
                  <c:x val="-0.060499557913351015"/>
                  <c:y val="-0.026280295773993413"/>
                </c:manualLayout>
              </c:layout>
              <c:tx>
                <c:rich>
                  <a:bodyPr/>
                  <a:lstStyle/>
                  <a:p>
                    <a:fld id="{8601ed4f-3a70-4959-8767-8aa6dea4b07f}"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B-3D35-45BF-A51D-287A1D7850F8}"/>
                </c:ext>
              </c:extLst>
            </c:dLbl>
            <c:dLbl>
              <c:idx val="10"/>
              <c:layout>
                <c:manualLayout>
                  <c:x val="-0.075972590627763084"/>
                  <c:y val="-0.0034362066820459551"/>
                </c:manualLayout>
              </c:layout>
              <c:tx>
                <c:rich>
                  <a:bodyPr/>
                  <a:lstStyle/>
                  <a:p>
                    <a:fld id="{269666df-329c-46ec-af15-edfe7c39e2cb}"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C-3D35-45BF-A51D-287A1D7850F8}"/>
                </c:ext>
              </c:extLst>
            </c:dLbl>
            <c:dLbl>
              <c:idx val="11"/>
              <c:layout>
                <c:manualLayout>
                  <c:x val="-0.034571175950486296"/>
                  <c:y val="0.030068457319476913"/>
                </c:manualLayout>
              </c:layout>
              <c:tx>
                <c:rich>
                  <a:bodyPr/>
                  <a:lstStyle/>
                  <a:p>
                    <a:fld id="{8a08f55f-6c3c-4e40-9815-f028b4026a4b}"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0-3D35-45BF-A51D-287A1D7850F8}"/>
                </c:ext>
              </c:extLst>
            </c:dLbl>
            <c:dLbl>
              <c:idx val="12"/>
              <c:layout>
                <c:manualLayout>
                  <c:x val="-0.016887709991158267"/>
                  <c:y val="0.030068457319476983"/>
                </c:manualLayout>
              </c:layout>
              <c:tx>
                <c:rich>
                  <a:bodyPr/>
                  <a:lstStyle/>
                  <a:p>
                    <a:fld id="{961bdb20-5c71-4bbe-9546-a4e0bab79a80}"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1-3D35-45BF-A51D-287A1D7850F8}"/>
                </c:ext>
              </c:extLst>
            </c:dLbl>
            <c:numFmt formatCode="General" sourceLinked="0"/>
            <c:spPr>
              <a:noFill/>
              <a:ln>
                <a:noFill/>
              </a:ln>
              <a:effectLst/>
            </c:spPr>
            <c:txPr>
              <a:bodyPr wrap="square" lIns="38100" tIns="19050" rIns="38100" bIns="19050" anchor="ctr">
                <a:spAutoFit/>
              </a:bodyPr>
              <a:lstStyle/>
              <a:p>
                <a:pPr>
                  <a:defRPr sz="800">
                    <a:latin typeface="Century Gothic" panose="020B0502020202020204" pitchFamily="34" charset="0"/>
                  </a:defRPr>
                </a:pPr>
                <a:endParaRPr lang="fr-FR"/>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xVal>
            <c:numRef>
              <c:f>(Simona!$H$227:$H$237,Simona!$H$239,Simona!$H$241)</c:f>
              <c:numCache>
                <c:formatCode>General</c:formatCode>
                <c:ptCount val="13"/>
                <c:pt idx="0">
                  <c:v>0.59673097772302819</c:v>
                </c:pt>
                <c:pt idx="1">
                  <c:v>0.3382588055705732</c:v>
                </c:pt>
                <c:pt idx="2" formatCode="0.000">
                  <c:v>0.30346799725711621</c:v>
                </c:pt>
                <c:pt idx="3" formatCode="0.000">
                  <c:v>0.27201471244792547</c:v>
                </c:pt>
                <c:pt idx="4" formatCode="0.000">
                  <c:v>0.38985269137590151</c:v>
                </c:pt>
                <c:pt idx="5" formatCode="0.000">
                  <c:v>0.30868389534381213</c:v>
                </c:pt>
                <c:pt idx="6" formatCode="0.000">
                  <c:v>0.30878103958383879</c:v>
                </c:pt>
                <c:pt idx="7" formatCode="0.000">
                  <c:v>0.33806412476145947</c:v>
                </c:pt>
                <c:pt idx="8" formatCode="0.000">
                  <c:v>0.28344842143352533</c:v>
                </c:pt>
                <c:pt idx="9" formatCode="0.000">
                  <c:v>0.28434183938920948</c:v>
                </c:pt>
                <c:pt idx="10" formatCode="0.000">
                  <c:v>0.24373412424567223</c:v>
                </c:pt>
                <c:pt idx="11" formatCode="0.000">
                  <c:v>0.34144833241473871</c:v>
                </c:pt>
                <c:pt idx="12" formatCode="0.000">
                  <c:v>0.2456661290494857</c:v>
                </c:pt>
              </c:numCache>
            </c:numRef>
          </c:xVal>
          <c:yVal>
            <c:numRef>
              <c:f>(Simona!$G$227:$G$237,Simona!$G$239,Simona!$G$241)</c:f>
              <c:numCache>
                <c:formatCode>General</c:formatCode>
                <c:ptCount val="13"/>
                <c:pt idx="0">
                  <c:v>0.39585124264794935</c:v>
                </c:pt>
                <c:pt idx="1">
                  <c:v>0.3816253191052621</c:v>
                </c:pt>
                <c:pt idx="2">
                  <c:v>0.35307334296260634</c:v>
                </c:pt>
                <c:pt idx="3">
                  <c:v>0.30453821067539483</c:v>
                </c:pt>
                <c:pt idx="4">
                  <c:v>0.2877484150631654</c:v>
                </c:pt>
                <c:pt idx="5">
                  <c:v>0.30868389534381213</c:v>
                </c:pt>
                <c:pt idx="6">
                  <c:v>0.3339876550600705</c:v>
                </c:pt>
                <c:pt idx="7">
                  <c:v>0.33490464695995048</c:v>
                </c:pt>
                <c:pt idx="8">
                  <c:v>0.29551005638814343</c:v>
                </c:pt>
                <c:pt idx="9">
                  <c:v>0.32971553716408336</c:v>
                </c:pt>
                <c:pt idx="10">
                  <c:v>0.28778245995272145</c:v>
                </c:pt>
                <c:pt idx="11">
                  <c:v>0.26616838511070179</c:v>
                </c:pt>
                <c:pt idx="12">
                  <c:v>0.27770953718637514</c:v>
                </c:pt>
              </c:numCache>
            </c:numRef>
          </c:yVal>
          <c:smooth val="0"/>
          <c:extLst>
            <c:ext xmlns:c15="http://schemas.microsoft.com/office/drawing/2012/chart" uri="{02D57815-91ED-43cb-92C2-25804820EDAC}">
              <c15:datalabelsRange>
                <c15:f>(Simona!$C$227:$C$237,Simona!$C$239,Simona!$C$241)</c15:f>
                <c15:dlblRange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15:dlblRangeCache>
              </c15:datalabelsRange>
            </c:ext>
            <c:ext xmlns:c="http://schemas.openxmlformats.org/drawingml/2006/chart" xmlns:c16="http://schemas.microsoft.com/office/drawing/2014/chart" uri="{C3380CC4-5D6E-409C-BE32-E72D297353CC}">
              <c16:uniqueId val="{0000000D-3D35-45BF-A51D-287A1D7850F8}"/>
            </c:ext>
          </c:extLst>
        </c:ser>
        <c:dLbls>
          <c:showLegendKey val="0"/>
          <c:showVal val="0"/>
          <c:showCatName val="0"/>
          <c:showSerName val="0"/>
          <c:showPercent val="0"/>
          <c:showBubbleSize val="0"/>
        </c:dLbls>
        <c:axId val="479328024"/>
        <c:axId val="479323712"/>
      </c:scatterChart>
      <c:valAx>
        <c:axId val="479328024"/>
        <c:scaling>
          <c:orientation val="minMax"/>
        </c:scaling>
        <c:delete val="0"/>
        <c:axPos val="b"/>
        <c:majorGridlines>
          <c:spPr>
            <a:ln w="9525">
              <a:solidFill>
                <a:schemeClr val="tx1">
                  <a:lumMod val="15000"/>
                  <a:lumOff val="85000"/>
                </a:schemeClr>
              </a:solidFill>
              <a:round/>
            </a:ln>
            <a:effectLst/>
          </c:spPr>
        </c:majorGridlines>
        <c:title>
          <c:tx>
            <c:rich>
              <a:bodyPr/>
              <a:lstStyle/>
              <a:p>
                <a:pPr>
                  <a:defRPr sz="800" b="1" i="0" u="none" strike="noStrike" baseline="0">
                    <a:solidFill>
                      <a:srgbClr val="333333"/>
                    </a:solidFill>
                    <a:latin typeface="Century Gothic"/>
                    <a:ea typeface="Century Gothic"/>
                    <a:cs typeface="Century Gothic"/>
                  </a:defRPr>
                </a:pPr>
                <a:r>
                  <a:rPr lang="it-IT" sz="800" b="1"/>
                  <a:t>CASUALTIES (people killed </a:t>
                </a:r>
                <a:r>
                  <a:rPr lang="it-IT" sz="800" b="1" baseline="0"/>
                  <a:t>or serious injured</a:t>
                </a:r>
                <a:r>
                  <a:rPr lang="it-IT" sz="800" b="1"/>
                  <a:t>)/Mln tr-km</a:t>
                </a:r>
              </a:p>
            </c:rich>
          </c:tx>
          <c:layout/>
          <c:overlay val="0"/>
          <c:spPr>
            <a:noFill/>
            <a:ln w="25400">
              <a:noFill/>
            </a:ln>
          </c:spPr>
        </c:title>
        <c:numFmt formatCode="General" sourceLinked="1"/>
        <c:majorTickMark val="none"/>
        <c:minorTickMark val="none"/>
        <c:tickLblPos val="nextTo"/>
        <c:spPr>
          <a:noFill/>
          <a:ln w="9525">
            <a:solidFill>
              <a:schemeClr val="tx1">
                <a:lumMod val="25000"/>
                <a:lumOff val="75000"/>
              </a:schemeClr>
            </a:solidFill>
            <a:round/>
          </a:ln>
          <a:effectLst/>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79323712"/>
        <c:crosses val="autoZero"/>
        <c:crossBetween val="midCat"/>
      </c:valAx>
      <c:valAx>
        <c:axId val="479323712"/>
        <c:scaling>
          <c:orientation val="minMax"/>
          <c:max val="0.45"/>
        </c:scaling>
        <c:delete val="0"/>
        <c:axPos val="l"/>
        <c:majorGridlines>
          <c:spPr>
            <a:ln w="9525">
              <a:solidFill>
                <a:schemeClr val="tx1">
                  <a:lumMod val="15000"/>
                  <a:lumOff val="85000"/>
                </a:schemeClr>
              </a:solidFill>
              <a:round/>
            </a:ln>
            <a:effectLst/>
          </c:spPr>
        </c:majorGridlines>
        <c:title>
          <c:tx>
            <c:rich>
              <a:bodyPr/>
              <a:lstStyle/>
              <a:p>
                <a:pPr>
                  <a:defRPr sz="800" b="0" i="0" u="none" strike="noStrike" baseline="0">
                    <a:solidFill>
                      <a:srgbClr val="333333"/>
                    </a:solidFill>
                    <a:latin typeface="Century Gothic"/>
                    <a:ea typeface="Century Gothic"/>
                    <a:cs typeface="Century Gothic"/>
                  </a:defRPr>
                </a:pPr>
                <a:r>
                  <a:rPr lang="it-IT" sz="800" b="1" i="0" u="none" strike="noStrike" baseline="0">
                    <a:effectLst/>
                  </a:rPr>
                  <a:t>SIGNIFICANT ACCIDENTS/MLN TR-KM</a:t>
                </a:r>
                <a:endParaRPr lang="it-IT" sz="800"/>
              </a:p>
            </c:rich>
          </c:tx>
          <c:layout/>
          <c:overlay val="0"/>
          <c:spPr>
            <a:solidFill>
              <a:sysClr val="window" lastClr="FFFFFF"/>
            </a:solidFill>
            <a:ln>
              <a:noFill/>
            </a:ln>
            <a:effectLst/>
          </c:spPr>
        </c:title>
        <c:numFmt formatCode="General" sourceLinked="1"/>
        <c:majorTickMark val="none"/>
        <c:minorTickMark val="none"/>
        <c:tickLblPos val="nextTo"/>
        <c:spPr>
          <a:noFill/>
          <a:ln w="9525">
            <a:solidFill>
              <a:schemeClr val="tx1">
                <a:lumMod val="25000"/>
                <a:lumOff val="75000"/>
              </a:schemeClr>
            </a:solidFill>
            <a:round/>
          </a:ln>
          <a:effectLst/>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79328024"/>
        <c:crosses val="autoZero"/>
        <c:crossBetween val="midCat"/>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it-IT" sz="800" b="1"/>
              <a:t>VITTIME AI PASSAGGI A LIVELLO</a:t>
            </a:r>
          </a:p>
          <a:p>
            <a:pPr>
              <a:defRPr sz="800" b="1"/>
            </a:pPr>
            <a:r>
              <a:rPr lang="it-IT" sz="800" b="1"/>
              <a:t>[Rete IT]</a:t>
            </a:r>
          </a:p>
        </c:rich>
      </c:tx>
      <c:layout>
        <c:manualLayout>
          <c:xMode val="edge"/>
          <c:yMode val="edge"/>
          <c:x val="0.32819541425246368"/>
          <c:y val="0.033560359095240487"/>
        </c:manualLayout>
      </c:layout>
      <c:overlay val="0"/>
      <c:spPr>
        <a:noFill/>
        <a:ln w="25400">
          <a:noFill/>
        </a:ln>
      </c:spPr>
    </c:title>
    <c:autoTitleDeleted val="0"/>
    <c:plotArea>
      <c:layout>
        <c:manualLayout>
          <c:layoutTarget val="inner"/>
          <c:xMode val="edge"/>
          <c:yMode val="edge"/>
          <c:x val="0.069358705161854772"/>
          <c:y val="0.13691827314689112"/>
          <c:w val="0.90286351706036749"/>
          <c:h val="0.77170988324735268"/>
        </c:manualLayout>
      </c:layout>
      <c:lineChart>
        <c:grouping val="standard"/>
        <c:varyColors val="0"/>
        <c:ser>
          <c:idx val="2"/>
          <c:order val="0"/>
          <c:tx>
            <c:v>Vittime ai PL</c:v>
          </c:tx>
          <c:spPr>
            <a:ln w="25400" cap="rnd">
              <a:solidFill>
                <a:srgbClr val="00B050"/>
              </a:solidFill>
              <a:round/>
            </a:ln>
            <a:effectLst/>
          </c:spPr>
          <c:marker>
            <c:symbol val="square"/>
            <c:size val="5"/>
            <c:spPr>
              <a:solidFill>
                <a:srgbClr val="F79646"/>
              </a:solidFill>
              <a:ln>
                <a:noFill/>
              </a:ln>
            </c:spPr>
          </c:marker>
          <c:dLbls>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25400">
                <a:solidFill>
                  <a:srgbClr val="FFC000"/>
                </a:solidFill>
                <a:prstDash val="sysDot"/>
              </a:ln>
            </c:spPr>
            <c:trendlineType val="linear"/>
            <c:dispRSqr val="0"/>
            <c:dispEq val="0"/>
          </c:trendline>
          <c:cat>
            <c:numRef>
              <c:f>Simona!$B$198:$B$208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Simona!$F$198:$F$208</c:f>
              <c:numCache>
                <c:formatCode>General</c:formatCode>
                <c:ptCount val="11"/>
                <c:pt idx="0">
                  <c:v>18</c:v>
                </c:pt>
                <c:pt idx="1">
                  <c:v>8</c:v>
                </c:pt>
                <c:pt idx="2">
                  <c:v>5</c:v>
                </c:pt>
                <c:pt idx="3">
                  <c:v>15</c:v>
                </c:pt>
                <c:pt idx="4">
                  <c:v>18</c:v>
                </c:pt>
                <c:pt idx="5">
                  <c:v>22</c:v>
                </c:pt>
                <c:pt idx="6">
                  <c:v>17</c:v>
                </c:pt>
                <c:pt idx="7">
                  <c:v>16</c:v>
                </c:pt>
                <c:pt idx="8">
                  <c:v>16</c:v>
                </c:pt>
                <c:pt idx="9">
                  <c:v>13</c:v>
                </c:pt>
                <c:pt idx="10">
                  <c:v>12</c:v>
                </c:pt>
              </c:numCache>
            </c:numRef>
          </c:val>
          <c:smooth val="0"/>
          <c:extLst>
            <c:ext xmlns:c="http://schemas.openxmlformats.org/drawingml/2006/chart" xmlns:c16="http://schemas.microsoft.com/office/drawing/2014/chart" uri="{C3380CC4-5D6E-409C-BE32-E72D297353CC}">
              <c16:uniqueId val="{00000000-A193-4E43-8D03-C4C1C5AE745D}"/>
            </c:ext>
          </c:extLst>
        </c:ser>
        <c:ser>
          <c:idx val="0"/>
          <c:order val="1"/>
          <c:tx>
            <c:v>media</c:v>
          </c:tx>
          <c:spPr>
            <a:ln w="19050">
              <a:solidFill>
                <a:srgbClr val="FF0000"/>
              </a:solidFill>
              <a:prstDash val="sysDash"/>
            </a:ln>
          </c:spPr>
          <c:marker>
            <c:symbol val="none"/>
          </c:marker>
          <c:cat>
            <c:numRef>
              <c:f>Simona!$B$198:$B$208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Simona!$G$198:$G$208</c:f>
              <c:numCache>
                <c:formatCode>General</c:formatCode>
                <c:ptCount val="11"/>
                <c:pt idx="0">
                  <c:v>16.833333333333332</c:v>
                </c:pt>
                <c:pt idx="1">
                  <c:v>16.833333333333332</c:v>
                </c:pt>
                <c:pt idx="2">
                  <c:v>16.833333333333332</c:v>
                </c:pt>
                <c:pt idx="3">
                  <c:v>16.833333333333332</c:v>
                </c:pt>
                <c:pt idx="4">
                  <c:v>16.833333333333332</c:v>
                </c:pt>
                <c:pt idx="5">
                  <c:v>16.833333333333332</c:v>
                </c:pt>
                <c:pt idx="6">
                  <c:v>16.833333333333332</c:v>
                </c:pt>
                <c:pt idx="7">
                  <c:v>16.833333333333332</c:v>
                </c:pt>
                <c:pt idx="8">
                  <c:v>16.833333333333332</c:v>
                </c:pt>
                <c:pt idx="9">
                  <c:v>16.833333333333332</c:v>
                </c:pt>
                <c:pt idx="10">
                  <c:v>16.833333333333332</c:v>
                </c:pt>
              </c:numCache>
            </c:numRef>
          </c:val>
          <c:smooth val="0"/>
          <c:extLst>
            <c:ext xmlns:c="http://schemas.openxmlformats.org/drawingml/2006/chart" xmlns:c16="http://schemas.microsoft.com/office/drawing/2014/chart" uri="{C3380CC4-5D6E-409C-BE32-E72D297353CC}">
              <c16:uniqueId val="{00000001-A193-4E43-8D03-C4C1C5AE745D}"/>
            </c:ext>
          </c:extLst>
        </c:ser>
        <c:dLbls>
          <c:showLegendKey val="0"/>
          <c:showVal val="0"/>
          <c:showCatName val="0"/>
          <c:showSerName val="0"/>
          <c:showPercent val="0"/>
          <c:showBubbleSize val="0"/>
        </c:dLbls>
        <c:marker val="1"/>
        <c:smooth val="0"/>
        <c:axId val="481883944"/>
        <c:axId val="481886296"/>
      </c:lineChart>
      <c:catAx>
        <c:axId val="4818839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800"/>
            </a:pPr>
            <a:endParaRPr lang="fr-FR"/>
          </a:p>
        </c:txPr>
        <c:crossAx val="481886296"/>
        <c:crosses val="autoZero"/>
        <c:auto val="1"/>
        <c:lblAlgn val="ctr"/>
        <c:lblOffset val="100"/>
        <c:noMultiLvlLbl val="0"/>
      </c:catAx>
      <c:valAx>
        <c:axId val="4818862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a:pPr>
            <a:endParaRPr lang="fr-FR"/>
          </a:p>
        </c:txPr>
        <c:crossAx val="481883944"/>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700" b="0" i="0" u="none" strike="noStrike" baseline="0">
          <a:solidFill>
            <a:srgbClr val="000000"/>
          </a:solidFill>
          <a:latin typeface="Century Gothic"/>
          <a:ea typeface="Century Gothic"/>
          <a:cs typeface="Century Gothic"/>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VITTIME/Mln tr-km</a:t>
            </a:r>
          </a:p>
          <a:p>
            <a:pPr>
              <a:defRPr sz="10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SALITA/DISCESA DA MATERIALE ROTABILE IN MOVIMENTO</a:t>
            </a:r>
          </a:p>
          <a:p>
            <a:pPr>
              <a:defRPr sz="10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[Rete IT]</a:t>
            </a:r>
          </a:p>
        </c:rich>
      </c:tx>
      <c:layout>
        <c:manualLayout>
          <c:xMode val="edge"/>
          <c:yMode val="edge"/>
          <c:x val="0.21280198053845889"/>
          <c:y val="0.0088593576965669985"/>
        </c:manualLayout>
      </c:layout>
      <c:overlay val="0"/>
      <c:spPr>
        <a:noFill/>
        <a:ln w="25400">
          <a:noFill/>
        </a:ln>
      </c:spPr>
    </c:title>
    <c:autoTitleDeleted val="0"/>
    <c:plotArea>
      <c:layout>
        <c:manualLayout>
          <c:layoutTarget val="inner"/>
          <c:xMode val="edge"/>
          <c:yMode val="edge"/>
          <c:x val="0.069358705161854772"/>
          <c:y val="0.13691827314689112"/>
          <c:w val="0.90286351706036749"/>
          <c:h val="0.77170988324735268"/>
        </c:manualLayout>
      </c:layout>
      <c:lineChart>
        <c:grouping val="standard"/>
        <c:varyColors val="0"/>
        <c:ser>
          <c:idx val="2"/>
          <c:order val="0"/>
          <c:tx>
            <c:v>(5)</c:v>
          </c:tx>
          <c:spPr>
            <a:ln w="28575" cap="rnd">
              <a:solidFill>
                <a:srgbClr val="0070C0"/>
              </a:solidFill>
              <a:round/>
            </a:ln>
            <a:effectLst/>
          </c:spPr>
          <c:marker>
            <c:symbol val="square"/>
            <c:size val="5"/>
            <c:spPr>
              <a:solidFill>
                <a:srgbClr val="F79646"/>
              </a:solidFill>
              <a:ln>
                <a:noFill/>
              </a:ln>
            </c:spPr>
          </c:marker>
          <c:dPt>
            <c:idx val="11"/>
            <c:bubble3D val="0"/>
            <c:spPr>
              <a:ln w="28575" cap="rnd">
                <a:solidFill>
                  <a:srgbClr val="0070C0"/>
                </a:solidFill>
                <a:prstDash val="sysDash"/>
                <a:round/>
              </a:ln>
              <a:effectLst/>
            </c:spPr>
            <c:extLst>
              <c:ext xmlns:c="http://schemas.openxmlformats.org/drawingml/2006/chart" xmlns:c16="http://schemas.microsoft.com/office/drawing/2014/chart" uri="{C3380CC4-5D6E-409C-BE32-E72D297353CC}">
                <c16:uniqueId val="{00000001-E655-4B29-8CF9-F457C2960789}"/>
              </c:ext>
            </c:extLst>
          </c:dPt>
          <c:dLbls>
            <c:dLbl>
              <c:idx val="0"/>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(14)</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2-E655-4B29-8CF9-F457C2960789}"/>
                </c:ext>
              </c:extLst>
            </c:dLbl>
            <c:dLbl>
              <c:idx val="1"/>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(9)</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3-E655-4B29-8CF9-F457C2960789}"/>
                </c:ext>
              </c:extLst>
            </c:dLbl>
            <c:dLbl>
              <c:idx val="2"/>
              <c:layout>
                <c:manualLayout>
                  <c:x val="0.62008733624454149"/>
                  <c:y val="0.46068660022148389"/>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E655-4B29-8CF9-F457C2960789}"/>
                </c:ext>
              </c:extLst>
            </c:dLbl>
            <c:dLbl>
              <c:idx val="3"/>
              <c:layout>
                <c:manualLayout>
                  <c:x val="-0.096069868995633245"/>
                  <c:y val="-0.12403100775193801"/>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(15)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E655-4B29-8CF9-F457C2960789}"/>
                </c:ext>
              </c:extLst>
            </c:dLbl>
            <c:dLbl>
              <c:idx val="4"/>
              <c:layout>
                <c:manualLayout>
                  <c:x val="-0.087336244541484712"/>
                  <c:y val="-0.53156146179402"/>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(13)</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E655-4B29-8CF9-F457C2960789}"/>
                </c:ext>
              </c:extLst>
            </c:dLbl>
            <c:dLbl>
              <c:idx val="5"/>
              <c:layout>
                <c:manualLayout>
                  <c:x val="-0.10625898291097893"/>
                  <c:y val="0.13067552602436322"/>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(2)</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manualLayout>
                      <c:w val="0.058369723435225611"/>
                      <c:h val="0.055747682702452894"/>
                    </c:manualLayout>
                  </c15:layout>
                </c:ext>
                <c:ext xmlns:c="http://schemas.openxmlformats.org/drawingml/2006/chart" xmlns:c16="http://schemas.microsoft.com/office/drawing/2014/chart" uri="{C3380CC4-5D6E-409C-BE32-E72D297353CC}">
                  <c16:uniqueId val="{00000007-E655-4B29-8CF9-F457C2960789}"/>
                </c:ext>
              </c:extLst>
            </c:dLbl>
            <c:dLbl>
              <c:idx val="6"/>
              <c:layout>
                <c:manualLayout>
                  <c:x val="-0.12518195050946143"/>
                  <c:y val="-0.0044296788482834993"/>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(4)</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E655-4B29-8CF9-F457C2960789}"/>
                </c:ext>
              </c:extLst>
            </c:dLbl>
            <c:dLbl>
              <c:idx val="7"/>
              <c:layout>
                <c:manualLayout>
                  <c:x val="-0.11644832605531295"/>
                  <c:y val="-0.17275747508305656"/>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(5)</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E655-4B29-8CF9-F457C2960789}"/>
                </c:ext>
              </c:extLst>
            </c:dLbl>
            <c:dLbl>
              <c:idx val="8"/>
              <c:layout>
                <c:manualLayout>
                  <c:x val="-0.093158660844250368"/>
                  <c:y val="0.28792912513842744"/>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(2)</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E655-4B29-8CF9-F457C2960789}"/>
                </c:ext>
              </c:extLst>
            </c:dLbl>
            <c:dLbl>
              <c:idx val="9"/>
              <c:layout>
                <c:manualLayout>
                  <c:x val="-0.1106259097525472"/>
                  <c:y val="-0.292358803986711"/>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(8)</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E655-4B29-8CF9-F457C2960789}"/>
                </c:ext>
              </c:extLst>
            </c:dLbl>
            <c:dLbl>
              <c:idx val="10"/>
              <c:layout>
                <c:manualLayout>
                  <c:x val="-0.11062590975254731"/>
                  <c:y val="0.12403100775193798"/>
                </c:manualLayout>
              </c:layout>
              <c:tx>
                <c:rich>
                  <a:bodyPr/>
                  <a:lstStyle/>
                  <a:p>
                    <a:pPr>
                      <a:defRPr sz="700" b="1" i="0" u="none" strike="noStrike" baseline="0">
                        <a:solidFill>
                          <a:srgbClr val="000000"/>
                        </a:solidFill>
                        <a:latin typeface="Century Gothic" panose="020B0502020202020204" pitchFamily="34" charset="0"/>
                        <a:ea typeface="Calibri"/>
                        <a:cs typeface="Calibri"/>
                      </a:defRPr>
                    </a:pPr>
                    <a:r>
                      <a:rPr lang="en-US" sz="700" b="1">
                        <a:latin typeface="Century Gothic" panose="020B0502020202020204" pitchFamily="34" charset="0"/>
                      </a:rPr>
                      <a:t>(3)</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E655-4B29-8CF9-F457C2960789}"/>
                </c:ext>
              </c:extLst>
            </c:dLbl>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trendline>
            <c:spPr>
              <a:ln w="25400">
                <a:solidFill>
                  <a:srgbClr val="FFC000"/>
                </a:solidFill>
                <a:prstDash val="sysDot"/>
              </a:ln>
            </c:spPr>
            <c:trendlineType val="linear"/>
            <c:dispRSqr val="0"/>
            <c:dispEq val="0"/>
          </c:trendline>
          <c:cat>
            <c:numRef>
              <c:f>'salita discesa'!$H$49:$H$59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'salita discesa'!$M$49:$M$59</c:f>
              <c:numCache>
                <c:formatCode>General</c:formatCode>
                <c:ptCount val="11"/>
                <c:pt idx="0">
                  <c:v>0.04085146116922718</c:v>
                </c:pt>
                <c:pt idx="1">
                  <c:v>0.026610134913384011</c:v>
                </c:pt>
                <c:pt idx="2">
                  <c:v>0.046411034687607322</c:v>
                </c:pt>
                <c:pt idx="3">
                  <c:v>0.040128906394695574</c:v>
                </c:pt>
                <c:pt idx="4">
                  <c:v>0.0063016538690579341</c:v>
                </c:pt>
                <c:pt idx="5">
                  <c:v>0.012637911206035867</c:v>
                </c:pt>
                <c:pt idx="6">
                  <c:v>0.015077043693272623</c:v>
                </c:pt>
                <c:pt idx="7">
                  <c:v>0.0060498263699831807</c:v>
                </c:pt>
                <c:pt idx="8">
                  <c:v>0.023492445710426239</c:v>
                </c:pt>
                <c:pt idx="9">
                  <c:v>0.0080640175473021825</c:v>
                </c:pt>
                <c:pt idx="10">
                  <c:v>0.013317849114096676</c:v>
                </c:pt>
              </c:numCache>
            </c:numRef>
          </c:val>
          <c:smooth val="0"/>
          <c:extLst>
            <c:ext xmlns:c="http://schemas.openxmlformats.org/drawingml/2006/chart" xmlns:c16="http://schemas.microsoft.com/office/drawing/2014/chart" uri="{C3380CC4-5D6E-409C-BE32-E72D297353CC}">
              <c16:uniqueId val="{0000000D-E655-4B29-8CF9-F457C2960789}"/>
            </c:ext>
          </c:extLst>
        </c:ser>
        <c:ser>
          <c:idx val="0"/>
          <c:order val="1"/>
          <c:spPr>
            <a:ln w="19050">
              <a:solidFill>
                <a:srgbClr val="FF0000"/>
              </a:solidFill>
              <a:prstDash val="sysDash"/>
            </a:ln>
          </c:spPr>
          <c:marker>
            <c:symbol val="none"/>
          </c:marker>
          <c:cat>
            <c:numRef>
              <c:f>'salita discesa'!$H$49:$H$59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'salita discesa'!$N$49:$N$59</c:f>
              <c:numCache>
                <c:formatCode>General</c:formatCode>
                <c:ptCount val="11"/>
                <c:pt idx="0">
                  <c:v>0.024489433484919</c:v>
                </c:pt>
                <c:pt idx="1">
                  <c:v>0.024489433484919</c:v>
                </c:pt>
                <c:pt idx="2">
                  <c:v>0.024489433484919</c:v>
                </c:pt>
                <c:pt idx="3">
                  <c:v>0.024489433484919</c:v>
                </c:pt>
                <c:pt idx="4">
                  <c:v>0.024489433484919</c:v>
                </c:pt>
                <c:pt idx="5">
                  <c:v>0.024489433484919</c:v>
                </c:pt>
                <c:pt idx="6">
                  <c:v>0.024489433484919</c:v>
                </c:pt>
                <c:pt idx="7">
                  <c:v>0.024489433484919</c:v>
                </c:pt>
                <c:pt idx="8">
                  <c:v>0.024489433484919</c:v>
                </c:pt>
                <c:pt idx="9">
                  <c:v>0.024489433484919</c:v>
                </c:pt>
                <c:pt idx="10">
                  <c:v>0.024489433484919</c:v>
                </c:pt>
              </c:numCache>
            </c:numRef>
          </c:val>
          <c:smooth val="0"/>
          <c:extLst>
            <c:ext xmlns:c="http://schemas.openxmlformats.org/drawingml/2006/chart" xmlns:c16="http://schemas.microsoft.com/office/drawing/2014/chart" uri="{C3380CC4-5D6E-409C-BE32-E72D297353CC}">
              <c16:uniqueId val="{0000000E-E655-4B29-8CF9-F457C2960789}"/>
            </c:ext>
          </c:extLst>
        </c:ser>
        <c:dLbls>
          <c:showLegendKey val="0"/>
          <c:showVal val="0"/>
          <c:showCatName val="0"/>
          <c:showSerName val="0"/>
          <c:showPercent val="0"/>
          <c:showBubbleSize val="0"/>
        </c:dLbls>
        <c:marker val="1"/>
        <c:smooth val="0"/>
        <c:axId val="481884336"/>
        <c:axId val="481881984"/>
      </c:lineChart>
      <c:catAx>
        <c:axId val="4818843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800" b="0" i="0" u="none" strike="noStrike" baseline="0">
                <a:solidFill>
                  <a:srgbClr val="333333"/>
                </a:solidFill>
                <a:latin typeface="Century Gothic" panose="020B0502020202020204" pitchFamily="34" charset="0"/>
                <a:ea typeface="Calibri"/>
                <a:cs typeface="Calibri"/>
              </a:defRPr>
            </a:pPr>
            <a:endParaRPr lang="fr-FR"/>
          </a:p>
        </c:txPr>
        <c:crossAx val="481881984"/>
        <c:crosses val="autoZero"/>
        <c:auto val="1"/>
        <c:lblAlgn val="ctr"/>
        <c:lblOffset val="100"/>
        <c:noMultiLvlLbl val="0"/>
      </c:catAx>
      <c:valAx>
        <c:axId val="4818819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884336"/>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a:ea typeface="Century Gothic"/>
                <a:cs typeface="Century Gothic"/>
              </a:defRPr>
            </a:pPr>
            <a:r>
              <a:rPr lang="it-IT" sz="800" b="1"/>
              <a:t>INCIDENTI SIGNIFICATIVI NEI CANTIERI DI LAVORO</a:t>
            </a:r>
          </a:p>
          <a:p>
            <a:pPr>
              <a:defRPr sz="800" b="1" i="0" u="none" strike="noStrike" baseline="0">
                <a:solidFill>
                  <a:srgbClr val="000000"/>
                </a:solidFill>
                <a:latin typeface="Century Gothic"/>
                <a:ea typeface="Century Gothic"/>
                <a:cs typeface="Century Gothic"/>
              </a:defRPr>
            </a:pPr>
            <a:r>
              <a:rPr lang="it-IT" sz="800" b="1"/>
              <a:t>[Rete IT]</a:t>
            </a:r>
          </a:p>
        </c:rich>
      </c:tx>
      <c:layout>
        <c:manualLayout>
          <c:xMode val="edge"/>
          <c:yMode val="edge"/>
          <c:x val="0.239170800115682"/>
          <c:y val="0.02035250678410961"/>
        </c:manualLayout>
      </c:layout>
      <c:overlay val="0"/>
    </c:title>
    <c:autoTitleDeleted val="0"/>
    <c:plotArea>
      <c:layout>
        <c:manualLayout>
          <c:layoutTarget val="inner"/>
          <c:xMode val="edge"/>
          <c:yMode val="edge"/>
          <c:x val="0.080245797677657174"/>
          <c:y val="0.15808891580860085"/>
          <c:w val="0.88676989340829437"/>
          <c:h val="0.76008560468402986"/>
        </c:manualLayout>
      </c:layout>
      <c:barChart>
        <c:barDir val="col"/>
        <c:grouping val="clustered"/>
        <c:varyColors val="0"/>
        <c:ser>
          <c:idx val="0"/>
          <c:order val="0"/>
          <c:spPr>
            <a:solidFill>
              <a:srgbClr val="0070C0"/>
            </a:solidFill>
            <a:ln>
              <a:solidFill>
                <a:srgbClr val="0070C0"/>
              </a:solidFill>
            </a:ln>
          </c:spPr>
          <c:invertIfNegative val="0"/>
          <c:dPt>
            <c:idx val="5"/>
            <c:invertIfNegative val="0"/>
            <c:bubble3D val="0"/>
            <c:spPr>
              <a:solidFill>
                <a:srgbClr val="0070C0"/>
              </a:solidFill>
              <a:ln>
                <a:solidFill>
                  <a:srgbClr val="0070C0"/>
                </a:solidFill>
              </a:ln>
            </c:spPr>
            <c:extLst>
              <c:ext xmlns:c="http://schemas.openxmlformats.org/drawingml/2006/chart" xmlns:c16="http://schemas.microsoft.com/office/drawing/2014/chart" uri="{C3380CC4-5D6E-409C-BE32-E72D297353CC}">
                <c16:uniqueId val="{00000001-B8F8-4E93-A5BF-DF9676DFD3D6}"/>
              </c:ext>
            </c:extLst>
          </c:dPt>
          <c:dPt>
            <c:idx val="6"/>
            <c:invertIfNegative val="0"/>
            <c:bubble3D val="0"/>
            <c:spPr>
              <a:solidFill>
                <a:srgbClr val="0070C0"/>
              </a:solidFill>
              <a:ln w="19050">
                <a:solidFill>
                  <a:srgbClr val="0070C0"/>
                </a:solidFill>
              </a:ln>
            </c:spPr>
            <c:extLst>
              <c:ext xmlns:c="http://schemas.openxmlformats.org/drawingml/2006/chart" xmlns:c16="http://schemas.microsoft.com/office/drawing/2014/chart" uri="{C3380CC4-5D6E-409C-BE32-E72D297353CC}">
                <c16:uniqueId val="{00000003-B8F8-4E93-A5BF-DF9676DFD3D6}"/>
              </c:ext>
            </c:extLst>
          </c:dPt>
          <c:dPt>
            <c:idx val="8"/>
            <c:invertIfNegative val="0"/>
            <c:bubble3D val="0"/>
            <c:spPr>
              <a:solidFill>
                <a:srgbClr val="0070C0"/>
              </a:solidFill>
              <a:ln w="28575">
                <a:solidFill>
                  <a:srgbClr val="0070C0"/>
                </a:solidFill>
              </a:ln>
            </c:spPr>
            <c:extLst>
              <c:ext xmlns:c="http://schemas.openxmlformats.org/drawingml/2006/chart" xmlns:c16="http://schemas.microsoft.com/office/drawing/2014/chart" uri="{C3380CC4-5D6E-409C-BE32-E72D297353CC}">
                <c16:uniqueId val="{00000005-B8F8-4E93-A5BF-DF9676DFD3D6}"/>
              </c:ext>
            </c:extLst>
          </c:dPt>
          <c:dLbls>
            <c:spPr>
              <a:noFill/>
              <a:ln w="25400">
                <a:noFill/>
              </a:ln>
            </c:spPr>
            <c:txPr>
              <a:bodyPr wrap="square" lIns="38100" tIns="19050" rIns="38100" bIns="19050" anchor="ctr">
                <a:spAutoFit/>
              </a:bodyPr>
              <a:lstStyle/>
              <a:p>
                <a:pPr>
                  <a:defRPr sz="800" b="1" i="0" u="none" strike="noStrike" baseline="0">
                    <a:solidFill>
                      <a:srgbClr val="000000"/>
                    </a:solidFill>
                    <a:latin typeface="Century Gothic"/>
                    <a:ea typeface="Century Gothic"/>
                    <a:cs typeface="Century Gothic"/>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5400">
                <a:solidFill>
                  <a:srgbClr val="F79646"/>
                </a:solidFill>
                <a:prstDash val="sysDot"/>
              </a:ln>
            </c:spPr>
            <c:trendlineType val="linear"/>
            <c:dispRSqr val="0"/>
            <c:dispEq val="0"/>
          </c:trendline>
          <c:cat>
            <c:numRef>
              <c:f>Cantieri!$B$5:$B$15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Cantieri!$C$5:$C$15</c:f>
              <c:numCache>
                <c:formatCode>General</c:formatCode>
                <c:ptCount val="11"/>
                <c:pt idx="0">
                  <c:v>3</c:v>
                </c:pt>
                <c:pt idx="1">
                  <c:v>4</c:v>
                </c:pt>
                <c:pt idx="2">
                  <c:v>8</c:v>
                </c:pt>
                <c:pt idx="3">
                  <c:v>5</c:v>
                </c:pt>
                <c:pt idx="4">
                  <c:v>1</c:v>
                </c:pt>
                <c:pt idx="5">
                  <c:v>3</c:v>
                </c:pt>
                <c:pt idx="6">
                  <c:v>0</c:v>
                </c:pt>
                <c:pt idx="7">
                  <c:v>1</c:v>
                </c:pt>
                <c:pt idx="8">
                  <c:v>0</c:v>
                </c:pt>
                <c:pt idx="9">
                  <c:v>1</c:v>
                </c:pt>
                <c:pt idx="10">
                  <c:v>1</c:v>
                </c:pt>
              </c:numCache>
            </c:numRef>
          </c:val>
          <c:extLst>
            <c:ext xmlns:c="http://schemas.openxmlformats.org/drawingml/2006/chart" xmlns:c16="http://schemas.microsoft.com/office/drawing/2014/chart" uri="{C3380CC4-5D6E-409C-BE32-E72D297353CC}">
              <c16:uniqueId val="{00000006-B8F8-4E93-A5BF-DF9676DFD3D6}"/>
            </c:ext>
          </c:extLst>
        </c:ser>
        <c:dLbls>
          <c:showLegendKey val="0"/>
          <c:showVal val="0"/>
          <c:showCatName val="0"/>
          <c:showSerName val="0"/>
          <c:showPercent val="0"/>
          <c:showBubbleSize val="0"/>
        </c:dLbls>
        <c:gapWidth val="150"/>
        <c:axId val="481882376"/>
        <c:axId val="481889432"/>
      </c:barChart>
      <c:catAx>
        <c:axId val="48188237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Century Gothic"/>
                <a:ea typeface="Century Gothic"/>
                <a:cs typeface="Century Gothic"/>
              </a:defRPr>
            </a:pPr>
            <a:endParaRPr lang="fr-FR"/>
          </a:p>
        </c:txPr>
        <c:crossAx val="481889432"/>
        <c:crosses val="autoZero"/>
        <c:auto val="1"/>
        <c:lblAlgn val="ctr"/>
        <c:lblOffset val="100"/>
        <c:noMultiLvlLbl val="0"/>
      </c:catAx>
      <c:valAx>
        <c:axId val="481889432"/>
        <c:scaling>
          <c:orientation val="minMax"/>
          <c:min val="0"/>
        </c:scaling>
        <c:delete val="0"/>
        <c:axPos val="l"/>
        <c:majorGridlines>
          <c:spPr>
            <a:ln>
              <a:solidFill>
                <a:schemeClr val="bg1">
                  <a:lumMod val="85000"/>
                </a:schemeClr>
              </a:solidFill>
            </a:ln>
          </c:spPr>
        </c:majorGridlines>
        <c:numFmt formatCode="General" sourceLinked="1"/>
        <c:majorTickMark val="out"/>
        <c:minorTickMark val="none"/>
        <c:tickLblPos val="nextTo"/>
        <c:txPr>
          <a:bodyPr rot="0" vert="horz"/>
          <a:lstStyle/>
          <a:p>
            <a:pPr>
              <a:defRPr sz="700" b="0" i="0" u="none" strike="noStrike" baseline="0">
                <a:solidFill>
                  <a:srgbClr val="000000"/>
                </a:solidFill>
                <a:latin typeface="Century Gothic"/>
                <a:ea typeface="Century Gothic"/>
                <a:cs typeface="Century Gothic"/>
              </a:defRPr>
            </a:pPr>
            <a:endParaRPr lang="fr-FR"/>
          </a:p>
        </c:txPr>
        <c:crossAx val="481882376"/>
        <c:crosses val="autoZero"/>
        <c:crossBetween val="between"/>
      </c:valAx>
    </c:plotArea>
    <c:plotVisOnly val="1"/>
    <c:dispBlanksAs val="gap"/>
    <c:showDLblsOverMax val="0"/>
  </c:chart>
  <c:spPr>
    <a:ln>
      <a:solidFill>
        <a:schemeClr val="bg1">
          <a:lumMod val="85000"/>
        </a:schemeClr>
      </a:solidFill>
    </a:ln>
  </c:spPr>
  <c:txPr>
    <a:bodyPr/>
    <a:lstStyle/>
    <a:p>
      <a:pPr>
        <a:defRPr sz="700" b="0" i="0" u="none" strike="noStrike" baseline="0">
          <a:solidFill>
            <a:srgbClr val="000000"/>
          </a:solidFill>
          <a:latin typeface="Century Gothic"/>
          <a:ea typeface="Century Gothic"/>
          <a:cs typeface="Century Gothic"/>
        </a:defRPr>
      </a:pPr>
      <a:endParaRPr lang="fr-F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it-IT" sz="800" b="1" dirty="0" smtClean="0"/>
              <a:t>VITTIME/Mln</a:t>
            </a:r>
            <a:r>
              <a:rPr lang="it-IT" sz="800" b="1" baseline="0" dirty="0" smtClean="0"/>
              <a:t> </a:t>
            </a:r>
            <a:r>
              <a:rPr lang="it-IT" sz="800" b="1" baseline="0" dirty="0" err="1" smtClean="0"/>
              <a:t>tr</a:t>
            </a:r>
            <a:r>
              <a:rPr lang="it-IT" sz="800" b="1" baseline="0" dirty="0" smtClean="0"/>
              <a:t>-km</a:t>
            </a:r>
          </a:p>
          <a:p>
            <a:pPr>
              <a:defRPr sz="800" b="1"/>
            </a:pPr>
            <a:r>
              <a:rPr lang="it-IT" sz="800" b="1" baseline="0" dirty="0" smtClean="0"/>
              <a:t>INVESTIMENTI DI PERSONALE OPERANTE NEI CANTIERI DI LAVORO</a:t>
            </a:r>
          </a:p>
          <a:p>
            <a:pPr>
              <a:defRPr sz="800" b="1"/>
            </a:pPr>
            <a:r>
              <a:rPr lang="it-IT" sz="800" b="1" dirty="0" smtClean="0"/>
              <a:t>[</a:t>
            </a:r>
            <a:r>
              <a:rPr lang="it-IT" sz="800" b="1" dirty="0"/>
              <a:t>R</a:t>
            </a:r>
            <a:r>
              <a:rPr lang="it-IT" sz="800" b="1" dirty="0" smtClean="0"/>
              <a:t>ete</a:t>
            </a:r>
            <a:r>
              <a:rPr lang="it-IT" sz="800" b="1" baseline="0" dirty="0" smtClean="0"/>
              <a:t> IT</a:t>
            </a:r>
            <a:r>
              <a:rPr lang="it-IT" sz="800" b="1" baseline="0" dirty="0"/>
              <a:t>]</a:t>
            </a:r>
            <a:endParaRPr lang="it-IT" sz="800" b="1" dirty="0"/>
          </a:p>
        </c:rich>
      </c:tx>
      <c:layout>
        <c:manualLayout>
          <c:xMode val="edge"/>
          <c:yMode val="edge"/>
          <c:x val="0.14301510251108551"/>
          <c:y val="0.019557721309860329"/>
        </c:manualLayout>
      </c:layout>
      <c:overlay val="0"/>
      <c:spPr>
        <a:ln>
          <a:noFill/>
        </a:ln>
      </c:spPr>
    </c:title>
    <c:autoTitleDeleted val="0"/>
    <c:plotArea>
      <c:layout>
        <c:manualLayout>
          <c:layoutTarget val="inner"/>
          <c:xMode val="edge"/>
          <c:yMode val="edge"/>
          <c:x val="0.13624458223941141"/>
          <c:y val="0.24936719892689063"/>
          <c:w val="0.80184278923096"/>
          <c:h val="0.65715589728829593"/>
        </c:manualLayout>
      </c:layout>
      <c:lineChart>
        <c:grouping val="standard"/>
        <c:varyColors val="0"/>
        <c:ser>
          <c:idx val="0"/>
          <c:order val="0"/>
          <c:tx>
            <c:strRef>
              <c:f>'INCIDENTI NEI CANTIERI'!$X$59</c:f>
              <c:strCache>
                <c:ptCount val="1"/>
                <c:pt idx="0">
                  <c:v>morti+ feriti gravi /mln trkm</c:v>
                </c:pt>
              </c:strCache>
            </c:strRef>
          </c:tx>
          <c:spPr>
            <a:ln w="25400">
              <a:solidFill>
                <a:srgbClr val="008000"/>
              </a:solidFill>
            </a:ln>
          </c:spPr>
          <c:marker>
            <c:symbol val="square"/>
            <c:size val="5"/>
            <c:spPr>
              <a:solidFill>
                <a:srgbClr val="FA6F06"/>
              </a:solidFill>
              <a:ln>
                <a:noFill/>
              </a:ln>
            </c:spPr>
          </c:marker>
          <c:dPt>
            <c:idx val="5"/>
            <c:bubble3D val="0"/>
            <c:spPr>
              <a:ln w="25400">
                <a:solidFill>
                  <a:srgbClr val="008000"/>
                </a:solidFill>
              </a:ln>
            </c:spPr>
            <c:extLst>
              <c:ext xmlns:c="http://schemas.openxmlformats.org/drawingml/2006/chart" xmlns:c16="http://schemas.microsoft.com/office/drawing/2014/chart" uri="{C3380CC4-5D6E-409C-BE32-E72D297353CC}">
                <c16:uniqueId val="{00000001-47F5-4A09-916D-53B7544F6F6A}"/>
              </c:ext>
            </c:extLst>
          </c:dPt>
          <c:dPt>
            <c:idx val="6"/>
            <c:bubble3D val="0"/>
            <c:spPr>
              <a:ln w="25400">
                <a:solidFill>
                  <a:srgbClr val="008000"/>
                </a:solidFill>
              </a:ln>
            </c:spPr>
            <c:extLst>
              <c:ext xmlns:c="http://schemas.openxmlformats.org/drawingml/2006/chart" xmlns:c16="http://schemas.microsoft.com/office/drawing/2014/chart" uri="{C3380CC4-5D6E-409C-BE32-E72D297353CC}">
                <c16:uniqueId val="{00000003-47F5-4A09-916D-53B7544F6F6A}"/>
              </c:ext>
            </c:extLst>
          </c:dPt>
          <c:dPt>
            <c:idx val="8"/>
            <c:bubble3D val="0"/>
            <c:spPr>
              <a:ln w="25400">
                <a:solidFill>
                  <a:srgbClr val="008000"/>
                </a:solidFill>
              </a:ln>
            </c:spPr>
            <c:extLst>
              <c:ext xmlns:c="http://schemas.openxmlformats.org/drawingml/2006/chart" xmlns:c16="http://schemas.microsoft.com/office/drawing/2014/chart" uri="{C3380CC4-5D6E-409C-BE32-E72D297353CC}">
                <c16:uniqueId val="{00000005-47F5-4A09-916D-53B7544F6F6A}"/>
              </c:ext>
            </c:extLst>
          </c:dPt>
          <c:dPt>
            <c:idx val="11"/>
            <c:bubble3D val="0"/>
            <c:spPr>
              <a:ln w="25400">
                <a:solidFill>
                  <a:srgbClr val="008000"/>
                </a:solidFill>
              </a:ln>
            </c:spPr>
            <c:extLst>
              <c:ext xmlns:c="http://schemas.openxmlformats.org/drawingml/2006/chart" xmlns:c16="http://schemas.microsoft.com/office/drawing/2014/chart" uri="{C3380CC4-5D6E-409C-BE32-E72D297353CC}">
                <c16:uniqueId val="{00000007-47F5-4A09-916D-53B7544F6F6A}"/>
              </c:ext>
            </c:extLst>
          </c:dPt>
          <c:dLbls>
            <c:dLbl>
              <c:idx val="0"/>
              <c:layout>
                <c:manualLayout>
                  <c:x val="-2.026878756839551E-17"/>
                  <c:y val="0.010443864229764982"/>
                </c:manualLayout>
              </c:layout>
              <c:tx>
                <c:rich>
                  <a:bodyPr/>
                  <a:lstStyle/>
                  <a:p>
                    <a:r>
                      <a:rPr lang="en-US" baseline="0"/>
                      <a:t>(</a:t>
                    </a:r>
                    <a:fld id="{a1999185-a92b-46e5-b6a8-f34aaa0b1730}" type="CELLRANGE">
                      <a:rPr lang="en-US" baseline="0"/>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8-47F5-4A09-916D-53B7544F6F6A}"/>
                </c:ext>
              </c:extLst>
            </c:dLbl>
            <c:dLbl>
              <c:idx val="1"/>
              <c:tx>
                <c:rich>
                  <a:bodyPr/>
                  <a:lstStyle/>
                  <a:p>
                    <a:r>
                      <a:rPr lang="en-US"/>
                      <a:t>(</a:t>
                    </a:r>
                    <a:fld id="{0c2a9740-1ae1-4f67-b03d-0c502bd7d261}" type="CELLRANGE">
                      <a:rPr lang="en-US"/>
                      <a:t>[CELLRANGE]</a:t>
                    </a:fld>
                    <a:r>
                      <a:rPr lang="en-US"/>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9-47F5-4A09-916D-53B7544F6F6A}"/>
                </c:ext>
              </c:extLst>
            </c:dLbl>
            <c:dLbl>
              <c:idx val="2"/>
              <c:tx>
                <c:rich>
                  <a:bodyPr/>
                  <a:lstStyle/>
                  <a:p>
                    <a:r>
                      <a:rPr lang="en-US"/>
                      <a:t>(</a:t>
                    </a:r>
                    <a:fld id="{d660ce50-40fc-48d8-ab3d-87866f1c00f9}" type="CELLRANGE">
                      <a:rPr lang="en-US"/>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A-47F5-4A09-916D-53B7544F6F6A}"/>
                </c:ext>
              </c:extLst>
            </c:dLbl>
            <c:dLbl>
              <c:idx val="3"/>
              <c:layout>
                <c:manualLayout>
                  <c:x val="-0.013266996031740504"/>
                  <c:y val="-0.073107049608355151"/>
                </c:manualLayout>
              </c:layout>
              <c:tx>
                <c:rich>
                  <a:bodyPr/>
                  <a:lstStyle/>
                  <a:p>
                    <a:r>
                      <a:rPr lang="en-US"/>
                      <a:t>(</a:t>
                    </a:r>
                    <a:fld id="{2f858cdf-0f8c-4a64-951f-fd8b8864ac1a}" type="CELLRANGE">
                      <a:rPr lang="en-US"/>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B-47F5-4A09-916D-53B7544F6F6A}"/>
                </c:ext>
              </c:extLst>
            </c:dLbl>
            <c:dLbl>
              <c:idx val="4"/>
              <c:layout>
                <c:manualLayout>
                  <c:x val="-0.0034329242074598678"/>
                  <c:y val="-0.028976984229233223"/>
                </c:manualLayout>
              </c:layout>
              <c:tx>
                <c:rich>
                  <a:bodyPr/>
                  <a:lstStyle/>
                  <a:p>
                    <a:r>
                      <a:rPr lang="en-US"/>
                      <a:t>(</a:t>
                    </a:r>
                    <a:fld id="{a8bcaff9-6c58-4603-9732-3129ab068116}" type="CELLRANGE">
                      <a:rPr lang="en-US"/>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C-47F5-4A09-916D-53B7544F6F6A}"/>
                </c:ext>
              </c:extLst>
            </c:dLbl>
            <c:dLbl>
              <c:idx val="5"/>
              <c:layout>
                <c:manualLayout>
                  <c:x val="-8.1075150273582041E-17"/>
                  <c:y val="0.0069625761531766752"/>
                </c:manualLayout>
              </c:layout>
              <c:tx>
                <c:rich>
                  <a:bodyPr/>
                  <a:lstStyle/>
                  <a:p>
                    <a:r>
                      <a:rPr lang="en-US" baseline="0"/>
                      <a:t>(</a:t>
                    </a:r>
                    <a:fld id="{abb29e52-76a1-417a-97df-6fde3313432a}" type="CELLRANGE">
                      <a:rPr lang="en-US" baseline="0"/>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1-47F5-4A09-916D-53B7544F6F6A}"/>
                </c:ext>
              </c:extLst>
            </c:dLbl>
            <c:dLbl>
              <c:idx val="6"/>
              <c:layout>
                <c:manualLayout>
                  <c:x val="-0.031421289285361233"/>
                  <c:y val="-0.058721476586360385"/>
                </c:manualLayout>
              </c:layout>
              <c:tx>
                <c:rich>
                  <a:bodyPr wrap="square" lIns="38100" tIns="19050" rIns="38100" bIns="19050" anchor="ctr"/>
                  <a:lstStyle/>
                  <a:p>
                    <a:pPr>
                      <a:defRPr sz="700" b="1">
                        <a:latin typeface="Century Gothic" panose="020B0502020202020204" pitchFamily="34" charset="0"/>
                      </a:defRPr>
                    </a:pPr>
                    <a:r>
                      <a:rPr lang="en-US" baseline="0"/>
                      <a:t>(</a:t>
                    </a:r>
                    <a:fld id="{cbf3c5d3-ff47-4426-9e39-f990c96f9cd1}" type="CELLRANGE">
                      <a:pPr>
                        <a:defRPr sz="700" b="1">
                          <a:latin typeface="Century Gothic" panose="020B0502020202020204" pitchFamily="34" charset="0"/>
                        </a:defRPr>
                      </a:pPr>
                      <a:rPr lang="fr-LU"/>
                      <a:t>[CELLRANGE]</a:t>
                    </a:fld>
                    <a:r>
                      <a:rPr lang="en-US" baseline="0"/>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043008325102299981"/>
                      <c:h val="0.07978825794032722"/>
                    </c:manualLayout>
                  </c15:layout>
                  <c15:showDataLabelsRange val="1"/>
                </c:ext>
                <c:ext xmlns:c="http://schemas.openxmlformats.org/drawingml/2006/chart" xmlns:c16="http://schemas.microsoft.com/office/drawing/2014/chart" uri="{C3380CC4-5D6E-409C-BE32-E72D297353CC}">
                  <c16:uniqueId val="{00000003-47F5-4A09-916D-53B7544F6F6A}"/>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0D-47F5-4A09-916D-53B7544F6F6A}"/>
                </c:ext>
              </c:extLst>
            </c:dLbl>
            <c:dLbl>
              <c:idx val="8"/>
              <c:layout>
                <c:manualLayout>
                  <c:x val="-0.011288163200003556"/>
                  <c:y val="-0.023345433601358059"/>
                </c:manualLayout>
              </c:layout>
              <c:tx>
                <c:rich>
                  <a:bodyPr/>
                  <a:lstStyle/>
                  <a:p>
                    <a:r>
                      <a:rPr lang="en-US" baseline="0"/>
                      <a:t>(</a:t>
                    </a:r>
                    <a:fld id="{0ed91df1-2663-4a51-a1ae-b4491066868e}" type="CELLRANGE">
                      <a:rPr lang="en-US" baseline="0"/>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layout>
                    <c:manualLayout>
                      <c:w val="0.043008325102299981"/>
                      <c:h val="0.055726660250240617"/>
                    </c:manualLayout>
                  </c15:layout>
                  <c15:showDataLabelsRange val="1"/>
                </c:ext>
                <c:ext xmlns:c="http://schemas.openxmlformats.org/drawingml/2006/chart" xmlns:c16="http://schemas.microsoft.com/office/drawing/2014/chart" uri="{C3380CC4-5D6E-409C-BE32-E72D297353CC}">
                  <c16:uniqueId val="{00000005-47F5-4A09-916D-53B7544F6F6A}"/>
                </c:ext>
              </c:extLst>
            </c:dLbl>
            <c:dLbl>
              <c:idx val="9"/>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0E-47F5-4A09-916D-53B7544F6F6A}"/>
                </c:ext>
              </c:extLst>
            </c:dLbl>
            <c:dLbl>
              <c:idx val="1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0F-47F5-4A09-916D-53B7544F6F6A}"/>
                </c:ext>
              </c:extLst>
            </c:dLbl>
            <c:dLbl>
              <c:idx val="11"/>
              <c:layout>
                <c:manualLayout>
                  <c:x val="-0.013266996031740504"/>
                  <c:y val="-0.01392515230635335"/>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47F5-4A09-916D-53B7544F6F6A}"/>
                </c:ext>
              </c:extLst>
            </c:dLbl>
            <c:spPr>
              <a:noFill/>
              <a:ln>
                <a:noFill/>
              </a:ln>
              <a:effectLst/>
            </c:spPr>
            <c:txPr>
              <a:bodyPr wrap="square" lIns="38100" tIns="19050" rIns="38100" bIns="19050" anchor="ctr">
                <a:spAutoFit/>
              </a:bodyPr>
              <a:lstStyle/>
              <a:p>
                <a:pPr>
                  <a:defRPr sz="700" b="1">
                    <a:latin typeface="Century Gothic" panose="020B0502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'INCIDENTI NEI CANTIERI'!$G$39:$G$50</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'INCIDENTI NEI CANTIERI'!$P$39:$P$50</c:f>
              <c:numCache>
                <c:formatCode>_-* #,##0.000_-;\-* #,##0.000_-;_-* "-"???_-;_-@_-</c:formatCode>
                <c:ptCount val="12"/>
                <c:pt idx="0">
                  <c:v>0.023128807218500733</c:v>
                </c:pt>
                <c:pt idx="1">
                  <c:v>0.0058359230241753117</c:v>
                </c:pt>
                <c:pt idx="2">
                  <c:v>0.020696771599298676</c:v>
                </c:pt>
                <c:pt idx="3">
                  <c:v>0.012376275916695286</c:v>
                </c:pt>
                <c:pt idx="4">
                  <c:v>0.012347355813752485</c:v>
                </c:pt>
                <c:pt idx="5">
                  <c:v>0.003150826934528967</c:v>
                </c:pt>
                <c:pt idx="6">
                  <c:v>0.0094784334045269012</c:v>
                </c:pt>
                <c:pt idx="7" formatCode="#,##0_ ;\-#,##0\ ">
                  <c:v>0</c:v>
                </c:pt>
                <c:pt idx="8">
                  <c:v>0.012099652739966361</c:v>
                </c:pt>
                <c:pt idx="9" formatCode="#,##0_ ;\-#,##0\ ">
                  <c:v>0</c:v>
                </c:pt>
                <c:pt idx="10" formatCode="General">
                  <c:v>0</c:v>
                </c:pt>
                <c:pt idx="11" formatCode="General">
                  <c:v>0.0056559486439863122</c:v>
                </c:pt>
              </c:numCache>
            </c:numRef>
          </c:val>
          <c:smooth val="0"/>
          <c:extLst>
            <c:ext xmlns:c15="http://schemas.microsoft.com/office/drawing/2012/chart" uri="{02D57815-91ED-43cb-92C2-25804820EDAC}">
              <c15:datalabelsRange>
                <c15:f>'INCIDENTI NEI CANTIERI'!$O$39:$O$47</c15:f>
                <c15:dlblRangeCache>
                  <c:ptCount val="9"/>
                  <c:pt idx="0">
                    <c:v>8</c:v>
                  </c:pt>
                  <c:pt idx="1">
                    <c:v>2</c:v>
                  </c:pt>
                  <c:pt idx="2">
                    <c:v>7</c:v>
                  </c:pt>
                  <c:pt idx="3">
                    <c:v>4</c:v>
                  </c:pt>
                  <c:pt idx="4">
                    <c:v>4</c:v>
                  </c:pt>
                  <c:pt idx="5">
                    <c:v>1</c:v>
                  </c:pt>
                  <c:pt idx="6">
                    <c:v>3</c:v>
                  </c:pt>
                  <c:pt idx="7">
                    <c:v>0</c:v>
                  </c:pt>
                  <c:pt idx="8">
                    <c:v>4</c:v>
                  </c:pt>
                </c15:dlblRangeCache>
              </c15:datalabelsRange>
            </c:ext>
            <c:ext xmlns:c="http://schemas.openxmlformats.org/drawingml/2006/chart" xmlns:c16="http://schemas.microsoft.com/office/drawing/2014/chart" uri="{C3380CC4-5D6E-409C-BE32-E72D297353CC}">
              <c16:uniqueId val="{00000010-47F5-4A09-916D-53B7544F6F6A}"/>
            </c:ext>
          </c:extLst>
        </c:ser>
        <c:ser>
          <c:idx val="1"/>
          <c:order val="1"/>
          <c:tx>
            <c:strRef>
              <c:f>'INCIDENTI NEI CANTIERI'!$X$57</c:f>
              <c:strCache>
                <c:ptCount val="1"/>
                <c:pt idx="0">
                  <c:v>valore medio 2006-2016</c:v>
                </c:pt>
              </c:strCache>
            </c:strRef>
          </c:tx>
          <c:spPr>
            <a:ln>
              <a:solidFill>
                <a:srgbClr val="FA6F06"/>
              </a:solidFill>
              <a:prstDash val="sysDash"/>
            </a:ln>
          </c:spPr>
          <c:marker>
            <c:symbol val="none"/>
          </c:marker>
          <c:cat>
            <c:numRef>
              <c:f>'INCIDENTI NEI CANTIERI'!$G$39:$G$50</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'INCIDENTI NEI CANTIERI'!$R$39:$R$50</c:f>
              <c:numCache>
                <c:formatCode>_-* #,##0.000_-;\-* #,##0.000_-;_-* "-"???_-;_-@_-</c:formatCode>
                <c:ptCount val="12"/>
                <c:pt idx="0">
                  <c:v>0.00873083294128592</c:v>
                </c:pt>
                <c:pt idx="1">
                  <c:v>0.00873083294128592</c:v>
                </c:pt>
                <c:pt idx="2">
                  <c:v>0.00873083294128592</c:v>
                </c:pt>
                <c:pt idx="3">
                  <c:v>0.00873083294128592</c:v>
                </c:pt>
                <c:pt idx="4">
                  <c:v>0.00873083294128592</c:v>
                </c:pt>
                <c:pt idx="5">
                  <c:v>0.00873083294128592</c:v>
                </c:pt>
                <c:pt idx="6">
                  <c:v>0.00873083294128592</c:v>
                </c:pt>
                <c:pt idx="7">
                  <c:v>0.00873083294128592</c:v>
                </c:pt>
                <c:pt idx="8">
                  <c:v>0.00873083294128592</c:v>
                </c:pt>
                <c:pt idx="9">
                  <c:v>0.00873083294128592</c:v>
                </c:pt>
                <c:pt idx="10">
                  <c:v>0.00873083294128592</c:v>
                </c:pt>
                <c:pt idx="11">
                  <c:v>0.00873083294128592</c:v>
                </c:pt>
              </c:numCache>
            </c:numRef>
          </c:val>
          <c:smooth val="0"/>
          <c:extLst>
            <c:ext xmlns:c="http://schemas.openxmlformats.org/drawingml/2006/chart" xmlns:c16="http://schemas.microsoft.com/office/drawing/2014/chart" uri="{C3380CC4-5D6E-409C-BE32-E72D297353CC}">
              <c16:uniqueId val="{00000011-47F5-4A09-916D-53B7544F6F6A}"/>
            </c:ext>
          </c:extLst>
        </c:ser>
        <c:dLbls>
          <c:showLegendKey val="0"/>
          <c:showVal val="0"/>
          <c:showCatName val="0"/>
          <c:showSerName val="0"/>
          <c:showPercent val="0"/>
          <c:showBubbleSize val="0"/>
        </c:dLbls>
        <c:marker val="1"/>
        <c:smooth val="0"/>
        <c:axId val="481883160"/>
        <c:axId val="481885512"/>
      </c:lineChart>
      <c:catAx>
        <c:axId val="481883160"/>
        <c:scaling>
          <c:orientation val="minMax"/>
        </c:scaling>
        <c:delete val="0"/>
        <c:axPos val="b"/>
        <c:numFmt formatCode="General" sourceLinked="1"/>
        <c:majorTickMark val="out"/>
        <c:minorTickMark val="none"/>
        <c:tickLblPos val="nextTo"/>
        <c:txPr>
          <a:bodyPr/>
          <a:lstStyle/>
          <a:p>
            <a:pPr>
              <a:defRPr sz="800"/>
            </a:pPr>
            <a:endParaRPr lang="fr-FR"/>
          </a:p>
        </c:txPr>
        <c:crossAx val="481885512"/>
        <c:crosses val="autoZero"/>
        <c:auto val="1"/>
        <c:lblAlgn val="ctr"/>
        <c:lblOffset val="100"/>
        <c:noMultiLvlLbl val="0"/>
      </c:catAx>
      <c:valAx>
        <c:axId val="481885512"/>
        <c:scaling>
          <c:orientation val="minMax"/>
          <c:min val="0"/>
        </c:scaling>
        <c:delete val="0"/>
        <c:axPos val="l"/>
        <c:majorGridlines>
          <c:spPr>
            <a:ln>
              <a:solidFill>
                <a:schemeClr val="bg1">
                  <a:lumMod val="85000"/>
                </a:schemeClr>
              </a:solidFill>
            </a:ln>
          </c:spPr>
        </c:majorGridlines>
        <c:numFmt formatCode="_-* #,##0.000_-;\-* #,##0.000_-;_-* &quot;-&quot;???_-;_-@_-" sourceLinked="1"/>
        <c:majorTickMark val="out"/>
        <c:minorTickMark val="none"/>
        <c:tickLblPos val="nextTo"/>
        <c:txPr>
          <a:bodyPr/>
          <a:lstStyle/>
          <a:p>
            <a:pPr>
              <a:defRPr sz="700"/>
            </a:pPr>
            <a:endParaRPr lang="fr-FR"/>
          </a:p>
        </c:txPr>
        <c:crossAx val="481883160"/>
        <c:crosses val="autoZero"/>
        <c:crossBetween val="between"/>
      </c:valAx>
      <c:spPr>
        <a:ln>
          <a:noFill/>
        </a:ln>
      </c:spPr>
    </c:plotArea>
    <c:plotVisOnly val="1"/>
    <c:dispBlanksAs val="gap"/>
    <c:showDLblsOverMax val="0"/>
  </c:chart>
  <c:spPr>
    <a:ln>
      <a:solidFill>
        <a:schemeClr val="bg1">
          <a:lumMod val="85000"/>
        </a:schemeClr>
      </a:solidFill>
    </a:ln>
  </c:spPr>
  <c:txPr>
    <a:bodyPr/>
    <a:lstStyle/>
    <a:p>
      <a:pPr>
        <a:defRPr sz="900">
          <a:latin typeface="Century Gothic" panose="020B0502020202020204" pitchFamily="34" charset="0"/>
        </a:defRPr>
      </a:pPr>
      <a:endParaRPr lang="fr-FR"/>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a:ea typeface="Century Gothic"/>
                <a:cs typeface="Century Gothic"/>
              </a:defRPr>
            </a:pPr>
            <a:r>
              <a:rPr lang="it-IT" sz="800" b="1" i="0" u="none" strike="noStrike" baseline="0">
                <a:solidFill>
                  <a:srgbClr val="000000"/>
                </a:solidFill>
                <a:latin typeface="Century Gothic"/>
              </a:rPr>
              <a:t>COLLISIONI DI TRENI</a:t>
            </a:r>
          </a:p>
          <a:p>
            <a:pPr>
              <a:defRPr sz="800" b="1" i="0" u="none" strike="noStrike" baseline="0">
                <a:solidFill>
                  <a:srgbClr val="000000"/>
                </a:solidFill>
                <a:latin typeface="Century Gothic"/>
                <a:ea typeface="Century Gothic"/>
                <a:cs typeface="Century Gothic"/>
              </a:defRPr>
            </a:pPr>
            <a:r>
              <a:rPr lang="it-IT" sz="800" b="1" i="0" u="none" strike="noStrike" baseline="0">
                <a:solidFill>
                  <a:srgbClr val="000000"/>
                </a:solidFill>
                <a:latin typeface="Century Gothic"/>
              </a:rPr>
              <a:t>[Rete IT]</a:t>
            </a:r>
          </a:p>
        </c:rich>
      </c:tx>
      <c:layout>
        <c:manualLayout>
          <c:xMode val="edge"/>
          <c:yMode val="edge"/>
          <c:x val="0.39217963951689139"/>
          <c:y val="0.024390243902439025"/>
        </c:manualLayout>
      </c:layout>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dPt>
            <c:idx val="11"/>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E48B-473E-9C74-84F2EFDF1F47}"/>
              </c:ext>
            </c:extLst>
          </c:dPt>
          <c:dPt>
            <c:idx val="12"/>
            <c:invertIfNegative val="0"/>
            <c:bubble3D val="0"/>
            <c:spPr>
              <a:noFill/>
              <a:ln w="25400">
                <a:solidFill>
                  <a:srgbClr val="FF0000"/>
                </a:solidFill>
                <a:prstDash val="sysDash"/>
              </a:ln>
            </c:spPr>
            <c:extLst>
              <c:ext xmlns:c="http://schemas.openxmlformats.org/drawingml/2006/chart" xmlns:c16="http://schemas.microsoft.com/office/drawing/2014/chart" uri="{C3380CC4-5D6E-409C-BE32-E72D297353CC}">
                <c16:uniqueId val="{00000003-E48B-473E-9C74-84F2EFDF1F47}"/>
              </c:ext>
            </c:extLst>
          </c:dPt>
          <c:dLbls>
            <c:spPr>
              <a:noFill/>
              <a:ln w="25400">
                <a:noFill/>
              </a:ln>
            </c:spPr>
            <c:txPr>
              <a:bodyPr wrap="square" lIns="38100" tIns="19050" rIns="38100" bIns="19050" anchor="ctr">
                <a:spAutoFit/>
              </a:bodyPr>
              <a:lstStyle/>
              <a:p>
                <a:pPr>
                  <a:defRPr sz="800" b="1" i="0" u="none" strike="noStrike" baseline="0">
                    <a:solidFill>
                      <a:srgbClr val="000000"/>
                    </a:solidFill>
                    <a:latin typeface="Century Gothic"/>
                    <a:ea typeface="Century Gothic"/>
                    <a:cs typeface="Century Gothic"/>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collisioni!$J$41:$J$51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collisioni!$K$41:$K$51</c:f>
              <c:numCache>
                <c:formatCode>General</c:formatCode>
                <c:ptCount val="11"/>
                <c:pt idx="0">
                  <c:v>4</c:v>
                </c:pt>
                <c:pt idx="1">
                  <c:v>2</c:v>
                </c:pt>
                <c:pt idx="2">
                  <c:v>3</c:v>
                </c:pt>
                <c:pt idx="3">
                  <c:v>2</c:v>
                </c:pt>
                <c:pt idx="4">
                  <c:v>6</c:v>
                </c:pt>
                <c:pt idx="5">
                  <c:v>7</c:v>
                </c:pt>
                <c:pt idx="6">
                  <c:v>4</c:v>
                </c:pt>
                <c:pt idx="7">
                  <c:v>9</c:v>
                </c:pt>
                <c:pt idx="8">
                  <c:v>5</c:v>
                </c:pt>
                <c:pt idx="9">
                  <c:v>4</c:v>
                </c:pt>
                <c:pt idx="10">
                  <c:v>2</c:v>
                </c:pt>
              </c:numCache>
            </c:numRef>
          </c:val>
          <c:extLst>
            <c:ext xmlns:c="http://schemas.openxmlformats.org/drawingml/2006/chart" xmlns:c16="http://schemas.microsoft.com/office/drawing/2014/chart" uri="{C3380CC4-5D6E-409C-BE32-E72D297353CC}">
              <c16:uniqueId val="{00000004-E48B-473E-9C74-84F2EFDF1F47}"/>
            </c:ext>
          </c:extLst>
        </c:ser>
        <c:dLbls>
          <c:showLegendKey val="0"/>
          <c:showVal val="0"/>
          <c:showCatName val="0"/>
          <c:showSerName val="0"/>
          <c:showPercent val="0"/>
          <c:showBubbleSize val="0"/>
        </c:dLbls>
        <c:gapWidth val="219"/>
        <c:overlap val="-27"/>
        <c:axId val="481885904"/>
        <c:axId val="481887472"/>
      </c:barChart>
      <c:lineChart>
        <c:grouping val="standard"/>
        <c:varyColors val="0"/>
        <c:ser>
          <c:idx val="11"/>
          <c:order val="1"/>
          <c:spPr>
            <a:ln w="19050" cap="rnd">
              <a:solidFill>
                <a:srgbClr val="00B050"/>
              </a:solidFill>
              <a:round/>
            </a:ln>
            <a:effectLst/>
          </c:spPr>
          <c:marker>
            <c:symbol val="square"/>
            <c:size val="5"/>
          </c:marker>
          <c:cat>
            <c:numRef>
              <c:f>collisioni!$J$41:$J$51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collisioni!$L$41:$L$51</c:f>
              <c:numCache>
                <c:formatCode>General</c:formatCode>
                <c:ptCount val="11"/>
                <c:pt idx="0">
                  <c:v>0.011671846048350623</c:v>
                </c:pt>
                <c:pt idx="1">
                  <c:v>0.0059133633140853363</c:v>
                </c:pt>
                <c:pt idx="2">
                  <c:v>0.0092822069375214644</c:v>
                </c:pt>
                <c:pt idx="3">
                  <c:v>0.0061736779068762423</c:v>
                </c:pt>
                <c:pt idx="4">
                  <c:v>0.018904961607173802</c:v>
                </c:pt>
                <c:pt idx="5">
                  <c:v>0.022116344610562767</c:v>
                </c:pt>
                <c:pt idx="6">
                  <c:v>0.012061634954618098</c:v>
                </c:pt>
                <c:pt idx="7">
                  <c:v>0.027224218664924315</c:v>
                </c:pt>
                <c:pt idx="8">
                  <c:v>0.014682778569016399</c:v>
                </c:pt>
                <c:pt idx="9">
                  <c:v>0.01075202339640291</c:v>
                </c:pt>
                <c:pt idx="10">
                  <c:v>0.00532713964563867</c:v>
                </c:pt>
              </c:numCache>
            </c:numRef>
          </c:val>
          <c:smooth val="0"/>
          <c:extLst>
            <c:ext xmlns:c="http://schemas.openxmlformats.org/drawingml/2006/chart" xmlns:c16="http://schemas.microsoft.com/office/drawing/2014/chart" uri="{C3380CC4-5D6E-409C-BE32-E72D297353CC}">
              <c16:uniqueId val="{00000005-E48B-473E-9C74-84F2EFDF1F47}"/>
            </c:ext>
          </c:extLst>
        </c:ser>
        <c:ser>
          <c:idx val="1"/>
          <c:order val="2"/>
          <c:tx>
            <c:v>media</c:v>
          </c:tx>
          <c:spPr>
            <a:ln w="19050" cap="rnd">
              <a:solidFill>
                <a:srgbClr val="FF0000"/>
              </a:solidFill>
              <a:prstDash val="sysDash"/>
              <a:round/>
            </a:ln>
            <a:effectLst/>
          </c:spPr>
          <c:marker>
            <c:symbol val="none"/>
          </c:marker>
          <c:cat>
            <c:numRef>
              <c:f>collisioni!$J$41:$J$51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collisioni!$M$41:$M$51</c:f>
              <c:numCache>
                <c:formatCode>General</c:formatCode>
                <c:ptCount val="11"/>
                <c:pt idx="0">
                  <c:v>0.013100926877742785</c:v>
                </c:pt>
                <c:pt idx="1">
                  <c:v>0.013100926877742785</c:v>
                </c:pt>
                <c:pt idx="2">
                  <c:v>0.013100926877742785</c:v>
                </c:pt>
                <c:pt idx="3">
                  <c:v>0.013100926877742785</c:v>
                </c:pt>
                <c:pt idx="4">
                  <c:v>0.013100926877742785</c:v>
                </c:pt>
                <c:pt idx="5">
                  <c:v>0.013100926877742785</c:v>
                </c:pt>
                <c:pt idx="6">
                  <c:v>0.013100926877742785</c:v>
                </c:pt>
                <c:pt idx="7">
                  <c:v>0.013100926877742785</c:v>
                </c:pt>
                <c:pt idx="8">
                  <c:v>0.013100926877742785</c:v>
                </c:pt>
                <c:pt idx="9">
                  <c:v>0.013100926877742785</c:v>
                </c:pt>
                <c:pt idx="10">
                  <c:v>0.013100926877742785</c:v>
                </c:pt>
              </c:numCache>
            </c:numRef>
          </c:val>
          <c:smooth val="0"/>
          <c:extLst>
            <c:ext xmlns:c="http://schemas.openxmlformats.org/drawingml/2006/chart" xmlns:c16="http://schemas.microsoft.com/office/drawing/2014/chart" uri="{C3380CC4-5D6E-409C-BE32-E72D297353CC}">
              <c16:uniqueId val="{00000006-E48B-473E-9C74-84F2EFDF1F47}"/>
            </c:ext>
          </c:extLst>
        </c:ser>
        <c:dLbls>
          <c:showLegendKey val="0"/>
          <c:showVal val="0"/>
          <c:showCatName val="0"/>
          <c:showSerName val="0"/>
          <c:showPercent val="0"/>
          <c:showBubbleSize val="0"/>
        </c:dLbls>
        <c:marker val="1"/>
        <c:smooth val="0"/>
        <c:axId val="481888256"/>
        <c:axId val="481888648"/>
      </c:lineChart>
      <c:catAx>
        <c:axId val="48188590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b="0" i="0" u="none" strike="noStrike" baseline="0">
                <a:solidFill>
                  <a:srgbClr val="000000"/>
                </a:solidFill>
                <a:latin typeface="Century Gothic"/>
                <a:ea typeface="Century Gothic"/>
                <a:cs typeface="Century Gothic"/>
              </a:defRPr>
            </a:pPr>
            <a:endParaRPr lang="fr-FR"/>
          </a:p>
        </c:txPr>
        <c:crossAx val="481887472"/>
        <c:crosses val="autoZero"/>
        <c:auto val="1"/>
        <c:lblAlgn val="ctr"/>
        <c:lblOffset val="100"/>
        <c:noMultiLvlLbl val="0"/>
      </c:catAx>
      <c:valAx>
        <c:axId val="481887472"/>
        <c:scaling>
          <c:orientation val="minMax"/>
          <c:max val="30"/>
        </c:scaling>
        <c:delete val="0"/>
        <c:axPos val="r"/>
        <c:majorGridlines>
          <c:spPr>
            <a:ln w="9525">
              <a:solidFill>
                <a:schemeClr val="tx1">
                  <a:lumMod val="15000"/>
                  <a:lumOff val="85000"/>
                </a:schemeClr>
              </a:solidFill>
              <a:round/>
            </a:ln>
            <a:effectLst/>
          </c:spPr>
        </c:majorGridlines>
        <c:title>
          <c:tx>
            <c:rich>
              <a:bodyPr/>
              <a:lstStyle/>
              <a:p>
                <a:pPr>
                  <a:defRPr sz="1100" b="0" i="0" u="none" strike="noStrike" baseline="0">
                    <a:solidFill>
                      <a:srgbClr val="000000"/>
                    </a:solidFill>
                    <a:latin typeface="Century Gothic" panose="020B0502020202020204" pitchFamily="34" charset="0"/>
                    <a:ea typeface="Calibri"/>
                    <a:cs typeface="Calibri"/>
                  </a:defRPr>
                </a:pPr>
                <a:r>
                  <a:rPr lang="it-IT" sz="800" b="0" i="0" u="none" strike="noStrike" baseline="0">
                    <a:solidFill>
                      <a:srgbClr val="000000"/>
                    </a:solidFill>
                    <a:latin typeface="Century Gothic" panose="020B0502020202020204" pitchFamily="34" charset="0"/>
                  </a:rPr>
                  <a:t>n</a:t>
                </a:r>
                <a:r>
                  <a:rPr lang="it-IT" sz="800" b="0" i="0" u="none" strike="noStrike" baseline="0">
                    <a:solidFill>
                      <a:srgbClr val="000000"/>
                    </a:solidFill>
                    <a:latin typeface="Century Gothic" panose="020B0502020202020204" pitchFamily="34" charset="0"/>
                    <a:cs typeface="Calibri"/>
                  </a:rPr>
                  <a:t>° INCIDENTI SIGNIFICATIVI</a:t>
                </a:r>
                <a:endParaRPr lang="it-IT" sz="800" b="0" i="0" u="none" strike="noStrike" baseline="0">
                  <a:solidFill>
                    <a:srgbClr val="000000"/>
                  </a:solidFill>
                  <a:latin typeface="Century Gothic" panose="020B0502020202020204" pitchFamily="34" charset="0"/>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000000"/>
                </a:solidFill>
                <a:latin typeface="Century Gothic"/>
                <a:ea typeface="Century Gothic"/>
                <a:cs typeface="Century Gothic"/>
              </a:defRPr>
            </a:pPr>
            <a:endParaRPr lang="fr-FR"/>
          </a:p>
        </c:txPr>
        <c:crossAx val="481885904"/>
        <c:crosses val="max"/>
        <c:crossBetween val="between"/>
      </c:valAx>
      <c:catAx>
        <c:axId val="481888256"/>
        <c:scaling>
          <c:orientation val="minMax"/>
        </c:scaling>
        <c:delete val="1"/>
        <c:axPos val="t"/>
        <c:numFmt formatCode="General" sourceLinked="1"/>
        <c:majorTickMark val="out"/>
        <c:minorTickMark val="none"/>
        <c:tickLblPos val="nextTo"/>
        <c:crossAx val="481888648"/>
        <c:crosses val="max"/>
        <c:auto val="1"/>
        <c:lblAlgn val="ctr"/>
        <c:lblOffset val="100"/>
        <c:noMultiLvlLbl val="0"/>
      </c:catAx>
      <c:valAx>
        <c:axId val="481888648"/>
        <c:scaling>
          <c:orientation val="minMax"/>
          <c:max val="0.030000000000000006"/>
        </c:scaling>
        <c:delete val="0"/>
        <c:axPos val="l"/>
        <c:title>
          <c:tx>
            <c:rich>
              <a:bodyPr/>
              <a:lstStyle/>
              <a:p>
                <a:pPr>
                  <a:defRPr sz="800" b="0" i="0" u="none" strike="noStrike" baseline="0">
                    <a:solidFill>
                      <a:srgbClr val="000000"/>
                    </a:solidFill>
                    <a:latin typeface="Century Gothic"/>
                    <a:ea typeface="Century Gothic"/>
                    <a:cs typeface="Century Gothic"/>
                  </a:defRPr>
                </a:pPr>
                <a:r>
                  <a:rPr lang="it-IT" sz="800" b="0" i="0" u="none" strike="noStrike" baseline="0">
                    <a:solidFill>
                      <a:srgbClr val="000000"/>
                    </a:solidFill>
                    <a:latin typeface="Century Gothic"/>
                  </a:rPr>
                  <a:t>n° INCIDENTI SIGNIFICATIVI/Mln tr-km</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000000"/>
                </a:solidFill>
                <a:latin typeface="Century Gothic"/>
                <a:ea typeface="Century Gothic"/>
                <a:cs typeface="Century Gothic"/>
              </a:defRPr>
            </a:pPr>
            <a:endParaRPr lang="fr-FR"/>
          </a:p>
        </c:txPr>
        <c:crossAx val="481888256"/>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b="0" i="0" u="none" strike="noStrike" baseline="0">
          <a:solidFill>
            <a:srgbClr val="000000"/>
          </a:solidFill>
          <a:latin typeface="Century Gothic"/>
          <a:ea typeface="Century Gothic"/>
          <a:cs typeface="Century Gothic"/>
        </a:defRPr>
      </a:pPr>
      <a:endParaRPr lang="fr-F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panose="020B0502020202020204" pitchFamily="34" charset="0"/>
                <a:ea typeface="Calibri"/>
                <a:cs typeface="Calibri"/>
              </a:defRPr>
            </a:pPr>
            <a:r>
              <a:rPr lang="it-IT" sz="800" b="1">
                <a:latin typeface="Century Gothic" panose="020B0502020202020204" pitchFamily="34" charset="0"/>
              </a:rPr>
              <a:t>Indebiti</a:t>
            </a:r>
            <a:r>
              <a:rPr lang="it-IT" sz="800" b="1" baseline="0">
                <a:latin typeface="Century Gothic" panose="020B0502020202020204" pitchFamily="34" charset="0"/>
              </a:rPr>
              <a:t> superamenti di un segnale disposto a via impedita da parte di un treno (</a:t>
            </a:r>
            <a:r>
              <a:rPr lang="it-IT" sz="800" b="1">
                <a:latin typeface="Century Gothic" panose="020B0502020202020204" pitchFamily="34" charset="0"/>
              </a:rPr>
              <a:t>SPAD) </a:t>
            </a:r>
            <a:r>
              <a:rPr lang="it-IT" sz="800" b="1" baseline="0">
                <a:latin typeface="Century Gothic" panose="020B0502020202020204" pitchFamily="34" charset="0"/>
              </a:rPr>
              <a:t> </a:t>
            </a:r>
            <a:r>
              <a:rPr lang="it-IT" sz="800" b="1">
                <a:latin typeface="Century Gothic" panose="020B0502020202020204" pitchFamily="34" charset="0"/>
              </a:rPr>
              <a:t>periodo 2000-2017 </a:t>
            </a:r>
          </a:p>
          <a:p>
            <a:pPr>
              <a:defRPr sz="800" b="1" i="0" u="none" strike="noStrike" baseline="0">
                <a:solidFill>
                  <a:srgbClr val="000000"/>
                </a:solidFill>
                <a:latin typeface="Century Gothic" panose="020B0502020202020204" pitchFamily="34" charset="0"/>
                <a:ea typeface="Calibri"/>
                <a:cs typeface="Calibri"/>
              </a:defRPr>
            </a:pPr>
            <a:r>
              <a:rPr lang="it-IT" sz="800" b="1">
                <a:latin typeface="Century Gothic" panose="020B0502020202020204" pitchFamily="34" charset="0"/>
              </a:rPr>
              <a:t>[Rete IT]</a:t>
            </a:r>
          </a:p>
        </c:rich>
      </c:tx>
      <c:layout>
        <c:manualLayout>
          <c:xMode val="edge"/>
          <c:yMode val="edge"/>
          <c:x val="0.11452569169960475"/>
          <c:y val="0.01444043321299639"/>
        </c:manualLayout>
      </c:layout>
      <c:overlay val="0"/>
    </c:title>
    <c:autoTitleDeleted val="0"/>
    <c:plotArea>
      <c:layout>
        <c:manualLayout>
          <c:layoutTarget val="inner"/>
          <c:xMode val="edge"/>
          <c:yMode val="edge"/>
          <c:x val="0.071988407699037624"/>
          <c:y val="0.17877691956801661"/>
          <c:w val="0.86245733753362952"/>
          <c:h val="0.59248200526812511"/>
        </c:manualLayout>
      </c:layout>
      <c:lineChart>
        <c:grouping val="standard"/>
        <c:varyColors val="0"/>
        <c:ser>
          <c:idx val="0"/>
          <c:order val="0"/>
          <c:tx>
            <c:strRef>
              <c:f>Foglio2!$B$20</c:f>
              <c:strCache>
                <c:ptCount val="1"/>
                <c:pt idx="0">
                  <c:v>SPAD</c:v>
                </c:pt>
              </c:strCache>
            </c:strRef>
          </c:tx>
          <c:cat>
            <c:numRef>
              <c:f>Foglio2!$A$21:$A$38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Foglio2!$B$21:$B$38</c:f>
              <c:numCache>
                <c:formatCode>General</c:formatCode>
                <c:ptCount val="18"/>
                <c:pt idx="0">
                  <c:v>37</c:v>
                </c:pt>
                <c:pt idx="1">
                  <c:v>36</c:v>
                </c:pt>
                <c:pt idx="2">
                  <c:v>28</c:v>
                </c:pt>
                <c:pt idx="3">
                  <c:v>26</c:v>
                </c:pt>
                <c:pt idx="4">
                  <c:v>19</c:v>
                </c:pt>
                <c:pt idx="5">
                  <c:v>25</c:v>
                </c:pt>
                <c:pt idx="6">
                  <c:v>24</c:v>
                </c:pt>
                <c:pt idx="7">
                  <c:v>15</c:v>
                </c:pt>
                <c:pt idx="8">
                  <c:v>20</c:v>
                </c:pt>
                <c:pt idx="9">
                  <c:v>14</c:v>
                </c:pt>
                <c:pt idx="10">
                  <c:v>10</c:v>
                </c:pt>
                <c:pt idx="11">
                  <c:v>12</c:v>
                </c:pt>
                <c:pt idx="12">
                  <c:v>20</c:v>
                </c:pt>
                <c:pt idx="13">
                  <c:v>17</c:v>
                </c:pt>
                <c:pt idx="14">
                  <c:v>21</c:v>
                </c:pt>
                <c:pt idx="15">
                  <c:v>19</c:v>
                </c:pt>
                <c:pt idx="16">
                  <c:v>20</c:v>
                </c:pt>
                <c:pt idx="17">
                  <c:v>32</c:v>
                </c:pt>
              </c:numCache>
            </c:numRef>
          </c:val>
          <c:smooth val="0"/>
          <c:extLst>
            <c:ext xmlns:c="http://schemas.openxmlformats.org/drawingml/2006/chart" xmlns:c16="http://schemas.microsoft.com/office/drawing/2014/chart" uri="{C3380CC4-5D6E-409C-BE32-E72D297353CC}">
              <c16:uniqueId val="{00000000-535D-4383-962B-4FB0803C5251}"/>
            </c:ext>
          </c:extLst>
        </c:ser>
        <c:ser>
          <c:idx val="1"/>
          <c:order val="1"/>
          <c:tx>
            <c:strRef>
              <c:f>Foglio2!$C$20</c:f>
              <c:strCache>
                <c:ptCount val="1"/>
                <c:pt idx="0">
                  <c:v>Partenza da fermo</c:v>
                </c:pt>
              </c:strCache>
            </c:strRef>
          </c:tx>
          <c:cat>
            <c:numRef>
              <c:f>Foglio2!$A$21:$A$38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Foglio2!$C$21:$C$38</c:f>
              <c:numCache>
                <c:formatCode>General</c:formatCode>
                <c:ptCount val="18"/>
                <c:pt idx="0">
                  <c:v>10</c:v>
                </c:pt>
                <c:pt idx="1">
                  <c:v>12</c:v>
                </c:pt>
                <c:pt idx="2">
                  <c:v>17</c:v>
                </c:pt>
                <c:pt idx="3">
                  <c:v>8</c:v>
                </c:pt>
                <c:pt idx="4">
                  <c:v>9</c:v>
                </c:pt>
                <c:pt idx="5">
                  <c:v>13</c:v>
                </c:pt>
                <c:pt idx="6">
                  <c:v>9</c:v>
                </c:pt>
                <c:pt idx="7">
                  <c:v>5</c:v>
                </c:pt>
                <c:pt idx="8">
                  <c:v>9</c:v>
                </c:pt>
                <c:pt idx="9">
                  <c:v>7</c:v>
                </c:pt>
                <c:pt idx="10">
                  <c:v>6</c:v>
                </c:pt>
                <c:pt idx="11">
                  <c:v>7</c:v>
                </c:pt>
                <c:pt idx="12">
                  <c:v>13</c:v>
                </c:pt>
                <c:pt idx="13">
                  <c:v>4</c:v>
                </c:pt>
                <c:pt idx="14">
                  <c:v>9</c:v>
                </c:pt>
                <c:pt idx="15">
                  <c:v>5</c:v>
                </c:pt>
                <c:pt idx="16">
                  <c:v>14</c:v>
                </c:pt>
                <c:pt idx="17">
                  <c:v>13</c:v>
                </c:pt>
              </c:numCache>
            </c:numRef>
          </c:val>
          <c:smooth val="0"/>
          <c:extLst>
            <c:ext xmlns:c="http://schemas.openxmlformats.org/drawingml/2006/chart" xmlns:c16="http://schemas.microsoft.com/office/drawing/2014/chart" uri="{C3380CC4-5D6E-409C-BE32-E72D297353CC}">
              <c16:uniqueId val="{00000001-535D-4383-962B-4FB0803C5251}"/>
            </c:ext>
          </c:extLst>
        </c:ser>
        <c:ser>
          <c:idx val="2"/>
          <c:order val="2"/>
          <c:tx>
            <c:strRef>
              <c:f>Foglio2!$D$20</c:f>
              <c:strCache>
                <c:ptCount val="1"/>
                <c:pt idx="0">
                  <c:v>In corsa</c:v>
                </c:pt>
              </c:strCache>
            </c:strRef>
          </c:tx>
          <c:cat>
            <c:numRef>
              <c:f>Foglio2!$A$21:$A$38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Foglio2!$D$21:$D$38</c:f>
              <c:numCache>
                <c:formatCode>General</c:formatCode>
                <c:ptCount val="18"/>
                <c:pt idx="0">
                  <c:v>27</c:v>
                </c:pt>
                <c:pt idx="1">
                  <c:v>24</c:v>
                </c:pt>
                <c:pt idx="2">
                  <c:v>11</c:v>
                </c:pt>
                <c:pt idx="3">
                  <c:v>18</c:v>
                </c:pt>
                <c:pt idx="4">
                  <c:v>10</c:v>
                </c:pt>
                <c:pt idx="5">
                  <c:v>11</c:v>
                </c:pt>
                <c:pt idx="6">
                  <c:v>15</c:v>
                </c:pt>
                <c:pt idx="7">
                  <c:v>10</c:v>
                </c:pt>
                <c:pt idx="8">
                  <c:v>9</c:v>
                </c:pt>
                <c:pt idx="9">
                  <c:v>7</c:v>
                </c:pt>
                <c:pt idx="10">
                  <c:v>4</c:v>
                </c:pt>
                <c:pt idx="11">
                  <c:v>5</c:v>
                </c:pt>
                <c:pt idx="12">
                  <c:v>7</c:v>
                </c:pt>
                <c:pt idx="13">
                  <c:v>13</c:v>
                </c:pt>
                <c:pt idx="14">
                  <c:v>12</c:v>
                </c:pt>
                <c:pt idx="15">
                  <c:v>14</c:v>
                </c:pt>
                <c:pt idx="16">
                  <c:v>6</c:v>
                </c:pt>
                <c:pt idx="17">
                  <c:v>19</c:v>
                </c:pt>
              </c:numCache>
            </c:numRef>
          </c:val>
          <c:smooth val="0"/>
          <c:extLst>
            <c:ext xmlns:c="http://schemas.openxmlformats.org/drawingml/2006/chart" xmlns:c16="http://schemas.microsoft.com/office/drawing/2014/chart" uri="{C3380CC4-5D6E-409C-BE32-E72D297353CC}">
              <c16:uniqueId val="{00000002-535D-4383-962B-4FB0803C5251}"/>
            </c:ext>
          </c:extLst>
        </c:ser>
        <c:dLbls>
          <c:showLegendKey val="0"/>
          <c:showVal val="0"/>
          <c:showCatName val="0"/>
          <c:showSerName val="0"/>
          <c:showPercent val="0"/>
          <c:showBubbleSize val="0"/>
        </c:dLbls>
        <c:marker val="1"/>
        <c:smooth val="0"/>
        <c:axId val="481700128"/>
        <c:axId val="479325280"/>
      </c:lineChart>
      <c:catAx>
        <c:axId val="481700128"/>
        <c:scaling>
          <c:orientation val="minMax"/>
        </c:scaling>
        <c:delete val="0"/>
        <c:axPos val="b"/>
        <c:numFmt formatCode="General" sourceLinked="1"/>
        <c:majorTickMark val="out"/>
        <c:minorTickMark val="none"/>
        <c:tickLblPos val="nextTo"/>
        <c:txPr>
          <a:bodyPr rot="5400000" vert="horz"/>
          <a:lstStyle/>
          <a:p>
            <a:pPr>
              <a:defRPr sz="700" b="0" i="0" u="none" strike="noStrike" baseline="0">
                <a:solidFill>
                  <a:srgbClr val="000000"/>
                </a:solidFill>
                <a:latin typeface="Century Gothic" panose="020B0502020202020204" pitchFamily="34" charset="0"/>
                <a:ea typeface="Calibri"/>
                <a:cs typeface="Calibri"/>
              </a:defRPr>
            </a:pPr>
            <a:endParaRPr lang="fr-FR"/>
          </a:p>
        </c:txPr>
        <c:crossAx val="479325280"/>
        <c:crosses val="autoZero"/>
        <c:auto val="1"/>
        <c:lblAlgn val="ctr"/>
        <c:lblOffset val="100"/>
        <c:noMultiLvlLbl val="0"/>
      </c:catAx>
      <c:valAx>
        <c:axId val="479325280"/>
        <c:scaling>
          <c:orientation val="minMax"/>
        </c:scaling>
        <c:delete val="0"/>
        <c:axPos val="l"/>
        <c:majorGridlines/>
        <c:numFmt formatCode="General" sourceLinked="1"/>
        <c:majorTickMark val="out"/>
        <c:minorTickMark val="none"/>
        <c:tickLblPos val="nextTo"/>
        <c:txPr>
          <a:bodyPr rot="0" vert="horz"/>
          <a:lstStyle/>
          <a:p>
            <a:pPr>
              <a:defRPr sz="800" b="0" i="0" u="none" strike="noStrike" baseline="0">
                <a:solidFill>
                  <a:srgbClr val="000000"/>
                </a:solidFill>
                <a:latin typeface="Century Gothic" panose="020B0502020202020204" pitchFamily="34" charset="0"/>
                <a:ea typeface="Calibri"/>
                <a:cs typeface="Calibri"/>
              </a:defRPr>
            </a:pPr>
            <a:endParaRPr lang="fr-FR"/>
          </a:p>
        </c:txPr>
        <c:crossAx val="481700128"/>
        <c:crosses val="autoZero"/>
        <c:crossBetween val="between"/>
      </c:valAx>
    </c:plotArea>
    <c:legend>
      <c:legendPos val="b"/>
      <c:layout>
        <c:manualLayout>
          <c:xMode val="edge"/>
          <c:yMode val="edge"/>
          <c:x val="0.1923060262754602"/>
          <c:y val="0.90171002774921472"/>
          <c:w val="0.6112964565389436"/>
          <c:h val="0.0690275801839618"/>
        </c:manualLayout>
      </c:layout>
      <c:overlay val="0"/>
      <c:txPr>
        <a:bodyPr/>
        <a:lstStyle/>
        <a:p>
          <a:pPr>
            <a:defRPr sz="800" b="0" i="0" u="none" strike="noStrike" baseline="0">
              <a:solidFill>
                <a:srgbClr val="000000"/>
              </a:solidFill>
              <a:latin typeface="Century Gothic" panose="020B0502020202020204" pitchFamily="34" charset="0"/>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it-IT" sz="800" b="1"/>
              <a:t>DERAGLIAMENTI DI TRENI</a:t>
            </a:r>
          </a:p>
          <a:p>
            <a:pPr>
              <a:defRPr sz="800" b="1"/>
            </a:pPr>
            <a:r>
              <a:rPr lang="it-IT" sz="800" b="1"/>
              <a:t>[Rete IT]</a:t>
            </a:r>
          </a:p>
        </c:rich>
      </c:tx>
      <c:layout/>
      <c:overlay val="0"/>
      <c:spPr>
        <a:noFill/>
        <a:ln w="25400">
          <a:noFill/>
        </a:ln>
      </c:spPr>
    </c:title>
    <c:autoTitleDeleted val="0"/>
    <c:plotArea>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130E-4220-B8ED-136356C7B4EB}"/>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130E-4220-B8ED-136356C7B4EB}"/>
              </c:ext>
            </c:extLst>
          </c:dPt>
          <c:dLbls>
            <c:dLbl>
              <c:idx val="0"/>
              <c:layout>
                <c:manualLayout>
                  <c:x val="0.0028789405498776451"/>
                  <c:y val="-0.1424737394720629"/>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130E-4220-B8ED-136356C7B4EB}"/>
                </c:ext>
              </c:extLst>
            </c:dLbl>
            <c:dLbl>
              <c:idx val="1"/>
              <c:layout>
                <c:manualLayout>
                  <c:x val="0"/>
                  <c:y val="-0.13959287708129661"/>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130E-4220-B8ED-136356C7B4EB}"/>
                </c:ext>
              </c:extLst>
            </c:dLbl>
            <c:dLbl>
              <c:idx val="2"/>
              <c:layout>
                <c:manualLayout>
                  <c:x val="-5.2779967029073814E-17"/>
                  <c:y val="-0.094720477713386889"/>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130E-4220-B8ED-136356C7B4EB}"/>
                </c:ext>
              </c:extLst>
            </c:dLbl>
            <c:dLbl>
              <c:idx val="3"/>
              <c:layout>
                <c:manualLayout>
                  <c:x val="0"/>
                  <c:y val="-0.061829175887163711"/>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130E-4220-B8ED-136356C7B4EB}"/>
                </c:ext>
              </c:extLst>
            </c:dLbl>
            <c:dLbl>
              <c:idx val="4"/>
              <c:layout>
                <c:manualLayout>
                  <c:x val="0.000450202829295827"/>
                  <c:y val="-0.084989658481325767"/>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130E-4220-B8ED-136356C7B4EB}"/>
                </c:ext>
              </c:extLst>
            </c:dLbl>
            <c:dLbl>
              <c:idx val="5"/>
              <c:layout>
                <c:manualLayout>
                  <c:x val="0"/>
                  <c:y val="-0.09646851824792228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130E-4220-B8ED-136356C7B4EB}"/>
                </c:ext>
              </c:extLst>
            </c:dLbl>
            <c:dLbl>
              <c:idx val="6"/>
              <c:layout>
                <c:manualLayout>
                  <c:x val="0.0028789405498775393"/>
                  <c:y val="-0.11498473251394568"/>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130E-4220-B8ED-136356C7B4EB}"/>
                </c:ext>
              </c:extLst>
            </c:dLbl>
            <c:dLbl>
              <c:idx val="7"/>
              <c:layout>
                <c:manualLayout>
                  <c:x val="0.0028789405498776451"/>
                  <c:y val="-0.08080092915494803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130E-4220-B8ED-136356C7B4EB}"/>
                </c:ext>
              </c:extLst>
            </c:dLbl>
            <c:dLbl>
              <c:idx val="8"/>
              <c:layout>
                <c:manualLayout>
                  <c:x val="0"/>
                  <c:y val="-0.069069293447559535"/>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130E-4220-B8ED-136356C7B4EB}"/>
                </c:ext>
              </c:extLst>
            </c:dLbl>
            <c:dLbl>
              <c:idx val="9"/>
              <c:layout>
                <c:manualLayout>
                  <c:x val="0.032022886443930261"/>
                  <c:y val="-0.00166066863604934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130E-4220-B8ED-136356C7B4EB}"/>
                </c:ext>
              </c:extLst>
            </c:dLbl>
            <c:dLbl>
              <c:idx val="10"/>
              <c:layout>
                <c:manualLayout>
                  <c:x val="0.031572456926402266"/>
                  <c:y val="-0.012929835846279689"/>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130E-4220-B8ED-136356C7B4EB}"/>
                </c:ext>
              </c:extLst>
            </c:dLbl>
            <c:spPr>
              <a:noFill/>
              <a:ln w="25400">
                <a:noFill/>
              </a:ln>
            </c:spPr>
            <c:txPr>
              <a:bodyPr/>
              <a:lstStyle/>
              <a:p>
                <a:pPr>
                  <a:defRPr b="1"/>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deragliamenti!$J$7:$J$17</c:f>
              <c:numCache>
                <c:formatCode>General</c:formatCode>
                <c:ptCount val="11"/>
                <c:pt idx="0">
                  <c:v>8</c:v>
                </c:pt>
                <c:pt idx="1">
                  <c:v>8</c:v>
                </c:pt>
                <c:pt idx="2">
                  <c:v>5</c:v>
                </c:pt>
                <c:pt idx="3">
                  <c:v>3</c:v>
                </c:pt>
                <c:pt idx="4">
                  <c:v>4</c:v>
                </c:pt>
                <c:pt idx="5">
                  <c:v>5</c:v>
                </c:pt>
                <c:pt idx="6">
                  <c:v>6</c:v>
                </c:pt>
                <c:pt idx="7">
                  <c:v>4</c:v>
                </c:pt>
                <c:pt idx="8">
                  <c:v>3</c:v>
                </c:pt>
                <c:pt idx="9">
                  <c:v>2</c:v>
                </c:pt>
                <c:pt idx="10">
                  <c:v>4</c:v>
                </c:pt>
              </c:numCache>
            </c:numRef>
          </c:val>
          <c:extLst>
            <c:ext xmlns:c="http://schemas.openxmlformats.org/drawingml/2006/chart" xmlns:c16="http://schemas.microsoft.com/office/drawing/2014/chart" uri="{C3380CC4-5D6E-409C-BE32-E72D297353CC}">
              <c16:uniqueId val="{0000000E-130E-4220-B8ED-136356C7B4EB}"/>
            </c:ext>
          </c:extLst>
        </c:ser>
        <c:ser>
          <c:idx val="2"/>
          <c:order val="3"/>
          <c:tx>
            <c:v>[Reti Regionali Interconnesse]</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130E-4220-B8ED-136356C7B4EB}"/>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130E-4220-B8ED-136356C7B4EB}"/>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130E-4220-B8ED-136356C7B4EB}"/>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130E-4220-B8ED-136356C7B4EB}"/>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130E-4220-B8ED-136356C7B4EB}"/>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130E-4220-B8ED-136356C7B4EB}"/>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130E-4220-B8ED-136356C7B4EB}"/>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130E-4220-B8ED-136356C7B4EB}"/>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130E-4220-B8ED-136356C7B4EB}"/>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130E-4220-B8ED-136356C7B4EB}"/>
                </c:ext>
              </c:extLst>
            </c:dLbl>
            <c:dLbl>
              <c:idx val="9"/>
              <c:layout>
                <c:manualLayout>
                  <c:x val="0.031572456926402266"/>
                  <c:y val="-0.02192221189493077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130E-4220-B8ED-136356C7B4EB}"/>
                </c:ext>
              </c:extLst>
            </c:dLbl>
            <c:dLbl>
              <c:idx val="10"/>
              <c:layout>
                <c:manualLayout>
                  <c:x val="0.029143897996357013"/>
                  <c:y val="-0.003308519437551756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130E-4220-B8ED-136356C7B4EB}"/>
                </c:ext>
              </c:extLst>
            </c:dLbl>
            <c:spPr>
              <a:noFill/>
              <a:ln w="25400">
                <a:noFill/>
              </a:ln>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deragliamenti!$R$7:$R$17</c:f>
              <c:numCache>
                <c:formatCode>General</c:formatCode>
                <c:ptCount val="11"/>
                <c:pt idx="0">
                  <c:v>0</c:v>
                </c:pt>
                <c:pt idx="1">
                  <c:v>0</c:v>
                </c:pt>
                <c:pt idx="2">
                  <c:v>0</c:v>
                </c:pt>
                <c:pt idx="3">
                  <c:v>0</c:v>
                </c:pt>
                <c:pt idx="4">
                  <c:v>0</c:v>
                </c:pt>
                <c:pt idx="5">
                  <c:v>0</c:v>
                </c:pt>
                <c:pt idx="6">
                  <c:v>0</c:v>
                </c:pt>
                <c:pt idx="7">
                  <c:v>0</c:v>
                </c:pt>
                <c:pt idx="8">
                  <c:v>0</c:v>
                </c:pt>
                <c:pt idx="9">
                  <c:v>0</c:v>
                </c:pt>
                <c:pt idx="10">
                  <c:v>1</c:v>
                </c:pt>
              </c:numCache>
            </c:numRef>
          </c:val>
          <c:extLst>
            <c:ext xmlns:c="http://schemas.openxmlformats.org/drawingml/2006/chart" xmlns:c16="http://schemas.microsoft.com/office/drawing/2014/chart" uri="{C3380CC4-5D6E-409C-BE32-E72D297353CC}">
              <c16:uniqueId val="{0000001B-130E-4220-B8ED-136356C7B4EB}"/>
            </c:ext>
          </c:extLst>
        </c:ser>
        <c:dLbls>
          <c:showLegendKey val="0"/>
          <c:showVal val="0"/>
          <c:showCatName val="0"/>
          <c:showSerName val="0"/>
          <c:showPercent val="0"/>
          <c:showBubbleSize val="0"/>
        </c:dLbls>
        <c:gapWidth val="150"/>
        <c:overlap val="100"/>
        <c:axId val="481920656"/>
        <c:axId val="481921048"/>
      </c:barChart>
      <c:lineChart>
        <c:grouping val="standard"/>
        <c:varyColors val="0"/>
        <c:ser>
          <c:idx val="11"/>
          <c:order val="1"/>
          <c:spPr>
            <a:ln w="19050" cap="rnd">
              <a:solidFill>
                <a:srgbClr val="00B050"/>
              </a:solidFill>
              <a:round/>
            </a:ln>
            <a:effectLst/>
          </c:spPr>
          <c:marker>
            <c:symbol val="square"/>
            <c:size val="5"/>
          </c:marker>
          <c:dPt>
            <c:idx val="12"/>
            <c:bubble3D val="0"/>
            <c:spPr>
              <a:ln w="19050" cap="rnd">
                <a:solidFill>
                  <a:srgbClr val="00B050"/>
                </a:solidFill>
                <a:prstDash val="sysDash"/>
                <a:round/>
              </a:ln>
              <a:effectLst/>
            </c:spPr>
            <c:extLst>
              <c:ext xmlns:c="http://schemas.openxmlformats.org/drawingml/2006/chart" xmlns:c16="http://schemas.microsoft.com/office/drawing/2014/chart" uri="{C3380CC4-5D6E-409C-BE32-E72D297353CC}">
                <c16:uniqueId val="{0000001D-130E-4220-B8ED-136356C7B4EB}"/>
              </c:ext>
            </c:extLst>
          </c:dPt>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deragliamenti!$AA$7:$AA$17</c:f>
              <c:numCache>
                <c:formatCode>General</c:formatCode>
                <c:ptCount val="11"/>
                <c:pt idx="0">
                  <c:v>0.023343692096701247</c:v>
                </c:pt>
                <c:pt idx="1">
                  <c:v>0.023653453256341345</c:v>
                </c:pt>
                <c:pt idx="2">
                  <c:v>0.015470344895869109</c:v>
                </c:pt>
                <c:pt idx="3">
                  <c:v>0.009260516860314363</c:v>
                </c:pt>
                <c:pt idx="4">
                  <c:v>0.012603307738115868</c:v>
                </c:pt>
                <c:pt idx="5">
                  <c:v>0.015797389007544835</c:v>
                </c:pt>
                <c:pt idx="6">
                  <c:v>0.018092452431927149</c:v>
                </c:pt>
                <c:pt idx="7">
                  <c:v>0.012099652739966361</c:v>
                </c:pt>
                <c:pt idx="8">
                  <c:v>0.0088096671414098389</c:v>
                </c:pt>
                <c:pt idx="9">
                  <c:v>0.005376011698201455</c:v>
                </c:pt>
                <c:pt idx="10">
                  <c:v>0.013317849114096676</c:v>
                </c:pt>
              </c:numCache>
            </c:numRef>
          </c:val>
          <c:smooth val="0"/>
          <c:extLst>
            <c:ext xmlns:c="http://schemas.openxmlformats.org/drawingml/2006/chart" xmlns:c16="http://schemas.microsoft.com/office/drawing/2014/chart" uri="{C3380CC4-5D6E-409C-BE32-E72D297353CC}">
              <c16:uniqueId val="{0000001E-130E-4220-B8ED-136356C7B4EB}"/>
            </c:ext>
          </c:extLst>
        </c:ser>
        <c:ser>
          <c:idx val="1"/>
          <c:order val="2"/>
          <c:tx>
            <c:v>media</c:v>
          </c:tx>
          <c:spPr>
            <a:ln w="19050">
              <a:solidFill>
                <a:srgbClr val="FF0000"/>
              </a:solidFill>
              <a:prstDash val="sysDash"/>
            </a:ln>
          </c:spPr>
          <c:marker>
            <c:symbol val="none"/>
          </c:marker>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deragliamenti!$AB$7:$AB$17</c:f>
              <c:numCache>
                <c:formatCode>General</c:formatCode>
                <c:ptCount val="11"/>
                <c:pt idx="0">
                  <c:v>0.015950086877888563</c:v>
                </c:pt>
                <c:pt idx="1">
                  <c:v>0.015950086877888563</c:v>
                </c:pt>
                <c:pt idx="2">
                  <c:v>0.015950086877888563</c:v>
                </c:pt>
                <c:pt idx="3">
                  <c:v>0.015950086877888563</c:v>
                </c:pt>
                <c:pt idx="4">
                  <c:v>0.015950086877888563</c:v>
                </c:pt>
                <c:pt idx="5">
                  <c:v>0.015950086877888563</c:v>
                </c:pt>
                <c:pt idx="6">
                  <c:v>0.015950086877888563</c:v>
                </c:pt>
                <c:pt idx="7">
                  <c:v>0.015950086877888563</c:v>
                </c:pt>
                <c:pt idx="8">
                  <c:v>0.015950086877888563</c:v>
                </c:pt>
                <c:pt idx="9">
                  <c:v>0.015950086877888563</c:v>
                </c:pt>
                <c:pt idx="10">
                  <c:v>0.015950086877888563</c:v>
                </c:pt>
              </c:numCache>
            </c:numRef>
          </c:val>
          <c:smooth val="0"/>
          <c:extLst>
            <c:ext xmlns:c="http://schemas.openxmlformats.org/drawingml/2006/chart" xmlns:c16="http://schemas.microsoft.com/office/drawing/2014/chart" uri="{C3380CC4-5D6E-409C-BE32-E72D297353CC}">
              <c16:uniqueId val="{0000001F-130E-4220-B8ED-136356C7B4EB}"/>
            </c:ext>
          </c:extLst>
        </c:ser>
        <c:dLbls>
          <c:showLegendKey val="0"/>
          <c:showVal val="0"/>
          <c:showCatName val="0"/>
          <c:showSerName val="0"/>
          <c:showPercent val="0"/>
          <c:showBubbleSize val="0"/>
        </c:dLbls>
        <c:marker val="1"/>
        <c:smooth val="0"/>
        <c:axId val="481915952"/>
        <c:axId val="481920264"/>
      </c:lineChart>
      <c:catAx>
        <c:axId val="4819206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a:pPr>
            <a:endParaRPr lang="fr-FR"/>
          </a:p>
        </c:txPr>
        <c:crossAx val="481921048"/>
        <c:crosses val="autoZero"/>
        <c:auto val="1"/>
        <c:lblAlgn val="ctr"/>
        <c:lblOffset val="100"/>
        <c:noMultiLvlLbl val="0"/>
      </c:catAx>
      <c:valAx>
        <c:axId val="481921048"/>
        <c:scaling>
          <c:orientation val="minMax"/>
          <c:max val="25"/>
          <c:min val="0"/>
        </c:scaling>
        <c:delete val="0"/>
        <c:axPos val="r"/>
        <c:majorGridlines>
          <c:spPr>
            <a:ln w="9525">
              <a:solidFill>
                <a:schemeClr val="tx1">
                  <a:lumMod val="15000"/>
                  <a:lumOff val="85000"/>
                </a:schemeClr>
              </a:solidFill>
              <a:round/>
            </a:ln>
            <a:effectLst/>
          </c:spPr>
        </c:majorGridlines>
        <c:title>
          <c:tx>
            <c:rich>
              <a:bodyPr/>
              <a:lstStyle/>
              <a:p>
                <a:pPr>
                  <a:defRPr sz="800"/>
                </a:pPr>
                <a:r>
                  <a:rPr lang="it-IT" sz="800"/>
                  <a:t>n° INCIDENTI SIGNIFICATIVI</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920656"/>
        <c:crosses val="max"/>
        <c:crossBetween val="between"/>
      </c:valAx>
      <c:catAx>
        <c:axId val="481915952"/>
        <c:scaling>
          <c:orientation val="minMax"/>
        </c:scaling>
        <c:delete val="1"/>
        <c:axPos val="t"/>
        <c:numFmt formatCode="General" sourceLinked="1"/>
        <c:majorTickMark val="out"/>
        <c:minorTickMark val="none"/>
        <c:tickLblPos val="nextTo"/>
        <c:crossAx val="481920264"/>
        <c:crosses val="max"/>
        <c:auto val="1"/>
        <c:lblAlgn val="ctr"/>
        <c:lblOffset val="100"/>
        <c:noMultiLvlLbl val="0"/>
      </c:catAx>
      <c:valAx>
        <c:axId val="481920264"/>
        <c:scaling>
          <c:orientation val="minMax"/>
          <c:max val="0.030000000000000006"/>
          <c:min val="0"/>
        </c:scaling>
        <c:delete val="0"/>
        <c:axPos val="l"/>
        <c:title>
          <c:tx>
            <c:rich>
              <a:bodyPr/>
              <a:lstStyle/>
              <a:p>
                <a:pPr>
                  <a:defRPr sz="800"/>
                </a:pPr>
                <a:r>
                  <a:rPr lang="it-IT" sz="800"/>
                  <a:t>n° INCIDENTI SIGNIFICATIVI/Mln tr-km</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915952"/>
        <c:crosses val="autoZero"/>
        <c:crossBetween val="between"/>
      </c:valAx>
      <c:spPr>
        <a:noFill/>
        <a:ln w="25400">
          <a:noFill/>
        </a:ln>
      </c:spPr>
    </c:plotArea>
    <c:legend>
      <c:legendPos val="b"/>
      <c:legendEntry>
        <c:idx val="2"/>
        <c:delete val="1"/>
      </c:legendEntry>
      <c:legendEntry>
        <c:idx val="3"/>
        <c:delete val="1"/>
      </c:legendEntry>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b="0" i="0" u="none" strike="noStrike" baseline="0">
          <a:solidFill>
            <a:srgbClr val="000000"/>
          </a:solidFill>
          <a:latin typeface="Century Gothic" panose="020B0502020202020204" pitchFamily="34" charset="0"/>
          <a:ea typeface="Calibri"/>
          <a:cs typeface="Calibri"/>
        </a:defRPr>
      </a:pPr>
      <a:endParaRPr lang="fr-F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panose="020B0502020202020204" pitchFamily="34" charset="0"/>
                <a:ea typeface="Calibri"/>
                <a:cs typeface="Calibri"/>
              </a:defRPr>
            </a:pPr>
            <a:r>
              <a:rPr lang="it-IT" sz="800" b="1" i="0" baseline="0">
                <a:effectLst/>
                <a:latin typeface="Century Gothic" panose="020B0502020202020204" pitchFamily="34" charset="0"/>
              </a:rPr>
              <a:t>INCIDENTI SIGNIFICATIVI</a:t>
            </a:r>
            <a:endParaRPr lang="it-IT" sz="800" b="1">
              <a:effectLst/>
              <a:latin typeface="Century Gothic" panose="020B0502020202020204" pitchFamily="34" charset="0"/>
            </a:endParaRPr>
          </a:p>
          <a:p>
            <a:pPr>
              <a:defRPr sz="800" b="1" i="0" u="none" strike="noStrike" baseline="0">
                <a:solidFill>
                  <a:srgbClr val="000000"/>
                </a:solidFill>
                <a:latin typeface="Century Gothic" panose="020B0502020202020204" pitchFamily="34" charset="0"/>
                <a:ea typeface="Calibri"/>
                <a:cs typeface="Calibri"/>
              </a:defRPr>
            </a:pPr>
            <a:r>
              <a:rPr lang="it-IT" sz="800" b="1" i="0" baseline="0">
                <a:effectLst/>
                <a:latin typeface="Century Gothic" panose="020B0502020202020204" pitchFamily="34" charset="0"/>
              </a:rPr>
              <a:t>INCENDI AL MATERIALE ROTABILE</a:t>
            </a:r>
            <a:endParaRPr lang="it-IT" sz="800" b="1">
              <a:effectLst/>
              <a:latin typeface="Century Gothic" panose="020B0502020202020204" pitchFamily="34" charset="0"/>
            </a:endParaRPr>
          </a:p>
          <a:p>
            <a:pPr>
              <a:defRPr sz="800" b="1" i="0" u="none" strike="noStrike" baseline="0">
                <a:solidFill>
                  <a:srgbClr val="000000"/>
                </a:solidFill>
                <a:latin typeface="Century Gothic" panose="020B0502020202020204" pitchFamily="34" charset="0"/>
                <a:ea typeface="Calibri"/>
                <a:cs typeface="Calibri"/>
              </a:defRPr>
            </a:pPr>
            <a:r>
              <a:rPr lang="it-IT" sz="800" b="1" i="0" baseline="0">
                <a:effectLst/>
                <a:latin typeface="Century Gothic" panose="020B0502020202020204" pitchFamily="34" charset="0"/>
              </a:rPr>
              <a:t>[Rete IT]</a:t>
            </a:r>
            <a:endParaRPr lang="it-IT" sz="800" b="1">
              <a:effectLst/>
              <a:latin typeface="Century Gothic" panose="020B0502020202020204" pitchFamily="34" charset="0"/>
            </a:endParaRPr>
          </a:p>
        </c:rich>
      </c:tx>
      <c:layout/>
      <c:overlay val="0"/>
      <c:spPr>
        <a:noFill/>
        <a:ln w="25400">
          <a:noFill/>
        </a:ln>
      </c:spPr>
    </c:title>
    <c:autoTitleDeleted val="0"/>
    <c:plotArea>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89CD-47B0-893A-AB691B2D3A60}"/>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89CD-47B0-893A-AB691B2D3A60}"/>
              </c:ext>
            </c:extLst>
          </c:dPt>
          <c:dLbls>
            <c:dLbl>
              <c:idx val="0"/>
              <c:layout>
                <c:manualLayout>
                  <c:x val="0"/>
                  <c:y val="-0.082262090268488769"/>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89CD-47B0-893A-AB691B2D3A60}"/>
                </c:ext>
              </c:extLst>
            </c:dLbl>
            <c:dLbl>
              <c:idx val="1"/>
              <c:layout>
                <c:manualLayout>
                  <c:x val="0"/>
                  <c:y val="-0.05655470824465695"/>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89CD-47B0-893A-AB691B2D3A60}"/>
                </c:ext>
              </c:extLst>
            </c:dLbl>
            <c:dLbl>
              <c:idx val="2"/>
              <c:layout>
                <c:manualLayout>
                  <c:x val="0.0054318305268875608"/>
                  <c:y val="-0.030748039157102003"/>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89CD-47B0-893A-AB691B2D3A60}"/>
                </c:ext>
              </c:extLst>
            </c:dLbl>
            <c:dLbl>
              <c:idx val="3"/>
              <c:layout>
                <c:manualLayout>
                  <c:x val="-4.9791204637557823E-17"/>
                  <c:y val="-0.043772418114986063"/>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89CD-47B0-893A-AB691B2D3A60}"/>
                </c:ext>
              </c:extLst>
            </c:dLbl>
            <c:dLbl>
              <c:idx val="4"/>
              <c:layout>
                <c:manualLayout>
                  <c:x val="-0.0024287125706245393"/>
                  <c:y val="-0.051627434486626121"/>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15:layout>
                    <c:manualLayout>
                      <c:w val="0.03006518196632265"/>
                      <c:h val="0.0591750899789015"/>
                    </c:manualLayout>
                  </c15:layout>
                </c:ext>
                <c:ext xmlns:c="http://schemas.openxmlformats.org/drawingml/2006/chart" xmlns:c16="http://schemas.microsoft.com/office/drawing/2014/chart" uri="{C3380CC4-5D6E-409C-BE32-E72D297353CC}">
                  <c16:uniqueId val="{00000008-89CD-47B0-893A-AB691B2D3A60}"/>
                </c:ext>
              </c:extLst>
            </c:dLbl>
            <c:dLbl>
              <c:idx val="5"/>
              <c:layout>
                <c:manualLayout>
                  <c:x val="-9.9582409275115646E-17"/>
                  <c:y val="-0.047735626741928709"/>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89CD-47B0-893A-AB691B2D3A60}"/>
                </c:ext>
              </c:extLst>
            </c:dLbl>
            <c:dLbl>
              <c:idx val="6"/>
              <c:layout>
                <c:manualLayout>
                  <c:x val="-0.00271591526344388"/>
                  <c:y val="-0.055035064574896611"/>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89CD-47B0-893A-AB691B2D3A60}"/>
                </c:ext>
              </c:extLst>
            </c:dLbl>
            <c:dLbl>
              <c:idx val="7"/>
              <c:layout>
                <c:manualLayout>
                  <c:x val="0"/>
                  <c:y val="-0.0364184336852816"/>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89CD-47B0-893A-AB691B2D3A60}"/>
                </c:ext>
              </c:extLst>
            </c:dLbl>
            <c:dLbl>
              <c:idx val="8"/>
              <c:layout>
                <c:manualLayout>
                  <c:x val="-9.9582409275115646E-17"/>
                  <c:y val="-0.055035064574896611"/>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89CD-47B0-893A-AB691B2D3A60}"/>
                </c:ext>
              </c:extLst>
            </c:dLbl>
            <c:dLbl>
              <c:idx val="9"/>
              <c:layout>
                <c:manualLayout>
                  <c:x val="0.029143909292707333"/>
                  <c:y val="-0.010977349372484449"/>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89CD-47B0-893A-AB691B2D3A60}"/>
                </c:ext>
              </c:extLst>
            </c:dLbl>
            <c:dLbl>
              <c:idx val="10"/>
              <c:layout>
                <c:manualLayout>
                  <c:x val="0.031572621863331624"/>
                  <c:y val="0.0047997940712750983"/>
                </c:manualLayout>
              </c:layout>
              <c:spPr>
                <a:noFill/>
                <a:ln w="25400">
                  <a:noFill/>
                </a:ln>
              </c:spPr>
              <c:txPr>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89CD-47B0-893A-AB691B2D3A60}"/>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entury Gothic" panose="020B0502020202020204" pitchFamily="34" charset="0"/>
                    <a:ea typeface="Calibri"/>
                    <a:cs typeface="Calibri"/>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'incendi a materiale rotabile'!$L$7:$L$17</c:f>
              <c:numCache>
                <c:formatCode>General</c:formatCode>
                <c:ptCount val="11"/>
                <c:pt idx="0">
                  <c:v>4</c:v>
                </c:pt>
                <c:pt idx="1">
                  <c:v>2</c:v>
                </c:pt>
                <c:pt idx="2">
                  <c:v>0</c:v>
                </c:pt>
                <c:pt idx="3">
                  <c:v>0</c:v>
                </c:pt>
                <c:pt idx="4">
                  <c:v>0</c:v>
                </c:pt>
                <c:pt idx="5">
                  <c:v>1</c:v>
                </c:pt>
                <c:pt idx="6">
                  <c:v>2</c:v>
                </c:pt>
                <c:pt idx="7">
                  <c:v>0</c:v>
                </c:pt>
                <c:pt idx="8">
                  <c:v>2</c:v>
                </c:pt>
                <c:pt idx="9">
                  <c:v>1</c:v>
                </c:pt>
                <c:pt idx="10">
                  <c:v>2</c:v>
                </c:pt>
              </c:numCache>
            </c:numRef>
          </c:val>
          <c:extLst>
            <c:ext xmlns:c="http://schemas.openxmlformats.org/drawingml/2006/chart" xmlns:c16="http://schemas.microsoft.com/office/drawing/2014/chart" uri="{C3380CC4-5D6E-409C-BE32-E72D297353CC}">
              <c16:uniqueId val="{0000000E-89CD-47B0-893A-AB691B2D3A60}"/>
            </c:ext>
          </c:extLst>
        </c:ser>
        <c:ser>
          <c:idx val="2"/>
          <c:order val="3"/>
          <c:tx>
            <c:v>[Reti Regionali Interconnesse]</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89CD-47B0-893A-AB691B2D3A60}"/>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89CD-47B0-893A-AB691B2D3A60}"/>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89CD-47B0-893A-AB691B2D3A60}"/>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89CD-47B0-893A-AB691B2D3A60}"/>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89CD-47B0-893A-AB691B2D3A60}"/>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89CD-47B0-893A-AB691B2D3A60}"/>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89CD-47B0-893A-AB691B2D3A60}"/>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89CD-47B0-893A-AB691B2D3A60}"/>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89CD-47B0-893A-AB691B2D3A60}"/>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89CD-47B0-893A-AB691B2D3A60}"/>
                </c:ext>
              </c:extLst>
            </c:dLbl>
            <c:dLbl>
              <c:idx val="9"/>
              <c:layout>
                <c:manualLayout>
                  <c:x val="0.028856706599887941"/>
                  <c:y val="-0.053318685427018647"/>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89CD-47B0-893A-AB691B2D3A60}"/>
                </c:ext>
              </c:extLst>
            </c:dLbl>
            <c:dLbl>
              <c:idx val="10"/>
              <c:layout>
                <c:manualLayout>
                  <c:x val="0.029143909292707132"/>
                  <c:y val="-0.014984072700194436"/>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89CD-47B0-893A-AB691B2D3A60}"/>
                </c:ext>
              </c:extLst>
            </c:dLbl>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'incendi a materiale rotabile'!$T$7:$T$17</c:f>
              <c:numCache>
                <c:formatCode>General</c:formatCode>
                <c:ptCount val="11"/>
                <c:pt idx="0">
                  <c:v>0</c:v>
                </c:pt>
                <c:pt idx="1">
                  <c:v>0</c:v>
                </c:pt>
                <c:pt idx="2">
                  <c:v>0</c:v>
                </c:pt>
                <c:pt idx="3">
                  <c:v>0</c:v>
                </c:pt>
                <c:pt idx="4">
                  <c:v>0</c:v>
                </c:pt>
                <c:pt idx="5">
                  <c:v>0</c:v>
                </c:pt>
                <c:pt idx="6">
                  <c:v>0</c:v>
                </c:pt>
                <c:pt idx="7">
                  <c:v>0</c:v>
                </c:pt>
                <c:pt idx="8">
                  <c:v>0</c:v>
                </c:pt>
                <c:pt idx="9">
                  <c:v>0</c:v>
                </c:pt>
                <c:pt idx="10">
                  <c:v>1</c:v>
                </c:pt>
              </c:numCache>
            </c:numRef>
          </c:val>
          <c:extLst>
            <c:ext xmlns:c="http://schemas.openxmlformats.org/drawingml/2006/chart" xmlns:c16="http://schemas.microsoft.com/office/drawing/2014/chart" uri="{C3380CC4-5D6E-409C-BE32-E72D297353CC}">
              <c16:uniqueId val="{0000001B-89CD-47B0-893A-AB691B2D3A60}"/>
            </c:ext>
          </c:extLst>
        </c:ser>
        <c:dLbls>
          <c:showLegendKey val="0"/>
          <c:showVal val="0"/>
          <c:showCatName val="0"/>
          <c:showSerName val="0"/>
          <c:showPercent val="0"/>
          <c:showBubbleSize val="0"/>
        </c:dLbls>
        <c:gapWidth val="150"/>
        <c:overlap val="100"/>
        <c:axId val="481922224"/>
        <c:axId val="481918696"/>
      </c:barChart>
      <c:lineChart>
        <c:grouping val="standard"/>
        <c:varyColors val="0"/>
        <c:ser>
          <c:idx val="11"/>
          <c:order val="1"/>
          <c:spPr>
            <a:ln w="19050" cap="rnd">
              <a:solidFill>
                <a:srgbClr val="00B050"/>
              </a:solidFill>
              <a:round/>
            </a:ln>
            <a:effectLst/>
          </c:spPr>
          <c:marker>
            <c:symbol val="square"/>
            <c:size val="5"/>
          </c:marker>
          <c:dPt>
            <c:idx val="12"/>
            <c:bubble3D val="0"/>
            <c:spPr>
              <a:ln w="19050" cap="rnd">
                <a:solidFill>
                  <a:srgbClr val="00B050"/>
                </a:solidFill>
                <a:prstDash val="sysDash"/>
                <a:round/>
              </a:ln>
              <a:effectLst/>
            </c:spPr>
            <c:extLst>
              <c:ext xmlns:c="http://schemas.openxmlformats.org/drawingml/2006/chart" xmlns:c16="http://schemas.microsoft.com/office/drawing/2014/chart" uri="{C3380CC4-5D6E-409C-BE32-E72D297353CC}">
                <c16:uniqueId val="{0000001D-89CD-47B0-893A-AB691B2D3A60}"/>
              </c:ext>
            </c:extLst>
          </c:dPt>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'incendi a materiale rotabile'!$AC$7:$AC$17</c:f>
              <c:numCache>
                <c:formatCode>General</c:formatCode>
                <c:ptCount val="11"/>
                <c:pt idx="0">
                  <c:v>0.011671846048350623</c:v>
                </c:pt>
                <c:pt idx="1">
                  <c:v>0.0059133633140853363</c:v>
                </c:pt>
                <c:pt idx="2">
                  <c:v>0</c:v>
                </c:pt>
                <c:pt idx="3">
                  <c:v>0</c:v>
                </c:pt>
                <c:pt idx="4">
                  <c:v>0</c:v>
                </c:pt>
                <c:pt idx="5">
                  <c:v>0.0031594778015089668</c:v>
                </c:pt>
                <c:pt idx="6">
                  <c:v>0.006030817477309049</c:v>
                </c:pt>
                <c:pt idx="7">
                  <c:v>0</c:v>
                </c:pt>
                <c:pt idx="8">
                  <c:v>0.00587311142760656</c:v>
                </c:pt>
                <c:pt idx="9">
                  <c:v>0.0026880058491007275</c:v>
                </c:pt>
                <c:pt idx="10">
                  <c:v>0.0079907094684580054</c:v>
                </c:pt>
              </c:numCache>
            </c:numRef>
          </c:val>
          <c:smooth val="0"/>
          <c:extLst>
            <c:ext xmlns:c="http://schemas.openxmlformats.org/drawingml/2006/chart" xmlns:c16="http://schemas.microsoft.com/office/drawing/2014/chart" uri="{C3380CC4-5D6E-409C-BE32-E72D297353CC}">
              <c16:uniqueId val="{0000001E-89CD-47B0-893A-AB691B2D3A60}"/>
            </c:ext>
          </c:extLst>
        </c:ser>
        <c:ser>
          <c:idx val="1"/>
          <c:order val="2"/>
          <c:tx>
            <c:v>media</c:v>
          </c:tx>
          <c:spPr>
            <a:ln w="19050">
              <a:solidFill>
                <a:srgbClr val="FF0000"/>
              </a:solidFill>
              <a:prstDash val="sysDash"/>
            </a:ln>
          </c:spPr>
          <c:marker>
            <c:symbol val="none"/>
          </c:marker>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'incendi a materiale rotabile'!$AD$7:$AD$17</c:f>
              <c:numCache>
                <c:formatCode>General</c:formatCode>
                <c:ptCount val="11"/>
                <c:pt idx="0">
                  <c:v>0.0051313992307758481</c:v>
                </c:pt>
                <c:pt idx="1">
                  <c:v>0.0051313992307758481</c:v>
                </c:pt>
                <c:pt idx="2">
                  <c:v>0.0051313992307758481</c:v>
                </c:pt>
                <c:pt idx="3">
                  <c:v>0.0051313992307758481</c:v>
                </c:pt>
                <c:pt idx="4">
                  <c:v>0.0051313992307758481</c:v>
                </c:pt>
                <c:pt idx="5">
                  <c:v>0.0051313992307758481</c:v>
                </c:pt>
                <c:pt idx="6">
                  <c:v>0.0051313992307758481</c:v>
                </c:pt>
                <c:pt idx="7">
                  <c:v>0.0051313992307758481</c:v>
                </c:pt>
                <c:pt idx="8">
                  <c:v>0.0051313992307758481</c:v>
                </c:pt>
                <c:pt idx="9">
                  <c:v>0.0051313992307758481</c:v>
                </c:pt>
                <c:pt idx="10">
                  <c:v>0.0051313992307758481</c:v>
                </c:pt>
              </c:numCache>
            </c:numRef>
          </c:val>
          <c:smooth val="0"/>
          <c:extLst>
            <c:ext xmlns:c="http://schemas.openxmlformats.org/drawingml/2006/chart" xmlns:c16="http://schemas.microsoft.com/office/drawing/2014/chart" uri="{C3380CC4-5D6E-409C-BE32-E72D297353CC}">
              <c16:uniqueId val="{0000001F-89CD-47B0-893A-AB691B2D3A60}"/>
            </c:ext>
          </c:extLst>
        </c:ser>
        <c:dLbls>
          <c:showLegendKey val="0"/>
          <c:showVal val="0"/>
          <c:showCatName val="0"/>
          <c:showSerName val="0"/>
          <c:showPercent val="0"/>
          <c:showBubbleSize val="0"/>
        </c:dLbls>
        <c:marker val="1"/>
        <c:smooth val="0"/>
        <c:axId val="481919088"/>
        <c:axId val="481915168"/>
      </c:lineChart>
      <c:catAx>
        <c:axId val="48192222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b="0" i="0" u="none" strike="noStrike" baseline="0">
                <a:solidFill>
                  <a:srgbClr val="333333"/>
                </a:solidFill>
                <a:latin typeface="Century Gothic" panose="020B0502020202020204" pitchFamily="34" charset="0"/>
                <a:ea typeface="Calibri"/>
                <a:cs typeface="Calibri"/>
              </a:defRPr>
            </a:pPr>
            <a:endParaRPr lang="fr-FR"/>
          </a:p>
        </c:txPr>
        <c:crossAx val="481918696"/>
        <c:crosses val="autoZero"/>
        <c:auto val="1"/>
        <c:lblAlgn val="ctr"/>
        <c:lblOffset val="100"/>
        <c:noMultiLvlLbl val="0"/>
      </c:catAx>
      <c:valAx>
        <c:axId val="481918696"/>
        <c:scaling>
          <c:orientation val="minMax"/>
          <c:max val="25"/>
          <c:min val="0"/>
        </c:scaling>
        <c:delete val="0"/>
        <c:axPos val="r"/>
        <c:majorGridlines>
          <c:spPr>
            <a:ln w="9525">
              <a:solidFill>
                <a:schemeClr val="tx1">
                  <a:lumMod val="15000"/>
                  <a:lumOff val="85000"/>
                </a:schemeClr>
              </a:solidFill>
              <a:round/>
            </a:ln>
            <a:effectLst/>
          </c:spPr>
        </c:majorGridlines>
        <c:title>
          <c:tx>
            <c:rich>
              <a:bodyPr/>
              <a:lstStyle/>
              <a:p>
                <a:pPr>
                  <a:defRPr sz="800" b="0" i="0" u="none" strike="noStrike" baseline="0">
                    <a:solidFill>
                      <a:srgbClr val="000000"/>
                    </a:solidFill>
                    <a:latin typeface="Century Gothic" panose="020B0502020202020204" pitchFamily="34" charset="0"/>
                    <a:ea typeface="Calibri"/>
                    <a:cs typeface="Calibri"/>
                  </a:defRPr>
                </a:pPr>
                <a:r>
                  <a:rPr lang="it-IT" sz="800" b="0" i="0" u="none" strike="noStrike" baseline="0">
                    <a:solidFill>
                      <a:srgbClr val="333333"/>
                    </a:solidFill>
                    <a:latin typeface="Century Gothic" panose="020B0502020202020204" pitchFamily="34" charset="0"/>
                    <a:cs typeface="Calibri"/>
                  </a:rPr>
                  <a:t>n</a:t>
                </a:r>
                <a:r>
                  <a:rPr lang="it-IT" sz="800" b="0" i="0" u="none" strike="noStrike" baseline="0">
                    <a:solidFill>
                      <a:srgbClr val="333333"/>
                    </a:solidFill>
                    <a:latin typeface="Century Gothic" panose="020B0502020202020204" pitchFamily="34" charset="0"/>
                    <a:ea typeface="+mn-ea"/>
                    <a:cs typeface="+mn-ea"/>
                  </a:rPr>
                  <a:t>°</a:t>
                </a:r>
                <a:r>
                  <a:rPr lang="it-IT" sz="800" b="0" i="0" u="none" strike="noStrike" baseline="0">
                    <a:solidFill>
                      <a:srgbClr val="333333"/>
                    </a:solidFill>
                    <a:latin typeface="Century Gothic" panose="020B0502020202020204" pitchFamily="34" charset="0"/>
                    <a:ea typeface="+mn-ea"/>
                    <a:cs typeface="Calibri"/>
                  </a:rPr>
                  <a:t> INCIDENTI SIGNIFICATIVI</a:t>
                </a:r>
                <a:endParaRPr lang="it-IT" sz="800" b="0" i="0" u="none" strike="noStrike" baseline="0">
                  <a:solidFill>
                    <a:srgbClr val="333333"/>
                  </a:solidFill>
                  <a:latin typeface="Century Gothic" panose="020B0502020202020204" pitchFamily="34" charset="0"/>
                  <a:cs typeface="Calibri"/>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922224"/>
        <c:crosses val="max"/>
        <c:crossBetween val="between"/>
      </c:valAx>
      <c:catAx>
        <c:axId val="481919088"/>
        <c:scaling>
          <c:orientation val="minMax"/>
        </c:scaling>
        <c:delete val="1"/>
        <c:axPos val="t"/>
        <c:numFmt formatCode="General" sourceLinked="1"/>
        <c:majorTickMark val="out"/>
        <c:minorTickMark val="none"/>
        <c:tickLblPos val="nextTo"/>
        <c:crossAx val="481915168"/>
        <c:crosses val="max"/>
        <c:auto val="1"/>
        <c:lblAlgn val="ctr"/>
        <c:lblOffset val="100"/>
        <c:noMultiLvlLbl val="0"/>
      </c:catAx>
      <c:valAx>
        <c:axId val="481915168"/>
        <c:scaling>
          <c:orientation val="minMax"/>
          <c:max val="0.014000000000000002"/>
          <c:min val="0"/>
        </c:scaling>
        <c:delete val="0"/>
        <c:axPos val="l"/>
        <c:title>
          <c:tx>
            <c:rich>
              <a:bodyPr/>
              <a:lstStyle/>
              <a:p>
                <a:pPr>
                  <a:defRPr sz="800" b="0" i="0" u="none" strike="noStrike" baseline="0">
                    <a:solidFill>
                      <a:srgbClr val="000000"/>
                    </a:solidFill>
                    <a:latin typeface="Century Gothic" panose="020B0502020202020204" pitchFamily="34" charset="0"/>
                    <a:ea typeface="Calibri"/>
                    <a:cs typeface="Calibri"/>
                  </a:defRPr>
                </a:pPr>
                <a:r>
                  <a:rPr lang="it-IT" sz="800" b="0" i="0" u="none" strike="noStrike" baseline="0">
                    <a:solidFill>
                      <a:srgbClr val="333333"/>
                    </a:solidFill>
                    <a:latin typeface="Century Gothic" panose="020B0502020202020204" pitchFamily="34" charset="0"/>
                    <a:cs typeface="Calibri"/>
                  </a:rPr>
                  <a:t>n</a:t>
                </a:r>
                <a:r>
                  <a:rPr lang="it-IT" sz="800" b="0" i="0" u="none" strike="noStrike" baseline="0">
                    <a:solidFill>
                      <a:srgbClr val="333333"/>
                    </a:solidFill>
                    <a:latin typeface="Century Gothic" panose="020B0502020202020204" pitchFamily="34" charset="0"/>
                    <a:ea typeface="+mn-ea"/>
                    <a:cs typeface="+mn-ea"/>
                  </a:rPr>
                  <a:t>°</a:t>
                </a:r>
                <a:r>
                  <a:rPr lang="it-IT" sz="800" b="0" i="0" u="none" strike="noStrike" baseline="0">
                    <a:solidFill>
                      <a:srgbClr val="333333"/>
                    </a:solidFill>
                    <a:latin typeface="Century Gothic" panose="020B0502020202020204" pitchFamily="34" charset="0"/>
                    <a:ea typeface="+mn-ea"/>
                    <a:cs typeface="Calibri"/>
                  </a:rPr>
                  <a:t> INCIDENTI SIGNIFICATIVI/Mln tr-km</a:t>
                </a:r>
                <a:endParaRPr lang="it-IT" sz="800" b="0" i="0" u="none" strike="noStrike" baseline="0">
                  <a:solidFill>
                    <a:srgbClr val="333333"/>
                  </a:solidFill>
                  <a:latin typeface="Century Gothic" panose="020B0502020202020204" pitchFamily="34" charset="0"/>
                  <a:cs typeface="Calibri"/>
                </a:endParaRPr>
              </a:p>
            </c:rich>
          </c:tx>
          <c:layout>
            <c:manualLayout>
              <c:xMode val="edge"/>
              <c:yMode val="edge"/>
              <c:x val="0.019011406844106463"/>
              <c:y val="0.24010584491299358"/>
            </c:manualLayout>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919088"/>
        <c:crosses val="autoZero"/>
        <c:crossBetween val="between"/>
      </c:valAx>
      <c:spPr>
        <a:noFill/>
        <a:ln w="25400">
          <a:noFill/>
        </a:ln>
      </c:spPr>
    </c:plotArea>
    <c:legend>
      <c:legendPos val="b"/>
      <c:legendEntry>
        <c:idx val="2"/>
        <c:delete val="1"/>
      </c:legendEntry>
      <c:legendEntry>
        <c:idx val="3"/>
        <c:delete val="1"/>
      </c:legendEntry>
      <c:layout/>
      <c:overlay val="0"/>
      <c:txPr>
        <a:bodyPr/>
        <a:lstStyle/>
        <a:p>
          <a:pPr>
            <a:defRPr sz="800" b="0" i="0" u="none" strike="noStrike" baseline="0">
              <a:solidFill>
                <a:srgbClr val="000000"/>
              </a:solidFill>
              <a:latin typeface="Century Gothic" panose="020B0502020202020204" pitchFamily="34" charset="0"/>
              <a:ea typeface="Calibri"/>
              <a:cs typeface="Calibri"/>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it-IT" sz="800" b="1"/>
              <a:t>INCIDENTI SIGNIFICATIVI</a:t>
            </a:r>
          </a:p>
          <a:p>
            <a:pPr>
              <a:defRPr sz="800" b="1"/>
            </a:pPr>
            <a:r>
              <a:rPr lang="it-IT" sz="800" b="1"/>
              <a:t>ALTRI TIPI DI INCIDENTI</a:t>
            </a:r>
          </a:p>
          <a:p>
            <a:pPr>
              <a:defRPr sz="800" b="1"/>
            </a:pPr>
            <a:r>
              <a:rPr lang="it-IT" sz="800" b="1"/>
              <a:t>[Rete IT]</a:t>
            </a:r>
          </a:p>
        </c:rich>
      </c:tx>
      <c:layout/>
      <c:overlay val="0"/>
      <c:spPr>
        <a:noFill/>
        <a:ln w="25400">
          <a:noFill/>
        </a:ln>
      </c:spPr>
    </c:title>
    <c:autoTitleDeleted val="0"/>
    <c:plotArea>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ECD0-48BA-AD2A-ED35DE6AA5F8}"/>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ECD0-48BA-AD2A-ED35DE6AA5F8}"/>
              </c:ext>
            </c:extLst>
          </c:dPt>
          <c:dLbls>
            <c:dLbl>
              <c:idx val="0"/>
              <c:layout>
                <c:manualLayout>
                  <c:x val="0"/>
                  <c:y val="-0.06708569681217047"/>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ECD0-48BA-AD2A-ED35DE6AA5F8}"/>
                </c:ext>
              </c:extLst>
            </c:dLbl>
            <c:dLbl>
              <c:idx val="1"/>
              <c:layout>
                <c:manualLayout>
                  <c:x val="-2.6182692869963996E-17"/>
                  <c:y val="-0.0685458298295237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ECD0-48BA-AD2A-ED35DE6AA5F8}"/>
                </c:ext>
              </c:extLst>
            </c:dLbl>
            <c:dLbl>
              <c:idx val="2"/>
              <c:layout>
                <c:manualLayout>
                  <c:x val="0"/>
                  <c:y val="-0.1204173992814004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ECD0-48BA-AD2A-ED35DE6AA5F8}"/>
                </c:ext>
              </c:extLst>
            </c:dLbl>
            <c:dLbl>
              <c:idx val="3"/>
              <c:layout>
                <c:manualLayout>
                  <c:x val="0"/>
                  <c:y val="-0.063538873174833865"/>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ECD0-48BA-AD2A-ED35DE6AA5F8}"/>
                </c:ext>
              </c:extLst>
            </c:dLbl>
            <c:dLbl>
              <c:idx val="4"/>
              <c:layout>
                <c:manualLayout>
                  <c:x val="0.00042777429170968024"/>
                  <c:y val="-0.05586025533216115"/>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ECD0-48BA-AD2A-ED35DE6AA5F8}"/>
                </c:ext>
              </c:extLst>
            </c:dLbl>
            <c:dLbl>
              <c:idx val="5"/>
              <c:layout>
                <c:manualLayout>
                  <c:x val="0"/>
                  <c:y val="-0.044209769895267946"/>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ECD0-48BA-AD2A-ED35DE6AA5F8}"/>
                </c:ext>
              </c:extLst>
            </c:dLbl>
            <c:dLbl>
              <c:idx val="6"/>
              <c:layout>
                <c:manualLayout>
                  <c:x val="0"/>
                  <c:y val="-0.0437088907575873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ECD0-48BA-AD2A-ED35DE6AA5F8}"/>
                </c:ext>
              </c:extLst>
            </c:dLbl>
            <c:dLbl>
              <c:idx val="7"/>
              <c:layout>
                <c:manualLayout>
                  <c:x val="0"/>
                  <c:y val="-0.098845348214968418"/>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ECD0-48BA-AD2A-ED35DE6AA5F8}"/>
                </c:ext>
              </c:extLst>
            </c:dLbl>
            <c:dLbl>
              <c:idx val="8"/>
              <c:layout>
                <c:manualLayout>
                  <c:x val="0"/>
                  <c:y val="-0.0437088907575873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ECD0-48BA-AD2A-ED35DE6AA5F8}"/>
                </c:ext>
              </c:extLst>
            </c:dLbl>
            <c:dLbl>
              <c:idx val="9"/>
              <c:layout>
                <c:manualLayout>
                  <c:x val="0.032000305874362"/>
                  <c:y val="-0.01125173916367250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ECD0-48BA-AD2A-ED35DE6AA5F8}"/>
                </c:ext>
              </c:extLst>
            </c:dLbl>
            <c:dLbl>
              <c:idx val="10"/>
              <c:layout>
                <c:manualLayout>
                  <c:x val="0.031572531582652427"/>
                  <c:y val="-0.014925464414035767"/>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ECD0-48BA-AD2A-ED35DE6AA5F8}"/>
                </c:ext>
              </c:extLst>
            </c:dLbl>
            <c:spPr>
              <a:noFill/>
              <a:ln w="25400">
                <a:noFill/>
              </a:ln>
            </c:spPr>
            <c:txPr>
              <a:bodyPr/>
              <a:lstStyle/>
              <a:p>
                <a:pPr>
                  <a:defRPr b="1"/>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'ALTRI TIPI DI INCIDENTI'!$H$6:$H$16</c:f>
              <c:numCache>
                <c:formatCode>General</c:formatCode>
                <c:ptCount val="11"/>
                <c:pt idx="0">
                  <c:v>3</c:v>
                </c:pt>
                <c:pt idx="1">
                  <c:v>3</c:v>
                </c:pt>
                <c:pt idx="2">
                  <c:v>7</c:v>
                </c:pt>
                <c:pt idx="3">
                  <c:v>3</c:v>
                </c:pt>
                <c:pt idx="4">
                  <c:v>2</c:v>
                </c:pt>
                <c:pt idx="5">
                  <c:v>1</c:v>
                </c:pt>
                <c:pt idx="6">
                  <c:v>1</c:v>
                </c:pt>
                <c:pt idx="7">
                  <c:v>6</c:v>
                </c:pt>
                <c:pt idx="8">
                  <c:v>2</c:v>
                </c:pt>
                <c:pt idx="9">
                  <c:v>5</c:v>
                </c:pt>
                <c:pt idx="10">
                  <c:v>6</c:v>
                </c:pt>
              </c:numCache>
            </c:numRef>
          </c:val>
          <c:extLst>
            <c:ext xmlns:c="http://schemas.openxmlformats.org/drawingml/2006/chart" xmlns:c16="http://schemas.microsoft.com/office/drawing/2014/chart" uri="{C3380CC4-5D6E-409C-BE32-E72D297353CC}">
              <c16:uniqueId val="{0000000E-ECD0-48BA-AD2A-ED35DE6AA5F8}"/>
            </c:ext>
          </c:extLst>
        </c:ser>
        <c:ser>
          <c:idx val="2"/>
          <c:order val="3"/>
          <c:tx>
            <c:v>[Reti Regionali Interconnesse]</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ECD0-48BA-AD2A-ED35DE6AA5F8}"/>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ECD0-48BA-AD2A-ED35DE6AA5F8}"/>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ECD0-48BA-AD2A-ED35DE6AA5F8}"/>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ECD0-48BA-AD2A-ED35DE6AA5F8}"/>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ECD0-48BA-AD2A-ED35DE6AA5F8}"/>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ECD0-48BA-AD2A-ED35DE6AA5F8}"/>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ECD0-48BA-AD2A-ED35DE6AA5F8}"/>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ECD0-48BA-AD2A-ED35DE6AA5F8}"/>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ECD0-48BA-AD2A-ED35DE6AA5F8}"/>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ECD0-48BA-AD2A-ED35DE6AA5F8}"/>
                </c:ext>
              </c:extLst>
            </c:dLbl>
            <c:dLbl>
              <c:idx val="9"/>
              <c:layout>
                <c:manualLayout>
                  <c:x val="0.031572556162720096"/>
                  <c:y val="-0.006617038875103391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ECD0-48BA-AD2A-ED35DE6AA5F8}"/>
                </c:ext>
              </c:extLst>
            </c:dLbl>
            <c:dLbl>
              <c:idx val="10"/>
              <c:layout>
                <c:manualLayout>
                  <c:x val="0.029143897996357013"/>
                  <c:y val="-0.003308519437551756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ECD0-48BA-AD2A-ED35DE6AA5F8}"/>
                </c:ext>
              </c:extLst>
            </c:dLbl>
            <c:spPr>
              <a:noFill/>
              <a:ln w="25400">
                <a:noFill/>
              </a:ln>
            </c:spPr>
            <c:txPr>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'ALTRI TIPI DI INCIDENTI'!$Q$7:$Q$17</c:f>
              <c:numCache>
                <c:formatCode>General</c:formatCode>
                <c:ptCount val="11"/>
                <c:pt idx="0">
                  <c:v>0</c:v>
                </c:pt>
                <c:pt idx="1">
                  <c:v>0</c:v>
                </c:pt>
                <c:pt idx="2">
                  <c:v>0</c:v>
                </c:pt>
                <c:pt idx="3">
                  <c:v>0</c:v>
                </c:pt>
                <c:pt idx="4">
                  <c:v>0</c:v>
                </c:pt>
                <c:pt idx="5">
                  <c:v>0</c:v>
                </c:pt>
                <c:pt idx="6">
                  <c:v>0</c:v>
                </c:pt>
                <c:pt idx="7">
                  <c:v>0</c:v>
                </c:pt>
                <c:pt idx="8">
                  <c:v>0</c:v>
                </c:pt>
                <c:pt idx="9">
                  <c:v>0</c:v>
                </c:pt>
                <c:pt idx="10">
                  <c:v>1</c:v>
                </c:pt>
              </c:numCache>
            </c:numRef>
          </c:val>
          <c:extLst>
            <c:ext xmlns:c="http://schemas.openxmlformats.org/drawingml/2006/chart" xmlns:c16="http://schemas.microsoft.com/office/drawing/2014/chart" uri="{C3380CC4-5D6E-409C-BE32-E72D297353CC}">
              <c16:uniqueId val="{0000001B-ECD0-48BA-AD2A-ED35DE6AA5F8}"/>
            </c:ext>
          </c:extLst>
        </c:ser>
        <c:dLbls>
          <c:showLegendKey val="0"/>
          <c:showVal val="0"/>
          <c:showCatName val="0"/>
          <c:showSerName val="0"/>
          <c:showPercent val="0"/>
          <c:showBubbleSize val="0"/>
        </c:dLbls>
        <c:gapWidth val="150"/>
        <c:overlap val="100"/>
        <c:axId val="481916344"/>
        <c:axId val="481919872"/>
      </c:barChart>
      <c:lineChart>
        <c:grouping val="standard"/>
        <c:varyColors val="0"/>
        <c:ser>
          <c:idx val="11"/>
          <c:order val="1"/>
          <c:spPr>
            <a:ln w="19050" cap="rnd">
              <a:solidFill>
                <a:srgbClr val="00B050"/>
              </a:solidFill>
              <a:round/>
            </a:ln>
            <a:effectLst/>
          </c:spPr>
          <c:marker>
            <c:symbol val="square"/>
            <c:size val="5"/>
          </c:marker>
          <c:dPt>
            <c:idx val="12"/>
            <c:bubble3D val="0"/>
            <c:spPr>
              <a:ln w="19050" cap="rnd">
                <a:solidFill>
                  <a:srgbClr val="00B050"/>
                </a:solidFill>
                <a:prstDash val="sysDash"/>
                <a:round/>
              </a:ln>
              <a:effectLst/>
            </c:spPr>
            <c:extLst>
              <c:ext xmlns:c="http://schemas.openxmlformats.org/drawingml/2006/chart" xmlns:c16="http://schemas.microsoft.com/office/drawing/2014/chart" uri="{C3380CC4-5D6E-409C-BE32-E72D297353CC}">
                <c16:uniqueId val="{0000001D-ECD0-48BA-AD2A-ED35DE6AA5F8}"/>
              </c:ext>
            </c:extLst>
          </c:dPt>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'ALTRI TIPI DI INCIDENTI'!$Z$7:$Z$17</c:f>
              <c:numCache>
                <c:formatCode>General</c:formatCode>
                <c:ptCount val="11"/>
                <c:pt idx="0">
                  <c:v>0.0087538845362629663</c:v>
                </c:pt>
                <c:pt idx="1">
                  <c:v>0.0088700449711280032</c:v>
                </c:pt>
                <c:pt idx="2">
                  <c:v>0.021658482854216753</c:v>
                </c:pt>
                <c:pt idx="3">
                  <c:v>0.009260516860314363</c:v>
                </c:pt>
                <c:pt idx="4">
                  <c:v>0.0063016538690579341</c:v>
                </c:pt>
                <c:pt idx="5">
                  <c:v>0.0031594778015089668</c:v>
                </c:pt>
                <c:pt idx="6">
                  <c:v>0.0030154087386545245</c:v>
                </c:pt>
                <c:pt idx="7">
                  <c:v>0.018149479109949542</c:v>
                </c:pt>
                <c:pt idx="8">
                  <c:v>0.00587311142760656</c:v>
                </c:pt>
                <c:pt idx="9">
                  <c:v>0.013440029245503637</c:v>
                </c:pt>
                <c:pt idx="10">
                  <c:v>0.018644988759735345</c:v>
                </c:pt>
              </c:numCache>
            </c:numRef>
          </c:val>
          <c:smooth val="0"/>
          <c:extLst>
            <c:ext xmlns:c="http://schemas.openxmlformats.org/drawingml/2006/chart" xmlns:c16="http://schemas.microsoft.com/office/drawing/2014/chart" uri="{C3380CC4-5D6E-409C-BE32-E72D297353CC}">
              <c16:uniqueId val="{0000001E-ECD0-48BA-AD2A-ED35DE6AA5F8}"/>
            </c:ext>
          </c:extLst>
        </c:ser>
        <c:ser>
          <c:idx val="1"/>
          <c:order val="2"/>
          <c:tx>
            <c:v>media</c:v>
          </c:tx>
          <c:spPr>
            <a:ln w="19050">
              <a:solidFill>
                <a:srgbClr val="FA6F06"/>
              </a:solidFill>
              <a:prstDash val="sysDash"/>
            </a:ln>
          </c:spPr>
          <c:marker>
            <c:symbol val="none"/>
          </c:marker>
          <c:cat>
            <c:numRef>
              <c:f>deragliamenti!$Y$7:$Y$17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'ALTRI TIPI DI INCIDENTI'!$AA$7:$AA$17</c:f>
              <c:numCache>
                <c:formatCode>General</c:formatCode>
                <c:ptCount val="11"/>
                <c:pt idx="0">
                  <c:v>0.011030695206916767</c:v>
                </c:pt>
                <c:pt idx="1">
                  <c:v>0.011030695206916767</c:v>
                </c:pt>
                <c:pt idx="2">
                  <c:v>0.011030695206916767</c:v>
                </c:pt>
                <c:pt idx="3">
                  <c:v>0.011030695206916767</c:v>
                </c:pt>
                <c:pt idx="4">
                  <c:v>0.011030695206916767</c:v>
                </c:pt>
                <c:pt idx="5">
                  <c:v>0.011030695206916767</c:v>
                </c:pt>
                <c:pt idx="6">
                  <c:v>0.011030695206916767</c:v>
                </c:pt>
                <c:pt idx="7">
                  <c:v>0.011030695206916767</c:v>
                </c:pt>
                <c:pt idx="8">
                  <c:v>0.011030695206916767</c:v>
                </c:pt>
                <c:pt idx="9">
                  <c:v>0.011030695206916767</c:v>
                </c:pt>
                <c:pt idx="10">
                  <c:v>0.011030695206916767</c:v>
                </c:pt>
              </c:numCache>
            </c:numRef>
          </c:val>
          <c:smooth val="0"/>
          <c:extLst>
            <c:ext xmlns:c="http://schemas.openxmlformats.org/drawingml/2006/chart" xmlns:c16="http://schemas.microsoft.com/office/drawing/2014/chart" uri="{C3380CC4-5D6E-409C-BE32-E72D297353CC}">
              <c16:uniqueId val="{0000001F-ECD0-48BA-AD2A-ED35DE6AA5F8}"/>
            </c:ext>
          </c:extLst>
        </c:ser>
        <c:dLbls>
          <c:showLegendKey val="0"/>
          <c:showVal val="0"/>
          <c:showCatName val="0"/>
          <c:showSerName val="0"/>
          <c:showPercent val="0"/>
          <c:showBubbleSize val="0"/>
        </c:dLbls>
        <c:marker val="1"/>
        <c:smooth val="0"/>
        <c:axId val="481914776"/>
        <c:axId val="481921440"/>
      </c:lineChart>
      <c:catAx>
        <c:axId val="48191634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a:pPr>
            <a:endParaRPr lang="fr-FR"/>
          </a:p>
        </c:txPr>
        <c:crossAx val="481919872"/>
        <c:crosses val="autoZero"/>
        <c:auto val="1"/>
        <c:lblAlgn val="ctr"/>
        <c:lblOffset val="100"/>
        <c:noMultiLvlLbl val="0"/>
      </c:catAx>
      <c:valAx>
        <c:axId val="481919872"/>
        <c:scaling>
          <c:orientation val="minMax"/>
          <c:max val="25"/>
          <c:min val="0"/>
        </c:scaling>
        <c:delete val="0"/>
        <c:axPos val="r"/>
        <c:majorGridlines>
          <c:spPr>
            <a:ln w="9525">
              <a:solidFill>
                <a:schemeClr val="tx1">
                  <a:lumMod val="15000"/>
                  <a:lumOff val="85000"/>
                </a:schemeClr>
              </a:solidFill>
              <a:round/>
            </a:ln>
            <a:effectLst/>
          </c:spPr>
        </c:majorGridlines>
        <c:title>
          <c:tx>
            <c:rich>
              <a:bodyPr/>
              <a:lstStyle/>
              <a:p>
                <a:pPr>
                  <a:defRPr/>
                </a:pPr>
                <a:r>
                  <a:rPr lang="it-IT"/>
                  <a:t>n° INCIDENTI SIGNIFICATIVI</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916344"/>
        <c:crosses val="max"/>
        <c:crossBetween val="between"/>
      </c:valAx>
      <c:catAx>
        <c:axId val="481914776"/>
        <c:scaling>
          <c:orientation val="minMax"/>
        </c:scaling>
        <c:delete val="1"/>
        <c:axPos val="t"/>
        <c:numFmt formatCode="General" sourceLinked="1"/>
        <c:majorTickMark val="out"/>
        <c:minorTickMark val="none"/>
        <c:tickLblPos val="nextTo"/>
        <c:crossAx val="481921440"/>
        <c:crosses val="max"/>
        <c:auto val="1"/>
        <c:lblAlgn val="ctr"/>
        <c:lblOffset val="100"/>
        <c:noMultiLvlLbl val="0"/>
      </c:catAx>
      <c:valAx>
        <c:axId val="481921440"/>
        <c:scaling>
          <c:orientation val="minMax"/>
          <c:max val="0.025000000000000005"/>
          <c:min val="0"/>
        </c:scaling>
        <c:delete val="0"/>
        <c:axPos val="l"/>
        <c:title>
          <c:tx>
            <c:rich>
              <a:bodyPr/>
              <a:lstStyle/>
              <a:p>
                <a:pPr>
                  <a:defRPr/>
                </a:pPr>
                <a:r>
                  <a:rPr lang="it-IT"/>
                  <a:t>n° INCIDENTI SIGNIFICATIVI/Mln tr-km</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914776"/>
        <c:crosses val="autoZero"/>
        <c:crossBetween val="between"/>
      </c:valAx>
      <c:spPr>
        <a:noFill/>
        <a:ln w="25400">
          <a:noFill/>
        </a:ln>
      </c:spPr>
    </c:plotArea>
    <c:legend>
      <c:legendPos val="b"/>
      <c:legendEntry>
        <c:idx val="2"/>
        <c:delete val="1"/>
      </c:legendEntry>
      <c:legendEntry>
        <c:idx val="3"/>
        <c:delete val="1"/>
      </c:legendEntry>
      <c:layout/>
      <c:overlay val="0"/>
      <c:txPr>
        <a:bodyPr/>
        <a:lstStyle/>
        <a:p>
          <a:pPr>
            <a:defRPr sz="700"/>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b="0" i="0" u="none" strike="noStrike" baseline="0">
          <a:solidFill>
            <a:srgbClr val="000000"/>
          </a:solidFill>
          <a:latin typeface="Century Gothic" panose="020B0502020202020204" pitchFamily="34" charset="0"/>
          <a:ea typeface="Calibri"/>
          <a:cs typeface="Calibri"/>
        </a:defRPr>
      </a:pPr>
      <a:endParaRPr lang="fr-F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it-IT" sz="900" b="1" dirty="0"/>
              <a:t>ANDAMENTO DEL NUMERO DEGLI INCIDENTI E DEGLI INCONVENIENTIRELATIVI AL TRASPORTO DI MERCI PERICOLOSE COLLEGATI A PROBLEMATICHE DI CARICO O A DIFETTI DELLE STRUTTURE DEI CONTAINER</a:t>
            </a:r>
          </a:p>
          <a:p>
            <a:pPr>
              <a:defRPr sz="900"/>
            </a:pPr>
            <a:r>
              <a:rPr lang="it-IT" sz="900" dirty="0"/>
              <a:t>[Rete IT]</a:t>
            </a:r>
          </a:p>
        </c:rich>
      </c:tx>
      <c:layout/>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dPt>
            <c:idx val="12"/>
            <c:invertIfNegative val="0"/>
            <c:bubble3D val="0"/>
            <c:spPr>
              <a:ln w="25400">
                <a:noFill/>
              </a:ln>
            </c:spPr>
            <c:extLst>
              <c:ext xmlns:c="http://schemas.openxmlformats.org/drawingml/2006/chart" xmlns:c16="http://schemas.microsoft.com/office/drawing/2014/chart" uri="{C3380CC4-5D6E-409C-BE32-E72D297353CC}">
                <c16:uniqueId val="{00000001-FFA7-474C-8D31-9AD5E66B5016}"/>
              </c:ext>
            </c:extLst>
          </c:dPt>
          <c:dLbls>
            <c:spPr>
              <a:noFill/>
              <a:ln w="25400">
                <a:noFill/>
              </a:ln>
            </c:spPr>
            <c:txPr>
              <a:bodyPr wrap="square" lIns="38100" tIns="19050" rIns="38100" bIns="19050" anchor="ctr">
                <a:spAutoFit/>
              </a:bodyPr>
              <a:lstStyle/>
              <a:p>
                <a:pPr>
                  <a:defRPr sz="8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'MERCI PERICOLOSE'!$F$4:$F$16</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'MERCI PERICOLOSE'!$G$4:$G$16</c:f>
              <c:numCache>
                <c:formatCode>General</c:formatCode>
                <c:ptCount val="13"/>
                <c:pt idx="0">
                  <c:v>18</c:v>
                </c:pt>
                <c:pt idx="1">
                  <c:v>13</c:v>
                </c:pt>
                <c:pt idx="2">
                  <c:v>26</c:v>
                </c:pt>
                <c:pt idx="3">
                  <c:v>28</c:v>
                </c:pt>
                <c:pt idx="4">
                  <c:v>52</c:v>
                </c:pt>
                <c:pt idx="5">
                  <c:v>42</c:v>
                </c:pt>
                <c:pt idx="6">
                  <c:v>13</c:v>
                </c:pt>
                <c:pt idx="7">
                  <c:v>12</c:v>
                </c:pt>
                <c:pt idx="8">
                  <c:v>9</c:v>
                </c:pt>
                <c:pt idx="9">
                  <c:v>16</c:v>
                </c:pt>
                <c:pt idx="10">
                  <c:v>5</c:v>
                </c:pt>
                <c:pt idx="11">
                  <c:v>6</c:v>
                </c:pt>
                <c:pt idx="12">
                  <c:v>7</c:v>
                </c:pt>
              </c:numCache>
            </c:numRef>
          </c:val>
          <c:extLst>
            <c:ext xmlns:c="http://schemas.openxmlformats.org/drawingml/2006/chart" xmlns:c16="http://schemas.microsoft.com/office/drawing/2014/chart" uri="{C3380CC4-5D6E-409C-BE32-E72D297353CC}">
              <c16:uniqueId val="{00000002-FFA7-474C-8D31-9AD5E66B5016}"/>
            </c:ext>
          </c:extLst>
        </c:ser>
        <c:dLbls>
          <c:showLegendKey val="0"/>
          <c:showVal val="0"/>
          <c:showCatName val="0"/>
          <c:showSerName val="0"/>
          <c:showPercent val="0"/>
          <c:showBubbleSize val="0"/>
        </c:dLbls>
        <c:gapWidth val="219"/>
        <c:overlap val="-27"/>
        <c:axId val="481916736"/>
        <c:axId val="481917128"/>
      </c:barChart>
      <c:lineChart>
        <c:grouping val="standard"/>
        <c:varyColors val="0"/>
        <c:ser>
          <c:idx val="1"/>
          <c:order val="1"/>
          <c:tx>
            <c:v>media</c:v>
          </c:tx>
          <c:spPr>
            <a:ln w="19050" cap="rnd">
              <a:solidFill>
                <a:srgbClr val="FA6F06"/>
              </a:solidFill>
              <a:prstDash val="sysDash"/>
              <a:round/>
            </a:ln>
            <a:effectLst/>
          </c:spPr>
          <c:marker>
            <c:symbol val="none"/>
          </c:marker>
          <c:val>
            <c:numRef>
              <c:f>'MERCI PERICOLOSE'!$I$4:$I$16</c:f>
              <c:numCache>
                <c:formatCode>General</c:formatCode>
                <c:ptCount val="13"/>
                <c:pt idx="0">
                  <c:v>19</c:v>
                </c:pt>
                <c:pt idx="1">
                  <c:v>19</c:v>
                </c:pt>
                <c:pt idx="2">
                  <c:v>19</c:v>
                </c:pt>
                <c:pt idx="3">
                  <c:v>19</c:v>
                </c:pt>
                <c:pt idx="4">
                  <c:v>19</c:v>
                </c:pt>
                <c:pt idx="5">
                  <c:v>19</c:v>
                </c:pt>
                <c:pt idx="6">
                  <c:v>19</c:v>
                </c:pt>
                <c:pt idx="7">
                  <c:v>19</c:v>
                </c:pt>
                <c:pt idx="8">
                  <c:v>19</c:v>
                </c:pt>
                <c:pt idx="9">
                  <c:v>19</c:v>
                </c:pt>
                <c:pt idx="10">
                  <c:v>19</c:v>
                </c:pt>
                <c:pt idx="11">
                  <c:v>19</c:v>
                </c:pt>
                <c:pt idx="12">
                  <c:v>19</c:v>
                </c:pt>
              </c:numCache>
            </c:numRef>
          </c:val>
          <c:smooth val="0"/>
          <c:extLst>
            <c:ext xmlns:c="http://schemas.openxmlformats.org/drawingml/2006/chart" xmlns:c16="http://schemas.microsoft.com/office/drawing/2014/chart" uri="{C3380CC4-5D6E-409C-BE32-E72D297353CC}">
              <c16:uniqueId val="{00000003-FFA7-474C-8D31-9AD5E66B5016}"/>
            </c:ext>
          </c:extLst>
        </c:ser>
        <c:dLbls>
          <c:showLegendKey val="0"/>
          <c:showVal val="0"/>
          <c:showCatName val="0"/>
          <c:showSerName val="0"/>
          <c:showPercent val="0"/>
          <c:showBubbleSize val="0"/>
        </c:dLbls>
        <c:marker val="1"/>
        <c:smooth val="0"/>
        <c:axId val="481917520"/>
        <c:axId val="481917912"/>
      </c:lineChart>
      <c:catAx>
        <c:axId val="48191673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a:pPr>
            <a:endParaRPr lang="fr-FR"/>
          </a:p>
        </c:txPr>
        <c:crossAx val="481917128"/>
        <c:crosses val="autoZero"/>
        <c:auto val="1"/>
        <c:lblAlgn val="ctr"/>
        <c:lblOffset val="100"/>
        <c:noMultiLvlLbl val="0"/>
      </c:catAx>
      <c:valAx>
        <c:axId val="481917128"/>
        <c:scaling>
          <c:orientation val="minMax"/>
          <c:max val="60"/>
        </c:scaling>
        <c:delete val="0"/>
        <c:axPos val="r"/>
        <c:majorGridlines>
          <c:spPr>
            <a:ln w="9525">
              <a:solidFill>
                <a:schemeClr val="tx1">
                  <a:lumMod val="15000"/>
                  <a:lumOff val="85000"/>
                </a:schemeClr>
              </a:solidFill>
              <a:round/>
            </a:ln>
            <a:effectLst/>
          </c:spPr>
        </c:majorGridlines>
        <c:title>
          <c:tx>
            <c:rich>
              <a:bodyPr/>
              <a:lstStyle/>
              <a:p>
                <a:pPr>
                  <a:defRPr sz="800"/>
                </a:pPr>
                <a:r>
                  <a:rPr lang="it-IT" sz="800"/>
                  <a:t>n° INCIDENTI TOTALI</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900"/>
            </a:pPr>
            <a:endParaRPr lang="fr-FR"/>
          </a:p>
        </c:txPr>
        <c:crossAx val="481916736"/>
        <c:crosses val="max"/>
        <c:crossBetween val="between"/>
      </c:valAx>
      <c:catAx>
        <c:axId val="481917520"/>
        <c:scaling>
          <c:orientation val="minMax"/>
        </c:scaling>
        <c:delete val="1"/>
        <c:axPos val="t"/>
        <c:majorTickMark val="out"/>
        <c:minorTickMark val="none"/>
        <c:tickLblPos val="nextTo"/>
        <c:crossAx val="481917912"/>
        <c:crosses val="max"/>
        <c:auto val="1"/>
        <c:lblAlgn val="ctr"/>
        <c:lblOffset val="100"/>
        <c:noMultiLvlLbl val="0"/>
      </c:catAx>
      <c:valAx>
        <c:axId val="481917912"/>
        <c:scaling>
          <c:orientation val="minMax"/>
          <c:max val="0.025000000000000005"/>
        </c:scaling>
        <c:delete val="1"/>
        <c:axPos val="l"/>
        <c:numFmt formatCode="General" sourceLinked="1"/>
        <c:majorTickMark val="out"/>
        <c:minorTickMark val="none"/>
        <c:tickLblPos val="nextTo"/>
        <c:crossAx val="481917520"/>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entury Gothic" panose="020B0502020202020204" pitchFamily="34" charset="0"/>
          <a:ea typeface="Calibri"/>
          <a:cs typeface="Calibri"/>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t>NUMBER OF SIGNIFICANT ACCIDENTS FOR MLN TR-KM</a:t>
            </a:r>
            <a:br>
              <a:rPr lang="it-IT" sz="800" b="1" i="0" u="none" strike="noStrike" baseline="0"/>
            </a:br>
            <a:r>
              <a:rPr lang="it-IT" sz="800" b="1" i="0" u="none" strike="noStrike" baseline="0"/>
              <a:t>AND NUMBER OF VICTIMS FOR MLN TR-KM</a:t>
            </a:r>
          </a:p>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ysClr val="windowText" lastClr="000000"/>
                </a:solidFill>
                <a:latin typeface="Century Gothic" panose="020B0502020202020204" pitchFamily="34" charset="0"/>
              </a:rPr>
              <a:t>[IT Railway Network]</a:t>
            </a:r>
          </a:p>
        </c:rich>
      </c:tx>
      <c:layout/>
      <c:overlay val="0"/>
      <c:spPr>
        <a:noFill/>
        <a:ln w="25400">
          <a:noFill/>
        </a:ln>
      </c:spPr>
    </c:title>
    <c:autoTitleDeleted val="0"/>
    <c:plotArea>
      <c:layout/>
      <c:scatterChart>
        <c:scatterStyle val="lineMarker"/>
        <c:varyColors val="0"/>
        <c:ser>
          <c:idx val="0"/>
          <c:order val="0"/>
          <c:spPr>
            <a:ln w="28575">
              <a:noFill/>
            </a:ln>
          </c:spPr>
          <c:dPt>
            <c:idx val="11"/>
            <c:bubble3D val="0"/>
            <c:marker>
              <c:symbol val="square"/>
              <c:size val="6"/>
              <c:spPr>
                <a:solidFill>
                  <a:schemeClr val="accent6">
                    <a:lumMod val="75000"/>
                  </a:schemeClr>
                </a:solidFill>
                <a:ln>
                  <a:solidFill>
                    <a:schemeClr val="accent6">
                      <a:lumMod val="75000"/>
                    </a:schemeClr>
                  </a:solidFill>
                </a:ln>
              </c:spPr>
            </c:marker>
            <c:extLst>
              <c:ext xmlns:c="http://schemas.openxmlformats.org/drawingml/2006/chart" xmlns:c16="http://schemas.microsoft.com/office/drawing/2014/chart" uri="{C3380CC4-5D6E-409C-BE32-E72D297353CC}">
                <c16:uniqueId val="{00000000-C578-4DFF-AB1F-ADA54D59B07B}"/>
              </c:ext>
            </c:extLst>
          </c:dPt>
          <c:dPt>
            <c:idx val="12"/>
            <c:bubble3D val="0"/>
            <c:marker>
              <c:symbol val="square"/>
              <c:size val="5"/>
              <c:spPr>
                <a:solidFill>
                  <a:schemeClr val="accent6">
                    <a:lumMod val="75000"/>
                  </a:schemeClr>
                </a:solidFill>
                <a:ln>
                  <a:solidFill>
                    <a:schemeClr val="accent6">
                      <a:lumMod val="75000"/>
                    </a:schemeClr>
                  </a:solidFill>
                </a:ln>
              </c:spPr>
            </c:marker>
            <c:extLst>
              <c:ext xmlns:c="http://schemas.openxmlformats.org/drawingml/2006/chart" xmlns:c16="http://schemas.microsoft.com/office/drawing/2014/chart" uri="{C3380CC4-5D6E-409C-BE32-E72D297353CC}">
                <c16:uniqueId val="{00000001-C578-4DFF-AB1F-ADA54D59B07B}"/>
              </c:ext>
            </c:extLst>
          </c:dPt>
          <c:dLbls>
            <c:dLbl>
              <c:idx val="0"/>
              <c:layout>
                <c:manualLayout>
                  <c:x val="-0.0047305011939822138"/>
                  <c:y val="-0.019427069046409177"/>
                </c:manualLayout>
              </c:layout>
              <c:tx>
                <c:rich>
                  <a:bodyPr/>
                  <a:lstStyle/>
                  <a:p>
                    <a:fld id="{04286196-f220-4bce-9318-f041ac77531f}"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2-C578-4DFF-AB1F-ADA54D59B07B}"/>
                </c:ext>
              </c:extLst>
            </c:dLbl>
            <c:dLbl>
              <c:idx val="1"/>
              <c:layout>
                <c:manualLayout>
                  <c:x val="-0.0074491600353670129"/>
                  <c:y val="-0.030087643955984691"/>
                </c:manualLayout>
              </c:layout>
              <c:tx>
                <c:rich>
                  <a:bodyPr/>
                  <a:lstStyle/>
                  <a:p>
                    <a:fld id="{3243c6d5-8025-4822-9da0-52322f59305b}"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3-C578-4DFF-AB1F-ADA54D59B07B}"/>
                </c:ext>
              </c:extLst>
            </c:dLbl>
            <c:dLbl>
              <c:idx val="2"/>
              <c:layout>
                <c:manualLayout>
                  <c:x val="-0.0582891246684351"/>
                  <c:y val="-0.041509688501958387"/>
                </c:manualLayout>
              </c:layout>
              <c:tx>
                <c:rich>
                  <a:bodyPr/>
                  <a:lstStyle/>
                  <a:p>
                    <a:fld id="{2832e912-772b-4daf-b508-e7c4528cb23a}"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4-C578-4DFF-AB1F-ADA54D59B07B}"/>
                </c:ext>
              </c:extLst>
            </c:dLbl>
            <c:dLbl>
              <c:idx val="3"/>
              <c:layout>
                <c:manualLayout>
                  <c:x val="-0.056078691423519011"/>
                  <c:y val="-0.026280295773993413"/>
                </c:manualLayout>
              </c:layout>
              <c:tx>
                <c:rich>
                  <a:bodyPr/>
                  <a:lstStyle/>
                  <a:p>
                    <a:fld id="{c1449f30-e129-4b4a-b3e5-02470b804591}"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5-C578-4DFF-AB1F-ADA54D59B07B}"/>
                </c:ext>
              </c:extLst>
            </c:dLbl>
            <c:dLbl>
              <c:idx val="4"/>
              <c:layout>
                <c:manualLayout>
                  <c:x val="-0.013572234173646065"/>
                  <c:y val="-0.02323441722840049"/>
                </c:manualLayout>
              </c:layout>
              <c:tx>
                <c:rich>
                  <a:bodyPr/>
                  <a:lstStyle/>
                  <a:p>
                    <a:fld id="{06609dea-107b-4ee1-af9f-ad984c109bd1}"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6-C578-4DFF-AB1F-ADA54D59B07B}"/>
                </c:ext>
              </c:extLst>
            </c:dLbl>
            <c:dLbl>
              <c:idx val="5"/>
              <c:layout>
                <c:manualLayout>
                  <c:x val="-0.0052387267904510093"/>
                  <c:y val="-0.0034362066820460249"/>
                </c:manualLayout>
              </c:layout>
              <c:tx>
                <c:rich>
                  <a:bodyPr/>
                  <a:lstStyle/>
                  <a:p>
                    <a:fld id="{e8da2059-4695-4d66-9835-3635c5c0560a}"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7-C578-4DFF-AB1F-ADA54D59B07B}"/>
                </c:ext>
              </c:extLst>
            </c:dLbl>
            <c:dLbl>
              <c:idx val="6"/>
              <c:layout>
                <c:manualLayout>
                  <c:x val="-0.014080459770114942"/>
                  <c:y val="-0.026280295773993413"/>
                </c:manualLayout>
              </c:layout>
              <c:tx>
                <c:rich>
                  <a:bodyPr/>
                  <a:lstStyle/>
                  <a:p>
                    <a:fld id="{969c8ff7-4691-4084-85ae-5c49c5515622}"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8-C578-4DFF-AB1F-ADA54D59B07B}"/>
                </c:ext>
              </c:extLst>
            </c:dLbl>
            <c:dLbl>
              <c:idx val="7"/>
              <c:layout>
                <c:manualLayout>
                  <c:x val="-0.0052387267904509286"/>
                  <c:y val="-0.0034362066820459551"/>
                </c:manualLayout>
              </c:layout>
              <c:tx>
                <c:rich>
                  <a:bodyPr/>
                  <a:lstStyle/>
                  <a:p>
                    <a:fld id="{78acb03b-9273-4fb9-965b-4ce4014afc4f}"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9-C578-4DFF-AB1F-ADA54D59B07B}"/>
                </c:ext>
              </c:extLst>
            </c:dLbl>
            <c:dLbl>
              <c:idx val="8"/>
              <c:layout>
                <c:manualLayout>
                  <c:x val="-0.011870026525198939"/>
                  <c:y val="0.01560053422791019"/>
                </c:manualLayout>
              </c:layout>
              <c:tx>
                <c:rich>
                  <a:bodyPr/>
                  <a:lstStyle/>
                  <a:p>
                    <a:fld id="{7a192609-60f6-447a-86fb-8fbd2882bdbb}"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A-C578-4DFF-AB1F-ADA54D59B07B}"/>
                </c:ext>
              </c:extLst>
            </c:dLbl>
            <c:dLbl>
              <c:idx val="9"/>
              <c:layout>
                <c:manualLayout>
                  <c:x val="-0.060499557913351015"/>
                  <c:y val="-0.026280295773993413"/>
                </c:manualLayout>
              </c:layout>
              <c:tx>
                <c:rich>
                  <a:bodyPr/>
                  <a:lstStyle/>
                  <a:p>
                    <a:fld id="{e6702e5a-b8b3-44e1-94cd-122d01388925}"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B-C578-4DFF-AB1F-ADA54D59B07B}"/>
                </c:ext>
              </c:extLst>
            </c:dLbl>
            <c:dLbl>
              <c:idx val="10"/>
              <c:layout>
                <c:manualLayout>
                  <c:x val="-0.075972590627763084"/>
                  <c:y val="-0.0034362066820459551"/>
                </c:manualLayout>
              </c:layout>
              <c:tx>
                <c:rich>
                  <a:bodyPr/>
                  <a:lstStyle/>
                  <a:p>
                    <a:fld id="{0d8d5bd3-a8bc-4424-982f-4eacc13e7cb5}"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C-C578-4DFF-AB1F-ADA54D59B07B}"/>
                </c:ext>
              </c:extLst>
            </c:dLbl>
            <c:dLbl>
              <c:idx val="11"/>
              <c:layout>
                <c:manualLayout>
                  <c:x val="-0.034571175950486296"/>
                  <c:y val="0.030068457319476913"/>
                </c:manualLayout>
              </c:layout>
              <c:tx>
                <c:rich>
                  <a:bodyPr/>
                  <a:lstStyle/>
                  <a:p>
                    <a:fld id="{c8b6fb68-0f16-4dae-b2aa-f0846018a476}"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0-C578-4DFF-AB1F-ADA54D59B07B}"/>
                </c:ext>
              </c:extLst>
            </c:dLbl>
            <c:dLbl>
              <c:idx val="12"/>
              <c:layout>
                <c:manualLayout>
                  <c:x val="-0.016887709991158267"/>
                  <c:y val="0.030068457319476983"/>
                </c:manualLayout>
              </c:layout>
              <c:tx>
                <c:rich>
                  <a:bodyPr/>
                  <a:lstStyle/>
                  <a:p>
                    <a:fld id="{cc7ad130-a36f-4074-bc44-7404b3882e8a}" type="CELLRANGE">
                      <a:rPr lang="en-US"/>
                      <a:t>[CELLRANGE]</a:t>
                    </a:fld>
                    <a:endParaRPr lang="fr-LU"/>
                  </a:p>
                </c:rich>
              </c:tx>
              <c:dLblPos val="r"/>
              <c:showLegendKey val="0"/>
              <c:showVal val="0"/>
              <c:showCatName val="0"/>
              <c:showSerName val="0"/>
              <c:showPercent val="0"/>
              <c:showBubbleSize val="0"/>
              <c:extLst>
                <c:ext xmlns:c15="http://schemas.microsoft.com/office/drawing/2012/chart" uri="{CE6537A1-D6FC-4f65-9D91-7224C49458BB}">
                  <c15:showDataLabelsRange val="1"/>
                </c:ext>
                <c:ext xmlns:c="http://schemas.openxmlformats.org/drawingml/2006/chart" xmlns:c16="http://schemas.microsoft.com/office/drawing/2014/chart" uri="{C3380CC4-5D6E-409C-BE32-E72D297353CC}">
                  <c16:uniqueId val="{00000001-C578-4DFF-AB1F-ADA54D59B07B}"/>
                </c:ext>
              </c:extLst>
            </c:dLbl>
            <c:numFmt formatCode="General" sourceLinked="0"/>
            <c:spPr>
              <a:noFill/>
              <a:ln>
                <a:noFill/>
              </a:ln>
              <a:effectLst/>
            </c:spPr>
            <c:txPr>
              <a:bodyPr wrap="square" lIns="38100" tIns="19050" rIns="38100" bIns="19050" anchor="ctr">
                <a:spAutoFit/>
              </a:bodyPr>
              <a:lstStyle/>
              <a:p>
                <a:pPr>
                  <a:defRPr sz="800">
                    <a:latin typeface="Century Gothic" panose="020B0502020202020204" pitchFamily="34" charset="0"/>
                  </a:defRPr>
                </a:pPr>
                <a:endParaRPr lang="fr-FR"/>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xVal>
            <c:numRef>
              <c:f>(Simona!$H$227:$H$237,Simona!$H$239,Simona!$H$241)</c:f>
              <c:numCache>
                <c:formatCode>General</c:formatCode>
                <c:ptCount val="13"/>
                <c:pt idx="0">
                  <c:v>0.59673097772302819</c:v>
                </c:pt>
                <c:pt idx="1">
                  <c:v>0.3382588055705732</c:v>
                </c:pt>
                <c:pt idx="2" formatCode="0.000">
                  <c:v>0.30346799725711621</c:v>
                </c:pt>
                <c:pt idx="3" formatCode="0.000">
                  <c:v>0.27201471244792547</c:v>
                </c:pt>
                <c:pt idx="4" formatCode="0.000">
                  <c:v>0.38985269137590151</c:v>
                </c:pt>
                <c:pt idx="5" formatCode="0.000">
                  <c:v>0.30868389534381213</c:v>
                </c:pt>
                <c:pt idx="6" formatCode="0.000">
                  <c:v>0.30878103958383879</c:v>
                </c:pt>
                <c:pt idx="7" formatCode="0.000">
                  <c:v>0.33806412476145947</c:v>
                </c:pt>
                <c:pt idx="8" formatCode="0.000">
                  <c:v>0.28344842143352533</c:v>
                </c:pt>
                <c:pt idx="9" formatCode="0.000">
                  <c:v>0.28434183938920948</c:v>
                </c:pt>
                <c:pt idx="10" formatCode="0.000">
                  <c:v>0.24373412424567223</c:v>
                </c:pt>
                <c:pt idx="11" formatCode="0.000">
                  <c:v>0.34144833241473871</c:v>
                </c:pt>
                <c:pt idx="12" formatCode="0.000">
                  <c:v>0.2456661290494857</c:v>
                </c:pt>
              </c:numCache>
            </c:numRef>
          </c:xVal>
          <c:yVal>
            <c:numRef>
              <c:f>(Simona!$G$227:$G$237,Simona!$G$239,Simona!$G$241)</c:f>
              <c:numCache>
                <c:formatCode>General</c:formatCode>
                <c:ptCount val="13"/>
                <c:pt idx="0">
                  <c:v>0.39585124264794935</c:v>
                </c:pt>
                <c:pt idx="1">
                  <c:v>0.3816253191052621</c:v>
                </c:pt>
                <c:pt idx="2">
                  <c:v>0.35307334296260634</c:v>
                </c:pt>
                <c:pt idx="3">
                  <c:v>0.30453821067539483</c:v>
                </c:pt>
                <c:pt idx="4">
                  <c:v>0.2877484150631654</c:v>
                </c:pt>
                <c:pt idx="5">
                  <c:v>0.30868389534381213</c:v>
                </c:pt>
                <c:pt idx="6">
                  <c:v>0.3339876550600705</c:v>
                </c:pt>
                <c:pt idx="7">
                  <c:v>0.33490464695995048</c:v>
                </c:pt>
                <c:pt idx="8">
                  <c:v>0.29551005638814343</c:v>
                </c:pt>
                <c:pt idx="9">
                  <c:v>0.32971553716408336</c:v>
                </c:pt>
                <c:pt idx="10">
                  <c:v>0.28778245995272145</c:v>
                </c:pt>
                <c:pt idx="11">
                  <c:v>0.26616838511070179</c:v>
                </c:pt>
                <c:pt idx="12">
                  <c:v>0.27770953718637514</c:v>
                </c:pt>
              </c:numCache>
            </c:numRef>
          </c:yVal>
          <c:smooth val="0"/>
          <c:extLst>
            <c:ext xmlns:c15="http://schemas.microsoft.com/office/drawing/2012/chart" uri="{02D57815-91ED-43cb-92C2-25804820EDAC}">
              <c15:datalabelsRange>
                <c15:f>(Simona!$C$227:$C$237,Simona!$C$239,Simona!$C$241)</c15:f>
                <c15:dlblRange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15:dlblRangeCache>
              </c15:datalabelsRange>
            </c:ext>
            <c:ext xmlns:c="http://schemas.openxmlformats.org/drawingml/2006/chart" xmlns:c16="http://schemas.microsoft.com/office/drawing/2014/chart" uri="{C3380CC4-5D6E-409C-BE32-E72D297353CC}">
              <c16:uniqueId val="{0000000D-C578-4DFF-AB1F-ADA54D59B07B}"/>
            </c:ext>
          </c:extLst>
        </c:ser>
        <c:dLbls>
          <c:showLegendKey val="0"/>
          <c:showVal val="0"/>
          <c:showCatName val="0"/>
          <c:showSerName val="0"/>
          <c:showPercent val="0"/>
          <c:showBubbleSize val="0"/>
        </c:dLbls>
        <c:axId val="479322536"/>
        <c:axId val="479322928"/>
      </c:scatterChart>
      <c:valAx>
        <c:axId val="479322536"/>
        <c:scaling>
          <c:orientation val="minMax"/>
        </c:scaling>
        <c:delete val="0"/>
        <c:axPos val="b"/>
        <c:majorGridlines>
          <c:spPr>
            <a:ln w="9525">
              <a:solidFill>
                <a:schemeClr val="tx1">
                  <a:lumMod val="15000"/>
                  <a:lumOff val="85000"/>
                </a:schemeClr>
              </a:solidFill>
              <a:round/>
            </a:ln>
            <a:effectLst/>
          </c:spPr>
        </c:majorGridlines>
        <c:title>
          <c:tx>
            <c:rich>
              <a:bodyPr/>
              <a:lstStyle/>
              <a:p>
                <a:pPr>
                  <a:defRPr sz="800" b="1" i="0" u="none" strike="noStrike" baseline="0">
                    <a:solidFill>
                      <a:srgbClr val="333333"/>
                    </a:solidFill>
                    <a:latin typeface="Century Gothic"/>
                    <a:ea typeface="Century Gothic"/>
                    <a:cs typeface="Century Gothic"/>
                  </a:defRPr>
                </a:pPr>
                <a:r>
                  <a:rPr lang="it-IT" sz="800" b="1"/>
                  <a:t>CASUALTIES (people killed </a:t>
                </a:r>
                <a:r>
                  <a:rPr lang="it-IT" sz="800" b="1" baseline="0"/>
                  <a:t>or serious injured</a:t>
                </a:r>
                <a:r>
                  <a:rPr lang="it-IT" sz="800" b="1"/>
                  <a:t>)/Mln tr-km</a:t>
                </a:r>
              </a:p>
            </c:rich>
          </c:tx>
          <c:layout/>
          <c:overlay val="0"/>
          <c:spPr>
            <a:noFill/>
            <a:ln w="25400">
              <a:noFill/>
            </a:ln>
          </c:spPr>
        </c:title>
        <c:numFmt formatCode="General" sourceLinked="1"/>
        <c:majorTickMark val="none"/>
        <c:minorTickMark val="none"/>
        <c:tickLblPos val="nextTo"/>
        <c:spPr>
          <a:noFill/>
          <a:ln w="9525">
            <a:solidFill>
              <a:schemeClr val="tx1">
                <a:lumMod val="25000"/>
                <a:lumOff val="75000"/>
              </a:schemeClr>
            </a:solidFill>
            <a:round/>
          </a:ln>
          <a:effectLst/>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79322928"/>
        <c:crosses val="autoZero"/>
        <c:crossBetween val="midCat"/>
      </c:valAx>
      <c:valAx>
        <c:axId val="479322928"/>
        <c:scaling>
          <c:orientation val="minMax"/>
          <c:max val="0.45"/>
        </c:scaling>
        <c:delete val="0"/>
        <c:axPos val="l"/>
        <c:majorGridlines>
          <c:spPr>
            <a:ln w="9525">
              <a:solidFill>
                <a:schemeClr val="tx1">
                  <a:lumMod val="15000"/>
                  <a:lumOff val="85000"/>
                </a:schemeClr>
              </a:solidFill>
              <a:round/>
            </a:ln>
            <a:effectLst/>
          </c:spPr>
        </c:majorGridlines>
        <c:title>
          <c:tx>
            <c:rich>
              <a:bodyPr/>
              <a:lstStyle/>
              <a:p>
                <a:pPr>
                  <a:defRPr sz="800" b="0" i="0" u="none" strike="noStrike" baseline="0">
                    <a:solidFill>
                      <a:srgbClr val="333333"/>
                    </a:solidFill>
                    <a:latin typeface="Century Gothic"/>
                    <a:ea typeface="Century Gothic"/>
                    <a:cs typeface="Century Gothic"/>
                  </a:defRPr>
                </a:pPr>
                <a:r>
                  <a:rPr lang="it-IT" sz="800" b="1" i="0" u="none" strike="noStrike" baseline="0">
                    <a:effectLst/>
                  </a:rPr>
                  <a:t>SIGNIFICANT ACCIDENTS/MLN TR-KM</a:t>
                </a:r>
                <a:endParaRPr lang="it-IT" sz="800"/>
              </a:p>
            </c:rich>
          </c:tx>
          <c:layout/>
          <c:overlay val="0"/>
          <c:spPr>
            <a:solidFill>
              <a:sysClr val="window" lastClr="FFFFFF"/>
            </a:solidFill>
            <a:ln>
              <a:noFill/>
            </a:ln>
            <a:effectLst/>
          </c:spPr>
        </c:title>
        <c:numFmt formatCode="General" sourceLinked="1"/>
        <c:majorTickMark val="none"/>
        <c:minorTickMark val="none"/>
        <c:tickLblPos val="nextTo"/>
        <c:spPr>
          <a:noFill/>
          <a:ln w="9525">
            <a:solidFill>
              <a:schemeClr val="tx1">
                <a:lumMod val="25000"/>
                <a:lumOff val="75000"/>
              </a:schemeClr>
            </a:solidFill>
            <a:round/>
          </a:ln>
          <a:effectLst/>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79322536"/>
        <c:crosses val="autoZero"/>
        <c:crossBetween val="midCat"/>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i="0" u="none" strike="noStrike" baseline="0">
                <a:solidFill>
                  <a:srgbClr val="333333"/>
                </a:solidFill>
                <a:latin typeface="Century Gothic" panose="020B0502020202020204" pitchFamily="34" charset="0"/>
                <a:ea typeface="Calibri"/>
                <a:cs typeface="Calibri"/>
              </a:defRPr>
            </a:pPr>
            <a:r>
              <a:rPr lang="it-IT" sz="700" b="1">
                <a:latin typeface="Century Gothic" panose="020B0502020202020204" pitchFamily="34" charset="0"/>
              </a:rPr>
              <a:t>INCIDENTI SIGNIFICATIVI</a:t>
            </a:r>
          </a:p>
          <a:p>
            <a:pPr>
              <a:defRPr sz="700" b="1" i="0" u="none" strike="noStrike" baseline="0">
                <a:solidFill>
                  <a:srgbClr val="333333"/>
                </a:solidFill>
                <a:latin typeface="Century Gothic" panose="020B0502020202020204" pitchFamily="34" charset="0"/>
                <a:ea typeface="Calibri"/>
                <a:cs typeface="Calibri"/>
              </a:defRPr>
            </a:pPr>
            <a:r>
              <a:rPr lang="it-IT" sz="700" b="1">
                <a:latin typeface="Century Gothic" panose="020B0502020202020204" pitchFamily="34" charset="0"/>
              </a:rPr>
              <a:t>[Rete IT]</a:t>
            </a:r>
          </a:p>
        </c:rich>
      </c:tx>
      <c:layout/>
      <c:overlay val="0"/>
      <c:spPr>
        <a:noFill/>
        <a:ln w="25400">
          <a:noFill/>
        </a:ln>
      </c:spPr>
    </c:title>
    <c:autoTitleDeleted val="0"/>
    <c:plotArea>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A9A3-4F03-9578-14EF6D4CB79D}"/>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A9A3-4F03-9578-14EF6D4CB79D}"/>
              </c:ext>
            </c:extLst>
          </c:dPt>
          <c:dLbls>
            <c:dLbl>
              <c:idx val="0"/>
              <c:layout>
                <c:manualLayout>
                  <c:x val="0"/>
                  <c:y val="-0.24960981614270922"/>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A9A3-4F03-9578-14EF6D4CB79D}"/>
                </c:ext>
              </c:extLst>
            </c:dLbl>
            <c:dLbl>
              <c:idx val="1"/>
              <c:layout>
                <c:manualLayout>
                  <c:x val="-2.22624426806907E-17"/>
                  <c:y val="-0.2161187419810737"/>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A9A3-4F03-9578-14EF6D4CB79D}"/>
                </c:ext>
              </c:extLst>
            </c:dLbl>
            <c:dLbl>
              <c:idx val="2"/>
              <c:layout>
                <c:manualLayout>
                  <c:x val="0"/>
                  <c:y val="-0.19420383866408758"/>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A9A3-4F03-9578-14EF6D4CB79D}"/>
                </c:ext>
              </c:extLst>
            </c:dLbl>
            <c:dLbl>
              <c:idx val="3"/>
              <c:layout>
                <c:manualLayout>
                  <c:x val="4.45248853613814E-17"/>
                  <c:y val="-0.20722820317435506"/>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A9A3-4F03-9578-14EF6D4CB79D}"/>
                </c:ext>
              </c:extLst>
            </c:dLbl>
            <c:dLbl>
              <c:idx val="4"/>
              <c:layout>
                <c:manualLayout>
                  <c:x val="-0.0024286581663630845"/>
                  <c:y val="-0.21508346196179579"/>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A9A3-4F03-9578-14EF6D4CB79D}"/>
                </c:ext>
              </c:extLst>
            </c:dLbl>
            <c:dLbl>
              <c:idx val="5"/>
              <c:layout>
                <c:manualLayout>
                  <c:x val="0"/>
                  <c:y val="-0.21508346196179579"/>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A9A3-4F03-9578-14EF6D4CB79D}"/>
                </c:ext>
              </c:extLst>
            </c:dLbl>
            <c:dLbl>
              <c:idx val="6"/>
              <c:layout>
                <c:manualLayout>
                  <c:x val="-8.90497707227628E-17"/>
                  <c:y val="-0.20681555004135649"/>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A9A3-4F03-9578-14EF6D4CB79D}"/>
                </c:ext>
              </c:extLst>
            </c:dLbl>
            <c:dLbl>
              <c:idx val="7"/>
              <c:layout>
                <c:manualLayout>
                  <c:x val="-8.90497707227628E-17"/>
                  <c:y val="-0.2305907791302762"/>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A9A3-4F03-9578-14EF6D4CB79D}"/>
                </c:ext>
              </c:extLst>
            </c:dLbl>
            <c:dLbl>
              <c:idx val="8"/>
              <c:layout>
                <c:manualLayout>
                  <c:x val="-8.90497707227628E-17"/>
                  <c:y val="-0.20681555004135649"/>
                </c:manualLayout>
              </c:layout>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A9A3-4F03-9578-14EF6D4CB79D}"/>
                </c:ext>
              </c:extLst>
            </c:dLbl>
            <c:dLbl>
              <c:idx val="9"/>
              <c:layout>
                <c:manualLayout>
                  <c:x val="0.029143897996356836"/>
                  <c:y val="-0.1394069413779853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A9A3-4F03-9578-14EF6D4CB79D}"/>
                </c:ext>
              </c:extLst>
            </c:dLbl>
            <c:dLbl>
              <c:idx val="10"/>
              <c:layout>
                <c:manualLayout>
                  <c:x val="0.031572556162719922"/>
                  <c:y val="-0.1391972281380460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A9A3-4F03-9578-14EF6D4CB79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Century Gothic" panose="020B0502020202020204" pitchFamily="34" charset="0"/>
                    <a:ea typeface="Calibri"/>
                    <a:cs typeface="Calibri"/>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'REGIONALI + RFI'!$AP$182:$AP$192</c:f>
              <c:numCache>
                <c:formatCode>General</c:formatCode>
                <c:ptCount val="11"/>
                <c:pt idx="0">
                  <c:v>121</c:v>
                </c:pt>
                <c:pt idx="1">
                  <c:v>103</c:v>
                </c:pt>
                <c:pt idx="2">
                  <c:v>93</c:v>
                </c:pt>
                <c:pt idx="3">
                  <c:v>100</c:v>
                </c:pt>
                <c:pt idx="4">
                  <c:v>106</c:v>
                </c:pt>
                <c:pt idx="5">
                  <c:v>106</c:v>
                </c:pt>
                <c:pt idx="6">
                  <c:v>98</c:v>
                </c:pt>
                <c:pt idx="7">
                  <c:v>109</c:v>
                </c:pt>
                <c:pt idx="8">
                  <c:v>98</c:v>
                </c:pt>
                <c:pt idx="9">
                  <c:v>92</c:v>
                </c:pt>
                <c:pt idx="10">
                  <c:v>99</c:v>
                </c:pt>
              </c:numCache>
            </c:numRef>
          </c:val>
          <c:extLst>
            <c:ext xmlns:c="http://schemas.openxmlformats.org/drawingml/2006/chart" xmlns:c16="http://schemas.microsoft.com/office/drawing/2014/chart" uri="{C3380CC4-5D6E-409C-BE32-E72D297353CC}">
              <c16:uniqueId val="{0000000E-A9A3-4F03-9578-14EF6D4CB79D}"/>
            </c:ext>
          </c:extLst>
        </c:ser>
        <c:ser>
          <c:idx val="2"/>
          <c:order val="3"/>
          <c:tx>
            <c:v>[Reti Regionali]</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A9A3-4F03-9578-14EF6D4CB79D}"/>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A9A3-4F03-9578-14EF6D4CB79D}"/>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A9A3-4F03-9578-14EF6D4CB79D}"/>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A9A3-4F03-9578-14EF6D4CB79D}"/>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A9A3-4F03-9578-14EF6D4CB79D}"/>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A9A3-4F03-9578-14EF6D4CB79D}"/>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A9A3-4F03-9578-14EF6D4CB79D}"/>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A9A3-4F03-9578-14EF6D4CB79D}"/>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A9A3-4F03-9578-14EF6D4CB79D}"/>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A9A3-4F03-9578-14EF6D4CB79D}"/>
                </c:ext>
              </c:extLst>
            </c:dLbl>
            <c:dLbl>
              <c:idx val="9"/>
              <c:layout>
                <c:manualLayout>
                  <c:x val="0.031572556162720096"/>
                  <c:y val="-0.0066170388751033912"/>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A9A3-4F03-9578-14EF6D4CB79D}"/>
                </c:ext>
              </c:extLst>
            </c:dLbl>
            <c:dLbl>
              <c:idx val="10"/>
              <c:layout>
                <c:manualLayout>
                  <c:x val="0.029143897996357013"/>
                  <c:y val="-0.0033085194375517563"/>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A9A3-4F03-9578-14EF6D4CB79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Century Gothic" panose="020B0502020202020204" pitchFamily="34" charset="0"/>
                    <a:ea typeface="Calibri"/>
                    <a:cs typeface="Calibri"/>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'REGIONALI + RFI'!$AP$234:$AP$244</c:f>
              <c:numCache>
                <c:formatCode>General</c:formatCode>
                <c:ptCount val="11"/>
                <c:pt idx="0">
                  <c:v>0</c:v>
                </c:pt>
                <c:pt idx="1">
                  <c:v>0</c:v>
                </c:pt>
                <c:pt idx="2">
                  <c:v>0</c:v>
                </c:pt>
                <c:pt idx="3">
                  <c:v>0</c:v>
                </c:pt>
                <c:pt idx="4">
                  <c:v>0</c:v>
                </c:pt>
                <c:pt idx="5">
                  <c:v>0</c:v>
                </c:pt>
                <c:pt idx="6">
                  <c:v>0</c:v>
                </c:pt>
                <c:pt idx="7">
                  <c:v>0</c:v>
                </c:pt>
                <c:pt idx="8">
                  <c:v>0</c:v>
                </c:pt>
                <c:pt idx="9">
                  <c:v>7</c:v>
                </c:pt>
                <c:pt idx="10">
                  <c:v>5</c:v>
                </c:pt>
              </c:numCache>
            </c:numRef>
          </c:val>
          <c:extLst>
            <c:ext xmlns:c="http://schemas.openxmlformats.org/drawingml/2006/chart" xmlns:c16="http://schemas.microsoft.com/office/drawing/2014/chart" uri="{C3380CC4-5D6E-409C-BE32-E72D297353CC}">
              <c16:uniqueId val="{0000001B-A9A3-4F03-9578-14EF6D4CB79D}"/>
            </c:ext>
          </c:extLst>
        </c:ser>
        <c:dLbls>
          <c:showLegendKey val="0"/>
          <c:showVal val="0"/>
          <c:showCatName val="0"/>
          <c:showSerName val="0"/>
          <c:showPercent val="0"/>
          <c:showBubbleSize val="0"/>
        </c:dLbls>
        <c:gapWidth val="150"/>
        <c:overlap val="100"/>
        <c:axId val="479321752"/>
        <c:axId val="479324104"/>
      </c:barChart>
      <c:lineChart>
        <c:grouping val="standard"/>
        <c:varyColors val="0"/>
        <c:ser>
          <c:idx val="11"/>
          <c:order val="1"/>
          <c:spPr>
            <a:ln w="22225" cap="rnd">
              <a:solidFill>
                <a:srgbClr val="00B050"/>
              </a:solidFill>
              <a:round/>
            </a:ln>
            <a:effectLst/>
          </c:spPr>
          <c:marker>
            <c:symbol val="square"/>
            <c:size val="5"/>
          </c:marker>
          <c:dPt>
            <c:idx val="12"/>
            <c:bubble3D val="0"/>
            <c:spPr>
              <a:ln w="22225" cap="rnd">
                <a:solidFill>
                  <a:srgbClr val="00B050"/>
                </a:solidFill>
                <a:prstDash val="sysDash"/>
                <a:round/>
              </a:ln>
              <a:effectLst/>
            </c:spPr>
            <c:extLst>
              <c:ext xmlns:c="http://schemas.openxmlformats.org/drawingml/2006/chart" xmlns:c16="http://schemas.microsoft.com/office/drawing/2014/chart" uri="{C3380CC4-5D6E-409C-BE32-E72D297353CC}">
                <c16:uniqueId val="{0000001D-A9A3-4F03-9578-14EF6D4CB79D}"/>
              </c:ext>
            </c:extLst>
          </c:dPt>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'REGIONALI + RFI'!$AQ$217:$AQ$227</c:f>
              <c:numCache>
                <c:formatCode>General</c:formatCode>
                <c:ptCount val="11"/>
                <c:pt idx="0">
                  <c:v>0.35307334296260634</c:v>
                </c:pt>
                <c:pt idx="1">
                  <c:v>0.30453821067539483</c:v>
                </c:pt>
                <c:pt idx="2">
                  <c:v>0.2877484150631654</c:v>
                </c:pt>
                <c:pt idx="3">
                  <c:v>0.30868389534381213</c:v>
                </c:pt>
                <c:pt idx="4">
                  <c:v>0.3339876550600705</c:v>
                </c:pt>
                <c:pt idx="5">
                  <c:v>0.33490464695995048</c:v>
                </c:pt>
                <c:pt idx="6">
                  <c:v>0.29551005638814343</c:v>
                </c:pt>
                <c:pt idx="7">
                  <c:v>0.32971553716408336</c:v>
                </c:pt>
                <c:pt idx="8">
                  <c:v>0.28778245995272145</c:v>
                </c:pt>
                <c:pt idx="9">
                  <c:v>0.26611226767593488</c:v>
                </c:pt>
                <c:pt idx="10">
                  <c:v>0.27701125830901185</c:v>
                </c:pt>
              </c:numCache>
            </c:numRef>
          </c:val>
          <c:smooth val="0"/>
          <c:extLst>
            <c:ext xmlns:c="http://schemas.openxmlformats.org/drawingml/2006/chart" xmlns:c16="http://schemas.microsoft.com/office/drawing/2014/chart" uri="{C3380CC4-5D6E-409C-BE32-E72D297353CC}">
              <c16:uniqueId val="{0000001E-A9A3-4F03-9578-14EF6D4CB79D}"/>
            </c:ext>
          </c:extLst>
        </c:ser>
        <c:ser>
          <c:idx val="1"/>
          <c:order val="2"/>
          <c:tx>
            <c:v>media</c:v>
          </c:tx>
          <c:spPr>
            <a:ln w="22225">
              <a:solidFill>
                <a:schemeClr val="accent6">
                  <a:lumMod val="75000"/>
                </a:schemeClr>
              </a:solidFill>
              <a:prstDash val="sysDash"/>
            </a:ln>
          </c:spPr>
          <c:marker>
            <c:symbol val="none"/>
          </c:marker>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'REGIONALI + RFI'!$AS$217:$AS$227</c:f>
              <c:numCache>
                <c:formatCode>General</c:formatCode>
                <c:ptCount val="11"/>
                <c:pt idx="0">
                  <c:v>0.31020564872458822</c:v>
                </c:pt>
                <c:pt idx="1">
                  <c:v>0.31020564872458822</c:v>
                </c:pt>
                <c:pt idx="2">
                  <c:v>0.31020564872458822</c:v>
                </c:pt>
                <c:pt idx="3">
                  <c:v>0.31020564872458822</c:v>
                </c:pt>
                <c:pt idx="4">
                  <c:v>0.31020564872458822</c:v>
                </c:pt>
                <c:pt idx="5">
                  <c:v>0.31020564872458822</c:v>
                </c:pt>
                <c:pt idx="6">
                  <c:v>0.31020564872458822</c:v>
                </c:pt>
                <c:pt idx="7">
                  <c:v>0.31020564872458822</c:v>
                </c:pt>
                <c:pt idx="8">
                  <c:v>0.31020564872458822</c:v>
                </c:pt>
                <c:pt idx="9">
                  <c:v>0.31020564872458822</c:v>
                </c:pt>
                <c:pt idx="10">
                  <c:v>0.31020564872458822</c:v>
                </c:pt>
              </c:numCache>
            </c:numRef>
          </c:val>
          <c:smooth val="0"/>
          <c:extLst>
            <c:ext xmlns:c="http://schemas.openxmlformats.org/drawingml/2006/chart" xmlns:c16="http://schemas.microsoft.com/office/drawing/2014/chart" uri="{C3380CC4-5D6E-409C-BE32-E72D297353CC}">
              <c16:uniqueId val="{0000001F-A9A3-4F03-9578-14EF6D4CB79D}"/>
            </c:ext>
          </c:extLst>
        </c:ser>
        <c:dLbls>
          <c:showLegendKey val="0"/>
          <c:showVal val="0"/>
          <c:showCatName val="0"/>
          <c:showSerName val="0"/>
          <c:showPercent val="0"/>
          <c:showBubbleSize val="0"/>
        </c:dLbls>
        <c:marker val="1"/>
        <c:smooth val="0"/>
        <c:axId val="479324496"/>
        <c:axId val="479324888"/>
      </c:lineChart>
      <c:catAx>
        <c:axId val="47932175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79324104"/>
        <c:crosses val="autoZero"/>
        <c:auto val="1"/>
        <c:lblAlgn val="ctr"/>
        <c:lblOffset val="100"/>
        <c:noMultiLvlLbl val="0"/>
      </c:catAx>
      <c:valAx>
        <c:axId val="479324104"/>
        <c:scaling>
          <c:orientation val="minMax"/>
          <c:max val="200"/>
          <c:min val="0"/>
        </c:scaling>
        <c:delete val="0"/>
        <c:axPos val="r"/>
        <c:majorGridlines>
          <c:spPr>
            <a:ln w="9525">
              <a:solidFill>
                <a:schemeClr val="tx1">
                  <a:lumMod val="15000"/>
                  <a:lumOff val="85000"/>
                </a:schemeClr>
              </a:solidFill>
              <a:round/>
            </a:ln>
            <a:effectLst/>
          </c:spPr>
        </c:majorGridlines>
        <c:title>
          <c:tx>
            <c:rich>
              <a:bodyPr/>
              <a:lstStyle/>
              <a:p>
                <a:pPr>
                  <a:defRPr sz="700" b="0" i="0" u="none" strike="noStrike" baseline="0">
                    <a:solidFill>
                      <a:srgbClr val="000000"/>
                    </a:solidFill>
                    <a:latin typeface="Century Gothic" panose="020B0502020202020204" pitchFamily="34" charset="0"/>
                    <a:ea typeface="Calibri"/>
                    <a:cs typeface="Calibri"/>
                  </a:defRPr>
                </a:pPr>
                <a:r>
                  <a:rPr lang="it-IT" sz="700" b="0" i="0" u="none" strike="noStrike" baseline="0">
                    <a:solidFill>
                      <a:srgbClr val="333333"/>
                    </a:solidFill>
                    <a:latin typeface="Century Gothic" panose="020B0502020202020204" pitchFamily="34" charset="0"/>
                    <a:cs typeface="Calibri"/>
                  </a:rPr>
                  <a:t>n</a:t>
                </a:r>
                <a:r>
                  <a:rPr lang="it-IT" sz="700" b="0" i="0" u="none" strike="noStrike" baseline="0">
                    <a:solidFill>
                      <a:srgbClr val="333333"/>
                    </a:solidFill>
                    <a:latin typeface="Century Gothic" panose="020B0502020202020204" pitchFamily="34" charset="0"/>
                    <a:ea typeface="+mn-ea"/>
                    <a:cs typeface="+mn-ea"/>
                  </a:rPr>
                  <a:t>°</a:t>
                </a:r>
                <a:r>
                  <a:rPr lang="it-IT" sz="700" b="0" i="0" u="none" strike="noStrike" baseline="0">
                    <a:solidFill>
                      <a:srgbClr val="333333"/>
                    </a:solidFill>
                    <a:latin typeface="Century Gothic" panose="020B0502020202020204" pitchFamily="34" charset="0"/>
                    <a:ea typeface="+mn-ea"/>
                    <a:cs typeface="Calibri"/>
                  </a:rPr>
                  <a:t> INCIDENTI SIGNIFICATIVI</a:t>
                </a:r>
                <a:endParaRPr lang="it-IT" sz="700" b="0" i="0" u="none" strike="noStrike" baseline="0">
                  <a:solidFill>
                    <a:srgbClr val="333333"/>
                  </a:solidFill>
                  <a:latin typeface="Century Gothic" panose="020B0502020202020204" pitchFamily="34" charset="0"/>
                  <a:cs typeface="Calibri"/>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79321752"/>
        <c:crosses val="max"/>
        <c:crossBetween val="between"/>
      </c:valAx>
      <c:catAx>
        <c:axId val="479324496"/>
        <c:scaling>
          <c:orientation val="minMax"/>
        </c:scaling>
        <c:delete val="1"/>
        <c:axPos val="t"/>
        <c:numFmt formatCode="General" sourceLinked="1"/>
        <c:majorTickMark val="out"/>
        <c:minorTickMark val="none"/>
        <c:tickLblPos val="nextTo"/>
        <c:crossAx val="479324888"/>
        <c:crosses val="max"/>
        <c:auto val="1"/>
        <c:lblAlgn val="ctr"/>
        <c:lblOffset val="100"/>
        <c:noMultiLvlLbl val="0"/>
      </c:catAx>
      <c:valAx>
        <c:axId val="479324888"/>
        <c:scaling>
          <c:orientation val="minMax"/>
          <c:max val="0.4"/>
        </c:scaling>
        <c:delete val="0"/>
        <c:axPos val="l"/>
        <c:title>
          <c:tx>
            <c:rich>
              <a:bodyPr/>
              <a:lstStyle/>
              <a:p>
                <a:pPr>
                  <a:defRPr sz="700" b="0" i="0" u="none" strike="noStrike" baseline="0">
                    <a:solidFill>
                      <a:srgbClr val="000000"/>
                    </a:solidFill>
                    <a:latin typeface="Century Gothic" panose="020B0502020202020204" pitchFamily="34" charset="0"/>
                    <a:ea typeface="Calibri"/>
                    <a:cs typeface="Calibri"/>
                  </a:defRPr>
                </a:pPr>
                <a:r>
                  <a:rPr lang="it-IT" sz="700" b="0" i="0" u="none" strike="noStrike" baseline="0">
                    <a:solidFill>
                      <a:srgbClr val="333333"/>
                    </a:solidFill>
                    <a:latin typeface="Century Gothic" panose="020B0502020202020204" pitchFamily="34" charset="0"/>
                    <a:cs typeface="Calibri"/>
                  </a:rPr>
                  <a:t>n</a:t>
                </a:r>
                <a:r>
                  <a:rPr lang="it-IT" sz="700" b="0" i="0" u="none" strike="noStrike" baseline="0">
                    <a:solidFill>
                      <a:srgbClr val="333333"/>
                    </a:solidFill>
                    <a:latin typeface="Century Gothic" panose="020B0502020202020204" pitchFamily="34" charset="0"/>
                    <a:ea typeface="+mn-ea"/>
                    <a:cs typeface="+mn-ea"/>
                  </a:rPr>
                  <a:t>°</a:t>
                </a:r>
                <a:r>
                  <a:rPr lang="it-IT" sz="700" b="0" i="0" u="none" strike="noStrike" baseline="0">
                    <a:solidFill>
                      <a:srgbClr val="333333"/>
                    </a:solidFill>
                    <a:latin typeface="Century Gothic" panose="020B0502020202020204" pitchFamily="34" charset="0"/>
                    <a:ea typeface="+mn-ea"/>
                    <a:cs typeface="Calibri"/>
                  </a:rPr>
                  <a:t> INCIDENTI SIGNIFICATIVI/Mln tr-km</a:t>
                </a:r>
                <a:endParaRPr lang="it-IT" sz="700" b="0" i="0" u="none" strike="noStrike" baseline="0">
                  <a:solidFill>
                    <a:srgbClr val="333333"/>
                  </a:solidFill>
                  <a:latin typeface="Century Gothic" panose="020B0502020202020204" pitchFamily="34" charset="0"/>
                  <a:cs typeface="Calibri"/>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79324496"/>
        <c:crosses val="autoZero"/>
        <c:crossBetween val="between"/>
      </c:valAx>
      <c:spPr>
        <a:noFill/>
        <a:ln w="25400">
          <a:noFill/>
        </a:ln>
      </c:spPr>
    </c:plotArea>
    <c:legend>
      <c:legendPos val="b"/>
      <c:legendEntry>
        <c:idx val="2"/>
        <c:delete val="1"/>
      </c:legendEntry>
      <c:legendEntry>
        <c:idx val="3"/>
        <c:delete val="1"/>
      </c:legendEntry>
      <c:layout/>
      <c:overlay val="0"/>
      <c:txPr>
        <a:bodyPr/>
        <a:lstStyle/>
        <a:p>
          <a:pPr>
            <a:defRPr sz="600" b="0" i="0" u="none" strike="noStrike" baseline="0">
              <a:solidFill>
                <a:srgbClr val="000000"/>
              </a:solidFill>
              <a:latin typeface="Century Gothic" panose="020B0502020202020204" pitchFamily="34" charset="0"/>
              <a:ea typeface="Calibri"/>
              <a:cs typeface="Calibri"/>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it-IT" sz="800" b="0" i="0" u="none" strike="noStrike" baseline="0">
                <a:solidFill>
                  <a:srgbClr val="000000"/>
                </a:solidFill>
                <a:latin typeface="Century Gothic"/>
              </a:rPr>
              <a:t>ANDAMENTO DELLE VITTIME</a:t>
            </a:r>
          </a:p>
          <a:p>
            <a:pPr>
              <a:defRPr sz="1000" b="0" i="0" u="none" strike="noStrike" baseline="0">
                <a:solidFill>
                  <a:srgbClr val="000000"/>
                </a:solidFill>
                <a:latin typeface="Calibri"/>
                <a:ea typeface="Calibri"/>
                <a:cs typeface="Calibri"/>
              </a:defRPr>
            </a:pPr>
            <a:r>
              <a:rPr lang="it-IT" sz="800" b="0" i="0" u="none" strike="noStrike" baseline="0">
                <a:solidFill>
                  <a:srgbClr val="333333"/>
                </a:solidFill>
                <a:latin typeface="Century Gothic"/>
              </a:rPr>
              <a:t>categoria Eurostat </a:t>
            </a:r>
            <a:r>
              <a:rPr lang="it-IT" sz="800" b="1" i="0" u="none" strike="noStrike" baseline="0">
                <a:solidFill>
                  <a:srgbClr val="333333"/>
                </a:solidFill>
                <a:latin typeface="Century Gothic"/>
              </a:rPr>
              <a:t>"ALTRE PERSONE"</a:t>
            </a:r>
          </a:p>
          <a:p>
            <a:pPr>
              <a:defRPr sz="1000" b="0" i="0" u="none" strike="noStrike" baseline="0">
                <a:solidFill>
                  <a:srgbClr val="000000"/>
                </a:solidFill>
                <a:latin typeface="Calibri"/>
                <a:ea typeface="Calibri"/>
                <a:cs typeface="Calibri"/>
              </a:defRPr>
            </a:pPr>
            <a:r>
              <a:rPr lang="it-IT" sz="800" b="0" i="0" u="none" strike="noStrike" baseline="0">
                <a:solidFill>
                  <a:srgbClr val="000000"/>
                </a:solidFill>
                <a:latin typeface="Century Gothic"/>
              </a:rPr>
              <a:t>SCOMPOSIZIONE PER TIPOLOGIA DI INCIDENTE</a:t>
            </a:r>
          </a:p>
          <a:p>
            <a:pPr>
              <a:defRPr sz="1000" b="0" i="0" u="none" strike="noStrike" baseline="0">
                <a:solidFill>
                  <a:srgbClr val="000000"/>
                </a:solidFill>
                <a:latin typeface="Calibri"/>
                <a:ea typeface="Calibri"/>
                <a:cs typeface="Calibri"/>
              </a:defRPr>
            </a:pPr>
            <a:r>
              <a:rPr lang="it-IT" sz="800" b="1" i="0" u="none" strike="noStrike" baseline="0">
                <a:solidFill>
                  <a:srgbClr val="333333"/>
                </a:solidFill>
                <a:latin typeface="Century Gothic"/>
              </a:rPr>
              <a:t>[Rete IT]</a:t>
            </a:r>
          </a:p>
        </c:rich>
      </c:tx>
      <c:layout>
        <c:manualLayout>
          <c:xMode val="edge"/>
          <c:yMode val="edge"/>
          <c:x val="0.27684892099216779"/>
          <c:y val="7.8955793049567157E-05"/>
        </c:manualLayout>
      </c:layout>
      <c:overlay val="0"/>
      <c:spPr>
        <a:noFill/>
        <a:ln w="25400">
          <a:noFill/>
        </a:ln>
      </c:spPr>
    </c:title>
    <c:autoTitleDeleted val="0"/>
    <c:plotArea>
      <c:layout>
        <c:manualLayout>
          <c:layoutTarget val="inner"/>
          <c:xMode val="edge"/>
          <c:yMode val="edge"/>
          <c:x val="0.068534240183935474"/>
          <c:y val="0.16110515947411336"/>
          <c:w val="0.63749763106123636"/>
          <c:h val="0.75298504353622464"/>
        </c:manualLayout>
      </c:layout>
      <c:lineChart>
        <c:grouping val="standard"/>
        <c:varyColors val="0"/>
        <c:ser>
          <c:idx val="0"/>
          <c:order val="0"/>
          <c:tx>
            <c:v>Collisioni ai treni</c:v>
          </c:tx>
          <c:spPr>
            <a:ln w="28575" cap="rnd">
              <a:solidFill>
                <a:schemeClr val="accent1"/>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Simona!$G$146:$Q$146</c:f>
              <c:numCache>
                <c:formatCode>General</c:formatCode>
                <c:ptCount val="11"/>
                <c:pt idx="0">
                  <c:v>1</c:v>
                </c:pt>
                <c:pt idx="1">
                  <c:v>1</c:v>
                </c:pt>
                <c:pt idx="2">
                  <c:v>0</c:v>
                </c:pt>
                <c:pt idx="3">
                  <c:v>0</c:v>
                </c:pt>
                <c:pt idx="4">
                  <c:v>0</c:v>
                </c:pt>
                <c:pt idx="5">
                  <c:v>0</c:v>
                </c:pt>
                <c:pt idx="6">
                  <c:v>2</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0-F53C-4592-833B-903E4DDAB5EE}"/>
            </c:ext>
          </c:extLst>
        </c:ser>
        <c:ser>
          <c:idx val="1"/>
          <c:order val="1"/>
          <c:tx>
            <c:v>Deragliamenti di treni</c:v>
          </c:tx>
          <c:spPr>
            <a:ln w="19050" cap="rnd">
              <a:solidFill>
                <a:schemeClr val="accent2"/>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Simona!$G$147:$Q$147</c:f>
              <c:numCache>
                <c:formatCode>General</c:formatCode>
                <c:ptCount val="11"/>
                <c:pt idx="0">
                  <c:v>0</c:v>
                </c:pt>
                <c:pt idx="1">
                  <c:v>0</c:v>
                </c:pt>
                <c:pt idx="2">
                  <c:v>43</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1-F53C-4592-833B-903E4DDAB5EE}"/>
            </c:ext>
          </c:extLst>
        </c:ser>
        <c:ser>
          <c:idx val="2"/>
          <c:order val="2"/>
          <c:tx>
            <c:v>Incidenti ai PL</c:v>
          </c:tx>
          <c:spPr>
            <a:ln w="15875" cap="rnd">
              <a:solidFill>
                <a:schemeClr val="accent3"/>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Simona!$G$148:$Q$148</c:f>
              <c:numCache>
                <c:formatCode>General</c:formatCode>
                <c:ptCount val="11"/>
                <c:pt idx="0">
                  <c:v>18</c:v>
                </c:pt>
                <c:pt idx="1">
                  <c:v>8</c:v>
                </c:pt>
                <c:pt idx="2">
                  <c:v>5</c:v>
                </c:pt>
                <c:pt idx="3">
                  <c:v>14</c:v>
                </c:pt>
                <c:pt idx="4">
                  <c:v>16</c:v>
                </c:pt>
                <c:pt idx="5">
                  <c:v>17</c:v>
                </c:pt>
                <c:pt idx="6">
                  <c:v>17</c:v>
                </c:pt>
                <c:pt idx="7">
                  <c:v>16</c:v>
                </c:pt>
                <c:pt idx="8">
                  <c:v>15</c:v>
                </c:pt>
                <c:pt idx="9">
                  <c:v>13</c:v>
                </c:pt>
                <c:pt idx="10">
                  <c:v>12</c:v>
                </c:pt>
              </c:numCache>
            </c:numRef>
          </c:val>
          <c:smooth val="0"/>
          <c:extLst>
            <c:ext xmlns:c="http://schemas.openxmlformats.org/drawingml/2006/chart" xmlns:c16="http://schemas.microsoft.com/office/drawing/2014/chart" uri="{C3380CC4-5D6E-409C-BE32-E72D297353CC}">
              <c16:uniqueId val="{00000002-F53C-4592-833B-903E4DDAB5EE}"/>
            </c:ext>
          </c:extLst>
        </c:ser>
        <c:ser>
          <c:idx val="3"/>
          <c:order val="3"/>
          <c:tx>
            <c:v>Incidenti alle persone provocati da materiale rotabile</c:v>
          </c:tx>
          <c:spPr>
            <a:ln w="19050" cap="rnd">
              <a:solidFill>
                <a:schemeClr val="accent4"/>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Simona!$G$149:$Q$149</c:f>
              <c:numCache>
                <c:formatCode>General</c:formatCode>
                <c:ptCount val="11"/>
                <c:pt idx="0">
                  <c:v>63</c:v>
                </c:pt>
                <c:pt idx="1">
                  <c:v>62</c:v>
                </c:pt>
                <c:pt idx="2">
                  <c:v>51</c:v>
                </c:pt>
                <c:pt idx="3">
                  <c:v>63</c:v>
                </c:pt>
                <c:pt idx="4">
                  <c:v>77</c:v>
                </c:pt>
                <c:pt idx="5">
                  <c:v>74</c:v>
                </c:pt>
                <c:pt idx="6">
                  <c:v>66</c:v>
                </c:pt>
                <c:pt idx="7">
                  <c:v>70</c:v>
                </c:pt>
                <c:pt idx="8">
                  <c:v>58</c:v>
                </c:pt>
                <c:pt idx="9">
                  <c:v>73</c:v>
                </c:pt>
                <c:pt idx="10">
                  <c:v>70</c:v>
                </c:pt>
              </c:numCache>
            </c:numRef>
          </c:val>
          <c:smooth val="0"/>
          <c:extLst>
            <c:ext xmlns:c="http://schemas.openxmlformats.org/drawingml/2006/chart" xmlns:c16="http://schemas.microsoft.com/office/drawing/2014/chart" uri="{C3380CC4-5D6E-409C-BE32-E72D297353CC}">
              <c16:uniqueId val="{00000003-F53C-4592-833B-903E4DDAB5EE}"/>
            </c:ext>
          </c:extLst>
        </c:ser>
        <c:ser>
          <c:idx val="4"/>
          <c:order val="4"/>
          <c:tx>
            <c:v>Incendi di materiale rotabile</c:v>
          </c:tx>
          <c:spPr>
            <a:ln w="28575" cap="rnd">
              <a:solidFill>
                <a:schemeClr val="accent5"/>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Simona!$G$150:$Q$150</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4-F53C-4592-833B-903E4DDAB5EE}"/>
            </c:ext>
          </c:extLst>
        </c:ser>
        <c:ser>
          <c:idx val="5"/>
          <c:order val="5"/>
          <c:tx>
            <c:v>Altri</c:v>
          </c:tx>
          <c:spPr>
            <a:ln w="12700" cap="rnd">
              <a:solidFill>
                <a:schemeClr val="accent6"/>
              </a:solidFill>
              <a:round/>
            </a:ln>
            <a:effectLst/>
          </c:spPr>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Simona!$G$151:$Q$151</c:f>
              <c:numCache>
                <c:formatCode>General</c:formatCode>
                <c:ptCount val="11"/>
                <c:pt idx="0">
                  <c:v>1</c:v>
                </c:pt>
                <c:pt idx="1">
                  <c:v>3</c:v>
                </c:pt>
                <c:pt idx="2">
                  <c:v>0</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5-F53C-4592-833B-903E4DDAB5EE}"/>
            </c:ext>
          </c:extLst>
        </c:ser>
        <c:ser>
          <c:idx val="6"/>
          <c:order val="6"/>
          <c:tx>
            <c:v>TOTALE</c:v>
          </c:tx>
          <c:spPr>
            <a:ln w="19050" cap="rnd">
              <a:solidFill>
                <a:srgbClr val="FF0000"/>
              </a:solidFill>
              <a:round/>
            </a:ln>
            <a:effectLst/>
          </c:spPr>
          <c:trendline>
            <c:spPr>
              <a:ln w="19050" cap="rnd">
                <a:solidFill>
                  <a:srgbClr val="FFC000"/>
                </a:solidFill>
                <a:prstDash val="sysDot"/>
              </a:ln>
              <a:effectLst/>
            </c:spPr>
            <c:trendlineType val="linear"/>
            <c:dispRSqr val="0"/>
            <c:dispEq val="0"/>
          </c:trendline>
          <c:cat>
            <c:numRef>
              <c:f>Simona!$G$145:$Q$145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Simona!$G$152:$Q$152</c:f>
              <c:numCache>
                <c:formatCode>General</c:formatCode>
                <c:ptCount val="11"/>
                <c:pt idx="0">
                  <c:v>83</c:v>
                </c:pt>
                <c:pt idx="1">
                  <c:v>74</c:v>
                </c:pt>
                <c:pt idx="2">
                  <c:v>99</c:v>
                </c:pt>
                <c:pt idx="3">
                  <c:v>77</c:v>
                </c:pt>
                <c:pt idx="4">
                  <c:v>93</c:v>
                </c:pt>
                <c:pt idx="5">
                  <c:v>91</c:v>
                </c:pt>
                <c:pt idx="6">
                  <c:v>85</c:v>
                </c:pt>
                <c:pt idx="7">
                  <c:v>86</c:v>
                </c:pt>
                <c:pt idx="8">
                  <c:v>73</c:v>
                </c:pt>
                <c:pt idx="9">
                  <c:v>86</c:v>
                </c:pt>
                <c:pt idx="10">
                  <c:v>82</c:v>
                </c:pt>
              </c:numCache>
            </c:numRef>
          </c:val>
          <c:smooth val="0"/>
          <c:extLst>
            <c:ext xmlns:c="http://schemas.openxmlformats.org/drawingml/2006/chart" xmlns:c16="http://schemas.microsoft.com/office/drawing/2014/chart" uri="{C3380CC4-5D6E-409C-BE32-E72D297353CC}">
              <c16:uniqueId val="{00000006-F53C-4592-833B-903E4DDAB5EE}"/>
            </c:ext>
          </c:extLst>
        </c:ser>
        <c:dLbls>
          <c:showLegendKey val="0"/>
          <c:showVal val="0"/>
          <c:showCatName val="0"/>
          <c:showSerName val="0"/>
          <c:showPercent val="0"/>
          <c:showBubbleSize val="0"/>
        </c:dLbls>
        <c:marker val="1"/>
        <c:smooth val="0"/>
        <c:axId val="479326064"/>
        <c:axId val="481699736"/>
      </c:lineChart>
      <c:catAx>
        <c:axId val="4793260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699736"/>
        <c:crosses val="autoZero"/>
        <c:auto val="1"/>
        <c:lblAlgn val="ctr"/>
        <c:lblOffset val="100"/>
        <c:noMultiLvlLbl val="0"/>
      </c:catAx>
      <c:valAx>
        <c:axId val="4816997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79326064"/>
        <c:crosses val="autoZero"/>
        <c:crossBetween val="between"/>
      </c:valAx>
      <c:spPr>
        <a:noFill/>
        <a:ln w="25400">
          <a:noFill/>
        </a:ln>
      </c:spPr>
    </c:plotArea>
    <c:legend>
      <c:legendPos val="r"/>
      <c:legendEntry>
        <c:idx val="7"/>
        <c:delete val="1"/>
      </c:legendEntry>
      <c:layout>
        <c:manualLayout>
          <c:xMode val="edge"/>
          <c:yMode val="edge"/>
          <c:x val="0.70341260419662255"/>
          <c:y val="0.12685342918610842"/>
          <c:w val="0.27976258413242905"/>
          <c:h val="0.87314657081389158"/>
        </c:manualLayout>
      </c:layout>
      <c:overlay val="0"/>
      <c:spPr>
        <a:noFill/>
        <a:ln w="25400">
          <a:noFill/>
        </a:ln>
      </c:spPr>
      <c:txPr>
        <a:bodyPr/>
        <a:lstStyle/>
        <a:p>
          <a:pPr>
            <a:defRPr sz="700" b="0" i="0" u="none" strike="noStrike" baseline="0">
              <a:solidFill>
                <a:srgbClr val="333333"/>
              </a:solidFill>
              <a:latin typeface="Century Gothic" panose="020B0502020202020204" pitchFamily="34" charset="0"/>
              <a:ea typeface="Calibri"/>
              <a:cs typeface="Calibri"/>
            </a:defRPr>
          </a:pPr>
          <a:endParaRPr lang="fr-FR"/>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it-IT" sz="800" b="0" i="0" u="none" strike="noStrike" baseline="0">
                <a:solidFill>
                  <a:srgbClr val="333333"/>
                </a:solidFill>
                <a:latin typeface="Century Gothic"/>
              </a:rPr>
              <a:t>ANDAMENTO DELLE VITTIME - CATEGORIA  </a:t>
            </a:r>
            <a:r>
              <a:rPr lang="it-IT" sz="800" b="1" i="0" u="none" strike="noStrike" baseline="0">
                <a:solidFill>
                  <a:srgbClr val="333333"/>
                </a:solidFill>
                <a:latin typeface="Century Gothic"/>
              </a:rPr>
              <a:t>"PASSEGGERI"</a:t>
            </a:r>
            <a:r>
              <a:rPr lang="it-IT" sz="800" b="0" i="0" u="none" strike="noStrike" baseline="0">
                <a:solidFill>
                  <a:srgbClr val="333333"/>
                </a:solidFill>
                <a:latin typeface="Century Gothic"/>
              </a:rPr>
              <a:t> </a:t>
            </a:r>
          </a:p>
          <a:p>
            <a:pPr>
              <a:defRPr sz="800" b="0" i="0" u="none" strike="noStrike" baseline="0">
                <a:solidFill>
                  <a:srgbClr val="000000"/>
                </a:solidFill>
                <a:latin typeface="Calibri"/>
                <a:ea typeface="Calibri"/>
                <a:cs typeface="Calibri"/>
              </a:defRPr>
            </a:pPr>
            <a:r>
              <a:rPr lang="it-IT" sz="800" b="0" i="0" u="none" strike="noStrike" baseline="0">
                <a:solidFill>
                  <a:srgbClr val="333333"/>
                </a:solidFill>
                <a:latin typeface="Century Gothic"/>
              </a:rPr>
              <a:t>SCOMPOSIZIONE PER TIPOLOGIA DI INCIDENTI</a:t>
            </a:r>
          </a:p>
          <a:p>
            <a:pPr>
              <a:defRPr sz="800" b="0" i="0" u="none" strike="noStrike" baseline="0">
                <a:solidFill>
                  <a:srgbClr val="000000"/>
                </a:solidFill>
                <a:latin typeface="Calibri"/>
                <a:ea typeface="Calibri"/>
                <a:cs typeface="Calibri"/>
              </a:defRPr>
            </a:pPr>
            <a:r>
              <a:rPr lang="it-IT" sz="800" b="1" i="0" u="none" strike="noStrike" baseline="0">
                <a:solidFill>
                  <a:srgbClr val="333333"/>
                </a:solidFill>
                <a:latin typeface="Century Gothic"/>
              </a:rPr>
              <a:t>[Rete IT]</a:t>
            </a:r>
          </a:p>
        </c:rich>
      </c:tx>
      <c:layout>
        <c:manualLayout>
          <c:xMode val="edge"/>
          <c:yMode val="edge"/>
          <c:x val="0.22388058557302462"/>
          <c:y val="0.017471063550993666"/>
        </c:manualLayout>
      </c:layout>
      <c:overlay val="0"/>
      <c:spPr>
        <a:noFill/>
        <a:ln w="25400">
          <a:noFill/>
        </a:ln>
      </c:spPr>
    </c:title>
    <c:autoTitleDeleted val="0"/>
    <c:plotArea>
      <c:layout>
        <c:manualLayout>
          <c:layoutTarget val="inner"/>
          <c:xMode val="edge"/>
          <c:yMode val="edge"/>
          <c:x val="0.053873231501471587"/>
          <c:y val="0.17100949708996718"/>
          <c:w val="0.6545341293081921"/>
          <c:h val="0.74308063374406941"/>
        </c:manualLayout>
      </c:layout>
      <c:lineChart>
        <c:grouping val="standard"/>
        <c:varyColors val="0"/>
        <c:ser>
          <c:idx val="0"/>
          <c:order val="0"/>
          <c:tx>
            <c:v>Collisioni ai treni</c:v>
          </c:tx>
          <c:spPr>
            <a:ln w="19050" cap="rnd">
              <a:solidFill>
                <a:schemeClr val="accent1"/>
              </a:solidFill>
              <a:round/>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Simona!$G$94:$Q$94</c:f>
              <c:numCache>
                <c:formatCode>0</c:formatCode>
                <c:ptCount val="11"/>
                <c:pt idx="0">
                  <c:v>0</c:v>
                </c:pt>
                <c:pt idx="1">
                  <c:v>0</c:v>
                </c:pt>
                <c:pt idx="2">
                  <c:v>0</c:v>
                </c:pt>
                <c:pt idx="3">
                  <c:v>0</c:v>
                </c:pt>
                <c:pt idx="4">
                  <c:v>0</c:v>
                </c:pt>
                <c:pt idx="5">
                  <c:v>0</c:v>
                </c:pt>
                <c:pt idx="6">
                  <c:v>0</c:v>
                </c:pt>
                <c:pt idx="7">
                  <c:v>0</c:v>
                </c:pt>
                <c:pt idx="8">
                  <c:v>0</c:v>
                </c:pt>
                <c:pt idx="9">
                  <c:v>32</c:v>
                </c:pt>
                <c:pt idx="10">
                  <c:v>2</c:v>
                </c:pt>
              </c:numCache>
            </c:numRef>
          </c:val>
          <c:smooth val="0"/>
          <c:extLst>
            <c:ext xmlns:c="http://schemas.openxmlformats.org/drawingml/2006/chart" xmlns:c16="http://schemas.microsoft.com/office/drawing/2014/chart" uri="{C3380CC4-5D6E-409C-BE32-E72D297353CC}">
              <c16:uniqueId val="{00000000-DE8B-4756-9299-B6E42C6C3654}"/>
            </c:ext>
          </c:extLst>
        </c:ser>
        <c:ser>
          <c:idx val="1"/>
          <c:order val="1"/>
          <c:tx>
            <c:v>Deragliamenti di treni</c:v>
          </c:tx>
          <c:spPr>
            <a:ln w="19050" cap="rnd">
              <a:solidFill>
                <a:schemeClr val="accent2"/>
              </a:solidFill>
              <a:round/>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Simona!$G$95:$Q$95</c:f>
              <c:numCache>
                <c:formatCode>0</c:formatCode>
                <c:ptCount val="11"/>
                <c:pt idx="0">
                  <c:v>0</c:v>
                </c:pt>
                <c:pt idx="1">
                  <c:v>0</c:v>
                </c:pt>
                <c:pt idx="2">
                  <c:v>0</c:v>
                </c:pt>
                <c:pt idx="3">
                  <c:v>0</c:v>
                </c:pt>
                <c:pt idx="4">
                  <c:v>0</c:v>
                </c:pt>
                <c:pt idx="5">
                  <c:v>1</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1-DE8B-4756-9299-B6E42C6C3654}"/>
            </c:ext>
          </c:extLst>
        </c:ser>
        <c:ser>
          <c:idx val="2"/>
          <c:order val="2"/>
          <c:tx>
            <c:v>Incidenti ai PL</c:v>
          </c:tx>
          <c:spPr>
            <a:ln w="19050" cap="rnd">
              <a:solidFill>
                <a:schemeClr val="accent3"/>
              </a:solidFill>
              <a:bevel/>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Simona!$G$96:$Q$96</c:f>
              <c:numCache>
                <c:formatCode>0</c:formatCode>
                <c:ptCount val="11"/>
                <c:pt idx="0">
                  <c:v>0</c:v>
                </c:pt>
                <c:pt idx="1">
                  <c:v>0</c:v>
                </c:pt>
                <c:pt idx="2">
                  <c:v>0</c:v>
                </c:pt>
                <c:pt idx="3">
                  <c:v>0</c:v>
                </c:pt>
                <c:pt idx="4">
                  <c:v>2</c:v>
                </c:pt>
                <c:pt idx="5">
                  <c:v>3</c:v>
                </c:pt>
                <c:pt idx="6">
                  <c:v>0</c:v>
                </c:pt>
                <c:pt idx="7">
                  <c:v>0</c:v>
                </c:pt>
                <c:pt idx="8">
                  <c:v>1</c:v>
                </c:pt>
                <c:pt idx="9">
                  <c:v>0</c:v>
                </c:pt>
                <c:pt idx="10">
                  <c:v>0</c:v>
                </c:pt>
              </c:numCache>
            </c:numRef>
          </c:val>
          <c:smooth val="0"/>
          <c:extLst>
            <c:ext xmlns:c="http://schemas.openxmlformats.org/drawingml/2006/chart" xmlns:c16="http://schemas.microsoft.com/office/drawing/2014/chart" uri="{C3380CC4-5D6E-409C-BE32-E72D297353CC}">
              <c16:uniqueId val="{00000002-DE8B-4756-9299-B6E42C6C3654}"/>
            </c:ext>
          </c:extLst>
        </c:ser>
        <c:ser>
          <c:idx val="3"/>
          <c:order val="3"/>
          <c:tx>
            <c:v>Incidenti alle persone provocati da materiale rotabile</c:v>
          </c:tx>
          <c:spPr>
            <a:ln w="19050" cap="rnd">
              <a:solidFill>
                <a:srgbClr val="FFC000"/>
              </a:solidFill>
              <a:round/>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Simona!$G$97:$Q$97</c:f>
              <c:numCache>
                <c:formatCode>0</c:formatCode>
                <c:ptCount val="11"/>
                <c:pt idx="0">
                  <c:v>14</c:v>
                </c:pt>
                <c:pt idx="1">
                  <c:v>9</c:v>
                </c:pt>
                <c:pt idx="2">
                  <c:v>15</c:v>
                </c:pt>
                <c:pt idx="3">
                  <c:v>13</c:v>
                </c:pt>
                <c:pt idx="4">
                  <c:v>2</c:v>
                </c:pt>
                <c:pt idx="5">
                  <c:v>4</c:v>
                </c:pt>
                <c:pt idx="6">
                  <c:v>5</c:v>
                </c:pt>
                <c:pt idx="7">
                  <c:v>2</c:v>
                </c:pt>
                <c:pt idx="8">
                  <c:v>8</c:v>
                </c:pt>
                <c:pt idx="9">
                  <c:v>3</c:v>
                </c:pt>
                <c:pt idx="10">
                  <c:v>5</c:v>
                </c:pt>
              </c:numCache>
            </c:numRef>
          </c:val>
          <c:smooth val="0"/>
          <c:extLst>
            <c:ext xmlns:c="http://schemas.openxmlformats.org/drawingml/2006/chart" xmlns:c16="http://schemas.microsoft.com/office/drawing/2014/chart" uri="{C3380CC4-5D6E-409C-BE32-E72D297353CC}">
              <c16:uniqueId val="{00000003-DE8B-4756-9299-B6E42C6C3654}"/>
            </c:ext>
          </c:extLst>
        </c:ser>
        <c:ser>
          <c:idx val="4"/>
          <c:order val="4"/>
          <c:tx>
            <c:v>Incendi di materiale rotabile</c:v>
          </c:tx>
          <c:spPr>
            <a:ln w="19050" cap="rnd">
              <a:solidFill>
                <a:schemeClr val="accent5"/>
              </a:solidFill>
              <a:round/>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Simona!$G$98:$Q$98</c:f>
              <c:numCache>
                <c:formatCode>0</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4-DE8B-4756-9299-B6E42C6C3654}"/>
            </c:ext>
          </c:extLst>
        </c:ser>
        <c:ser>
          <c:idx val="5"/>
          <c:order val="5"/>
          <c:tx>
            <c:v>Altri</c:v>
          </c:tx>
          <c:spPr>
            <a:ln w="19050" cap="rnd">
              <a:solidFill>
                <a:srgbClr val="0070C0"/>
              </a:solidFill>
              <a:round/>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Simona!$G$99:$Q$99</c:f>
              <c:numCache>
                <c:formatCode>0</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5-DE8B-4756-9299-B6E42C6C3654}"/>
            </c:ext>
          </c:extLst>
        </c:ser>
        <c:ser>
          <c:idx val="6"/>
          <c:order val="6"/>
          <c:tx>
            <c:v>TOTALE</c:v>
          </c:tx>
          <c:spPr>
            <a:ln w="19050" cap="rnd">
              <a:solidFill>
                <a:srgbClr val="FF0000"/>
              </a:solidFill>
              <a:bevel/>
            </a:ln>
            <a:effectLst/>
          </c:spPr>
          <c:cat>
            <c:numRef>
              <c:f>Simona!$G$93:$Q$93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Simona!$G$100:$Q$100</c:f>
              <c:numCache>
                <c:formatCode>0</c:formatCode>
                <c:ptCount val="11"/>
                <c:pt idx="0">
                  <c:v>14</c:v>
                </c:pt>
                <c:pt idx="1">
                  <c:v>9</c:v>
                </c:pt>
                <c:pt idx="2">
                  <c:v>15</c:v>
                </c:pt>
                <c:pt idx="3">
                  <c:v>13</c:v>
                </c:pt>
                <c:pt idx="4">
                  <c:v>4</c:v>
                </c:pt>
                <c:pt idx="5">
                  <c:v>8</c:v>
                </c:pt>
                <c:pt idx="6">
                  <c:v>5</c:v>
                </c:pt>
                <c:pt idx="7">
                  <c:v>2</c:v>
                </c:pt>
                <c:pt idx="8">
                  <c:v>9</c:v>
                </c:pt>
                <c:pt idx="9">
                  <c:v>35</c:v>
                </c:pt>
                <c:pt idx="10">
                  <c:v>7</c:v>
                </c:pt>
              </c:numCache>
            </c:numRef>
          </c:val>
          <c:smooth val="0"/>
          <c:extLst>
            <c:ext xmlns:c="http://schemas.openxmlformats.org/drawingml/2006/chart" xmlns:c16="http://schemas.microsoft.com/office/drawing/2014/chart" uri="{C3380CC4-5D6E-409C-BE32-E72D297353CC}">
              <c16:uniqueId val="{00000006-DE8B-4756-9299-B6E42C6C3654}"/>
            </c:ext>
          </c:extLst>
        </c:ser>
        <c:dLbls>
          <c:showLegendKey val="0"/>
          <c:showVal val="0"/>
          <c:showCatName val="0"/>
          <c:showSerName val="0"/>
          <c:showPercent val="0"/>
          <c:showBubbleSize val="0"/>
        </c:dLbls>
        <c:marker val="1"/>
        <c:smooth val="0"/>
        <c:axId val="481694640"/>
        <c:axId val="481696600"/>
      </c:lineChart>
      <c:catAx>
        <c:axId val="4816946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81696600"/>
        <c:crosses val="autoZero"/>
        <c:auto val="1"/>
        <c:lblAlgn val="ctr"/>
        <c:lblOffset val="100"/>
        <c:noMultiLvlLbl val="0"/>
      </c:catAx>
      <c:valAx>
        <c:axId val="48169660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700" b="0" i="0" u="none" strike="noStrike" baseline="0">
                <a:solidFill>
                  <a:srgbClr val="333333"/>
                </a:solidFill>
                <a:latin typeface="Century Gothic"/>
                <a:ea typeface="Century Gothic"/>
                <a:cs typeface="Century Gothic"/>
              </a:defRPr>
            </a:pPr>
            <a:endParaRPr lang="fr-FR"/>
          </a:p>
        </c:txPr>
        <c:crossAx val="481694640"/>
        <c:crosses val="autoZero"/>
        <c:crossBetween val="between"/>
      </c:valAx>
      <c:spPr>
        <a:noFill/>
        <a:ln w="25400">
          <a:noFill/>
        </a:ln>
      </c:spPr>
    </c:plotArea>
    <c:legend>
      <c:legendPos val="r"/>
      <c:layout>
        <c:manualLayout>
          <c:xMode val="edge"/>
          <c:yMode val="edge"/>
          <c:x val="0.71145438592510235"/>
          <c:y val="0.18981636372609248"/>
          <c:w val="0.27973602637418671"/>
          <c:h val="0.80769397017505939"/>
        </c:manualLayout>
      </c:layout>
      <c:overlay val="0"/>
      <c:spPr>
        <a:noFill/>
        <a:ln w="25400">
          <a:noFill/>
        </a:ln>
      </c:spPr>
      <c:txPr>
        <a:bodyPr/>
        <a:lstStyle/>
        <a:p>
          <a:pPr>
            <a:defRPr sz="700" b="0" i="0" u="none" strike="noStrike" baseline="0">
              <a:solidFill>
                <a:srgbClr val="333333"/>
              </a:solidFill>
              <a:latin typeface="Century Gothic"/>
              <a:ea typeface="Century Gothic"/>
              <a:cs typeface="Century Gothic"/>
            </a:defRPr>
          </a:pPr>
          <a:endParaRPr lang="fr-FR"/>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entury Gothic"/>
                <a:ea typeface="Century Gothic"/>
                <a:cs typeface="Century Gothic"/>
              </a:defRPr>
            </a:pPr>
            <a:r>
              <a:rPr lang="it-IT" sz="800" b="0" i="0" u="none" strike="noStrike" baseline="0">
                <a:solidFill>
                  <a:srgbClr val="000000"/>
                </a:solidFill>
                <a:latin typeface="Century Gothic"/>
              </a:rPr>
              <a:t>ANDAMENTO DELLE VITTIME - CATEGORIA  </a:t>
            </a:r>
            <a:r>
              <a:rPr lang="it-IT" sz="800" b="1" i="0" u="none" strike="noStrike" baseline="0">
                <a:solidFill>
                  <a:srgbClr val="000000"/>
                </a:solidFill>
                <a:latin typeface="Century Gothic"/>
              </a:rPr>
              <a:t>"PERSONALE" </a:t>
            </a:r>
          </a:p>
          <a:p>
            <a:pPr>
              <a:defRPr sz="800" b="0" i="0" u="none" strike="noStrike" baseline="0">
                <a:solidFill>
                  <a:srgbClr val="000000"/>
                </a:solidFill>
                <a:latin typeface="Century Gothic"/>
                <a:ea typeface="Century Gothic"/>
                <a:cs typeface="Century Gothic"/>
              </a:defRPr>
            </a:pPr>
            <a:r>
              <a:rPr lang="it-IT" sz="800" b="0" i="0" u="none" strike="noStrike" baseline="0">
                <a:solidFill>
                  <a:srgbClr val="000000"/>
                </a:solidFill>
                <a:latin typeface="Century Gothic"/>
              </a:rPr>
              <a:t>SCOMPOSIZIONE PER TIPOLOGIA DI INCIDENTE</a:t>
            </a:r>
          </a:p>
          <a:p>
            <a:pPr>
              <a:defRPr sz="800" b="0" i="0" u="none" strike="noStrike" baseline="0">
                <a:solidFill>
                  <a:srgbClr val="000000"/>
                </a:solidFill>
                <a:latin typeface="Century Gothic"/>
                <a:ea typeface="Century Gothic"/>
                <a:cs typeface="Century Gothic"/>
              </a:defRPr>
            </a:pPr>
            <a:r>
              <a:rPr lang="it-IT" sz="800" b="1" i="0" u="none" strike="noStrike" baseline="0">
                <a:solidFill>
                  <a:srgbClr val="000000"/>
                </a:solidFill>
                <a:latin typeface="Century Gothic"/>
              </a:rPr>
              <a:t>[Rete IT]</a:t>
            </a:r>
          </a:p>
        </c:rich>
      </c:tx>
      <c:layout>
        <c:manualLayout>
          <c:xMode val="edge"/>
          <c:yMode val="edge"/>
          <c:x val="0.24600042634588123"/>
          <c:y val="0"/>
        </c:manualLayout>
      </c:layout>
      <c:overlay val="0"/>
      <c:spPr>
        <a:noFill/>
        <a:ln w="25400">
          <a:noFill/>
        </a:ln>
      </c:spPr>
    </c:title>
    <c:autoTitleDeleted val="0"/>
    <c:plotArea>
      <c:layout>
        <c:manualLayout>
          <c:layoutTarget val="inner"/>
          <c:xMode val="edge"/>
          <c:yMode val="edge"/>
          <c:x val="0.053873231501471587"/>
          <c:y val="0.14220871327254306"/>
          <c:w val="0.65215852597704049"/>
          <c:h val="0.7718813871670297"/>
        </c:manualLayout>
      </c:layout>
      <c:lineChart>
        <c:grouping val="standard"/>
        <c:varyColors val="0"/>
        <c:ser>
          <c:idx val="0"/>
          <c:order val="0"/>
          <c:tx>
            <c:v>Collisioni ai treni</c:v>
          </c:tx>
          <c:spPr>
            <a:ln w="28575" cap="rnd">
              <a:solidFill>
                <a:schemeClr val="accent1"/>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Simona!$G$104:$Q$104</c:f>
              <c:numCache>
                <c:formatCode>General</c:formatCode>
                <c:ptCount val="11"/>
                <c:pt idx="0">
                  <c:v>1</c:v>
                </c:pt>
                <c:pt idx="1">
                  <c:v>0</c:v>
                </c:pt>
                <c:pt idx="2">
                  <c:v>1</c:v>
                </c:pt>
                <c:pt idx="3">
                  <c:v>1</c:v>
                </c:pt>
                <c:pt idx="4">
                  <c:v>0</c:v>
                </c:pt>
                <c:pt idx="5">
                  <c:v>0</c:v>
                </c:pt>
                <c:pt idx="6">
                  <c:v>0</c:v>
                </c:pt>
                <c:pt idx="7">
                  <c:v>1</c:v>
                </c:pt>
                <c:pt idx="8">
                  <c:v>0</c:v>
                </c:pt>
                <c:pt idx="9">
                  <c:v>6</c:v>
                </c:pt>
                <c:pt idx="10">
                  <c:v>0</c:v>
                </c:pt>
              </c:numCache>
            </c:numRef>
          </c:val>
          <c:smooth val="0"/>
          <c:extLst>
            <c:ext xmlns:c="http://schemas.openxmlformats.org/drawingml/2006/chart" xmlns:c16="http://schemas.microsoft.com/office/drawing/2014/chart" uri="{C3380CC4-5D6E-409C-BE32-E72D297353CC}">
              <c16:uniqueId val="{00000000-6CCD-4124-A6CC-583BE29AA18C}"/>
            </c:ext>
          </c:extLst>
        </c:ser>
        <c:ser>
          <c:idx val="1"/>
          <c:order val="1"/>
          <c:tx>
            <c:v>Deragliamenti di treni</c:v>
          </c:tx>
          <c:spPr>
            <a:ln w="19050" cap="rnd">
              <a:solidFill>
                <a:schemeClr val="accent2"/>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Simona!$G$105:$Q$105</c:f>
              <c:numCache>
                <c:formatCode>General</c:formatCode>
                <c:ptCount val="11"/>
                <c:pt idx="0">
                  <c:v>0</c:v>
                </c:pt>
                <c:pt idx="1">
                  <c:v>0</c:v>
                </c:pt>
                <c:pt idx="2">
                  <c:v>0</c:v>
                </c:pt>
                <c:pt idx="3">
                  <c:v>0</c:v>
                </c:pt>
                <c:pt idx="4">
                  <c:v>0</c:v>
                </c:pt>
                <c:pt idx="5">
                  <c:v>0</c:v>
                </c:pt>
                <c:pt idx="6">
                  <c:v>2</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1-6CCD-4124-A6CC-583BE29AA18C}"/>
            </c:ext>
          </c:extLst>
        </c:ser>
        <c:ser>
          <c:idx val="2"/>
          <c:order val="2"/>
          <c:tx>
            <c:v>Incidenti ai PL</c:v>
          </c:tx>
          <c:spPr>
            <a:ln w="15875" cap="rnd">
              <a:solidFill>
                <a:schemeClr val="accent3"/>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Simona!$G$106:$Q$106</c:f>
              <c:numCache>
                <c:formatCode>General</c:formatCode>
                <c:ptCount val="11"/>
                <c:pt idx="0">
                  <c:v>0</c:v>
                </c:pt>
                <c:pt idx="1">
                  <c:v>0</c:v>
                </c:pt>
                <c:pt idx="2">
                  <c:v>0</c:v>
                </c:pt>
                <c:pt idx="3">
                  <c:v>1</c:v>
                </c:pt>
                <c:pt idx="4">
                  <c:v>0</c:v>
                </c:pt>
                <c:pt idx="5">
                  <c:v>2</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2-6CCD-4124-A6CC-583BE29AA18C}"/>
            </c:ext>
          </c:extLst>
        </c:ser>
        <c:ser>
          <c:idx val="3"/>
          <c:order val="3"/>
          <c:tx>
            <c:v>Incidenti alle persone provocati da materiale rotabile</c:v>
          </c:tx>
          <c:spPr>
            <a:ln w="19050" cap="rnd">
              <a:solidFill>
                <a:schemeClr val="accent4"/>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Simona!$G$107:$Q$107</c:f>
              <c:numCache>
                <c:formatCode>General</c:formatCode>
                <c:ptCount val="11"/>
                <c:pt idx="0">
                  <c:v>5</c:v>
                </c:pt>
                <c:pt idx="1">
                  <c:v>9</c:v>
                </c:pt>
                <c:pt idx="2">
                  <c:v>7</c:v>
                </c:pt>
                <c:pt idx="3">
                  <c:v>6</c:v>
                </c:pt>
                <c:pt idx="4">
                  <c:v>1</c:v>
                </c:pt>
                <c:pt idx="5">
                  <c:v>5</c:v>
                </c:pt>
                <c:pt idx="6">
                  <c:v>2</c:v>
                </c:pt>
                <c:pt idx="7">
                  <c:v>4</c:v>
                </c:pt>
                <c:pt idx="8">
                  <c:v>1</c:v>
                </c:pt>
                <c:pt idx="9">
                  <c:v>0</c:v>
                </c:pt>
                <c:pt idx="10">
                  <c:v>1</c:v>
                </c:pt>
              </c:numCache>
            </c:numRef>
          </c:val>
          <c:smooth val="0"/>
          <c:extLst>
            <c:ext xmlns:c="http://schemas.openxmlformats.org/drawingml/2006/chart" xmlns:c16="http://schemas.microsoft.com/office/drawing/2014/chart" uri="{C3380CC4-5D6E-409C-BE32-E72D297353CC}">
              <c16:uniqueId val="{00000003-6CCD-4124-A6CC-583BE29AA18C}"/>
            </c:ext>
          </c:extLst>
        </c:ser>
        <c:ser>
          <c:idx val="4"/>
          <c:order val="4"/>
          <c:tx>
            <c:v>Incendi di materiale rotabile</c:v>
          </c:tx>
          <c:spPr>
            <a:ln w="28575" cap="rnd">
              <a:solidFill>
                <a:schemeClr val="accent5"/>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Simona!$G$108:$Q$108</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http://schemas.openxmlformats.org/drawingml/2006/chart" xmlns:c16="http://schemas.microsoft.com/office/drawing/2014/chart" uri="{C3380CC4-5D6E-409C-BE32-E72D297353CC}">
              <c16:uniqueId val="{00000004-6CCD-4124-A6CC-583BE29AA18C}"/>
            </c:ext>
          </c:extLst>
        </c:ser>
        <c:ser>
          <c:idx val="5"/>
          <c:order val="5"/>
          <c:tx>
            <c:v>Altri</c:v>
          </c:tx>
          <c:spPr>
            <a:ln w="12700" cap="rnd">
              <a:solidFill>
                <a:schemeClr val="accent6"/>
              </a:solidFill>
              <a:round/>
            </a:ln>
            <a:effectLst/>
          </c:spPr>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Simona!$G$109:$Q$109</c:f>
              <c:numCache>
                <c:formatCode>General</c:formatCode>
                <c:ptCount val="11"/>
                <c:pt idx="0">
                  <c:v>1</c:v>
                </c:pt>
                <c:pt idx="1">
                  <c:v>0</c:v>
                </c:pt>
                <c:pt idx="2">
                  <c:v>4</c:v>
                </c:pt>
                <c:pt idx="3">
                  <c:v>2</c:v>
                </c:pt>
                <c:pt idx="4">
                  <c:v>0</c:v>
                </c:pt>
                <c:pt idx="5">
                  <c:v>1</c:v>
                </c:pt>
                <c:pt idx="6">
                  <c:v>0</c:v>
                </c:pt>
                <c:pt idx="7">
                  <c:v>1</c:v>
                </c:pt>
                <c:pt idx="8">
                  <c:v>0</c:v>
                </c:pt>
                <c:pt idx="9">
                  <c:v>0</c:v>
                </c:pt>
                <c:pt idx="10">
                  <c:v>2</c:v>
                </c:pt>
              </c:numCache>
            </c:numRef>
          </c:val>
          <c:smooth val="0"/>
          <c:extLst>
            <c:ext xmlns:c="http://schemas.openxmlformats.org/drawingml/2006/chart" xmlns:c16="http://schemas.microsoft.com/office/drawing/2014/chart" uri="{C3380CC4-5D6E-409C-BE32-E72D297353CC}">
              <c16:uniqueId val="{00000005-6CCD-4124-A6CC-583BE29AA18C}"/>
            </c:ext>
          </c:extLst>
        </c:ser>
        <c:ser>
          <c:idx val="6"/>
          <c:order val="6"/>
          <c:tx>
            <c:v>TOTALE</c:v>
          </c:tx>
          <c:spPr>
            <a:ln w="19050" cap="rnd">
              <a:solidFill>
                <a:srgbClr val="FF0000"/>
              </a:solidFill>
              <a:round/>
            </a:ln>
            <a:effectLst/>
          </c:spPr>
          <c:trendline>
            <c:spPr>
              <a:ln w="25400">
                <a:solidFill>
                  <a:srgbClr val="FFC000"/>
                </a:solidFill>
                <a:prstDash val="sysDot"/>
              </a:ln>
            </c:spPr>
            <c:trendlineType val="linear"/>
            <c:dispRSqr val="0"/>
            <c:dispEq val="0"/>
          </c:trendline>
          <c:cat>
            <c:numRef>
              <c:f>Simona!$G$103:$Q$103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Simona!$G$110:$Q$110</c:f>
              <c:numCache>
                <c:formatCode>General</c:formatCode>
                <c:ptCount val="11"/>
                <c:pt idx="0">
                  <c:v>7</c:v>
                </c:pt>
                <c:pt idx="1">
                  <c:v>9</c:v>
                </c:pt>
                <c:pt idx="2">
                  <c:v>12</c:v>
                </c:pt>
                <c:pt idx="3">
                  <c:v>10</c:v>
                </c:pt>
                <c:pt idx="4">
                  <c:v>1</c:v>
                </c:pt>
                <c:pt idx="5">
                  <c:v>8</c:v>
                </c:pt>
                <c:pt idx="6">
                  <c:v>4</c:v>
                </c:pt>
                <c:pt idx="7">
                  <c:v>6</c:v>
                </c:pt>
                <c:pt idx="8">
                  <c:v>1</c:v>
                </c:pt>
                <c:pt idx="9">
                  <c:v>6</c:v>
                </c:pt>
                <c:pt idx="10">
                  <c:v>3</c:v>
                </c:pt>
              </c:numCache>
            </c:numRef>
          </c:val>
          <c:smooth val="0"/>
          <c:extLst>
            <c:ext xmlns:c="http://schemas.openxmlformats.org/drawingml/2006/chart" xmlns:c16="http://schemas.microsoft.com/office/drawing/2014/chart" uri="{C3380CC4-5D6E-409C-BE32-E72D297353CC}">
              <c16:uniqueId val="{00000006-6CCD-4124-A6CC-583BE29AA18C}"/>
            </c:ext>
          </c:extLst>
        </c:ser>
        <c:dLbls>
          <c:showLegendKey val="0"/>
          <c:showVal val="0"/>
          <c:showCatName val="0"/>
          <c:showSerName val="0"/>
          <c:showPercent val="0"/>
          <c:showBubbleSize val="0"/>
        </c:dLbls>
        <c:marker val="1"/>
        <c:smooth val="0"/>
        <c:axId val="481694248"/>
        <c:axId val="481696992"/>
      </c:lineChart>
      <c:catAx>
        <c:axId val="4816942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700" b="0" i="0" u="none" strike="noStrike" baseline="0">
                <a:solidFill>
                  <a:srgbClr val="000000"/>
                </a:solidFill>
                <a:latin typeface="Century Gothic"/>
                <a:ea typeface="Century Gothic"/>
                <a:cs typeface="Century Gothic"/>
              </a:defRPr>
            </a:pPr>
            <a:endParaRPr lang="fr-FR"/>
          </a:p>
        </c:txPr>
        <c:crossAx val="481696992"/>
        <c:crosses val="autoZero"/>
        <c:auto val="1"/>
        <c:lblAlgn val="ctr"/>
        <c:lblOffset val="100"/>
        <c:noMultiLvlLbl val="0"/>
      </c:catAx>
      <c:valAx>
        <c:axId val="4816969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700" b="0" i="0" u="none" strike="noStrike" baseline="0">
                <a:solidFill>
                  <a:srgbClr val="000000"/>
                </a:solidFill>
                <a:latin typeface="Century Gothic"/>
                <a:ea typeface="Century Gothic"/>
                <a:cs typeface="Century Gothic"/>
              </a:defRPr>
            </a:pPr>
            <a:endParaRPr lang="fr-FR"/>
          </a:p>
        </c:txPr>
        <c:crossAx val="481694248"/>
        <c:crosses val="autoZero"/>
        <c:crossBetween val="between"/>
      </c:valAx>
      <c:spPr>
        <a:noFill/>
        <a:ln w="25400">
          <a:noFill/>
        </a:ln>
      </c:spPr>
    </c:plotArea>
    <c:legend>
      <c:legendPos val="r"/>
      <c:legendEntry>
        <c:idx val="7"/>
        <c:delete val="1"/>
      </c:legendEntry>
      <c:layout>
        <c:manualLayout>
          <c:xMode val="edge"/>
          <c:yMode val="edge"/>
          <c:x val="0.70663811563169165"/>
          <c:y val="0.20621534553078824"/>
          <c:w val="0.28479657387580293"/>
          <c:h val="0.76271404849903968"/>
        </c:manualLayout>
      </c:layout>
      <c:overlay val="0"/>
      <c:spPr>
        <a:noFill/>
        <a:ln w="25400">
          <a:noFill/>
        </a:ln>
      </c:spPr>
      <c:txPr>
        <a:bodyPr/>
        <a:lstStyle/>
        <a:p>
          <a:pPr>
            <a:defRPr sz="800" b="0" i="0" u="none" strike="noStrike" baseline="0">
              <a:solidFill>
                <a:srgbClr val="000000"/>
              </a:solidFill>
              <a:latin typeface="Century Gothic"/>
              <a:ea typeface="Century Gothic"/>
              <a:cs typeface="Century Gothic"/>
            </a:defRPr>
          </a:pPr>
          <a:endParaRPr lang="fr-FR"/>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entury Gothic"/>
          <a:ea typeface="Century Gothic"/>
          <a:cs typeface="Century Gothic"/>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INCIDENTI SIGNIFICATIVI ALLE PERSONE </a:t>
            </a:r>
          </a:p>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PROVOCATI DA MATERIALE ROTABILE IN MOVIMENTO</a:t>
            </a:r>
          </a:p>
          <a:p>
            <a:pPr>
              <a:defRPr sz="800" b="1" i="0" u="none" strike="noStrike" baseline="0">
                <a:solidFill>
                  <a:srgbClr val="000000"/>
                </a:solidFill>
                <a:latin typeface="Century Gothic" panose="020B0502020202020204" pitchFamily="34" charset="0"/>
                <a:ea typeface="Calibri"/>
                <a:cs typeface="Calibri"/>
              </a:defRPr>
            </a:pPr>
            <a:r>
              <a:rPr lang="it-IT" sz="800" b="1" i="0" u="none" strike="noStrike" baseline="0">
                <a:solidFill>
                  <a:srgbClr val="333333"/>
                </a:solidFill>
                <a:latin typeface="Century Gothic" panose="020B0502020202020204" pitchFamily="34" charset="0"/>
                <a:cs typeface="Calibri"/>
              </a:rPr>
              <a:t>[Rete IT]</a:t>
            </a:r>
          </a:p>
        </c:rich>
      </c:tx>
      <c:layout/>
      <c:overlay val="0"/>
      <c:spPr>
        <a:noFill/>
        <a:ln w="25400">
          <a:noFill/>
        </a:ln>
      </c:spPr>
    </c:title>
    <c:autoTitleDeleted val="0"/>
    <c:plotArea>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6A62-4731-A7AA-6D0D771D36C2}"/>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6A62-4731-A7AA-6D0D771D36C2}"/>
              </c:ext>
            </c:extLst>
          </c:dPt>
          <c:dLbls>
            <c:dLbl>
              <c:idx val="0"/>
              <c:layout>
                <c:manualLayout>
                  <c:x val="0"/>
                  <c:y val="-0.19722428054771918"/>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6A62-4731-A7AA-6D0D771D36C2}"/>
                </c:ext>
              </c:extLst>
            </c:dLbl>
            <c:dLbl>
              <c:idx val="1"/>
              <c:layout>
                <c:manualLayout>
                  <c:x val="0"/>
                  <c:y val="-0.18992597393988053"/>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6A62-4731-A7AA-6D0D771D36C2}"/>
                </c:ext>
              </c:extLst>
            </c:dLbl>
            <c:dLbl>
              <c:idx val="2"/>
              <c:layout>
                <c:manualLayout>
                  <c:x val="0"/>
                  <c:y val="-0.17549464876291773"/>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6A62-4731-A7AA-6D0D771D36C2}"/>
                </c:ext>
              </c:extLst>
            </c:dLbl>
            <c:dLbl>
              <c:idx val="3"/>
              <c:layout>
                <c:manualLayout>
                  <c:x val="4.6983909655430012E-17"/>
                  <c:y val="-0.19226092528892261"/>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6A62-4731-A7AA-6D0D771D36C2}"/>
                </c:ext>
              </c:extLst>
            </c:dLbl>
            <c:dLbl>
              <c:idx val="4"/>
              <c:layout>
                <c:manualLayout>
                  <c:x val="-0.0024285950673387765"/>
                  <c:y val="-0.1851488255268372"/>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6A62-4731-A7AA-6D0D771D36C2}"/>
                </c:ext>
              </c:extLst>
            </c:dLbl>
            <c:dLbl>
              <c:idx val="5"/>
              <c:layout>
                <c:manualLayout>
                  <c:x val="0"/>
                  <c:y val="-0.18889064030700567"/>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9-6A62-4731-A7AA-6D0D771D36C2}"/>
                </c:ext>
              </c:extLst>
            </c:dLbl>
            <c:dLbl>
              <c:idx val="6"/>
              <c:layout>
                <c:manualLayout>
                  <c:x val="-9.3967819310860024E-17"/>
                  <c:y val="-0.17313907323792191"/>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6A62-4731-A7AA-6D0D771D36C2}"/>
                </c:ext>
              </c:extLst>
            </c:dLbl>
            <c:dLbl>
              <c:idx val="7"/>
              <c:layout>
                <c:manualLayout>
                  <c:x val="0"/>
                  <c:y val="-0.18385716284996656"/>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6A62-4731-A7AA-6D0D771D36C2}"/>
                </c:ext>
              </c:extLst>
            </c:dLbl>
            <c:dLbl>
              <c:idx val="8"/>
              <c:layout>
                <c:manualLayout>
                  <c:x val="-9.3967819310860024E-17"/>
                  <c:y val="-0.17313907323792196"/>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6A62-4731-A7AA-6D0D771D36C2}"/>
                </c:ext>
              </c:extLst>
            </c:dLbl>
            <c:dLbl>
              <c:idx val="9"/>
              <c:layout>
                <c:manualLayout>
                  <c:x val="0.034269524612857531"/>
                  <c:y val="-0.094505277579311"/>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6A62-4731-A7AA-6D0D771D36C2}"/>
                </c:ext>
              </c:extLst>
            </c:dLbl>
            <c:dLbl>
              <c:idx val="10"/>
              <c:layout>
                <c:manualLayout>
                  <c:x val="0.034135331366510827"/>
                  <c:y val="-0.094295500246753608"/>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6A62-4731-A7AA-6D0D771D36C2}"/>
                </c:ext>
              </c:extLst>
            </c:dLbl>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Simona!$AR$158:$BB$158</c:f>
              <c:numCache>
                <c:formatCode>General</c:formatCode>
                <c:ptCount val="11"/>
                <c:pt idx="0">
                  <c:v>83</c:v>
                </c:pt>
                <c:pt idx="1">
                  <c:v>79</c:v>
                </c:pt>
                <c:pt idx="2">
                  <c:v>73</c:v>
                </c:pt>
                <c:pt idx="3">
                  <c:v>77</c:v>
                </c:pt>
                <c:pt idx="4">
                  <c:v>77</c:v>
                </c:pt>
                <c:pt idx="5">
                  <c:v>79</c:v>
                </c:pt>
                <c:pt idx="6">
                  <c:v>71</c:v>
                </c:pt>
                <c:pt idx="7">
                  <c:v>74</c:v>
                </c:pt>
                <c:pt idx="8">
                  <c:v>67</c:v>
                </c:pt>
                <c:pt idx="9">
                  <c:v>70</c:v>
                </c:pt>
                <c:pt idx="10">
                  <c:v>75</c:v>
                </c:pt>
              </c:numCache>
            </c:numRef>
          </c:val>
          <c:extLst>
            <c:ext xmlns:c="http://schemas.openxmlformats.org/drawingml/2006/chart" xmlns:c16="http://schemas.microsoft.com/office/drawing/2014/chart" uri="{C3380CC4-5D6E-409C-BE32-E72D297353CC}">
              <c16:uniqueId val="{0000000E-6A62-4731-A7AA-6D0D771D36C2}"/>
            </c:ext>
          </c:extLst>
        </c:ser>
        <c:ser>
          <c:idx val="2"/>
          <c:order val="3"/>
          <c:tx>
            <c:v>[Reti Regionali Interconnesse]</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6A62-4731-A7AA-6D0D771D36C2}"/>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6A62-4731-A7AA-6D0D771D36C2}"/>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6A62-4731-A7AA-6D0D771D36C2}"/>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6A62-4731-A7AA-6D0D771D36C2}"/>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6A62-4731-A7AA-6D0D771D36C2}"/>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6A62-4731-A7AA-6D0D771D36C2}"/>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6A62-4731-A7AA-6D0D771D36C2}"/>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6A62-4731-A7AA-6D0D771D36C2}"/>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6A62-4731-A7AA-6D0D771D36C2}"/>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6A62-4731-A7AA-6D0D771D36C2}"/>
                </c:ext>
              </c:extLst>
            </c:dLbl>
            <c:dLbl>
              <c:idx val="9"/>
              <c:layout>
                <c:manualLayout>
                  <c:x val="0.034135331366510924"/>
                  <c:y val="-0.014100749099533814"/>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6A62-4731-A7AA-6D0D771D36C2}"/>
                </c:ext>
              </c:extLst>
            </c:dLbl>
            <c:dLbl>
              <c:idx val="10"/>
              <c:layout>
                <c:manualLayout>
                  <c:x val="0.029143947985486949"/>
                  <c:y val="-0.0070502272342243466"/>
                </c:manualLayout>
              </c:layout>
              <c:spPr>
                <a:noFill/>
                <a:ln w="25400">
                  <a:noFill/>
                </a:ln>
              </c:spPr>
              <c:txPr>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6A62-4731-A7AA-6D0D771D36C2}"/>
                </c:ext>
              </c:extLst>
            </c:dLbl>
            <c:spPr>
              <a:noFill/>
              <a:ln w="25400">
                <a:noFill/>
              </a:ln>
            </c:spPr>
            <c:txPr>
              <a:bodyPr wrap="square" lIns="38100" tIns="19050" rIns="38100" bIns="19050" anchor="ctr">
                <a:spAutoFit/>
              </a:bodyPr>
              <a:lstStyle/>
              <a:p>
                <a:pPr>
                  <a:defRPr sz="700" b="1" i="0" u="none" strike="noStrike" baseline="0">
                    <a:solidFill>
                      <a:srgbClr val="000000"/>
                    </a:solidFill>
                    <a:latin typeface="Century Gothic" panose="020B0502020202020204" pitchFamily="34" charset="0"/>
                    <a:ea typeface="Calibri"/>
                    <a:cs typeface="Calibri"/>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Simona!$AR$159:$BB$159</c:f>
              <c:numCache>
                <c:formatCode>General</c:formatCode>
                <c:ptCount val="11"/>
                <c:pt idx="0">
                  <c:v>0</c:v>
                </c:pt>
                <c:pt idx="1">
                  <c:v>0</c:v>
                </c:pt>
                <c:pt idx="2">
                  <c:v>0</c:v>
                </c:pt>
                <c:pt idx="3">
                  <c:v>0</c:v>
                </c:pt>
                <c:pt idx="4">
                  <c:v>0</c:v>
                </c:pt>
                <c:pt idx="5">
                  <c:v>0</c:v>
                </c:pt>
                <c:pt idx="6">
                  <c:v>0</c:v>
                </c:pt>
                <c:pt idx="7">
                  <c:v>0</c:v>
                </c:pt>
                <c:pt idx="8">
                  <c:v>0</c:v>
                </c:pt>
                <c:pt idx="9">
                  <c:v>2</c:v>
                </c:pt>
                <c:pt idx="10">
                  <c:v>0</c:v>
                </c:pt>
              </c:numCache>
            </c:numRef>
          </c:val>
          <c:extLst>
            <c:ext xmlns:c="http://schemas.openxmlformats.org/drawingml/2006/chart" xmlns:c16="http://schemas.microsoft.com/office/drawing/2014/chart" uri="{C3380CC4-5D6E-409C-BE32-E72D297353CC}">
              <c16:uniqueId val="{0000001B-6A62-4731-A7AA-6D0D771D36C2}"/>
            </c:ext>
          </c:extLst>
        </c:ser>
        <c:dLbls>
          <c:showLegendKey val="0"/>
          <c:showVal val="0"/>
          <c:showCatName val="0"/>
          <c:showSerName val="0"/>
          <c:showPercent val="0"/>
          <c:showBubbleSize val="0"/>
        </c:dLbls>
        <c:gapWidth val="150"/>
        <c:overlap val="100"/>
        <c:axId val="481693464"/>
        <c:axId val="481695816"/>
      </c:barChart>
      <c:lineChart>
        <c:grouping val="standard"/>
        <c:varyColors val="0"/>
        <c:ser>
          <c:idx val="11"/>
          <c:order val="1"/>
          <c:spPr>
            <a:ln w="19050" cap="rnd">
              <a:solidFill>
                <a:srgbClr val="00B050"/>
              </a:solidFill>
              <a:round/>
            </a:ln>
            <a:effectLst/>
          </c:spPr>
          <c:marker>
            <c:symbol val="square"/>
            <c:size val="5"/>
            <c:spPr>
              <a:ln>
                <a:noFill/>
              </a:ln>
            </c:spPr>
          </c:marker>
          <c:dPt>
            <c:idx val="12"/>
            <c:bubble3D val="0"/>
            <c:spPr>
              <a:ln w="19050" cap="rnd">
                <a:solidFill>
                  <a:srgbClr val="00B050"/>
                </a:solidFill>
                <a:prstDash val="sysDash"/>
                <a:round/>
              </a:ln>
              <a:effectLst/>
            </c:spPr>
            <c:extLst>
              <c:ext xmlns:c="http://schemas.openxmlformats.org/drawingml/2006/chart" xmlns:c16="http://schemas.microsoft.com/office/drawing/2014/chart" uri="{C3380CC4-5D6E-409C-BE32-E72D297353CC}">
                <c16:uniqueId val="{0000001D-6A62-4731-A7AA-6D0D771D36C2}"/>
              </c:ext>
            </c:extLst>
          </c:dPt>
          <c:trendline>
            <c:spPr>
              <a:ln w="25400">
                <a:solidFill>
                  <a:srgbClr val="FFC000"/>
                </a:solidFill>
                <a:prstDash val="sysDot"/>
              </a:ln>
            </c:spPr>
            <c:trendlineType val="linear"/>
            <c:dispRSqr val="0"/>
            <c:dispEq val="0"/>
          </c:trendline>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Simona!$AR$161:$BB$161</c:f>
              <c:numCache>
                <c:formatCode>General</c:formatCode>
                <c:ptCount val="11"/>
                <c:pt idx="0">
                  <c:v>0.24219080550327543</c:v>
                </c:pt>
                <c:pt idx="1">
                  <c:v>0.23357785090637076</c:v>
                </c:pt>
                <c:pt idx="2">
                  <c:v>0.22586703547968898</c:v>
                </c:pt>
                <c:pt idx="3">
                  <c:v>0.23768659941473533</c:v>
                </c:pt>
                <c:pt idx="4">
                  <c:v>0.24261367395873046</c:v>
                </c:pt>
                <c:pt idx="5">
                  <c:v>0.24959874631920836</c:v>
                </c:pt>
                <c:pt idx="6">
                  <c:v>0.21409402044447126</c:v>
                </c:pt>
                <c:pt idx="7">
                  <c:v>0.22384357568937771</c:v>
                </c:pt>
                <c:pt idx="8">
                  <c:v>0.19674923282481976</c:v>
                </c:pt>
                <c:pt idx="9">
                  <c:v>0.19357700735323768</c:v>
                </c:pt>
                <c:pt idx="10">
                  <c:v>0.19976773671145012</c:v>
                </c:pt>
              </c:numCache>
            </c:numRef>
          </c:val>
          <c:smooth val="0"/>
          <c:extLst>
            <c:ext xmlns:c="http://schemas.openxmlformats.org/drawingml/2006/chart" xmlns:c16="http://schemas.microsoft.com/office/drawing/2014/chart" uri="{C3380CC4-5D6E-409C-BE32-E72D297353CC}">
              <c16:uniqueId val="{0000001E-6A62-4731-A7AA-6D0D771D36C2}"/>
            </c:ext>
          </c:extLst>
        </c:ser>
        <c:ser>
          <c:idx val="1"/>
          <c:order val="2"/>
          <c:tx>
            <c:v>media</c:v>
          </c:tx>
          <c:spPr>
            <a:ln w="19050">
              <a:solidFill>
                <a:srgbClr val="FF0000"/>
              </a:solidFill>
              <a:prstDash val="sysDash"/>
            </a:ln>
          </c:spPr>
          <c:marker>
            <c:symbol val="none"/>
          </c:marker>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Simona!$AR$162:$BB$162</c:f>
              <c:numCache>
                <c:formatCode>General</c:formatCode>
                <c:ptCount val="11"/>
                <c:pt idx="0">
                  <c:v>0.22359693496412419</c:v>
                </c:pt>
                <c:pt idx="1">
                  <c:v>0.22359693496412419</c:v>
                </c:pt>
                <c:pt idx="2">
                  <c:v>0.22359693496412419</c:v>
                </c:pt>
                <c:pt idx="3">
                  <c:v>0.22359693496412419</c:v>
                </c:pt>
                <c:pt idx="4">
                  <c:v>0.22359693496412419</c:v>
                </c:pt>
                <c:pt idx="5">
                  <c:v>0.22359693496412419</c:v>
                </c:pt>
                <c:pt idx="6">
                  <c:v>0.22359693496412419</c:v>
                </c:pt>
                <c:pt idx="7">
                  <c:v>0.22359693496412419</c:v>
                </c:pt>
                <c:pt idx="8">
                  <c:v>0.22359693496412419</c:v>
                </c:pt>
                <c:pt idx="9">
                  <c:v>0.22359693496412419</c:v>
                </c:pt>
                <c:pt idx="10">
                  <c:v>0.22359693496412419</c:v>
                </c:pt>
              </c:numCache>
            </c:numRef>
          </c:val>
          <c:smooth val="0"/>
          <c:extLst>
            <c:ext xmlns:c="http://schemas.openxmlformats.org/drawingml/2006/chart" xmlns:c16="http://schemas.microsoft.com/office/drawing/2014/chart" uri="{C3380CC4-5D6E-409C-BE32-E72D297353CC}">
              <c16:uniqueId val="{0000001F-6A62-4731-A7AA-6D0D771D36C2}"/>
            </c:ext>
          </c:extLst>
        </c:ser>
        <c:dLbls>
          <c:showLegendKey val="0"/>
          <c:showVal val="0"/>
          <c:showCatName val="0"/>
          <c:showSerName val="0"/>
          <c:showPercent val="0"/>
          <c:showBubbleSize val="0"/>
        </c:dLbls>
        <c:marker val="1"/>
        <c:smooth val="0"/>
        <c:axId val="481695032"/>
        <c:axId val="481695424"/>
      </c:lineChart>
      <c:catAx>
        <c:axId val="48169346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b="0" i="0" u="none" strike="noStrike" baseline="0">
                <a:solidFill>
                  <a:srgbClr val="333333"/>
                </a:solidFill>
                <a:latin typeface="Century Gothic" panose="020B0502020202020204" pitchFamily="34" charset="0"/>
                <a:ea typeface="Calibri"/>
                <a:cs typeface="Calibri"/>
              </a:defRPr>
            </a:pPr>
            <a:endParaRPr lang="fr-FR"/>
          </a:p>
        </c:txPr>
        <c:crossAx val="481695816"/>
        <c:crosses val="autoZero"/>
        <c:auto val="1"/>
        <c:lblAlgn val="ctr"/>
        <c:lblOffset val="100"/>
        <c:noMultiLvlLbl val="0"/>
      </c:catAx>
      <c:valAx>
        <c:axId val="481695816"/>
        <c:scaling>
          <c:orientation val="minMax"/>
          <c:max val="160"/>
          <c:min val="0"/>
        </c:scaling>
        <c:delete val="0"/>
        <c:axPos val="r"/>
        <c:majorGridlines>
          <c:spPr>
            <a:ln w="9525">
              <a:solidFill>
                <a:schemeClr val="tx1">
                  <a:lumMod val="15000"/>
                  <a:lumOff val="85000"/>
                </a:schemeClr>
              </a:solidFill>
              <a:round/>
            </a:ln>
            <a:effectLst/>
          </c:spPr>
        </c:majorGridlines>
        <c:title>
          <c:tx>
            <c:rich>
              <a:bodyPr/>
              <a:lstStyle/>
              <a:p>
                <a:pPr>
                  <a:defRPr sz="800" b="0" i="0" u="none" strike="noStrike" baseline="0">
                    <a:solidFill>
                      <a:srgbClr val="000000"/>
                    </a:solidFill>
                    <a:latin typeface="Century Gothic" panose="020B0502020202020204" pitchFamily="34" charset="0"/>
                    <a:ea typeface="Calibri"/>
                    <a:cs typeface="Calibri"/>
                  </a:defRPr>
                </a:pPr>
                <a:r>
                  <a:rPr lang="it-IT" sz="800" b="0" i="0" u="none" strike="noStrike" baseline="0">
                    <a:solidFill>
                      <a:srgbClr val="333333"/>
                    </a:solidFill>
                    <a:latin typeface="Century Gothic" panose="020B0502020202020204" pitchFamily="34" charset="0"/>
                    <a:cs typeface="Calibri"/>
                  </a:rPr>
                  <a:t>n</a:t>
                </a:r>
                <a:r>
                  <a:rPr lang="it-IT" sz="800" b="0" i="0" u="none" strike="noStrike" baseline="0">
                    <a:solidFill>
                      <a:srgbClr val="333333"/>
                    </a:solidFill>
                    <a:latin typeface="Century Gothic" panose="020B0502020202020204" pitchFamily="34" charset="0"/>
                    <a:ea typeface="+mn-ea"/>
                    <a:cs typeface="+mn-ea"/>
                  </a:rPr>
                  <a:t>°</a:t>
                </a:r>
                <a:r>
                  <a:rPr lang="it-IT" sz="800" b="0" i="0" u="none" strike="noStrike" baseline="0">
                    <a:solidFill>
                      <a:srgbClr val="333333"/>
                    </a:solidFill>
                    <a:latin typeface="Century Gothic" panose="020B0502020202020204" pitchFamily="34" charset="0"/>
                    <a:ea typeface="+mn-ea"/>
                    <a:cs typeface="Calibri"/>
                  </a:rPr>
                  <a:t> INCIDENTI SIGNIFICATIVI</a:t>
                </a:r>
                <a:endParaRPr lang="it-IT" sz="800" b="0" i="0" u="none" strike="noStrike" baseline="0">
                  <a:solidFill>
                    <a:srgbClr val="333333"/>
                  </a:solidFill>
                  <a:latin typeface="Century Gothic" panose="020B0502020202020204" pitchFamily="34" charset="0"/>
                  <a:cs typeface="Calibri"/>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693464"/>
        <c:crosses val="max"/>
        <c:crossBetween val="between"/>
      </c:valAx>
      <c:catAx>
        <c:axId val="481695032"/>
        <c:scaling>
          <c:orientation val="minMax"/>
        </c:scaling>
        <c:delete val="1"/>
        <c:axPos val="t"/>
        <c:numFmt formatCode="General" sourceLinked="1"/>
        <c:majorTickMark val="out"/>
        <c:minorTickMark val="none"/>
        <c:tickLblPos val="nextTo"/>
        <c:crossAx val="481695424"/>
        <c:crosses val="max"/>
        <c:auto val="1"/>
        <c:lblAlgn val="ctr"/>
        <c:lblOffset val="100"/>
        <c:noMultiLvlLbl val="0"/>
      </c:catAx>
      <c:valAx>
        <c:axId val="481695424"/>
        <c:scaling>
          <c:orientation val="minMax"/>
          <c:max val="0.26"/>
          <c:min val="0"/>
        </c:scaling>
        <c:delete val="0"/>
        <c:axPos val="l"/>
        <c:title>
          <c:tx>
            <c:rich>
              <a:bodyPr/>
              <a:lstStyle/>
              <a:p>
                <a:pPr>
                  <a:defRPr sz="800" b="0" i="0" u="none" strike="noStrike" baseline="0">
                    <a:solidFill>
                      <a:srgbClr val="000000"/>
                    </a:solidFill>
                    <a:latin typeface="Century Gothic" panose="020B0502020202020204" pitchFamily="34" charset="0"/>
                    <a:ea typeface="Calibri"/>
                    <a:cs typeface="Calibri"/>
                  </a:defRPr>
                </a:pPr>
                <a:r>
                  <a:rPr lang="it-IT" sz="800" b="0" i="0" u="none" strike="noStrike" baseline="0">
                    <a:solidFill>
                      <a:srgbClr val="333333"/>
                    </a:solidFill>
                    <a:latin typeface="Century Gothic" panose="020B0502020202020204" pitchFamily="34" charset="0"/>
                    <a:cs typeface="Calibri"/>
                  </a:rPr>
                  <a:t>n</a:t>
                </a:r>
                <a:r>
                  <a:rPr lang="it-IT" sz="800" b="0" i="0" u="none" strike="noStrike" baseline="0">
                    <a:solidFill>
                      <a:srgbClr val="333333"/>
                    </a:solidFill>
                    <a:latin typeface="Century Gothic" panose="020B0502020202020204" pitchFamily="34" charset="0"/>
                    <a:ea typeface="+mn-ea"/>
                    <a:cs typeface="+mn-ea"/>
                  </a:rPr>
                  <a:t>°</a:t>
                </a:r>
                <a:r>
                  <a:rPr lang="it-IT" sz="800" b="0" i="0" u="none" strike="noStrike" baseline="0">
                    <a:solidFill>
                      <a:srgbClr val="333333"/>
                    </a:solidFill>
                    <a:latin typeface="Century Gothic" panose="020B0502020202020204" pitchFamily="34" charset="0"/>
                    <a:ea typeface="+mn-ea"/>
                    <a:cs typeface="Calibri"/>
                  </a:rPr>
                  <a:t> INCIDENTI SIGNIFICATIVI/Mln tr-km</a:t>
                </a:r>
                <a:endParaRPr lang="it-IT" sz="800" b="0" i="0" u="none" strike="noStrike" baseline="0">
                  <a:solidFill>
                    <a:srgbClr val="333333"/>
                  </a:solidFill>
                  <a:latin typeface="Century Gothic" panose="020B0502020202020204" pitchFamily="34" charset="0"/>
                  <a:cs typeface="Calibri"/>
                </a:endParaRP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695032"/>
        <c:crosses val="autoZero"/>
        <c:crossBetween val="between"/>
      </c:valAx>
      <c:spPr>
        <a:noFill/>
        <a:ln w="25400">
          <a:noFill/>
        </a:ln>
      </c:spPr>
    </c:plotArea>
    <c:legend>
      <c:legendPos val="b"/>
      <c:legendEntry>
        <c:idx val="2"/>
        <c:delete val="1"/>
      </c:legendEntry>
      <c:legendEntry>
        <c:idx val="3"/>
        <c:delete val="1"/>
      </c:legendEntry>
      <c:legendEntry>
        <c:idx val="4"/>
        <c:delete val="1"/>
      </c:legendEntry>
      <c:layout/>
      <c:overlay val="0"/>
      <c:txPr>
        <a:bodyPr/>
        <a:lstStyle/>
        <a:p>
          <a:pPr>
            <a:defRPr sz="800" b="0" i="0" u="none" strike="noStrike" baseline="0">
              <a:solidFill>
                <a:srgbClr val="000000"/>
              </a:solidFill>
              <a:latin typeface="Century Gothic" panose="020B0502020202020204" pitchFamily="34" charset="0"/>
              <a:ea typeface="Calibri"/>
              <a:cs typeface="Calibri"/>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333333"/>
                </a:solidFill>
                <a:latin typeface="Century Gothic" panose="020B0502020202020204" pitchFamily="34" charset="0"/>
                <a:ea typeface="Calibri"/>
                <a:cs typeface="Calibri"/>
              </a:defRPr>
            </a:pPr>
            <a:r>
              <a:rPr lang="it-IT" b="1">
                <a:latin typeface="Century Gothic" panose="020B0502020202020204" pitchFamily="34" charset="0"/>
              </a:rPr>
              <a:t>VITTIME</a:t>
            </a:r>
            <a:r>
              <a:rPr lang="it-IT" b="1" baseline="0">
                <a:latin typeface="Century Gothic" panose="020B0502020202020204" pitchFamily="34" charset="0"/>
              </a:rPr>
              <a:t> </a:t>
            </a:r>
            <a:r>
              <a:rPr lang="it-IT" b="1">
                <a:latin typeface="Century Gothic" panose="020B0502020202020204" pitchFamily="34" charset="0"/>
              </a:rPr>
              <a:t>della categoria "PERSONE NON AUTORIZZATE"</a:t>
            </a:r>
          </a:p>
          <a:p>
            <a:pPr>
              <a:defRPr sz="800" b="1" i="0" u="none" strike="noStrike" baseline="0">
                <a:solidFill>
                  <a:srgbClr val="333333"/>
                </a:solidFill>
                <a:latin typeface="Century Gothic" panose="020B0502020202020204" pitchFamily="34" charset="0"/>
                <a:ea typeface="Calibri"/>
                <a:cs typeface="Calibri"/>
              </a:defRPr>
            </a:pPr>
            <a:r>
              <a:rPr lang="it-IT" b="1">
                <a:latin typeface="Century Gothic" panose="020B0502020202020204" pitchFamily="34" charset="0"/>
              </a:rPr>
              <a:t>[Rete</a:t>
            </a:r>
            <a:r>
              <a:rPr lang="it-IT" b="1" baseline="0">
                <a:latin typeface="Century Gothic" panose="020B0502020202020204" pitchFamily="34" charset="0"/>
              </a:rPr>
              <a:t> IT]</a:t>
            </a:r>
            <a:endParaRPr lang="it-IT" b="1">
              <a:latin typeface="Century Gothic" panose="020B0502020202020204" pitchFamily="34" charset="0"/>
            </a:endParaRPr>
          </a:p>
        </c:rich>
      </c:tx>
      <c:layout>
        <c:manualLayout>
          <c:xMode val="edge"/>
          <c:yMode val="edge"/>
          <c:x val="0.18009602112038833"/>
          <c:y val="0"/>
        </c:manualLayout>
      </c:layout>
      <c:overlay val="0"/>
      <c:spPr>
        <a:noFill/>
        <a:ln w="25400">
          <a:noFill/>
        </a:ln>
      </c:spPr>
    </c:title>
    <c:autoTitleDeleted val="0"/>
    <c:plotArea>
      <c:layout>
        <c:manualLayout>
          <c:layoutTarget val="inner"/>
          <c:xMode val="edge"/>
          <c:yMode val="edge"/>
          <c:x val="0.069358705161854772"/>
          <c:y val="0.13691827314689112"/>
          <c:w val="0.90286351706036749"/>
          <c:h val="0.77170988324735268"/>
        </c:manualLayout>
      </c:layout>
      <c:lineChart>
        <c:grouping val="standard"/>
        <c:varyColors val="0"/>
        <c:ser>
          <c:idx val="2"/>
          <c:order val="0"/>
          <c:tx>
            <c:v>Persone non autorizzate</c:v>
          </c:tx>
          <c:spPr>
            <a:ln w="28575" cap="rnd">
              <a:solidFill>
                <a:srgbClr val="0070C0"/>
              </a:solidFill>
              <a:round/>
            </a:ln>
            <a:effectLst/>
          </c:spPr>
          <c:marker>
            <c:symbol val="square"/>
            <c:size val="5"/>
            <c:spPr>
              <a:solidFill>
                <a:srgbClr val="FFC000"/>
              </a:solidFill>
              <a:ln>
                <a:noFill/>
              </a:ln>
            </c:spPr>
          </c:marker>
          <c:dLbls>
            <c:spPr>
              <a:noFill/>
              <a:ln>
                <a:noFill/>
              </a:ln>
              <a:effectLst/>
            </c:spPr>
            <c:txPr>
              <a:bodyPr wrap="square" lIns="38100" tIns="19050" rIns="38100" bIns="19050" anchor="ctr">
                <a:spAutoFit/>
              </a:bodyPr>
              <a:lstStyle/>
              <a:p>
                <a:pPr>
                  <a:defRPr sz="700" b="0">
                    <a:latin typeface="Century Gothic" panose="020B0502020202020204"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25400">
                <a:solidFill>
                  <a:srgbClr val="FFC000"/>
                </a:solidFill>
                <a:prstDash val="sysDot"/>
              </a:ln>
            </c:spPr>
            <c:trendlineType val="linear"/>
            <c:dispRSqr val="0"/>
            <c:dispEq val="0"/>
          </c:trendline>
          <c:cat>
            <c:numRef>
              <c:f>Simona!$F$156:$P$156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Simona!$F$162:$P$162</c:f>
              <c:numCache>
                <c:formatCode>General</c:formatCode>
                <c:ptCount val="11"/>
                <c:pt idx="0">
                  <c:v>65</c:v>
                </c:pt>
                <c:pt idx="1">
                  <c:v>66</c:v>
                </c:pt>
                <c:pt idx="2">
                  <c:v>51</c:v>
                </c:pt>
                <c:pt idx="3">
                  <c:v>63</c:v>
                </c:pt>
                <c:pt idx="4">
                  <c:v>77</c:v>
                </c:pt>
                <c:pt idx="5">
                  <c:v>74</c:v>
                </c:pt>
                <c:pt idx="6">
                  <c:v>66</c:v>
                </c:pt>
                <c:pt idx="7">
                  <c:v>70</c:v>
                </c:pt>
                <c:pt idx="8">
                  <c:v>57</c:v>
                </c:pt>
                <c:pt idx="9">
                  <c:v>72</c:v>
                </c:pt>
                <c:pt idx="10">
                  <c:v>70</c:v>
                </c:pt>
              </c:numCache>
            </c:numRef>
          </c:val>
          <c:smooth val="0"/>
          <c:extLst>
            <c:ext xmlns:c="http://schemas.openxmlformats.org/drawingml/2006/chart" xmlns:c16="http://schemas.microsoft.com/office/drawing/2014/chart" uri="{C3380CC4-5D6E-409C-BE32-E72D297353CC}">
              <c16:uniqueId val="{00000000-1390-4328-AC2D-E37123ACC816}"/>
            </c:ext>
          </c:extLst>
        </c:ser>
        <c:ser>
          <c:idx val="0"/>
          <c:order val="1"/>
          <c:tx>
            <c:v>media</c:v>
          </c:tx>
          <c:spPr>
            <a:ln w="19050">
              <a:solidFill>
                <a:srgbClr val="FF0000"/>
              </a:solidFill>
              <a:prstDash val="sysDash"/>
            </a:ln>
          </c:spPr>
          <c:marker>
            <c:symbol val="none"/>
          </c:marker>
          <c:cat>
            <c:numRef>
              <c:f>Simona!$F$156:$P$156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Simona!$J$179:$J$189</c:f>
              <c:numCache>
                <c:formatCode>General</c:formatCode>
                <c:ptCount val="11"/>
                <c:pt idx="0">
                  <c:v>66.454545454545453</c:v>
                </c:pt>
                <c:pt idx="1">
                  <c:v>66.454545454545453</c:v>
                </c:pt>
                <c:pt idx="2">
                  <c:v>66.454545454545453</c:v>
                </c:pt>
                <c:pt idx="3">
                  <c:v>66.454545454545453</c:v>
                </c:pt>
                <c:pt idx="4">
                  <c:v>66.454545454545453</c:v>
                </c:pt>
                <c:pt idx="5">
                  <c:v>66.454545454545453</c:v>
                </c:pt>
                <c:pt idx="6">
                  <c:v>66.454545454545453</c:v>
                </c:pt>
                <c:pt idx="7">
                  <c:v>66.454545454545453</c:v>
                </c:pt>
                <c:pt idx="8">
                  <c:v>66.454545454545453</c:v>
                </c:pt>
                <c:pt idx="9">
                  <c:v>66.454545454545453</c:v>
                </c:pt>
                <c:pt idx="10">
                  <c:v>66.454545454545453</c:v>
                </c:pt>
              </c:numCache>
            </c:numRef>
          </c:val>
          <c:smooth val="0"/>
          <c:extLst>
            <c:ext xmlns:c="http://schemas.openxmlformats.org/drawingml/2006/chart" xmlns:c16="http://schemas.microsoft.com/office/drawing/2014/chart" uri="{C3380CC4-5D6E-409C-BE32-E72D297353CC}">
              <c16:uniqueId val="{00000001-1390-4328-AC2D-E37123ACC816}"/>
            </c:ext>
          </c:extLst>
        </c:ser>
        <c:dLbls>
          <c:showLegendKey val="0"/>
          <c:showVal val="0"/>
          <c:showCatName val="0"/>
          <c:showSerName val="0"/>
          <c:showPercent val="0"/>
          <c:showBubbleSize val="0"/>
        </c:dLbls>
        <c:marker val="1"/>
        <c:smooth val="0"/>
        <c:axId val="481697384"/>
        <c:axId val="481697776"/>
      </c:lineChart>
      <c:catAx>
        <c:axId val="4816973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vert="horz"/>
          <a:lstStyle/>
          <a:p>
            <a:pPr>
              <a:defRPr sz="800" b="0" i="0" u="none" strike="noStrike" baseline="0">
                <a:solidFill>
                  <a:srgbClr val="333333"/>
                </a:solidFill>
                <a:latin typeface="Century Gothic" panose="020B0502020202020204" pitchFamily="34" charset="0"/>
                <a:ea typeface="Calibri"/>
                <a:cs typeface="Calibri"/>
              </a:defRPr>
            </a:pPr>
            <a:endParaRPr lang="fr-FR"/>
          </a:p>
        </c:txPr>
        <c:crossAx val="481697776"/>
        <c:crosses val="autoZero"/>
        <c:auto val="1"/>
        <c:lblAlgn val="ctr"/>
        <c:lblOffset val="100"/>
        <c:noMultiLvlLbl val="0"/>
      </c:catAx>
      <c:valAx>
        <c:axId val="481697776"/>
        <c:scaling>
          <c:orientation val="minMax"/>
          <c:min val="30"/>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700" b="0" i="0" u="none" strike="noStrike" baseline="0">
                <a:solidFill>
                  <a:srgbClr val="333333"/>
                </a:solidFill>
                <a:latin typeface="Century Gothic" panose="020B0502020202020204" pitchFamily="34" charset="0"/>
                <a:ea typeface="Calibri"/>
                <a:cs typeface="Calibri"/>
              </a:defRPr>
            </a:pPr>
            <a:endParaRPr lang="fr-FR"/>
          </a:p>
        </c:txPr>
        <c:crossAx val="481697384"/>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it-IT" sz="800" b="1"/>
              <a:t>INCIDENTI SIGNIFICATIVI AI PASSAGGI A LIVELLO</a:t>
            </a:r>
          </a:p>
          <a:p>
            <a:pPr>
              <a:defRPr sz="800" b="1"/>
            </a:pPr>
            <a:r>
              <a:rPr lang="it-IT" sz="800" b="1"/>
              <a:t>[Rete IT]</a:t>
            </a:r>
          </a:p>
        </c:rich>
      </c:tx>
      <c:layout/>
      <c:overlay val="0"/>
      <c:spPr>
        <a:noFill/>
        <a:ln w="25400">
          <a:noFill/>
        </a:ln>
      </c:spPr>
    </c:title>
    <c:autoTitleDeleted val="0"/>
    <c:plotArea>
      <c:layout>
        <c:manualLayout>
          <c:layoutTarget val="inner"/>
          <c:xMode val="edge"/>
          <c:yMode val="edge"/>
          <c:x val="0.13428554980586813"/>
          <c:y val="0.15615048118985128"/>
          <c:w val="0.757694808863758"/>
          <c:h val="0.72266049420987732"/>
        </c:manualLayout>
      </c:layout>
      <c:barChart>
        <c:barDir val="col"/>
        <c:grouping val="stacked"/>
        <c:varyColors val="0"/>
        <c:ser>
          <c:idx val="0"/>
          <c:order val="0"/>
          <c:tx>
            <c:v>[Rete RFI]</c:v>
          </c:tx>
          <c:spPr>
            <a:solidFill>
              <a:srgbClr val="4F81BD"/>
            </a:solidFill>
            <a:ln w="25400">
              <a:noFill/>
            </a:ln>
          </c:spPr>
          <c:invertIfNegative val="0"/>
          <c:dPt>
            <c:idx val="10"/>
            <c:invertIfNegative val="0"/>
            <c:bubble3D val="0"/>
            <c:spPr>
              <a:solidFill>
                <a:schemeClr val="accent1"/>
              </a:solidFill>
              <a:ln w="25400">
                <a:noFill/>
                <a:prstDash val="sysDash"/>
              </a:ln>
            </c:spPr>
            <c:extLst>
              <c:ext xmlns:c="http://schemas.openxmlformats.org/drawingml/2006/chart" xmlns:c16="http://schemas.microsoft.com/office/drawing/2014/chart" uri="{C3380CC4-5D6E-409C-BE32-E72D297353CC}">
                <c16:uniqueId val="{00000001-D08B-4E30-8777-07136573D421}"/>
              </c:ext>
            </c:extLst>
          </c:dPt>
          <c:dPt>
            <c:idx val="11"/>
            <c:invertIfNegative val="0"/>
            <c:bubble3D val="0"/>
            <c:spPr>
              <a:solidFill>
                <a:srgbClr val="4F81BC"/>
              </a:solidFill>
              <a:ln w="25400">
                <a:noFill/>
                <a:prstDash val="sysDash"/>
              </a:ln>
            </c:spPr>
            <c:extLst>
              <c:ext xmlns:c="http://schemas.openxmlformats.org/drawingml/2006/chart" xmlns:c16="http://schemas.microsoft.com/office/drawing/2014/chart" uri="{C3380CC4-5D6E-409C-BE32-E72D297353CC}">
                <c16:uniqueId val="{00000003-D08B-4E30-8777-07136573D421}"/>
              </c:ext>
            </c:extLst>
          </c:dPt>
          <c:dLbls>
            <c:dLbl>
              <c:idx val="0"/>
              <c:layout>
                <c:manualLayout>
                  <c:x val="0"/>
                  <c:y val="-0.16911980490627648"/>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4-D08B-4E30-8777-07136573D421}"/>
                </c:ext>
              </c:extLst>
            </c:dLbl>
            <c:dLbl>
              <c:idx val="1"/>
              <c:layout>
                <c:manualLayout>
                  <c:x val="2.4821448074125088E-17"/>
                  <c:y val="-0.093633965045707868"/>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D08B-4E30-8777-07136573D421}"/>
                </c:ext>
              </c:extLst>
            </c:dLbl>
            <c:dLbl>
              <c:idx val="2"/>
              <c:layout>
                <c:manualLayout>
                  <c:x val="-4.9642896148250175E-17"/>
                  <c:y val="-0.06122057577448501"/>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D08B-4E30-8777-07136573D421}"/>
                </c:ext>
              </c:extLst>
            </c:dLbl>
            <c:dLbl>
              <c:idx val="3"/>
              <c:layout>
                <c:manualLayout>
                  <c:x val="0"/>
                  <c:y val="-0.13373729858570829"/>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D08B-4E30-8777-07136573D421}"/>
                </c:ext>
              </c:extLst>
            </c:dLbl>
            <c:dLbl>
              <c:idx val="4"/>
              <c:layout>
                <c:manualLayout>
                  <c:x val="0.00027909793160491638"/>
                  <c:y val="-0.1520912641825284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8-D08B-4E30-8777-07136573D421}"/>
                </c:ext>
              </c:extLst>
            </c:dLbl>
            <c:dLbl>
              <c:idx val="5"/>
              <c:layout>
                <c:manualLayout>
                  <c:x val="2.1350368080345705E-07"/>
                  <c:y val="-0.12672276259585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62201094846875159"/>
                      <c:h val="0.0407444933353919"/>
                    </c:manualLayout>
                  </c15:layout>
                </c:ext>
                <c:ext xmlns:c="http://schemas.openxmlformats.org/drawingml/2006/chart" xmlns:c16="http://schemas.microsoft.com/office/drawing/2014/chart" uri="{C3380CC4-5D6E-409C-BE32-E72D297353CC}">
                  <c16:uniqueId val="{00000009-D08B-4E30-8777-07136573D421}"/>
                </c:ext>
              </c:extLst>
            </c:dLbl>
            <c:dLbl>
              <c:idx val="6"/>
              <c:layout>
                <c:manualLayout>
                  <c:x val="-9.9285792296500351E-17"/>
                  <c:y val="-0.1228261034299846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A-D08B-4E30-8777-07136573D421}"/>
                </c:ext>
              </c:extLst>
            </c:dLbl>
            <c:dLbl>
              <c:idx val="7"/>
              <c:layout>
                <c:manualLayout>
                  <c:x val="0.0027078256160302282"/>
                  <c:y val="-0.1411357044936312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B-D08B-4E30-8777-07136573D421}"/>
                </c:ext>
              </c:extLst>
            </c:dLbl>
            <c:dLbl>
              <c:idx val="8"/>
              <c:layout>
                <c:manualLayout>
                  <c:x val="0.0027078256160303275"/>
                  <c:y val="-0.16132129153147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C-D08B-4E30-8777-07136573D421}"/>
                </c:ext>
              </c:extLst>
            </c:dLbl>
            <c:dLbl>
              <c:idx val="9"/>
              <c:layout>
                <c:manualLayout>
                  <c:x val="0.031851704970672232"/>
                  <c:y val="-0.051917801613381005"/>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D-D08B-4E30-8777-07136573D421}"/>
                </c:ext>
              </c:extLst>
            </c:dLbl>
            <c:dLbl>
              <c:idx val="10"/>
              <c:layout>
                <c:manualLayout>
                  <c:x val="0.034280432655097545"/>
                  <c:y val="-0.044708978306845504"/>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D08B-4E30-8777-07136573D421}"/>
                </c:ext>
              </c:extLst>
            </c:dLbl>
            <c:spPr>
              <a:noFill/>
              <a:ln w="25400">
                <a:noFill/>
              </a:ln>
            </c:spPr>
            <c:txPr>
              <a:bodyPr/>
              <a:lstStyle/>
              <a:p>
                <a:pPr>
                  <a:defRPr sz="800" b="1"/>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RFI'!$AN$198:$AN$208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Simona!$AV$168:$BF$168</c:f>
              <c:numCache>
                <c:formatCode>General</c:formatCode>
                <c:ptCount val="11"/>
                <c:pt idx="0">
                  <c:v>19</c:v>
                </c:pt>
                <c:pt idx="1">
                  <c:v>9</c:v>
                </c:pt>
                <c:pt idx="2">
                  <c:v>5</c:v>
                </c:pt>
                <c:pt idx="3">
                  <c:v>15</c:v>
                </c:pt>
                <c:pt idx="4">
                  <c:v>18</c:v>
                </c:pt>
                <c:pt idx="5">
                  <c:v>13</c:v>
                </c:pt>
                <c:pt idx="6">
                  <c:v>14</c:v>
                </c:pt>
                <c:pt idx="7">
                  <c:v>16</c:v>
                </c:pt>
                <c:pt idx="8">
                  <c:v>19</c:v>
                </c:pt>
                <c:pt idx="9">
                  <c:v>11</c:v>
                </c:pt>
                <c:pt idx="10">
                  <c:v>11</c:v>
                </c:pt>
              </c:numCache>
            </c:numRef>
          </c:val>
          <c:extLst>
            <c:ext xmlns:c="http://schemas.openxmlformats.org/drawingml/2006/chart" xmlns:c16="http://schemas.microsoft.com/office/drawing/2014/chart" uri="{C3380CC4-5D6E-409C-BE32-E72D297353CC}">
              <c16:uniqueId val="{0000000E-D08B-4E30-8777-07136573D421}"/>
            </c:ext>
          </c:extLst>
        </c:ser>
        <c:ser>
          <c:idx val="2"/>
          <c:order val="3"/>
          <c:tx>
            <c:v>[Reti Regionali Interconnesse]</c:v>
          </c:tx>
          <c:spPr>
            <a:solidFill>
              <a:srgbClr val="00B050"/>
            </a:solidFill>
            <a:ln>
              <a:solidFill>
                <a:srgbClr val="00B050"/>
              </a:solidFill>
            </a:ln>
          </c:spPr>
          <c:invertIfNegative val="0"/>
          <c:dPt>
            <c:idx val="10"/>
            <c:invertIfNegative val="0"/>
            <c:bubble3D val="0"/>
            <c:spPr>
              <a:solidFill>
                <a:srgbClr val="00B050"/>
              </a:solidFill>
              <a:ln w="25400">
                <a:noFill/>
                <a:prstDash val="sysDash"/>
              </a:ln>
            </c:spPr>
            <c:extLst>
              <c:ext xmlns:c="http://schemas.openxmlformats.org/drawingml/2006/chart" xmlns:c16="http://schemas.microsoft.com/office/drawing/2014/chart" uri="{C3380CC4-5D6E-409C-BE32-E72D297353CC}">
                <c16:uniqueId val="{00000010-D08B-4E30-8777-07136573D421}"/>
              </c:ext>
            </c:extLst>
          </c:dPt>
          <c:dLbls>
            <c:dLbl>
              <c:idx val="0"/>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1-D08B-4E30-8777-07136573D421}"/>
                </c:ext>
              </c:extLst>
            </c:dLbl>
            <c:dLbl>
              <c:idx val="1"/>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2-D08B-4E30-8777-07136573D421}"/>
                </c:ext>
              </c:extLst>
            </c:dLbl>
            <c:dLbl>
              <c:idx val="2"/>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3-D08B-4E30-8777-07136573D421}"/>
                </c:ext>
              </c:extLst>
            </c:dLbl>
            <c:dLbl>
              <c:idx val="3"/>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4-D08B-4E30-8777-07136573D421}"/>
                </c:ext>
              </c:extLst>
            </c:dLbl>
            <c:dLbl>
              <c:idx val="4"/>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5-D08B-4E30-8777-07136573D421}"/>
                </c:ext>
              </c:extLst>
            </c:dLbl>
            <c:dLbl>
              <c:idx val="5"/>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6-D08B-4E30-8777-07136573D421}"/>
                </c:ext>
              </c:extLst>
            </c:dLbl>
            <c:dLbl>
              <c:idx val="6"/>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7-D08B-4E30-8777-07136573D421}"/>
                </c:ext>
              </c:extLst>
            </c:dLbl>
            <c:dLbl>
              <c:idx val="7"/>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8-D08B-4E30-8777-07136573D421}"/>
                </c:ext>
              </c:extLst>
            </c:dLbl>
            <c:dLbl>
              <c:idx val="8"/>
              <c:delete val="1"/>
              <c:extLst>
                <c:ext xmlns:c15="http://schemas.microsoft.com/office/drawing/2012/chart" uri="{CE6537A1-D6FC-4f65-9D91-7224C49458BB}"/>
                <c:ext xmlns:c="http://schemas.openxmlformats.org/drawingml/2006/chart" xmlns:c16="http://schemas.microsoft.com/office/drawing/2014/chart" uri="{C3380CC4-5D6E-409C-BE32-E72D297353CC}">
                  <c16:uniqueId val="{00000019-D08B-4E30-8777-07136573D421}"/>
                </c:ext>
              </c:extLst>
            </c:dLbl>
            <c:dLbl>
              <c:idx val="9"/>
              <c:layout>
                <c:manualLayout>
                  <c:x val="0.031572556162720096"/>
                  <c:y val="-0.0066170388751033912"/>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A-D08B-4E30-8777-07136573D421}"/>
                </c:ext>
              </c:extLst>
            </c:dLbl>
            <c:dLbl>
              <c:idx val="10"/>
              <c:layout>
                <c:manualLayout>
                  <c:x val="0.029143897996357013"/>
                  <c:y val="-0.0033085194375517563"/>
                </c:manualLayout>
              </c:layout>
              <c:dLblPos val="ctr"/>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10-D08B-4E30-8777-07136573D421}"/>
                </c:ext>
              </c:extLst>
            </c:dLbl>
            <c:spPr>
              <a:noFill/>
              <a:ln w="25400">
                <a:noFill/>
              </a:ln>
            </c:spPr>
            <c:txPr>
              <a:bodyPr/>
              <a:lstStyle/>
              <a:p>
                <a:pPr>
                  <a:defRPr sz="8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Simona!$AV$169:$BF$169</c:f>
              <c:numCache>
                <c:formatCode>General</c:formatCode>
                <c:ptCount val="11"/>
                <c:pt idx="0">
                  <c:v>0</c:v>
                </c:pt>
                <c:pt idx="1">
                  <c:v>0</c:v>
                </c:pt>
                <c:pt idx="2">
                  <c:v>0</c:v>
                </c:pt>
                <c:pt idx="3">
                  <c:v>0</c:v>
                </c:pt>
                <c:pt idx="4">
                  <c:v>0</c:v>
                </c:pt>
                <c:pt idx="5">
                  <c:v>0</c:v>
                </c:pt>
                <c:pt idx="6">
                  <c:v>0</c:v>
                </c:pt>
                <c:pt idx="7">
                  <c:v>0</c:v>
                </c:pt>
                <c:pt idx="8">
                  <c:v>0</c:v>
                </c:pt>
                <c:pt idx="9">
                  <c:v>4</c:v>
                </c:pt>
                <c:pt idx="10">
                  <c:v>1</c:v>
                </c:pt>
              </c:numCache>
            </c:numRef>
          </c:val>
          <c:extLst>
            <c:ext xmlns:c="http://schemas.openxmlformats.org/drawingml/2006/chart" xmlns:c16="http://schemas.microsoft.com/office/drawing/2014/chart" uri="{C3380CC4-5D6E-409C-BE32-E72D297353CC}">
              <c16:uniqueId val="{0000001B-D08B-4E30-8777-07136573D421}"/>
            </c:ext>
          </c:extLst>
        </c:ser>
        <c:dLbls>
          <c:showLegendKey val="0"/>
          <c:showVal val="0"/>
          <c:showCatName val="0"/>
          <c:showSerName val="0"/>
          <c:showPercent val="0"/>
          <c:showBubbleSize val="0"/>
        </c:dLbls>
        <c:gapWidth val="150"/>
        <c:overlap val="100"/>
        <c:axId val="481698952"/>
        <c:axId val="481692680"/>
      </c:barChart>
      <c:lineChart>
        <c:grouping val="standard"/>
        <c:varyColors val="0"/>
        <c:ser>
          <c:idx val="11"/>
          <c:order val="1"/>
          <c:spPr>
            <a:ln w="19050" cap="rnd">
              <a:solidFill>
                <a:srgbClr val="00B050"/>
              </a:solidFill>
              <a:round/>
            </a:ln>
            <a:effectLst/>
          </c:spPr>
          <c:marker>
            <c:symbol val="square"/>
            <c:size val="5"/>
            <c:spPr>
              <a:solidFill>
                <a:srgbClr val="F79646"/>
              </a:solidFill>
              <a:ln>
                <a:noFill/>
              </a:ln>
            </c:spPr>
          </c:marker>
          <c:dPt>
            <c:idx val="12"/>
            <c:bubble3D val="0"/>
            <c:spPr>
              <a:ln w="19050" cap="rnd">
                <a:solidFill>
                  <a:srgbClr val="00B050"/>
                </a:solidFill>
                <a:prstDash val="sysDash"/>
                <a:round/>
              </a:ln>
              <a:effectLst/>
            </c:spPr>
            <c:extLst>
              <c:ext xmlns:c="http://schemas.openxmlformats.org/drawingml/2006/chart" xmlns:c16="http://schemas.microsoft.com/office/drawing/2014/chart" uri="{C3380CC4-5D6E-409C-BE32-E72D297353CC}">
                <c16:uniqueId val="{0000001D-D08B-4E30-8777-07136573D421}"/>
              </c:ext>
            </c:extLst>
          </c:dPt>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Simona!$AV$171:$BF$171</c:f>
              <c:numCache>
                <c:formatCode>General</c:formatCode>
                <c:ptCount val="11"/>
                <c:pt idx="0">
                  <c:v>0.055441268729665455</c:v>
                </c:pt>
                <c:pt idx="1">
                  <c:v>0.026610134913384011</c:v>
                </c:pt>
                <c:pt idx="2">
                  <c:v>0.015470344895869109</c:v>
                </c:pt>
                <c:pt idx="3">
                  <c:v>0.046302584301571817</c:v>
                </c:pt>
                <c:pt idx="4">
                  <c:v>0.056714884821521407</c:v>
                </c:pt>
                <c:pt idx="5">
                  <c:v>0.041073211419616569</c:v>
                </c:pt>
                <c:pt idx="6">
                  <c:v>0.042215722341163345</c:v>
                </c:pt>
                <c:pt idx="7">
                  <c:v>0.048398610959865446</c:v>
                </c:pt>
                <c:pt idx="8">
                  <c:v>0.055794558562262321</c:v>
                </c:pt>
                <c:pt idx="9">
                  <c:v>0.040328543198591187</c:v>
                </c:pt>
                <c:pt idx="10">
                  <c:v>0.031962837873832022</c:v>
                </c:pt>
              </c:numCache>
            </c:numRef>
          </c:val>
          <c:smooth val="0"/>
          <c:extLst>
            <c:ext xmlns:c="http://schemas.openxmlformats.org/drawingml/2006/chart" xmlns:c16="http://schemas.microsoft.com/office/drawing/2014/chart" uri="{C3380CC4-5D6E-409C-BE32-E72D297353CC}">
              <c16:uniqueId val="{0000001E-D08B-4E30-8777-07136573D421}"/>
            </c:ext>
          </c:extLst>
        </c:ser>
        <c:ser>
          <c:idx val="1"/>
          <c:order val="2"/>
          <c:tx>
            <c:v>media</c:v>
          </c:tx>
          <c:spPr>
            <a:ln w="19050">
              <a:solidFill>
                <a:srgbClr val="FF0000"/>
              </a:solidFill>
              <a:prstDash val="sysDash"/>
            </a:ln>
          </c:spPr>
          <c:marker>
            <c:symbol val="none"/>
          </c:marker>
          <c:cat>
            <c:numRef>
              <c:f>'REGIONALI + RFI'!$AN$234:$AN$244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Simona!$AV$172:$BF$172</c:f>
              <c:numCache>
                <c:formatCode>General</c:formatCode>
                <c:ptCount val="11"/>
                <c:pt idx="0">
                  <c:v>0.041846609274303885</c:v>
                </c:pt>
                <c:pt idx="1">
                  <c:v>0.041846609274303885</c:v>
                </c:pt>
                <c:pt idx="2">
                  <c:v>0.041846609274303885</c:v>
                </c:pt>
                <c:pt idx="3">
                  <c:v>0.041846609274303885</c:v>
                </c:pt>
                <c:pt idx="4">
                  <c:v>0.041846609274303885</c:v>
                </c:pt>
                <c:pt idx="5">
                  <c:v>0.041846609274303885</c:v>
                </c:pt>
                <c:pt idx="6">
                  <c:v>0.041846609274303885</c:v>
                </c:pt>
                <c:pt idx="7">
                  <c:v>0.041846609274303885</c:v>
                </c:pt>
                <c:pt idx="8">
                  <c:v>0.041846609274303885</c:v>
                </c:pt>
                <c:pt idx="9">
                  <c:v>0.041846609274303885</c:v>
                </c:pt>
                <c:pt idx="10">
                  <c:v>0.041846609274303885</c:v>
                </c:pt>
              </c:numCache>
            </c:numRef>
          </c:val>
          <c:smooth val="0"/>
          <c:extLst>
            <c:ext xmlns:c="http://schemas.openxmlformats.org/drawingml/2006/chart" xmlns:c16="http://schemas.microsoft.com/office/drawing/2014/chart" uri="{C3380CC4-5D6E-409C-BE32-E72D297353CC}">
              <c16:uniqueId val="{0000001F-D08B-4E30-8777-07136573D421}"/>
            </c:ext>
          </c:extLst>
        </c:ser>
        <c:dLbls>
          <c:showLegendKey val="0"/>
          <c:showVal val="0"/>
          <c:showCatName val="0"/>
          <c:showSerName val="0"/>
          <c:showPercent val="0"/>
          <c:showBubbleSize val="0"/>
        </c:dLbls>
        <c:marker val="1"/>
        <c:smooth val="0"/>
        <c:axId val="481693072"/>
        <c:axId val="481884728"/>
      </c:lineChart>
      <c:catAx>
        <c:axId val="48169895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0" vert="horz"/>
          <a:lstStyle/>
          <a:p>
            <a:pPr>
              <a:defRPr sz="800"/>
            </a:pPr>
            <a:endParaRPr lang="fr-FR"/>
          </a:p>
        </c:txPr>
        <c:crossAx val="481692680"/>
        <c:crosses val="autoZero"/>
        <c:auto val="1"/>
        <c:lblAlgn val="ctr"/>
        <c:lblOffset val="100"/>
        <c:noMultiLvlLbl val="0"/>
      </c:catAx>
      <c:valAx>
        <c:axId val="481692680"/>
        <c:scaling>
          <c:orientation val="minMax"/>
          <c:max val="50"/>
          <c:min val="0"/>
        </c:scaling>
        <c:delete val="0"/>
        <c:axPos val="r"/>
        <c:majorGridlines>
          <c:spPr>
            <a:ln w="9525">
              <a:solidFill>
                <a:schemeClr val="tx1">
                  <a:lumMod val="15000"/>
                  <a:lumOff val="85000"/>
                </a:schemeClr>
              </a:solidFill>
              <a:round/>
            </a:ln>
            <a:effectLst/>
          </c:spPr>
        </c:majorGridlines>
        <c:title>
          <c:tx>
            <c:rich>
              <a:bodyPr/>
              <a:lstStyle/>
              <a:p>
                <a:pPr>
                  <a:defRPr sz="800"/>
                </a:pPr>
                <a:r>
                  <a:rPr lang="it-IT" sz="800"/>
                  <a:t>n° INCIDENTI SIGNIFICATIVI</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698952"/>
        <c:crosses val="max"/>
        <c:crossBetween val="between"/>
      </c:valAx>
      <c:catAx>
        <c:axId val="481693072"/>
        <c:scaling>
          <c:orientation val="minMax"/>
        </c:scaling>
        <c:delete val="1"/>
        <c:axPos val="t"/>
        <c:numFmt formatCode="General" sourceLinked="1"/>
        <c:majorTickMark val="out"/>
        <c:minorTickMark val="none"/>
        <c:tickLblPos val="nextTo"/>
        <c:crossAx val="481884728"/>
        <c:crosses val="max"/>
        <c:auto val="1"/>
        <c:lblAlgn val="ctr"/>
        <c:lblOffset val="100"/>
        <c:noMultiLvlLbl val="0"/>
      </c:catAx>
      <c:valAx>
        <c:axId val="481884728"/>
        <c:scaling>
          <c:orientation val="minMax"/>
          <c:max val="0.065000000000000016"/>
          <c:min val="0"/>
        </c:scaling>
        <c:delete val="0"/>
        <c:axPos val="l"/>
        <c:title>
          <c:tx>
            <c:rich>
              <a:bodyPr/>
              <a:lstStyle/>
              <a:p>
                <a:pPr>
                  <a:defRPr sz="800"/>
                </a:pPr>
                <a:r>
                  <a:rPr lang="it-IT" sz="800"/>
                  <a:t>n° INCIDENTI SIGNIFICATIVI/Mln tr-km</a:t>
                </a:r>
              </a:p>
            </c:rich>
          </c:tx>
          <c:layout/>
          <c:overlay val="0"/>
          <c:spPr>
            <a:noFill/>
            <a:ln w="25400">
              <a:noFill/>
            </a:ln>
          </c:spPr>
        </c:title>
        <c:numFmt formatCode="General" sourceLinked="1"/>
        <c:majorTickMark val="out"/>
        <c:minorTickMark val="none"/>
        <c:tickLblPos val="nextTo"/>
        <c:spPr>
          <a:ln w="9525">
            <a:noFill/>
          </a:ln>
        </c:spPr>
        <c:txPr>
          <a:bodyPr rot="0" vert="horz"/>
          <a:lstStyle/>
          <a:p>
            <a:pPr>
              <a:defRPr sz="700"/>
            </a:pPr>
            <a:endParaRPr lang="fr-FR"/>
          </a:p>
        </c:txPr>
        <c:crossAx val="481693072"/>
        <c:crosses val="autoZero"/>
        <c:crossBetween val="between"/>
      </c:valAx>
      <c:spPr>
        <a:noFill/>
        <a:ln w="25400">
          <a:noFill/>
        </a:ln>
      </c:spPr>
    </c:plotArea>
    <c:legend>
      <c:legendPos val="b"/>
      <c:legendEntry>
        <c:idx val="2"/>
        <c:delete val="1"/>
      </c:legendEntry>
      <c:legendEntry>
        <c:idx val="3"/>
        <c:delete val="1"/>
      </c:legendEntry>
      <c:layout>
        <c:manualLayout>
          <c:xMode val="edge"/>
          <c:yMode val="edge"/>
          <c:x val="0.23899300087489064"/>
          <c:y val="0.9394867977436735"/>
          <c:w val="0.54370573860823179"/>
          <c:h val="0.0575058380370114"/>
        </c:manualLayout>
      </c:layout>
      <c:overlay val="0"/>
      <c:txPr>
        <a:bodyPr/>
        <a:lstStyle/>
        <a:p>
          <a:pPr>
            <a:defRPr sz="800"/>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entury Gothic" panose="020B0502020202020204" pitchFamily="34" charset="0"/>
          <a:ea typeface="Calibri"/>
          <a:cs typeface="Calibri"/>
        </a:defRPr>
      </a:pPr>
      <a:endParaRPr lang="fr-FR"/>
    </a:p>
  </c:txPr>
  <c:externalData r:id="rId1">
    <c:autoUpdate val="0"/>
  </c:externalData>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0.60403</cdr:x>
      <cdr:y>0.5044</cdr:y>
    </cdr:from>
    <cdr:to>
      <cdr:x>1</cdr:x>
      <cdr:y>0.90895</cdr:y>
    </cdr:to>
    <cdr:grpSp>
      <cdr:nvGrpSpPr>
        <cdr:cNvPr id="1590487731" name="Gruppo 5"/>
        <cdr:cNvGrpSpPr/>
      </cdr:nvGrpSpPr>
      <cdr:grpSpPr>
        <a:xfrm>
          <a:off x="3470429" y="1682496"/>
          <a:ext cx="2275052" cy="1349463"/>
          <a:chOff x="3218471" y="1417620"/>
          <a:chExt cx="2459304" cy="1549863"/>
        </a:xfrm>
      </cdr:grpSpPr>
      <cdr:sp>
        <cdr:nvSpPr>
          <cdr:cNvPr id="1556926789" name="CasellaDiTesto 1"/>
          <cdr:cNvSpPr txBox="1"/>
        </cdr:nvSpPr>
        <cdr:spPr>
          <a:xfrm>
            <a:off x="3261709" y="1417620"/>
            <a:ext cx="1033669" cy="903095"/>
          </a:xfrm>
          <a:prstGeom prst="rect">
            <a:avLst/>
          </a:prstGeom>
        </cdr:spPr>
        <cdr:txBody>
          <a:bodyPr vertOverflow="clip" wrap="none" rtlCol="0"/>
          <a:lstStyle/>
          <a:p>
            <a:pPr>
              <a:lnSpc>
                <a:spcPts val="900"/>
              </a:lnSpc>
            </a:pPr>
            <a:r>
              <a:rPr lang="it-IT" sz="800" b="1">
                <a:solidFill>
                  <a:srgbClr val="FFC000"/>
                </a:solidFill>
                <a:latin typeface="Century Gothic" panose="020B0502020202020204" pitchFamily="34" charset="0"/>
              </a:rPr>
              <a:t>CRITICAL trend</a:t>
            </a:r>
          </a:p>
          <a:p>
            <a:pPr>
              <a:lnSpc>
                <a:spcPts val="700"/>
              </a:lnSpc>
            </a:pPr>
            <a:r>
              <a:rPr lang="it-IT" sz="700">
                <a:latin typeface="Century Gothic" panose="020B0502020202020204" pitchFamily="34" charset="0"/>
              </a:rPr>
              <a:t>decrease</a:t>
            </a:r>
            <a:br>
              <a:rPr lang="it-IT" sz="700">
                <a:latin typeface="Century Gothic" panose="020B0502020202020204" pitchFamily="34" charset="0"/>
              </a:rPr>
            </a:br>
            <a:r>
              <a:rPr lang="it-IT" sz="700">
                <a:latin typeface="Century Gothic" panose="020B0502020202020204" pitchFamily="34" charset="0"/>
              </a:rPr>
              <a:t>victims and</a:t>
            </a:r>
            <a:br>
              <a:rPr lang="it-IT" sz="700">
                <a:latin typeface="Century Gothic" panose="020B0502020202020204" pitchFamily="34" charset="0"/>
              </a:rPr>
            </a:br>
            <a:r>
              <a:rPr lang="it-IT" sz="700">
                <a:latin typeface="Century Gothic" panose="020B0502020202020204" pitchFamily="34" charset="0"/>
              </a:rPr>
              <a:t>increase</a:t>
            </a:r>
            <a:br>
              <a:rPr lang="it-IT" sz="700">
                <a:latin typeface="Century Gothic" panose="020B0502020202020204" pitchFamily="34" charset="0"/>
              </a:rPr>
            </a:br>
            <a:r>
              <a:rPr lang="it-IT" sz="700">
                <a:latin typeface="Century Gothic" panose="020B0502020202020204" pitchFamily="34" charset="0"/>
              </a:rPr>
              <a:t>accidents</a:t>
            </a:r>
            <a:endParaRPr lang="it-IT" sz="600">
              <a:latin typeface="Century Gothic" panose="020B0502020202020204" pitchFamily="34" charset="0"/>
            </a:endParaRPr>
          </a:p>
        </cdr:txBody>
      </cdr:sp>
      <cdr:sp>
        <cdr:nvSpPr>
          <cdr:cNvPr id="366304118" name="CasellaDiTesto 1"/>
          <cdr:cNvSpPr txBox="1"/>
        </cdr:nvSpPr>
        <cdr:spPr>
          <a:xfrm>
            <a:off x="4666306" y="1456113"/>
            <a:ext cx="992360" cy="896658"/>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latin typeface="Century Gothic" panose="020B0502020202020204" pitchFamily="34" charset="0"/>
              </a:rPr>
              <a:t>NEGATIVE trend</a:t>
            </a:r>
            <a:r>
              <a:rPr lang="it-IT" sz="700">
                <a:latin typeface="Century Gothic" panose="020B0502020202020204" pitchFamily="34" charset="0"/>
              </a:rPr>
              <a:t/>
            </a:r>
            <a:br>
              <a:rPr lang="it-IT" sz="700">
                <a:latin typeface="Century Gothic" panose="020B0502020202020204" pitchFamily="34" charset="0"/>
              </a:rPr>
            </a:br>
            <a:r>
              <a:rPr lang="it-IT" sz="700">
                <a:latin typeface="Century Gothic" panose="020B0502020202020204" pitchFamily="34" charset="0"/>
              </a:rPr>
              <a:t>increasing victims</a:t>
            </a:r>
            <a:br>
              <a:rPr lang="it-IT" sz="700">
                <a:latin typeface="Century Gothic" panose="020B0502020202020204" pitchFamily="34" charset="0"/>
              </a:rPr>
            </a:br>
            <a:r>
              <a:rPr lang="it-IT" sz="700">
                <a:latin typeface="Century Gothic" panose="020B0502020202020204" pitchFamily="34" charset="0"/>
              </a:rPr>
              <a:t>and significant </a:t>
            </a:r>
          </a:p>
          <a:p>
            <a:pPr>
              <a:lnSpc>
                <a:spcPts val="900"/>
              </a:lnSpc>
            </a:pPr>
            <a:r>
              <a:rPr lang="it-IT" sz="700">
                <a:latin typeface="Century Gothic" panose="020B0502020202020204" pitchFamily="34" charset="0"/>
              </a:rPr>
              <a:t>accidents</a:t>
            </a:r>
            <a:endParaRPr lang="it-IT" sz="600" baseline="0">
              <a:latin typeface="Century Gothic" panose="020B0502020202020204" pitchFamily="34" charset="0"/>
            </a:endParaRPr>
          </a:p>
        </cdr:txBody>
      </cdr:sp>
      <cdr:sp>
        <cdr:nvSpPr>
          <cdr:cNvPr id="1339512971" name="CasellaDiTesto 1"/>
          <cdr:cNvSpPr txBox="1"/>
        </cdr:nvSpPr>
        <cdr:spPr>
          <a:xfrm>
            <a:off x="3218471" y="2058229"/>
            <a:ext cx="1225469" cy="678947"/>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solidFill>
                  <a:srgbClr val="00B050"/>
                </a:solidFill>
                <a:latin typeface="Century Gothic" panose="020B0502020202020204" pitchFamily="34" charset="0"/>
              </a:rPr>
              <a:t>ALIGNED WITH </a:t>
            </a:r>
          </a:p>
          <a:p>
            <a:pPr>
              <a:lnSpc>
                <a:spcPts val="900"/>
              </a:lnSpc>
            </a:pPr>
            <a:r>
              <a:rPr lang="it-IT" sz="800" b="1">
                <a:solidFill>
                  <a:srgbClr val="00B050"/>
                </a:solidFill>
                <a:latin typeface="Century Gothic" panose="020B0502020202020204" pitchFamily="34" charset="0"/>
              </a:rPr>
              <a:t>THE GOAL</a:t>
            </a:r>
          </a:p>
          <a:p>
            <a:pPr>
              <a:lnSpc>
                <a:spcPts val="900"/>
              </a:lnSpc>
            </a:pPr>
            <a:r>
              <a:rPr lang="it-IT" sz="700">
                <a:latin typeface="Century Gothic" panose="020B0502020202020204" pitchFamily="34" charset="0"/>
              </a:rPr>
              <a:t>decrease victims </a:t>
            </a:r>
          </a:p>
          <a:p>
            <a:pPr>
              <a:lnSpc>
                <a:spcPts val="900"/>
              </a:lnSpc>
            </a:pPr>
            <a:r>
              <a:rPr lang="it-IT" sz="700">
                <a:latin typeface="Century Gothic" panose="020B0502020202020204" pitchFamily="34" charset="0"/>
              </a:rPr>
              <a:t>and accidents</a:t>
            </a:r>
            <a:endParaRPr lang="it-IT" sz="600">
              <a:latin typeface="Century Gothic" panose="020B0502020202020204" pitchFamily="34" charset="0"/>
            </a:endParaRPr>
          </a:p>
        </cdr:txBody>
      </cdr:sp>
      <cdr:sp>
        <cdr:nvSpPr>
          <cdr:cNvPr id="1152167741" name="CasellaDiTesto 1"/>
          <cdr:cNvSpPr txBox="1"/>
        </cdr:nvSpPr>
        <cdr:spPr>
          <a:xfrm>
            <a:off x="4626021" y="2055472"/>
            <a:ext cx="1051754" cy="912011"/>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solidFill>
                  <a:srgbClr val="FF0000"/>
                </a:solidFill>
                <a:latin typeface="Century Gothic" panose="020B0502020202020204" pitchFamily="34" charset="0"/>
              </a:rPr>
              <a:t>EXTREMELY </a:t>
            </a:r>
          </a:p>
          <a:p>
            <a:pPr>
              <a:lnSpc>
                <a:spcPts val="900"/>
              </a:lnSpc>
            </a:pPr>
            <a:r>
              <a:rPr lang="it-IT" sz="800" b="1">
                <a:solidFill>
                  <a:srgbClr val="FF0000"/>
                </a:solidFill>
                <a:latin typeface="Century Gothic" panose="020B0502020202020204" pitchFamily="34" charset="0"/>
              </a:rPr>
              <a:t>CRITICAL trend</a:t>
            </a:r>
          </a:p>
          <a:p>
            <a:pPr>
              <a:lnSpc>
                <a:spcPts val="900"/>
              </a:lnSpc>
            </a:pPr>
            <a:r>
              <a:rPr lang="it-IT" sz="700">
                <a:latin typeface="Century Gothic" panose="020B0502020202020204" pitchFamily="34" charset="0"/>
              </a:rPr>
              <a:t>decrease significant</a:t>
            </a:r>
          </a:p>
          <a:p>
            <a:pPr>
              <a:lnSpc>
                <a:spcPts val="900"/>
              </a:lnSpc>
            </a:pPr>
            <a:r>
              <a:rPr lang="it-IT" sz="700">
                <a:latin typeface="Century Gothic" panose="020B0502020202020204" pitchFamily="34" charset="0"/>
              </a:rPr>
              <a:t>accidents and</a:t>
            </a:r>
          </a:p>
          <a:p>
            <a:pPr>
              <a:lnSpc>
                <a:spcPts val="900"/>
              </a:lnSpc>
            </a:pPr>
            <a:r>
              <a:rPr lang="it-IT" sz="700">
                <a:latin typeface="Century Gothic" panose="020B0502020202020204" pitchFamily="34" charset="0"/>
              </a:rPr>
              <a:t>increase victims</a:t>
            </a:r>
          </a:p>
        </cdr:txBody>
      </cdr:sp>
      <cdr:cxnSp>
        <cdr:nvCxnSpPr>
          <cdr:cNvPr id="1437338367" name="Connettore 2 6"/>
          <cdr:cNvCxnSpPr/>
        </cdr:nvCxnSpPr>
        <cdr:spPr>
          <a:xfrm flipV="1">
            <a:off x="4447921" y="1710824"/>
            <a:ext cx="255961" cy="274991"/>
          </a:xfrm>
          <a:prstGeom prst="straightConnector1">
            <a:avLst/>
          </a:prstGeom>
          <a:ln>
            <a:solidFill>
              <a:sysClr val="windowText" lastClr="000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62548892" name="Connettore 2 8"/>
          <cdr:cNvCxnSpPr/>
        </cdr:nvCxnSpPr>
        <cdr:spPr>
          <a:xfrm flipH="1" flipV="1">
            <a:off x="4135482" y="1710824"/>
            <a:ext cx="196438" cy="270722"/>
          </a:xfrm>
          <a:prstGeom prst="straightConnector1">
            <a:avLst/>
          </a:prstGeom>
          <a:ln>
            <a:solidFill>
              <a:srgbClr val="FFC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810398278" name="Connettore 2 11"/>
          <cdr:cNvCxnSpPr/>
        </cdr:nvCxnSpPr>
        <cdr:spPr>
          <a:xfrm>
            <a:off x="4447921" y="2119408"/>
            <a:ext cx="228900" cy="336301"/>
          </a:xfrm>
          <a:prstGeom prst="straightConnector1">
            <a:avLst/>
          </a:prstGeom>
          <a:ln>
            <a:solidFill>
              <a:srgbClr val="FF0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753643472" name="Connettore 2 13"/>
          <cdr:cNvCxnSpPr/>
        </cdr:nvCxnSpPr>
        <cdr:spPr>
          <a:xfrm flipH="1">
            <a:off x="4113534" y="2134152"/>
            <a:ext cx="212238" cy="351378"/>
          </a:xfrm>
          <a:prstGeom prst="straightConnector1">
            <a:avLst/>
          </a:prstGeom>
          <a:ln>
            <a:solidFill>
              <a:srgbClr val="00B050"/>
            </a:solidFill>
            <a:tailEnd type="triangle"/>
          </a:ln>
        </cdr:spPr>
        <cdr:style>
          <a:lnRef idx="1">
            <a:schemeClr val="accent1"/>
          </a:lnRef>
          <a:fillRef idx="0">
            <a:schemeClr val="accent1"/>
          </a:fillRef>
          <a:effectRef idx="0">
            <a:schemeClr val="accent1"/>
          </a:effectRef>
          <a:fontRef idx="minor">
            <a:schemeClr val="tx1"/>
          </a:fontRef>
        </cdr:style>
      </cdr:cxnSp>
    </cdr:grpSp>
  </cdr:relSizeAnchor>
  <cdr:relSizeAnchor xmlns:cdr="http://schemas.openxmlformats.org/drawingml/2006/chartDrawing">
    <cdr:from>
      <cdr:x>0.40743</cdr:x>
      <cdr:y>0.26974</cdr:y>
    </cdr:from>
    <cdr:to>
      <cdr:x>0.83523</cdr:x>
      <cdr:y>0.4408</cdr:y>
    </cdr:to>
    <cdr:cxnSp>
      <cdr:nvCxnSpPr>
        <cdr:cNvPr id="1133337017" name="Connettore 2 9"/>
        <cdr:cNvCxnSpPr/>
      </cdr:nvCxnSpPr>
      <cdr:spPr>
        <a:xfrm flipH="1">
          <a:off x="2340864" y="899770"/>
          <a:ext cx="2457907" cy="570585"/>
        </a:xfrm>
        <a:prstGeom prst="straightConnector1">
          <a:avLst/>
        </a:prstGeom>
        <a:ln w="22225">
          <a:solidFill>
            <a:srgbClr val="34EC60"/>
          </a:solidFill>
          <a:tailEnd type="triangle"/>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0.10058</cdr:x>
      <cdr:y>0.27735</cdr:y>
    </cdr:from>
    <cdr:to>
      <cdr:x>0.83703</cdr:x>
      <cdr:y>0.8509</cdr:y>
    </cdr:to>
    <cdr:cxnSp>
      <cdr:nvCxnSpPr>
        <cdr:cNvPr id="1059401840" name="Connettore 2 12"/>
        <cdr:cNvCxnSpPr/>
      </cdr:nvCxnSpPr>
      <cdr:spPr bwMode="auto">
        <a:xfrm flipH="1">
          <a:off x="577900" y="925144"/>
          <a:ext cx="4231235" cy="1913154"/>
        </a:xfrm>
        <a:prstGeom prst="straightConnector1">
          <a:avLst/>
        </a:prstGeom>
        <a:ln w="22225">
          <a:solidFill>
            <a:srgbClr val="34EC60"/>
          </a:solidFill>
          <a:prstDash val="sysDot"/>
          <a:tailEnd type="triangle"/>
        </a:ln>
      </cdr:spPr>
      <cdr:style>
        <a:lnRef idx="1">
          <a:schemeClr val="accent1"/>
        </a:lnRef>
        <a:fillRef idx="0">
          <a:schemeClr val="accent1"/>
        </a:fillRef>
        <a:effectRef idx="0">
          <a:schemeClr val="accent1"/>
        </a:effectRef>
        <a:fontRef idx="minor">
          <a:schemeClr val="tx1"/>
        </a:fontRef>
      </cdr:style>
    </cdr:cxnSp>
  </cdr:relSizeAnchor>
</c:userShapes>
</file>

<file path=word/drawings/drawing2.xml><?xml version="1.0" encoding="utf-8"?>
<c:userShapes xmlns:c="http://schemas.openxmlformats.org/drawingml/2006/chart" xmlns:a="http://schemas.openxmlformats.org/drawingml/2006/main">
  <cdr:relSizeAnchor xmlns:cdr="http://schemas.openxmlformats.org/drawingml/2006/chartDrawing">
    <cdr:from>
      <cdr:x>0.60403</cdr:x>
      <cdr:y>0.5044</cdr:y>
    </cdr:from>
    <cdr:to>
      <cdr:x>1</cdr:x>
      <cdr:y>0.90895</cdr:y>
    </cdr:to>
    <cdr:grpSp>
      <cdr:nvGrpSpPr>
        <cdr:cNvPr id="1355490237" name="Gruppo 5"/>
        <cdr:cNvGrpSpPr/>
      </cdr:nvGrpSpPr>
      <cdr:grpSpPr>
        <a:xfrm>
          <a:off x="3470429" y="1682496"/>
          <a:ext cx="2275052" cy="1349463"/>
          <a:chOff x="3218471" y="1417620"/>
          <a:chExt cx="2459304" cy="1549863"/>
        </a:xfrm>
      </cdr:grpSpPr>
      <cdr:sp>
        <cdr:nvSpPr>
          <cdr:cNvPr id="1289785959" name="CasellaDiTesto 1"/>
          <cdr:cNvSpPr txBox="1"/>
        </cdr:nvSpPr>
        <cdr:spPr>
          <a:xfrm>
            <a:off x="3261709" y="1417620"/>
            <a:ext cx="1033669" cy="903095"/>
          </a:xfrm>
          <a:prstGeom prst="rect">
            <a:avLst/>
          </a:prstGeom>
        </cdr:spPr>
        <cdr:txBody>
          <a:bodyPr vertOverflow="clip" wrap="none" rtlCol="0"/>
          <a:lstStyle/>
          <a:p>
            <a:pPr>
              <a:lnSpc>
                <a:spcPts val="900"/>
              </a:lnSpc>
            </a:pPr>
            <a:r>
              <a:rPr lang="it-IT" sz="800" b="1">
                <a:solidFill>
                  <a:srgbClr val="FFC000"/>
                </a:solidFill>
                <a:latin typeface="Century Gothic" panose="020B0502020202020204" pitchFamily="34" charset="0"/>
              </a:rPr>
              <a:t>CRITICAL trend</a:t>
            </a:r>
          </a:p>
          <a:p>
            <a:pPr>
              <a:lnSpc>
                <a:spcPts val="700"/>
              </a:lnSpc>
            </a:pPr>
            <a:r>
              <a:rPr lang="it-IT" sz="700">
                <a:latin typeface="Century Gothic" panose="020B0502020202020204" pitchFamily="34" charset="0"/>
              </a:rPr>
              <a:t>decrease</a:t>
            </a:r>
            <a:br>
              <a:rPr lang="it-IT" sz="700">
                <a:latin typeface="Century Gothic" panose="020B0502020202020204" pitchFamily="34" charset="0"/>
              </a:rPr>
            </a:br>
            <a:r>
              <a:rPr lang="it-IT" sz="700">
                <a:latin typeface="Century Gothic" panose="020B0502020202020204" pitchFamily="34" charset="0"/>
              </a:rPr>
              <a:t>victims and</a:t>
            </a:r>
            <a:br>
              <a:rPr lang="it-IT" sz="700">
                <a:latin typeface="Century Gothic" panose="020B0502020202020204" pitchFamily="34" charset="0"/>
              </a:rPr>
            </a:br>
            <a:r>
              <a:rPr lang="it-IT" sz="700">
                <a:latin typeface="Century Gothic" panose="020B0502020202020204" pitchFamily="34" charset="0"/>
              </a:rPr>
              <a:t>increase</a:t>
            </a:r>
            <a:br>
              <a:rPr lang="it-IT" sz="700">
                <a:latin typeface="Century Gothic" panose="020B0502020202020204" pitchFamily="34" charset="0"/>
              </a:rPr>
            </a:br>
            <a:r>
              <a:rPr lang="it-IT" sz="700">
                <a:latin typeface="Century Gothic" panose="020B0502020202020204" pitchFamily="34" charset="0"/>
              </a:rPr>
              <a:t>accidents</a:t>
            </a:r>
            <a:endParaRPr lang="it-IT" sz="600">
              <a:latin typeface="Century Gothic" panose="020B0502020202020204" pitchFamily="34" charset="0"/>
            </a:endParaRPr>
          </a:p>
        </cdr:txBody>
      </cdr:sp>
      <cdr:sp>
        <cdr:nvSpPr>
          <cdr:cNvPr id="1193979002" name="CasellaDiTesto 1"/>
          <cdr:cNvSpPr txBox="1"/>
        </cdr:nvSpPr>
        <cdr:spPr>
          <a:xfrm>
            <a:off x="4666306" y="1456113"/>
            <a:ext cx="992360" cy="896658"/>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latin typeface="Century Gothic" panose="020B0502020202020204" pitchFamily="34" charset="0"/>
              </a:rPr>
              <a:t>NEGATIVE trend</a:t>
            </a:r>
            <a:r>
              <a:rPr lang="it-IT" sz="700">
                <a:latin typeface="Century Gothic" panose="020B0502020202020204" pitchFamily="34" charset="0"/>
              </a:rPr>
              <a:t/>
            </a:r>
            <a:br>
              <a:rPr lang="it-IT" sz="700">
                <a:latin typeface="Century Gothic" panose="020B0502020202020204" pitchFamily="34" charset="0"/>
              </a:rPr>
            </a:br>
            <a:r>
              <a:rPr lang="it-IT" sz="700">
                <a:latin typeface="Century Gothic" panose="020B0502020202020204" pitchFamily="34" charset="0"/>
              </a:rPr>
              <a:t>increasing victims</a:t>
            </a:r>
            <a:br>
              <a:rPr lang="it-IT" sz="700">
                <a:latin typeface="Century Gothic" panose="020B0502020202020204" pitchFamily="34" charset="0"/>
              </a:rPr>
            </a:br>
            <a:r>
              <a:rPr lang="it-IT" sz="700">
                <a:latin typeface="Century Gothic" panose="020B0502020202020204" pitchFamily="34" charset="0"/>
              </a:rPr>
              <a:t>and significant </a:t>
            </a:r>
          </a:p>
          <a:p>
            <a:pPr>
              <a:lnSpc>
                <a:spcPts val="900"/>
              </a:lnSpc>
            </a:pPr>
            <a:r>
              <a:rPr lang="it-IT" sz="700">
                <a:latin typeface="Century Gothic" panose="020B0502020202020204" pitchFamily="34" charset="0"/>
              </a:rPr>
              <a:t>accidents</a:t>
            </a:r>
            <a:endParaRPr lang="it-IT" sz="600" baseline="0">
              <a:latin typeface="Century Gothic" panose="020B0502020202020204" pitchFamily="34" charset="0"/>
            </a:endParaRPr>
          </a:p>
        </cdr:txBody>
      </cdr:sp>
      <cdr:sp>
        <cdr:nvSpPr>
          <cdr:cNvPr id="223527878" name="CasellaDiTesto 1"/>
          <cdr:cNvSpPr txBox="1"/>
        </cdr:nvSpPr>
        <cdr:spPr>
          <a:xfrm>
            <a:off x="3218471" y="2058229"/>
            <a:ext cx="1225469" cy="678947"/>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solidFill>
                  <a:srgbClr val="00B050"/>
                </a:solidFill>
                <a:latin typeface="Century Gothic" panose="020B0502020202020204" pitchFamily="34" charset="0"/>
              </a:rPr>
              <a:t>ALIGNED WITH </a:t>
            </a:r>
          </a:p>
          <a:p>
            <a:pPr>
              <a:lnSpc>
                <a:spcPts val="900"/>
              </a:lnSpc>
            </a:pPr>
            <a:r>
              <a:rPr lang="it-IT" sz="800" b="1">
                <a:solidFill>
                  <a:srgbClr val="00B050"/>
                </a:solidFill>
                <a:latin typeface="Century Gothic" panose="020B0502020202020204" pitchFamily="34" charset="0"/>
              </a:rPr>
              <a:t>THE GOAL</a:t>
            </a:r>
          </a:p>
          <a:p>
            <a:pPr>
              <a:lnSpc>
                <a:spcPts val="900"/>
              </a:lnSpc>
            </a:pPr>
            <a:r>
              <a:rPr lang="it-IT" sz="700">
                <a:latin typeface="Century Gothic" panose="020B0502020202020204" pitchFamily="34" charset="0"/>
              </a:rPr>
              <a:t>decrease victims </a:t>
            </a:r>
          </a:p>
          <a:p>
            <a:pPr>
              <a:lnSpc>
                <a:spcPts val="900"/>
              </a:lnSpc>
            </a:pPr>
            <a:r>
              <a:rPr lang="it-IT" sz="700">
                <a:latin typeface="Century Gothic" panose="020B0502020202020204" pitchFamily="34" charset="0"/>
              </a:rPr>
              <a:t>and accidents</a:t>
            </a:r>
            <a:endParaRPr lang="it-IT" sz="600">
              <a:latin typeface="Century Gothic" panose="020B0502020202020204" pitchFamily="34" charset="0"/>
            </a:endParaRPr>
          </a:p>
        </cdr:txBody>
      </cdr:sp>
      <cdr:sp>
        <cdr:nvSpPr>
          <cdr:cNvPr id="1547223683" name="CasellaDiTesto 1"/>
          <cdr:cNvSpPr txBox="1"/>
        </cdr:nvSpPr>
        <cdr:spPr>
          <a:xfrm>
            <a:off x="4626021" y="2055472"/>
            <a:ext cx="1051754" cy="912011"/>
          </a:xfrm>
          <a:prstGeom prst="rect">
            <a:avLst/>
          </a:prstGeom>
        </cdr:spPr>
        <cdr:txBody>
          <a:bodyPr wrap="non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nSpc>
                <a:spcPts val="900"/>
              </a:lnSpc>
            </a:pPr>
            <a:r>
              <a:rPr lang="it-IT" sz="800" b="1">
                <a:solidFill>
                  <a:srgbClr val="FF0000"/>
                </a:solidFill>
                <a:latin typeface="Century Gothic" panose="020B0502020202020204" pitchFamily="34" charset="0"/>
              </a:rPr>
              <a:t>EXTREMELY </a:t>
            </a:r>
          </a:p>
          <a:p>
            <a:pPr>
              <a:lnSpc>
                <a:spcPts val="900"/>
              </a:lnSpc>
            </a:pPr>
            <a:r>
              <a:rPr lang="it-IT" sz="800" b="1">
                <a:solidFill>
                  <a:srgbClr val="FF0000"/>
                </a:solidFill>
                <a:latin typeface="Century Gothic" panose="020B0502020202020204" pitchFamily="34" charset="0"/>
              </a:rPr>
              <a:t>CRITICAL trend</a:t>
            </a:r>
          </a:p>
          <a:p>
            <a:pPr>
              <a:lnSpc>
                <a:spcPts val="900"/>
              </a:lnSpc>
            </a:pPr>
            <a:r>
              <a:rPr lang="it-IT" sz="700">
                <a:latin typeface="Century Gothic" panose="020B0502020202020204" pitchFamily="34" charset="0"/>
              </a:rPr>
              <a:t>decrease significant</a:t>
            </a:r>
          </a:p>
          <a:p>
            <a:pPr>
              <a:lnSpc>
                <a:spcPts val="900"/>
              </a:lnSpc>
            </a:pPr>
            <a:r>
              <a:rPr lang="it-IT" sz="700">
                <a:latin typeface="Century Gothic" panose="020B0502020202020204" pitchFamily="34" charset="0"/>
              </a:rPr>
              <a:t>accidents and</a:t>
            </a:r>
          </a:p>
          <a:p>
            <a:pPr>
              <a:lnSpc>
                <a:spcPts val="900"/>
              </a:lnSpc>
            </a:pPr>
            <a:r>
              <a:rPr lang="it-IT" sz="700">
                <a:latin typeface="Century Gothic" panose="020B0502020202020204" pitchFamily="34" charset="0"/>
              </a:rPr>
              <a:t>increase victims</a:t>
            </a:r>
          </a:p>
        </cdr:txBody>
      </cdr:sp>
      <cdr:cxnSp>
        <cdr:nvCxnSpPr>
          <cdr:cNvPr id="1760444844" name="Connettore 2 6"/>
          <cdr:cNvCxnSpPr/>
        </cdr:nvCxnSpPr>
        <cdr:spPr>
          <a:xfrm flipV="1">
            <a:off x="4447921" y="1710824"/>
            <a:ext cx="255961" cy="274991"/>
          </a:xfrm>
          <a:prstGeom prst="straightConnector1">
            <a:avLst/>
          </a:prstGeom>
          <a:ln>
            <a:solidFill>
              <a:sysClr val="windowText" lastClr="000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1298529501" name="Connettore 2 8"/>
          <cdr:cNvCxnSpPr/>
        </cdr:nvCxnSpPr>
        <cdr:spPr>
          <a:xfrm flipH="1" flipV="1">
            <a:off x="4135482" y="1710824"/>
            <a:ext cx="196438" cy="270722"/>
          </a:xfrm>
          <a:prstGeom prst="straightConnector1">
            <a:avLst/>
          </a:prstGeom>
          <a:ln>
            <a:solidFill>
              <a:srgbClr val="FFC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507248115" name="Connettore 2 11"/>
          <cdr:cNvCxnSpPr/>
        </cdr:nvCxnSpPr>
        <cdr:spPr>
          <a:xfrm>
            <a:off x="4447921" y="2119408"/>
            <a:ext cx="228900" cy="336301"/>
          </a:xfrm>
          <a:prstGeom prst="straightConnector1">
            <a:avLst/>
          </a:prstGeom>
          <a:ln>
            <a:solidFill>
              <a:srgbClr val="FF0000"/>
            </a:solidFill>
            <a:tailEnd type="triangle"/>
          </a:ln>
        </cdr:spPr>
        <cdr:style>
          <a:lnRef idx="1">
            <a:schemeClr val="accent1"/>
          </a:lnRef>
          <a:fillRef idx="0">
            <a:schemeClr val="accent1"/>
          </a:fillRef>
          <a:effectRef idx="0">
            <a:schemeClr val="accent1"/>
          </a:effectRef>
          <a:fontRef idx="minor">
            <a:schemeClr val="tx1"/>
          </a:fontRef>
        </cdr:style>
      </cdr:cxnSp>
      <cdr:cxnSp>
        <cdr:nvCxnSpPr>
          <cdr:cNvPr id="230846956" name="Connettore 2 13"/>
          <cdr:cNvCxnSpPr/>
        </cdr:nvCxnSpPr>
        <cdr:spPr>
          <a:xfrm flipH="1">
            <a:off x="4113534" y="2134152"/>
            <a:ext cx="212238" cy="351378"/>
          </a:xfrm>
          <a:prstGeom prst="straightConnector1">
            <a:avLst/>
          </a:prstGeom>
          <a:ln>
            <a:solidFill>
              <a:srgbClr val="00B050"/>
            </a:solidFill>
            <a:tailEnd type="triangle"/>
          </a:ln>
        </cdr:spPr>
        <cdr:style>
          <a:lnRef idx="1">
            <a:schemeClr val="accent1"/>
          </a:lnRef>
          <a:fillRef idx="0">
            <a:schemeClr val="accent1"/>
          </a:fillRef>
          <a:effectRef idx="0">
            <a:schemeClr val="accent1"/>
          </a:effectRef>
          <a:fontRef idx="minor">
            <a:schemeClr val="tx1"/>
          </a:fontRef>
        </cdr:style>
      </cdr:cxnSp>
    </cdr:grpSp>
  </cdr:relSizeAnchor>
  <cdr:relSizeAnchor xmlns:cdr="http://schemas.openxmlformats.org/drawingml/2006/chartDrawing">
    <cdr:from>
      <cdr:x>0.40743</cdr:x>
      <cdr:y>0.26974</cdr:y>
    </cdr:from>
    <cdr:to>
      <cdr:x>0.83523</cdr:x>
      <cdr:y>0.4408</cdr:y>
    </cdr:to>
    <cdr:cxnSp>
      <cdr:nvCxnSpPr>
        <cdr:cNvPr id="297709811" name="Connettore 2 9"/>
        <cdr:cNvCxnSpPr/>
      </cdr:nvCxnSpPr>
      <cdr:spPr>
        <a:xfrm flipH="1">
          <a:off x="2340864" y="899770"/>
          <a:ext cx="2457907" cy="570585"/>
        </a:xfrm>
        <a:prstGeom prst="straightConnector1">
          <a:avLst/>
        </a:prstGeom>
        <a:ln w="22225">
          <a:solidFill>
            <a:srgbClr val="34EC60"/>
          </a:solidFill>
          <a:tailEnd type="triangle"/>
        </a:ln>
      </cdr:spPr>
      <cdr:style>
        <a:lnRef idx="1">
          <a:schemeClr val="accent1"/>
        </a:lnRef>
        <a:fillRef idx="0">
          <a:schemeClr val="accent1"/>
        </a:fillRef>
        <a:effectRef idx="0">
          <a:schemeClr val="accent1"/>
        </a:effectRef>
        <a:fontRef idx="minor">
          <a:schemeClr val="tx1"/>
        </a:fontRef>
      </cdr:style>
    </cdr:cxnSp>
  </cdr:relSizeAnchor>
  <cdr:relSizeAnchor xmlns:cdr="http://schemas.openxmlformats.org/drawingml/2006/chartDrawing">
    <cdr:from>
      <cdr:x>0.10058</cdr:x>
      <cdr:y>0.27735</cdr:y>
    </cdr:from>
    <cdr:to>
      <cdr:x>0.83703</cdr:x>
      <cdr:y>0.8509</cdr:y>
    </cdr:to>
    <cdr:cxnSp>
      <cdr:nvCxnSpPr>
        <cdr:cNvPr id="1150380007" name="Connettore 2 12"/>
        <cdr:cNvCxnSpPr/>
      </cdr:nvCxnSpPr>
      <cdr:spPr bwMode="auto">
        <a:xfrm flipH="1">
          <a:off x="577900" y="925144"/>
          <a:ext cx="4231235" cy="1913154"/>
        </a:xfrm>
        <a:prstGeom prst="straightConnector1">
          <a:avLst/>
        </a:prstGeom>
        <a:ln w="22225">
          <a:solidFill>
            <a:srgbClr val="34EC60"/>
          </a:solidFill>
          <a:prstDash val="sysDot"/>
          <a:tailEnd type="triangle"/>
        </a:ln>
      </cdr:spPr>
      <cdr:style>
        <a:lnRef idx="1">
          <a:schemeClr val="accent1"/>
        </a:lnRef>
        <a:fillRef idx="0">
          <a:schemeClr val="accent1"/>
        </a:fillRef>
        <a:effectRef idx="0">
          <a:schemeClr val="accent1"/>
        </a:effectRef>
        <a:fontRef idx="minor">
          <a:schemeClr val="tx1"/>
        </a:fontRef>
      </cdr:style>
    </cdr:cxnSp>
  </cdr:relSizeAnchor>
</c:userShapes>
</file>

<file path=word/drawings/drawing3.xml><?xml version="1.0" encoding="utf-8"?>
<c:userShapes xmlns:c="http://schemas.openxmlformats.org/drawingml/2006/chart" xmlns:a="http://schemas.openxmlformats.org/drawingml/2006/main">
  <cdr:relSizeAnchor xmlns:cdr="http://schemas.openxmlformats.org/drawingml/2006/chartDrawing">
    <cdr:from>
      <cdr:x>0.85743</cdr:x>
      <cdr:y>0.24456</cdr:y>
    </cdr:from>
    <cdr:to>
      <cdr:x>1</cdr:x>
      <cdr:y>0.30834</cdr:y>
    </cdr:to>
    <cdr:sp>
      <cdr:nvSpPr>
        <cdr:cNvPr id="1370171467" name="Rettangolo 1"/>
        <cdr:cNvSpPr/>
      </cdr:nvSpPr>
      <cdr:spPr>
        <a:xfrm>
          <a:off x="4249052" y="830044"/>
          <a:ext cx="706488" cy="216497"/>
        </a:xfrm>
        <a:prstGeom prst="rect">
          <a:avLst/>
        </a:prstGeom>
        <a:noFill/>
      </cdr:spPr>
    </cdr:sp>
  </cdr:relSizeAnchor>
  <cdr:relSizeAnchor xmlns:cdr="http://schemas.openxmlformats.org/drawingml/2006/chartDrawing">
    <cdr:from>
      <cdr:x>0.29686</cdr:x>
      <cdr:y>0.20948</cdr:y>
    </cdr:from>
    <cdr:to>
      <cdr:x>0.37466</cdr:x>
      <cdr:y>0.27326</cdr:y>
    </cdr:to>
    <cdr:sp>
      <cdr:nvSpPr>
        <cdr:cNvPr id="1066118203" name="Rettangolo 2"/>
        <cdr:cNvSpPr/>
      </cdr:nvSpPr>
      <cdr:spPr>
        <a:xfrm rot="278177">
          <a:off x="1471082" y="710993"/>
          <a:ext cx="385569" cy="216467"/>
        </a:xfrm>
        <a:prstGeom prst="rect">
          <a:avLst/>
        </a:prstGeom>
        <a:noFill/>
      </cdr:spPr>
    </cdr:sp>
  </cdr:relSizeAnchor>
</c:userShapes>
</file>

<file path=word/drawings/drawing4.xml><?xml version="1.0" encoding="utf-8"?>
<c:userShapes xmlns:c="http://schemas.openxmlformats.org/drawingml/2006/chart" xmlns:a="http://schemas.openxmlformats.org/drawingml/2006/main">
  <cdr:relSizeAnchor xmlns:cdr="http://schemas.openxmlformats.org/drawingml/2006/chartDrawing">
    <cdr:from>
      <cdr:x>0.01202</cdr:x>
      <cdr:y>0.0197</cdr:y>
    </cdr:from>
    <cdr:to>
      <cdr:x>0.17287</cdr:x>
      <cdr:y>0.11601</cdr:y>
    </cdr:to>
    <cdr:grpSp>
      <cdr:nvGrpSpPr>
        <cdr:cNvPr id="792977289" name="Gruppo 1"/>
        <cdr:cNvGrpSpPr/>
      </cdr:nvGrpSpPr>
      <cdr:grpSpPr>
        <a:xfrm>
          <a:off x="50801" y="50797"/>
          <a:ext cx="679958" cy="248285"/>
          <a:chOff x="-3872153" y="-4065667"/>
          <a:chExt cx="728828" cy="337081"/>
        </a:xfrm>
      </cdr:grpSpPr>
      <cdr:sp>
        <cdr:nvSpPr>
          <cdr:cNvPr id="442117172" name="Casella di testo 2"/>
          <cdr:cNvSpPr txBox="1">
            <a:spLocks noChangeArrowheads="1"/>
          </cdr:cNvSpPr>
        </cdr:nvSpPr>
        <cdr:spPr bwMode="auto">
          <a:xfrm>
            <a:off x="-3872153" y="-4065667"/>
            <a:ext cx="415190" cy="337081"/>
          </a:xfrm>
          <a:prstGeom prst="rect">
            <a:avLst/>
          </a:prstGeom>
          <a:noFill/>
          <a:ln w="9525">
            <a:noFill/>
            <a:miter lim="800000"/>
            <a:headEnd/>
            <a:tailEnd/>
          </a:ln>
        </cdr:spPr>
      </cdr:sp>
      <cdr:sp>
        <cdr:nvSpPr>
          <cdr:cNvPr id="1025410040" name="Casella di testo 2"/>
          <cdr:cNvSpPr txBox="1">
            <a:spLocks noChangeArrowheads="1"/>
          </cdr:cNvSpPr>
        </cdr:nvSpPr>
        <cdr:spPr bwMode="auto">
          <a:xfrm>
            <a:off x="-3558515" y="-4065667"/>
            <a:ext cx="415190" cy="337081"/>
          </a:xfrm>
          <a:prstGeom prst="rect">
            <a:avLst/>
          </a:prstGeom>
          <a:noFill/>
          <a:ln w="9525">
            <a:noFill/>
            <a:miter lim="800000"/>
            <a:headEnd/>
            <a:tailEnd/>
          </a:ln>
        </cdr:spPr>
      </cdr:sp>
    </cdr:grpSp>
  </cdr:relSizeAnchor>
</c:userShapes>
</file>

<file path=word/drawings/drawing5.xml><?xml version="1.0" encoding="utf-8"?>
<c:userShapes xmlns:c="http://schemas.openxmlformats.org/drawingml/2006/chart" xmlns:a="http://schemas.openxmlformats.org/drawingml/2006/main">
  <cdr:relSizeAnchor xmlns:cdr="http://schemas.openxmlformats.org/drawingml/2006/chartDrawing">
    <cdr:from>
      <cdr:x>0.72237</cdr:x>
      <cdr:y>0.81708</cdr:y>
    </cdr:from>
    <cdr:to>
      <cdr:x>0.86397</cdr:x>
      <cdr:y>0.93108</cdr:y>
    </cdr:to>
    <cdr:sp>
      <cdr:nvSpPr>
        <cdr:cNvPr id="78330461" name="Ovale 1"/>
        <cdr:cNvSpPr/>
      </cdr:nvSpPr>
      <cdr:spPr>
        <a:xfrm>
          <a:off x="3250826" y="2156318"/>
          <a:ext cx="637234" cy="300853"/>
        </a:xfrm>
        <a:prstGeom prst="ellipse">
          <a:avLst/>
        </a:prstGeom>
        <a:solidFill>
          <a:schemeClr val="lt1">
            <a:alpha val="0"/>
          </a:schemeClr>
        </a:solidFill>
        <a:ln>
          <a:noFill/>
        </a:ln>
      </cdr:spPr>
      <cdr:style>
        <a:lnRef idx="2">
          <a:schemeClr val="accent2"/>
        </a:lnRef>
        <a:fillRef idx="1">
          <a:schemeClr val="lt1"/>
        </a:fillRef>
        <a:effectRef idx="0">
          <a:schemeClr val="accent2"/>
        </a:effectRef>
        <a:fontRef idx="minor">
          <a:schemeClr val="dk1"/>
        </a:fontRef>
      </cdr:style>
      <cdr:txBody>
        <a:bodyPr vertOverflow="clip" anchor="ctr"/>
        <a:lstStyle/>
        <a:p>
          <a:pPr algn="ctr"/>
          <a:r>
            <a:rPr lang="it-IT" sz="700" b="1" dirty="0" smtClean="0">
              <a:solidFill>
                <a:schemeClr val="tx1"/>
              </a:solidFill>
              <a:latin typeface="Century Gothic" panose="020B0502020202020204" pitchFamily="34" charset="0"/>
            </a:rPr>
            <a:t>(0)</a:t>
          </a:r>
          <a:endParaRPr lang="it-IT" sz="700" b="1" dirty="0">
            <a:solidFill>
              <a:schemeClr val="tx1"/>
            </a:solidFill>
            <a:latin typeface="Century Gothic" panose="020B0502020202020204" pitchFamily="34" charset="0"/>
          </a:endParaRPr>
        </a:p>
      </cdr:txBody>
    </cdr:sp>
  </cdr:relSizeAnchor>
  <cdr:relSizeAnchor xmlns:cdr="http://schemas.openxmlformats.org/drawingml/2006/chartDrawing">
    <cdr:from>
      <cdr:x>0.80195</cdr:x>
      <cdr:y>0.81924</cdr:y>
    </cdr:from>
    <cdr:to>
      <cdr:x>0.94356</cdr:x>
      <cdr:y>0.93324</cdr:y>
    </cdr:to>
    <cdr:sp>
      <cdr:nvSpPr>
        <cdr:cNvPr id="969336843" name="Ovale 4"/>
        <cdr:cNvSpPr/>
      </cdr:nvSpPr>
      <cdr:spPr>
        <a:xfrm>
          <a:off x="3608971" y="2162032"/>
          <a:ext cx="637280" cy="300853"/>
        </a:xfrm>
        <a:prstGeom prst="ellipse">
          <a:avLst/>
        </a:prstGeom>
        <a:solidFill>
          <a:schemeClr val="lt1">
            <a:alpha val="0"/>
          </a:schemeClr>
        </a:solidFill>
        <a:ln>
          <a:noFill/>
        </a:ln>
      </cdr:spPr>
      <cdr:style>
        <a:lnRef idx="2">
          <a:schemeClr val="accent2"/>
        </a:lnRef>
        <a:fillRef idx="1">
          <a:schemeClr val="lt1"/>
        </a:fillRef>
        <a:effectRef idx="0">
          <a:schemeClr val="accent2"/>
        </a:effectRef>
        <a:fontRef idx="minor">
          <a:schemeClr val="dk1"/>
        </a:fontRef>
      </cdr:style>
      <cdr:txBody>
        <a:bodyPr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it-IT" sz="700" b="1" dirty="0" smtClean="0">
              <a:solidFill>
                <a:schemeClr val="tx1"/>
              </a:solidFill>
              <a:latin typeface="Century Gothic" panose="020B0502020202020204" pitchFamily="34" charset="0"/>
            </a:rPr>
            <a:t>(0)</a:t>
          </a:r>
          <a:endParaRPr lang="it-IT" sz="700" b="1" dirty="0">
            <a:solidFill>
              <a:schemeClr val="tx1"/>
            </a:solidFill>
            <a:latin typeface="Century Gothic" panose="020B0502020202020204" pitchFamily="34" charset="0"/>
          </a:endParaRPr>
        </a:p>
      </cdr:txBody>
    </cdr:sp>
  </cdr:relSizeAnchor>
</c:userShapes>
</file>

<file path=word/drawings/drawing6.xml><?xml version="1.0" encoding="utf-8"?>
<c:userShapes xmlns:c="http://schemas.openxmlformats.org/drawingml/2006/chart" xmlns:a="http://schemas.openxmlformats.org/drawingml/2006/main">
  <cdr:relSizeAnchor xmlns:cdr="http://schemas.openxmlformats.org/drawingml/2006/chartDrawing">
    <cdr:from>
      <cdr:x>0.33357</cdr:x>
      <cdr:y>0.53507</cdr:y>
    </cdr:from>
    <cdr:to>
      <cdr:x>0.87995</cdr:x>
      <cdr:y>0.56207</cdr:y>
    </cdr:to>
    <cdr:sp>
      <cdr:nvSpPr>
        <cdr:cNvPr id="1373495639" name="Freccia a destra 2"/>
        <cdr:cNvSpPr/>
      </cdr:nvSpPr>
      <cdr:spPr>
        <a:xfrm rot="2078177">
          <a:off x="1581434" y="1625633"/>
          <a:ext cx="2577249" cy="88173"/>
        </a:xfrm>
        <a:prstGeom prst="rightArrow">
          <a:avLst>
            <a:gd name="adj1" fmla="val 50000"/>
            <a:gd name="adj2" fmla="val 56887"/>
          </a:avLst>
        </a:prstGeom>
        <a:solidFill>
          <a:srgbClr val="FFC000">
            <a:alpha val="50000"/>
          </a:srgbClr>
        </a:solidFill>
        <a:ln>
          <a:solidFill>
            <a:srgbClr val="FFC000"/>
          </a:solidFill>
        </a:ln>
      </cdr:spPr>
      <cdr:style>
        <a:lnRef idx="2">
          <a:schemeClr val="accent1">
            <a:shade val="50000"/>
          </a:schemeClr>
        </a:lnRef>
        <a:fillRef idx="1">
          <a:schemeClr val="accent1"/>
        </a:fillRef>
        <a:effectRef idx="0">
          <a:schemeClr val="accent1"/>
        </a:effectRef>
        <a:fontRef idx="minor">
          <a:schemeClr val="lt1"/>
        </a:fontRef>
      </cdr:style>
      <cdr:txBody>
        <a:bodyPr rtlCol="0" anchor="ctr"/>
        <a:lstStyle>
          <a:defPPr>
            <a:defRPr lang="it-IT"/>
          </a:defPPr>
          <a:lvl1pPr marL="0" algn="l" defTabSz="914251" rtl="0" eaLnBrk="1" latinLnBrk="0" hangingPunct="1">
            <a:defRPr sz="1800" kern="1200">
              <a:solidFill>
                <a:schemeClr val="lt1"/>
              </a:solidFill>
              <a:latin typeface="+mn-lt"/>
              <a:ea typeface="+mn-ea"/>
              <a:cs typeface="+mn-cs"/>
            </a:defRPr>
          </a:lvl1pPr>
          <a:lvl2pPr marL="457125" algn="l" defTabSz="914251" rtl="0" eaLnBrk="1" latinLnBrk="0" hangingPunct="1">
            <a:defRPr sz="1800" kern="1200">
              <a:solidFill>
                <a:schemeClr val="lt1"/>
              </a:solidFill>
              <a:latin typeface="+mn-lt"/>
              <a:ea typeface="+mn-ea"/>
              <a:cs typeface="+mn-cs"/>
            </a:defRPr>
          </a:lvl2pPr>
          <a:lvl3pPr marL="914251" algn="l" defTabSz="914251" rtl="0" eaLnBrk="1" latinLnBrk="0" hangingPunct="1">
            <a:defRPr sz="1800" kern="1200">
              <a:solidFill>
                <a:schemeClr val="lt1"/>
              </a:solidFill>
              <a:latin typeface="+mn-lt"/>
              <a:ea typeface="+mn-ea"/>
              <a:cs typeface="+mn-cs"/>
            </a:defRPr>
          </a:lvl3pPr>
          <a:lvl4pPr marL="1371376" algn="l" defTabSz="914251" rtl="0" eaLnBrk="1" latinLnBrk="0" hangingPunct="1">
            <a:defRPr sz="1800" kern="1200">
              <a:solidFill>
                <a:schemeClr val="lt1"/>
              </a:solidFill>
              <a:latin typeface="+mn-lt"/>
              <a:ea typeface="+mn-ea"/>
              <a:cs typeface="+mn-cs"/>
            </a:defRPr>
          </a:lvl4pPr>
          <a:lvl5pPr marL="1828502" algn="l" defTabSz="914251" rtl="0" eaLnBrk="1" latinLnBrk="0" hangingPunct="1">
            <a:defRPr sz="1800" kern="1200">
              <a:solidFill>
                <a:schemeClr val="lt1"/>
              </a:solidFill>
              <a:latin typeface="+mn-lt"/>
              <a:ea typeface="+mn-ea"/>
              <a:cs typeface="+mn-cs"/>
            </a:defRPr>
          </a:lvl5pPr>
          <a:lvl6pPr marL="2285626" algn="l" defTabSz="914251" rtl="0" eaLnBrk="1" latinLnBrk="0" hangingPunct="1">
            <a:defRPr sz="1800" kern="1200">
              <a:solidFill>
                <a:schemeClr val="lt1"/>
              </a:solidFill>
              <a:latin typeface="+mn-lt"/>
              <a:ea typeface="+mn-ea"/>
              <a:cs typeface="+mn-cs"/>
            </a:defRPr>
          </a:lvl6pPr>
          <a:lvl7pPr marL="2742752" algn="l" defTabSz="914251" rtl="0" eaLnBrk="1" latinLnBrk="0" hangingPunct="1">
            <a:defRPr sz="1800" kern="1200">
              <a:solidFill>
                <a:schemeClr val="lt1"/>
              </a:solidFill>
              <a:latin typeface="+mn-lt"/>
              <a:ea typeface="+mn-ea"/>
              <a:cs typeface="+mn-cs"/>
            </a:defRPr>
          </a:lvl7pPr>
          <a:lvl8pPr marL="3199877" algn="l" defTabSz="914251" rtl="0" eaLnBrk="1" latinLnBrk="0" hangingPunct="1">
            <a:defRPr sz="1800" kern="1200">
              <a:solidFill>
                <a:schemeClr val="lt1"/>
              </a:solidFill>
              <a:latin typeface="+mn-lt"/>
              <a:ea typeface="+mn-ea"/>
              <a:cs typeface="+mn-cs"/>
            </a:defRPr>
          </a:lvl8pPr>
          <a:lvl9pPr marL="3657003" algn="l" defTabSz="914251" rtl="0" eaLnBrk="1" latinLnBrk="0" hangingPunct="1">
            <a:defRPr sz="1800" kern="1200">
              <a:solidFill>
                <a:schemeClr val="lt1"/>
              </a:solidFill>
              <a:latin typeface="+mn-lt"/>
              <a:ea typeface="+mn-ea"/>
              <a:cs typeface="+mn-cs"/>
            </a:defRPr>
          </a:lvl9pPr>
        </a:lstStyle>
        <a:p>
          <a:pPr algn="ctr"/>
          <a:endParaRPr lang="it-IT" sz="2903" b="1" dirty="0">
            <a:solidFill>
              <a:srgbClr val="006836"/>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5E6EC-AEAC-41C8-B070-C22B6FBA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16766</Words>
  <Characters>98053</Characters>
  <Application>Microsoft Office Word</Application>
  <DocSecurity>0</DocSecurity>
  <Lines>817</Lines>
  <Paragraphs>229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Report 2007</vt:lpstr>
      <vt:lpstr>Report 2007</vt:lpstr>
    </vt:vector>
  </TitlesOfParts>
  <Company>CDT</Company>
  <LinksUpToDate>false</LinksUpToDate>
  <CharactersWithSpaces>114590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2007</dc:title>
  <dc:creator>CDT</dc:creator>
  <cp:lastModifiedBy>CDT</cp:lastModifiedBy>
  <cp:revision>10</cp:revision>
  <cp:lastPrinted>2018-09-27T15:06:00Z</cp:lastPrinted>
  <dcterms:created xsi:type="dcterms:W3CDTF">2018-10-29T09:10:00Z</dcterms:created>
  <dcterms:modified xsi:type="dcterms:W3CDTF">2018-12-14T14:43:00Z</dcterms:modified>
</cp:coreProperties>
</file>