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style1.xml" ContentType="application/vnd.ms-office.chartstyle+xml"/>
  <Override PartName="/word/charts/chart/style2.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7 -->
  <w:body>
    <w:sdt>
      <w:sdtPr>
        <w:rPr>
          <w:rFonts w:cs="Arial"/>
        </w:rPr>
        <w:id w:val="-1490857575"/>
        <w:docPartObj>
          <w:docPartGallery w:val="Cover Pages"/>
          <w:docPartUnique/>
        </w:docPartObj>
      </w:sdtPr>
      <w:sdtEndPr>
        <w:rPr>
          <w:bCs/>
          <w:color w:val="FFFFFF" w:themeColor="background1"/>
          <w:sz w:val="72"/>
          <w:szCs w:val="72"/>
        </w:rPr>
      </w:sdtEndPr>
      <w:sdtContent>
        <w:p w:rsidR="00CC2BC4" w:rsidRPr="00756DA5">
          <w:pPr>
            <w:rPr>
              <w:rFonts w:cs="Arial"/>
            </w:rPr>
          </w:pPr>
          <w:r w:rsidRPr="00756DA5">
            <w:rPr>
              <w:noProof/>
              <w:lang w:val="fr-FR" w:eastAsia="fr-FR"/>
            </w:rPr>
            <w:drawing>
              <wp:anchor distT="0" distB="0" distL="114300" distR="114300" simplePos="0" relativeHeight="251662336" behindDoc="0" locked="0" layoutInCell="1" allowOverlap="1">
                <wp:simplePos x="0" y="0"/>
                <wp:positionH relativeFrom="column">
                  <wp:posOffset>1595755</wp:posOffset>
                </wp:positionH>
                <wp:positionV relativeFrom="paragraph">
                  <wp:posOffset>161925</wp:posOffset>
                </wp:positionV>
                <wp:extent cx="1901825" cy="9232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24715" name="Logo_pour_centrer.jpg"/>
                        <pic:cNvPicPr/>
                      </pic:nvPicPr>
                      <pic:blipFill>
                        <a:blip xmlns:r="http://schemas.openxmlformats.org/officeDocument/2006/relationships" r:embed="rId7">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a:xfrm>
                          <a:off x="0" y="0"/>
                          <a:ext cx="1901825" cy="923290"/>
                        </a:xfrm>
                        <a:prstGeom prst="rect">
                          <a:avLst/>
                        </a:prstGeom>
                      </pic:spPr>
                    </pic:pic>
                  </a:graphicData>
                </a:graphic>
                <wp14:sizeRelH relativeFrom="page">
                  <wp14:pctWidth>0</wp14:pctWidth>
                </wp14:sizeRelH>
                <wp14:sizeRelV relativeFrom="page">
                  <wp14:pctHeight>0</wp14:pctHeight>
                </wp14:sizeRelV>
              </wp:anchor>
            </w:drawing>
          </w:r>
          <w:r w:rsidRPr="00756DA5">
            <w:rPr>
              <w:noProof/>
              <w:lang w:val="fr-FR" w:eastAsia="fr-FR"/>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ge">
                      <wp:posOffset>219075</wp:posOffset>
                    </wp:positionV>
                    <wp:extent cx="6496050" cy="10250805"/>
                    <wp:effectExtent l="0" t="0" r="0" b="0"/>
                    <wp:wrapNone/>
                    <wp:docPr id="471" name="Rectangle 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496050" cy="10250805"/>
                            </a:xfrm>
                            <a:prstGeom prst="rect">
                              <a:avLst/>
                            </a:prstGeom>
                            <a:solidFill>
                              <a:schemeClr val="bg1">
                                <a:lumMod val="95000"/>
                              </a:schemeClr>
                            </a:solidFill>
                            <a:ln>
                              <a:noFill/>
                            </a:ln>
                          </wps:spPr>
                          <wps:txbx>
                            <w:txbxContent>
                              <w:p w:rsidR="00756DA5" w:rsidRPr="00756DA5">
                                <w:pPr>
                                  <w:pStyle w:val="Title"/>
                                  <w:jc w:val="right"/>
                                  <w:rPr>
                                    <w:color w:val="808080" w:themeColor="background1" w:themeShade="80"/>
                                    <w:sz w:val="72"/>
                                    <w:szCs w:val="72"/>
                                  </w:rPr>
                                </w:pPr>
                                <w:r w:rsidRPr="00756DA5">
                                  <w:rPr>
                                    <w:color w:val="808080" w:themeColor="background1" w:themeShade="80"/>
                                    <w:sz w:val="72"/>
                                    <w:szCs w:val="72"/>
                                  </w:rPr>
                                  <w:t>ANNUAL REPORT ON</w:t>
                                </w:r>
                                <w:r w:rsidRPr="00756DA5">
                                  <w:rPr>
                                    <w:color w:val="808080" w:themeColor="background1" w:themeShade="80"/>
                                    <w:sz w:val="72"/>
                                    <w:szCs w:val="72"/>
                                  </w:rPr>
                                  <w:br/>
                                  <w:t>RAILWAY TRAFFIC SAFETY</w:t>
                                </w:r>
                              </w:p>
                              <w:p w:rsidR="00756DA5" w:rsidRPr="00756DA5" w:rsidP="00F4038F">
                                <w:pPr>
                                  <w:rPr>
                                    <w:lang w:eastAsia="fr-FR"/>
                                  </w:rPr>
                                </w:pPr>
                              </w:p>
                              <w:p w:rsidR="00756DA5" w:rsidRPr="00756DA5">
                                <w:pPr>
                                  <w:spacing w:before="240"/>
                                  <w:ind w:left="720"/>
                                  <w:jc w:val="right"/>
                                  <w:rPr>
                                    <w:color w:val="FFFFFF" w:themeColor="background1"/>
                                  </w:rPr>
                                </w:pPr>
                              </w:p>
                              <w:sdt>
                                <w:sdtPr>
                                  <w:rPr>
                                    <w:b/>
                                    <w:color w:val="CAD122"/>
                                    <w:sz w:val="56"/>
                                    <w:szCs w:val="56"/>
                                  </w:rPr>
                                  <w:alias w:val="Summary"/>
                                  <w:id w:val="-705096512"/>
                                  <w:dataBinding w:prefixMappings="xmlns:ns0='http://schemas.microsoft.com/office/2006/coverPageProps'" w:xpath="/ns0:CoverPageProperties[1]/ns0:Abstract[1]" w:storeItemID="{55AF091B-3C7A-41E3-B477-F2FDAA23CFDA}"/>
                                  <w:text/>
                                </w:sdtPr>
                                <w:sdtContent>
                                  <w:p w:rsidR="00756DA5" w:rsidRPr="00756DA5">
                                    <w:pPr>
                                      <w:spacing w:before="240"/>
                                      <w:ind w:left="1008"/>
                                      <w:jc w:val="right"/>
                                      <w:rPr>
                                        <w:b/>
                                        <w:color w:val="CAD122"/>
                                      </w:rPr>
                                    </w:pPr>
                                    <w:r w:rsidRPr="00756DA5">
                                      <w:rPr>
                                        <w:b/>
                                        <w:color w:val="CAD122"/>
                                        <w:sz w:val="56"/>
                                        <w:szCs w:val="56"/>
                                      </w:rPr>
                                      <w:t>2017</w:t>
                                    </w:r>
                                  </w:p>
                                </w:sdtContent>
                              </w:sdt>
                            </w:txbxContent>
                          </wps:txbx>
                          <wps:bodyPr rot="0" vert="horz" wrap="square" lIns="274320" tIns="914400" rIns="274320" bIns="45720" anchor="ctr" anchorCtr="0" upright="1"/>
                        </wps:wsp>
                      </a:graphicData>
                    </a:graphic>
                    <wp14:sizeRelH relativeFrom="page">
                      <wp14:pctWidth>0</wp14:pctWidth>
                    </wp14:sizeRelH>
                    <wp14:sizeRelV relativeFrom="page">
                      <wp14:pctHeight>0</wp14:pctHeight>
                    </wp14:sizeRelV>
                  </wp:anchor>
                </w:drawing>
              </mc:Choice>
              <mc:Fallback>
                <w:pict>
                  <v:rect id="Rectangle 16" o:spid="_x0000_s1025" style="width:511.5pt;height:807.15pt;margin-top:17.25pt;margin-left:460.3pt;mso-height-percent:0;mso-height-relative:page;mso-position-horizontal:right;mso-position-horizontal-relative:margin;mso-position-vertical-relative:page;mso-width-percent:0;mso-width-relative:page;mso-wrap-distance-bottom:0;mso-wrap-distance-left:9pt;mso-wrap-distance-right:9pt;mso-wrap-distance-top:0;mso-wrap-style:square;position:absolute;visibility:visible;v-text-anchor:middle;z-index:251659264" fillcolor="#f2f2f2" stroked="f">
                    <v:textbox inset="21.6pt,1in,21.6pt">
                      <w:txbxContent>
                        <w:p w:rsidR="00756DA5" w:rsidRPr="00756DA5">
                          <w:pPr>
                            <w:pStyle w:val="Title"/>
                            <w:jc w:val="right"/>
                            <w:rPr>
                              <w:color w:val="808080" w:themeColor="background1" w:themeShade="80"/>
                              <w:sz w:val="72"/>
                              <w:szCs w:val="72"/>
                            </w:rPr>
                          </w:pPr>
                          <w:r w:rsidRPr="00756DA5">
                            <w:rPr>
                              <w:color w:val="808080" w:themeColor="background1" w:themeShade="80"/>
                              <w:sz w:val="72"/>
                              <w:szCs w:val="72"/>
                            </w:rPr>
                            <w:t>ANNUAL REPORT ON</w:t>
                          </w:r>
                          <w:r w:rsidRPr="00756DA5">
                            <w:rPr>
                              <w:color w:val="808080" w:themeColor="background1" w:themeShade="80"/>
                              <w:sz w:val="72"/>
                              <w:szCs w:val="72"/>
                            </w:rPr>
                            <w:br/>
                            <w:t>RAILWAY TRAFFIC SAFETY</w:t>
                          </w:r>
                        </w:p>
                        <w:p w:rsidR="00756DA5" w:rsidRPr="00756DA5" w:rsidP="00F4038F">
                          <w:pPr>
                            <w:rPr>
                              <w:lang w:eastAsia="fr-FR"/>
                            </w:rPr>
                          </w:pPr>
                        </w:p>
                        <w:p w:rsidR="00756DA5" w:rsidRPr="00756DA5">
                          <w:pPr>
                            <w:spacing w:before="240"/>
                            <w:ind w:left="720"/>
                            <w:jc w:val="right"/>
                            <w:rPr>
                              <w:color w:val="FFFFFF" w:themeColor="background1"/>
                            </w:rPr>
                          </w:pPr>
                        </w:p>
                        <w:sdt>
                          <w:sdtPr>
                            <w:rPr>
                              <w:b/>
                              <w:color w:val="CAD122"/>
                              <w:sz w:val="56"/>
                              <w:szCs w:val="56"/>
                            </w:rPr>
                            <w:alias w:val="Summary"/>
                            <w:id w:val="1667799179"/>
                            <w:dataBinding w:prefixMappings="xmlns:ns0='http://schemas.microsoft.com/office/2006/coverPageProps'" w:xpath="/ns0:CoverPageProperties[1]/ns0:Abstract[1]" w:storeItemID="{55AF091B-3C7A-41E3-B477-F2FDAA23CFDA}"/>
                            <w:text/>
                          </w:sdtPr>
                          <w:sdtContent>
                            <w:p w:rsidR="00756DA5" w:rsidRPr="00756DA5">
                              <w:pPr>
                                <w:spacing w:before="240"/>
                                <w:ind w:left="1008"/>
                                <w:jc w:val="right"/>
                                <w:rPr>
                                  <w:b/>
                                  <w:color w:val="CAD122"/>
                                </w:rPr>
                              </w:pPr>
                              <w:r w:rsidRPr="00756DA5">
                                <w:rPr>
                                  <w:b/>
                                  <w:color w:val="CAD122"/>
                                  <w:sz w:val="56"/>
                                  <w:szCs w:val="56"/>
                                </w:rPr>
                                <w:t>2017</w:t>
                              </w:r>
                            </w:p>
                          </w:sdtContent>
                        </w:sdt>
                      </w:txbxContent>
                    </v:textbox>
                    <w10:wrap anchorx="margin"/>
                  </v:rect>
                </w:pict>
              </mc:Fallback>
            </mc:AlternateContent>
          </w:r>
          <w:r w:rsidRPr="00756DA5">
            <w:rPr>
              <w:noProof/>
              <w:lang w:val="fr-FR" w:eastAsia="fr-FR"/>
            </w:rPr>
            <mc:AlternateContent>
              <mc:Choice Requires="wps">
                <w:drawing>
                  <wp:anchor distT="0" distB="0" distL="114300" distR="114300" simplePos="0" relativeHeight="251660288" behindDoc="0" locked="0" layoutInCell="1" allowOverlap="1">
                    <wp:simplePos x="0" y="0"/>
                    <wp:positionH relativeFrom="rightMargin">
                      <wp:align>left</wp:align>
                    </wp:positionH>
                    <wp:positionV relativeFrom="page">
                      <wp:posOffset>209550</wp:posOffset>
                    </wp:positionV>
                    <wp:extent cx="686435" cy="10260635"/>
                    <wp:effectExtent l="0" t="0" r="0" b="3810"/>
                    <wp:wrapNone/>
                    <wp:docPr id="472" name="Rectangle 472"/>
                    <wp:cNvGraphicFramePr/>
                    <a:graphic xmlns:a="http://schemas.openxmlformats.org/drawingml/2006/main">
                      <a:graphicData uri="http://schemas.microsoft.com/office/word/2010/wordprocessingShape">
                        <wps:wsp xmlns:wps="http://schemas.microsoft.com/office/word/2010/wordprocessingShape">
                          <wps:cNvSpPr/>
                          <wps:spPr>
                            <a:xfrm>
                              <a:off x="0" y="0"/>
                              <a:ext cx="686435" cy="10260635"/>
                            </a:xfrm>
                            <a:prstGeom prst="rect">
                              <a:avLst/>
                            </a:prstGeom>
                            <a:solidFill>
                              <a:srgbClr val="CC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6DA5" w:rsidRPr="00756DA5">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96000</wp14:pctHeight>
                    </wp14:sizeRelV>
                  </wp:anchor>
                </w:drawing>
              </mc:Choice>
              <mc:Fallback>
                <w:pict>
                  <v:rect id="Rectangle 472" o:spid="_x0000_s1026" style="width:54.05pt;height:807.9pt;margin-top:16.5pt;margin-left:0;mso-height-percent:960;mso-height-relative:page;mso-position-horizontal:left;mso-position-horizontal-relative:right-margin-area;mso-position-vertical-relative:page;mso-width-percent:0;mso-width-relative:page;mso-wrap-distance-bottom:0;mso-wrap-distance-left:9pt;mso-wrap-distance-right:9pt;mso-wrap-distance-top:0;mso-wrap-style:square;position:absolute;visibility:visible;v-text-anchor:middle;z-index:251661312" fillcolor="#cc0" stroked="f" strokeweight="2pt">
                    <v:textbox inset="14.4pt,,14.4pt">
                      <w:txbxContent>
                        <w:p w:rsidR="00756DA5" w:rsidRPr="00756DA5">
                          <w:pPr>
                            <w:pStyle w:val="Subtitle"/>
                            <w:rPr>
                              <w:rFonts w:cstheme="minorBidi"/>
                              <w:color w:val="FFFFFF" w:themeColor="background1"/>
                            </w:rPr>
                          </w:pPr>
                        </w:p>
                      </w:txbxContent>
                    </v:textbox>
                  </v:rect>
                </w:pict>
              </mc:Fallback>
            </mc:AlternateContent>
          </w:r>
        </w:p>
        <w:p w:rsidR="00CC2BC4" w:rsidRPr="00756DA5">
          <w:pPr>
            <w:rPr>
              <w:rFonts w:cs="Arial"/>
            </w:rPr>
          </w:pPr>
        </w:p>
        <w:p w:rsidR="00CC2BC4" w:rsidRPr="00756DA5">
          <w:pPr>
            <w:jc w:val="left"/>
            <w:rPr>
              <w:rFonts w:cs="Arial"/>
              <w:b/>
              <w:color w:val="FFFFFF" w:themeColor="background1"/>
              <w:sz w:val="72"/>
              <w:szCs w:val="72"/>
            </w:rPr>
          </w:pPr>
          <w:r w:rsidRPr="00756DA5">
            <w:br w:type="page"/>
          </w:r>
        </w:p>
      </w:sdtContent>
    </w:sdt>
    <w:sdt>
      <w:sdtPr>
        <w:rPr>
          <w:rFonts w:eastAsiaTheme="minorHAnsi" w:cs="Arial"/>
          <w:b w:val="0"/>
          <w:bCs w:val="0"/>
          <w:color w:val="auto"/>
          <w:sz w:val="20"/>
          <w:szCs w:val="22"/>
          <w:lang w:eastAsia="en-US"/>
        </w:rPr>
        <w:id w:val="1774821406"/>
        <w:docPartObj>
          <w:docPartGallery w:val="Table of Contents"/>
          <w:docPartUnique/>
        </w:docPartObj>
      </w:sdtPr>
      <w:sdtContent>
        <w:p w:rsidR="00275E6A" w:rsidRPr="00756DA5">
          <w:pPr>
            <w:pStyle w:val="TOCHeading"/>
            <w:rPr>
              <w:rFonts w:cs="Arial"/>
            </w:rPr>
          </w:pPr>
          <w:bookmarkStart w:id="0" w:name="_Toc423668200" w:displacedByCustomXml="next"/>
          <w:r w:rsidRPr="00756DA5">
            <w:t>Table of Contents</w:t>
          </w:r>
        </w:p>
        <w:p w:rsidR="00B03928">
          <w:pPr>
            <w:pStyle w:val="TOC1"/>
            <w:rPr>
              <w:rFonts w:asciiTheme="minorHAnsi" w:eastAsiaTheme="minorEastAsia" w:hAnsiTheme="minorHAnsi"/>
              <w:sz w:val="22"/>
              <w:lang w:val="fr-FR" w:eastAsia="fr-FR"/>
            </w:rPr>
          </w:pPr>
          <w:r w:rsidRPr="00756DA5">
            <w:rPr>
              <w:b/>
              <w:bCs/>
            </w:rPr>
            <w:fldChar w:fldCharType="begin"/>
          </w:r>
          <w:r w:rsidRPr="00756DA5">
            <w:rPr>
              <w:b/>
              <w:bCs/>
            </w:rPr>
            <w:instrText xml:space="preserve"> TOC \o "1-3" \h \z \u </w:instrText>
          </w:r>
          <w:r w:rsidRPr="00756DA5">
            <w:rPr>
              <w:b/>
              <w:bCs/>
            </w:rPr>
            <w:fldChar w:fldCharType="separate"/>
          </w:r>
          <w:hyperlink w:anchor="_Toc533153859" w:history="1">
            <w:r w:rsidRPr="005B4685">
              <w:rPr>
                <w:rStyle w:val="Hyperlink"/>
              </w:rPr>
              <w:t>Foreword</w:t>
            </w:r>
            <w:r>
              <w:rPr>
                <w:webHidden/>
              </w:rPr>
              <w:tab/>
            </w:r>
            <w:r>
              <w:rPr>
                <w:webHidden/>
              </w:rPr>
              <w:fldChar w:fldCharType="begin"/>
            </w:r>
            <w:r>
              <w:rPr>
                <w:webHidden/>
              </w:rPr>
              <w:instrText xml:space="preserve"> PAGEREF _Toc533153859 \h </w:instrText>
            </w:r>
            <w:r>
              <w:rPr>
                <w:webHidden/>
              </w:rPr>
              <w:fldChar w:fldCharType="separate"/>
            </w:r>
            <w:r>
              <w:rPr>
                <w:webHidden/>
              </w:rPr>
              <w:t>3</w:t>
            </w:r>
            <w:r>
              <w:rPr>
                <w:webHidden/>
              </w:rPr>
              <w:fldChar w:fldCharType="end"/>
            </w:r>
          </w:hyperlink>
        </w:p>
        <w:p w:rsidR="00B03928">
          <w:pPr>
            <w:pStyle w:val="TOC1"/>
            <w:rPr>
              <w:rFonts w:asciiTheme="minorHAnsi" w:eastAsiaTheme="minorEastAsia" w:hAnsiTheme="minorHAnsi"/>
              <w:sz w:val="22"/>
              <w:lang w:val="fr-FR" w:eastAsia="fr-FR"/>
            </w:rPr>
          </w:pPr>
          <w:hyperlink w:anchor="_Toc533153860" w:history="1">
            <w:r w:rsidRPr="005B4685">
              <w:rPr>
                <w:rStyle w:val="Hyperlink"/>
              </w:rPr>
              <w:t>Summary</w:t>
            </w:r>
            <w:r>
              <w:rPr>
                <w:webHidden/>
              </w:rPr>
              <w:tab/>
            </w:r>
            <w:r>
              <w:rPr>
                <w:webHidden/>
              </w:rPr>
              <w:fldChar w:fldCharType="begin"/>
            </w:r>
            <w:r>
              <w:rPr>
                <w:webHidden/>
              </w:rPr>
              <w:instrText xml:space="preserve"> PAGEREF _Toc533153860 \h </w:instrText>
            </w:r>
            <w:r>
              <w:rPr>
                <w:webHidden/>
              </w:rPr>
              <w:fldChar w:fldCharType="separate"/>
            </w:r>
            <w:r>
              <w:rPr>
                <w:webHidden/>
              </w:rPr>
              <w:t>4</w:t>
            </w:r>
            <w:r>
              <w:rPr>
                <w:webHidden/>
              </w:rPr>
              <w:fldChar w:fldCharType="end"/>
            </w:r>
          </w:hyperlink>
        </w:p>
        <w:p w:rsidR="00B03928">
          <w:pPr>
            <w:pStyle w:val="TOC1"/>
            <w:rPr>
              <w:rFonts w:asciiTheme="minorHAnsi" w:eastAsiaTheme="minorEastAsia" w:hAnsiTheme="minorHAnsi"/>
              <w:sz w:val="22"/>
              <w:lang w:val="fr-FR" w:eastAsia="fr-FR"/>
            </w:rPr>
          </w:pPr>
          <w:hyperlink w:anchor="_Toc533153861" w:history="1">
            <w:r w:rsidRPr="005B4685">
              <w:rPr>
                <w:rStyle w:val="Hyperlink"/>
                <w:rFonts w:cs="Arial"/>
              </w:rPr>
              <w:t>1.</w:t>
            </w:r>
            <w:r>
              <w:rPr>
                <w:rFonts w:asciiTheme="minorHAnsi" w:eastAsiaTheme="minorEastAsia" w:hAnsiTheme="minorHAnsi"/>
                <w:sz w:val="22"/>
                <w:lang w:val="fr-FR" w:eastAsia="fr-FR"/>
              </w:rPr>
              <w:tab/>
            </w:r>
            <w:r w:rsidRPr="005B4685">
              <w:rPr>
                <w:rStyle w:val="Hyperlink"/>
              </w:rPr>
              <w:t>Description of the network and traffic</w:t>
            </w:r>
            <w:r>
              <w:rPr>
                <w:webHidden/>
              </w:rPr>
              <w:tab/>
            </w:r>
            <w:r>
              <w:rPr>
                <w:webHidden/>
              </w:rPr>
              <w:fldChar w:fldCharType="begin"/>
            </w:r>
            <w:r>
              <w:rPr>
                <w:webHidden/>
              </w:rPr>
              <w:instrText xml:space="preserve"> PAGEREF _Toc533153861 \h </w:instrText>
            </w:r>
            <w:r>
              <w:rPr>
                <w:webHidden/>
              </w:rPr>
              <w:fldChar w:fldCharType="separate"/>
            </w:r>
            <w:r>
              <w:rPr>
                <w:webHidden/>
              </w:rPr>
              <w:t>5</w:t>
            </w:r>
            <w:r>
              <w:rPr>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62" w:history="1">
            <w:r w:rsidRPr="005B4685">
              <w:rPr>
                <w:rStyle w:val="Hyperlink"/>
                <w:rFonts w:cs="Arial"/>
                <w:noProof/>
              </w:rPr>
              <w:t>1.1</w:t>
            </w:r>
            <w:r>
              <w:rPr>
                <w:rFonts w:asciiTheme="minorHAnsi" w:eastAsiaTheme="minorEastAsia" w:hAnsiTheme="minorHAnsi"/>
                <w:noProof/>
                <w:sz w:val="22"/>
                <w:lang w:val="fr-FR" w:eastAsia="fr-FR"/>
              </w:rPr>
              <w:tab/>
            </w:r>
            <w:r w:rsidRPr="005B4685">
              <w:rPr>
                <w:rStyle w:val="Hyperlink"/>
                <w:noProof/>
              </w:rPr>
              <w:t>The national railway network and comparable networks</w:t>
            </w:r>
            <w:r>
              <w:rPr>
                <w:noProof/>
                <w:webHidden/>
              </w:rPr>
              <w:tab/>
            </w:r>
            <w:r>
              <w:rPr>
                <w:noProof/>
                <w:webHidden/>
              </w:rPr>
              <w:fldChar w:fldCharType="begin"/>
            </w:r>
            <w:r>
              <w:rPr>
                <w:noProof/>
                <w:webHidden/>
              </w:rPr>
              <w:instrText xml:space="preserve"> PAGEREF _Toc533153862 \h </w:instrText>
            </w:r>
            <w:r>
              <w:rPr>
                <w:noProof/>
                <w:webHidden/>
              </w:rPr>
              <w:fldChar w:fldCharType="separate"/>
            </w:r>
            <w:r>
              <w:rPr>
                <w:noProof/>
                <w:webHidden/>
              </w:rPr>
              <w:t>5</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63" w:history="1">
            <w:r w:rsidRPr="005B4685">
              <w:rPr>
                <w:rStyle w:val="Hyperlink"/>
                <w:rFonts w:cs="Arial"/>
                <w:noProof/>
              </w:rPr>
              <w:t>1.2</w:t>
            </w:r>
            <w:r>
              <w:rPr>
                <w:rFonts w:asciiTheme="minorHAnsi" w:eastAsiaTheme="minorEastAsia" w:hAnsiTheme="minorHAnsi"/>
                <w:noProof/>
                <w:sz w:val="22"/>
                <w:lang w:val="fr-FR" w:eastAsia="fr-FR"/>
              </w:rPr>
              <w:tab/>
            </w:r>
            <w:r w:rsidRPr="005B4685">
              <w:rPr>
                <w:rStyle w:val="Hyperlink"/>
                <w:noProof/>
              </w:rPr>
              <w:t>Changes in traffic</w:t>
            </w:r>
            <w:r>
              <w:rPr>
                <w:noProof/>
                <w:webHidden/>
              </w:rPr>
              <w:tab/>
            </w:r>
            <w:r>
              <w:rPr>
                <w:noProof/>
                <w:webHidden/>
              </w:rPr>
              <w:fldChar w:fldCharType="begin"/>
            </w:r>
            <w:r>
              <w:rPr>
                <w:noProof/>
                <w:webHidden/>
              </w:rPr>
              <w:instrText xml:space="preserve"> PAGEREF _Toc533153863 \h </w:instrText>
            </w:r>
            <w:r>
              <w:rPr>
                <w:noProof/>
                <w:webHidden/>
              </w:rPr>
              <w:fldChar w:fldCharType="separate"/>
            </w:r>
            <w:r>
              <w:rPr>
                <w:noProof/>
                <w:webHidden/>
              </w:rPr>
              <w:t>6</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64" w:history="1">
            <w:r w:rsidRPr="005B4685">
              <w:rPr>
                <w:rStyle w:val="Hyperlink"/>
                <w:rFonts w:cs="Arial"/>
                <w:noProof/>
              </w:rPr>
              <w:t>1.3</w:t>
            </w:r>
            <w:r>
              <w:rPr>
                <w:rFonts w:asciiTheme="minorHAnsi" w:eastAsiaTheme="minorEastAsia" w:hAnsiTheme="minorHAnsi"/>
                <w:noProof/>
                <w:sz w:val="22"/>
                <w:lang w:val="fr-FR" w:eastAsia="fr-FR"/>
              </w:rPr>
              <w:tab/>
            </w:r>
            <w:r w:rsidRPr="005B4685">
              <w:rPr>
                <w:rStyle w:val="Hyperlink"/>
                <w:noProof/>
              </w:rPr>
              <w:t>Developments and works carried out in 2017</w:t>
            </w:r>
            <w:r>
              <w:rPr>
                <w:noProof/>
                <w:webHidden/>
              </w:rPr>
              <w:tab/>
            </w:r>
            <w:r>
              <w:rPr>
                <w:noProof/>
                <w:webHidden/>
              </w:rPr>
              <w:fldChar w:fldCharType="begin"/>
            </w:r>
            <w:r>
              <w:rPr>
                <w:noProof/>
                <w:webHidden/>
              </w:rPr>
              <w:instrText xml:space="preserve"> PAGEREF _Toc533153864 \h </w:instrText>
            </w:r>
            <w:r>
              <w:rPr>
                <w:noProof/>
                <w:webHidden/>
              </w:rPr>
              <w:fldChar w:fldCharType="separate"/>
            </w:r>
            <w:r>
              <w:rPr>
                <w:noProof/>
                <w:webHidden/>
              </w:rPr>
              <w:t>8</w:t>
            </w:r>
            <w:r>
              <w:rPr>
                <w:noProof/>
                <w:webHidden/>
              </w:rPr>
              <w:fldChar w:fldCharType="end"/>
            </w:r>
          </w:hyperlink>
        </w:p>
        <w:p w:rsidR="00B03928">
          <w:pPr>
            <w:pStyle w:val="TOC1"/>
            <w:rPr>
              <w:rFonts w:asciiTheme="minorHAnsi" w:eastAsiaTheme="minorEastAsia" w:hAnsiTheme="minorHAnsi"/>
              <w:sz w:val="22"/>
              <w:lang w:val="fr-FR" w:eastAsia="fr-FR"/>
            </w:rPr>
          </w:pPr>
          <w:hyperlink w:anchor="_Toc533153865" w:history="1">
            <w:r w:rsidRPr="005B4685">
              <w:rPr>
                <w:rStyle w:val="Hyperlink"/>
                <w:rFonts w:cs="Arial"/>
              </w:rPr>
              <w:t>2.</w:t>
            </w:r>
            <w:r>
              <w:rPr>
                <w:rFonts w:asciiTheme="minorHAnsi" w:eastAsiaTheme="minorEastAsia" w:hAnsiTheme="minorHAnsi"/>
                <w:sz w:val="22"/>
                <w:lang w:val="fr-FR" w:eastAsia="fr-FR"/>
              </w:rPr>
              <w:tab/>
            </w:r>
            <w:r w:rsidRPr="005B4685">
              <w:rPr>
                <w:rStyle w:val="Hyperlink"/>
              </w:rPr>
              <w:t>Railway Safety Performance</w:t>
            </w:r>
            <w:r>
              <w:rPr>
                <w:webHidden/>
              </w:rPr>
              <w:tab/>
            </w:r>
            <w:r>
              <w:rPr>
                <w:webHidden/>
              </w:rPr>
              <w:fldChar w:fldCharType="begin"/>
            </w:r>
            <w:r>
              <w:rPr>
                <w:webHidden/>
              </w:rPr>
              <w:instrText xml:space="preserve"> PAGEREF _Toc533153865 \h </w:instrText>
            </w:r>
            <w:r>
              <w:rPr>
                <w:webHidden/>
              </w:rPr>
              <w:fldChar w:fldCharType="separate"/>
            </w:r>
            <w:r>
              <w:rPr>
                <w:webHidden/>
              </w:rPr>
              <w:t>11</w:t>
            </w:r>
            <w:r>
              <w:rPr>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66" w:history="1">
            <w:r w:rsidRPr="005B4685">
              <w:rPr>
                <w:rStyle w:val="Hyperlink"/>
                <w:rFonts w:cs="Arial"/>
                <w:noProof/>
              </w:rPr>
              <w:t>2.1</w:t>
            </w:r>
            <w:r>
              <w:rPr>
                <w:rFonts w:asciiTheme="minorHAnsi" w:eastAsiaTheme="minorEastAsia" w:hAnsiTheme="minorHAnsi"/>
                <w:noProof/>
                <w:sz w:val="22"/>
                <w:lang w:val="fr-FR" w:eastAsia="fr-FR"/>
              </w:rPr>
              <w:tab/>
            </w:r>
            <w:r w:rsidRPr="005B4685">
              <w:rPr>
                <w:rStyle w:val="Hyperlink"/>
                <w:noProof/>
              </w:rPr>
              <w:t>The significant events</w:t>
            </w:r>
            <w:r>
              <w:rPr>
                <w:noProof/>
                <w:webHidden/>
              </w:rPr>
              <w:tab/>
            </w:r>
            <w:r>
              <w:rPr>
                <w:noProof/>
                <w:webHidden/>
              </w:rPr>
              <w:fldChar w:fldCharType="begin"/>
            </w:r>
            <w:r>
              <w:rPr>
                <w:noProof/>
                <w:webHidden/>
              </w:rPr>
              <w:instrText xml:space="preserve"> PAGEREF _Toc533153866 \h </w:instrText>
            </w:r>
            <w:r>
              <w:rPr>
                <w:noProof/>
                <w:webHidden/>
              </w:rPr>
              <w:fldChar w:fldCharType="separate"/>
            </w:r>
            <w:r>
              <w:rPr>
                <w:noProof/>
                <w:webHidden/>
              </w:rPr>
              <w:t>11</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67" w:history="1">
            <w:r w:rsidRPr="005B4685">
              <w:rPr>
                <w:rStyle w:val="Hyperlink"/>
                <w:rFonts w:cs="Arial"/>
                <w:noProof/>
              </w:rPr>
              <w:t>2.2</w:t>
            </w:r>
            <w:r>
              <w:rPr>
                <w:rFonts w:asciiTheme="minorHAnsi" w:eastAsiaTheme="minorEastAsia" w:hAnsiTheme="minorHAnsi"/>
                <w:noProof/>
                <w:sz w:val="22"/>
                <w:lang w:val="fr-FR" w:eastAsia="fr-FR"/>
              </w:rPr>
              <w:tab/>
            </w:r>
            <w:r w:rsidRPr="005B4685">
              <w:rPr>
                <w:rStyle w:val="Hyperlink"/>
                <w:noProof/>
              </w:rPr>
              <w:t>Safety indicators</w:t>
            </w:r>
            <w:r>
              <w:rPr>
                <w:noProof/>
                <w:webHidden/>
              </w:rPr>
              <w:tab/>
            </w:r>
            <w:r>
              <w:rPr>
                <w:noProof/>
                <w:webHidden/>
              </w:rPr>
              <w:fldChar w:fldCharType="begin"/>
            </w:r>
            <w:r>
              <w:rPr>
                <w:noProof/>
                <w:webHidden/>
              </w:rPr>
              <w:instrText xml:space="preserve"> PAGEREF _Toc533153867 \h </w:instrText>
            </w:r>
            <w:r>
              <w:rPr>
                <w:noProof/>
                <w:webHidden/>
              </w:rPr>
              <w:fldChar w:fldCharType="separate"/>
            </w:r>
            <w:r>
              <w:rPr>
                <w:noProof/>
                <w:webHidden/>
              </w:rPr>
              <w:t>13</w:t>
            </w:r>
            <w:r>
              <w:rPr>
                <w:noProof/>
                <w:webHidden/>
              </w:rPr>
              <w:fldChar w:fldCharType="end"/>
            </w:r>
          </w:hyperlink>
        </w:p>
        <w:p w:rsidR="00B03928">
          <w:pPr>
            <w:pStyle w:val="TOC3"/>
            <w:tabs>
              <w:tab w:val="left" w:pos="1320"/>
              <w:tab w:val="right" w:leader="dot" w:pos="9062"/>
            </w:tabs>
            <w:rPr>
              <w:rFonts w:asciiTheme="minorHAnsi" w:eastAsiaTheme="minorEastAsia" w:hAnsiTheme="minorHAnsi"/>
              <w:noProof/>
              <w:sz w:val="22"/>
              <w:lang w:val="fr-FR" w:eastAsia="fr-FR"/>
            </w:rPr>
          </w:pPr>
          <w:hyperlink w:anchor="_Toc533153868" w:history="1">
            <w:r w:rsidRPr="005B4685">
              <w:rPr>
                <w:rStyle w:val="Hyperlink"/>
                <w:rFonts w:cs="Arial"/>
                <w:noProof/>
              </w:rPr>
              <w:t>2.2.1</w:t>
            </w:r>
            <w:r>
              <w:rPr>
                <w:rFonts w:asciiTheme="minorHAnsi" w:eastAsiaTheme="minorEastAsia" w:hAnsiTheme="minorHAnsi"/>
                <w:noProof/>
                <w:sz w:val="22"/>
                <w:lang w:val="fr-FR" w:eastAsia="fr-FR"/>
              </w:rPr>
              <w:tab/>
            </w:r>
            <w:r w:rsidRPr="005B4685">
              <w:rPr>
                <w:rStyle w:val="Hyperlink"/>
                <w:noProof/>
              </w:rPr>
              <w:t>Accident impact assessment</w:t>
            </w:r>
            <w:r>
              <w:rPr>
                <w:noProof/>
                <w:webHidden/>
              </w:rPr>
              <w:tab/>
            </w:r>
            <w:r>
              <w:rPr>
                <w:noProof/>
                <w:webHidden/>
              </w:rPr>
              <w:fldChar w:fldCharType="begin"/>
            </w:r>
            <w:r>
              <w:rPr>
                <w:noProof/>
                <w:webHidden/>
              </w:rPr>
              <w:instrText xml:space="preserve"> PAGEREF _Toc533153868 \h </w:instrText>
            </w:r>
            <w:r>
              <w:rPr>
                <w:noProof/>
                <w:webHidden/>
              </w:rPr>
              <w:fldChar w:fldCharType="separate"/>
            </w:r>
            <w:r>
              <w:rPr>
                <w:noProof/>
                <w:webHidden/>
              </w:rPr>
              <w:t>13</w:t>
            </w:r>
            <w:r>
              <w:rPr>
                <w:noProof/>
                <w:webHidden/>
              </w:rPr>
              <w:fldChar w:fldCharType="end"/>
            </w:r>
          </w:hyperlink>
        </w:p>
        <w:p w:rsidR="00B03928">
          <w:pPr>
            <w:pStyle w:val="TOC3"/>
            <w:tabs>
              <w:tab w:val="left" w:pos="1320"/>
              <w:tab w:val="right" w:leader="dot" w:pos="9062"/>
            </w:tabs>
            <w:rPr>
              <w:rFonts w:asciiTheme="minorHAnsi" w:eastAsiaTheme="minorEastAsia" w:hAnsiTheme="minorHAnsi"/>
              <w:noProof/>
              <w:sz w:val="22"/>
              <w:lang w:val="fr-FR" w:eastAsia="fr-FR"/>
            </w:rPr>
          </w:pPr>
          <w:hyperlink w:anchor="_Toc533153869" w:history="1">
            <w:r w:rsidRPr="005B4685">
              <w:rPr>
                <w:rStyle w:val="Hyperlink"/>
                <w:rFonts w:cs="Arial"/>
                <w:noProof/>
              </w:rPr>
              <w:t>2.2.2</w:t>
            </w:r>
            <w:r>
              <w:rPr>
                <w:rFonts w:asciiTheme="minorHAnsi" w:eastAsiaTheme="minorEastAsia" w:hAnsiTheme="minorHAnsi"/>
                <w:noProof/>
                <w:sz w:val="22"/>
                <w:lang w:val="fr-FR" w:eastAsia="fr-FR"/>
              </w:rPr>
              <w:tab/>
            </w:r>
            <w:r w:rsidRPr="005B4685">
              <w:rPr>
                <w:rStyle w:val="Hyperlink"/>
                <w:noProof/>
              </w:rPr>
              <w:t>Accident occurrence rate</w:t>
            </w:r>
            <w:r>
              <w:rPr>
                <w:noProof/>
                <w:webHidden/>
              </w:rPr>
              <w:tab/>
            </w:r>
            <w:r>
              <w:rPr>
                <w:noProof/>
                <w:webHidden/>
              </w:rPr>
              <w:fldChar w:fldCharType="begin"/>
            </w:r>
            <w:r>
              <w:rPr>
                <w:noProof/>
                <w:webHidden/>
              </w:rPr>
              <w:instrText xml:space="preserve"> PAGEREF _Toc533153869 \h </w:instrText>
            </w:r>
            <w:r>
              <w:rPr>
                <w:noProof/>
                <w:webHidden/>
              </w:rPr>
              <w:fldChar w:fldCharType="separate"/>
            </w:r>
            <w:r>
              <w:rPr>
                <w:noProof/>
                <w:webHidden/>
              </w:rPr>
              <w:t>19</w:t>
            </w:r>
            <w:r>
              <w:rPr>
                <w:noProof/>
                <w:webHidden/>
              </w:rPr>
              <w:fldChar w:fldCharType="end"/>
            </w:r>
          </w:hyperlink>
        </w:p>
        <w:p w:rsidR="00B03928">
          <w:pPr>
            <w:pStyle w:val="TOC3"/>
            <w:tabs>
              <w:tab w:val="left" w:pos="1320"/>
              <w:tab w:val="right" w:leader="dot" w:pos="9062"/>
            </w:tabs>
            <w:rPr>
              <w:rFonts w:asciiTheme="minorHAnsi" w:eastAsiaTheme="minorEastAsia" w:hAnsiTheme="minorHAnsi"/>
              <w:noProof/>
              <w:sz w:val="22"/>
              <w:lang w:val="fr-FR" w:eastAsia="fr-FR"/>
            </w:rPr>
          </w:pPr>
          <w:hyperlink w:anchor="_Toc533153870" w:history="1">
            <w:r w:rsidRPr="005B4685">
              <w:rPr>
                <w:rStyle w:val="Hyperlink"/>
                <w:rFonts w:cs="Arial"/>
                <w:noProof/>
              </w:rPr>
              <w:t>2.2.3</w:t>
            </w:r>
            <w:r>
              <w:rPr>
                <w:rFonts w:asciiTheme="minorHAnsi" w:eastAsiaTheme="minorEastAsia" w:hAnsiTheme="minorHAnsi"/>
                <w:noProof/>
                <w:sz w:val="22"/>
                <w:lang w:val="fr-FR" w:eastAsia="fr-FR"/>
              </w:rPr>
              <w:tab/>
            </w:r>
            <w:r w:rsidRPr="005B4685">
              <w:rPr>
                <w:rStyle w:val="Hyperlink"/>
                <w:noProof/>
              </w:rPr>
              <w:t>Precursors of accidents</w:t>
            </w:r>
            <w:r>
              <w:rPr>
                <w:noProof/>
                <w:webHidden/>
              </w:rPr>
              <w:tab/>
            </w:r>
            <w:r>
              <w:rPr>
                <w:noProof/>
                <w:webHidden/>
              </w:rPr>
              <w:fldChar w:fldCharType="begin"/>
            </w:r>
            <w:r>
              <w:rPr>
                <w:noProof/>
                <w:webHidden/>
              </w:rPr>
              <w:instrText xml:space="preserve"> PAGEREF _Toc533153870 \h </w:instrText>
            </w:r>
            <w:r>
              <w:rPr>
                <w:noProof/>
                <w:webHidden/>
              </w:rPr>
              <w:fldChar w:fldCharType="separate"/>
            </w:r>
            <w:r>
              <w:rPr>
                <w:noProof/>
                <w:webHidden/>
              </w:rPr>
              <w:t>24</w:t>
            </w:r>
            <w:r>
              <w:rPr>
                <w:noProof/>
                <w:webHidden/>
              </w:rPr>
              <w:fldChar w:fldCharType="end"/>
            </w:r>
          </w:hyperlink>
        </w:p>
        <w:p w:rsidR="00B03928">
          <w:pPr>
            <w:pStyle w:val="TOC3"/>
            <w:tabs>
              <w:tab w:val="left" w:pos="1100"/>
              <w:tab w:val="right" w:leader="dot" w:pos="9062"/>
            </w:tabs>
            <w:rPr>
              <w:rFonts w:asciiTheme="minorHAnsi" w:eastAsiaTheme="minorEastAsia" w:hAnsiTheme="minorHAnsi"/>
              <w:noProof/>
              <w:sz w:val="22"/>
              <w:lang w:val="fr-FR" w:eastAsia="fr-FR"/>
            </w:rPr>
          </w:pPr>
          <w:hyperlink w:anchor="_Toc533153871" w:history="1">
            <w:r w:rsidRPr="005B4685">
              <w:rPr>
                <w:rStyle w:val="Hyperlink"/>
                <w:rFonts w:cs="Arial"/>
                <w:noProof/>
              </w:rPr>
              <w:t>2.3</w:t>
            </w:r>
            <w:r>
              <w:rPr>
                <w:rFonts w:asciiTheme="minorHAnsi" w:eastAsiaTheme="minorEastAsia" w:hAnsiTheme="minorHAnsi"/>
                <w:noProof/>
                <w:sz w:val="22"/>
                <w:lang w:val="fr-FR" w:eastAsia="fr-FR"/>
              </w:rPr>
              <w:tab/>
            </w:r>
            <w:r w:rsidRPr="005B4685">
              <w:rPr>
                <w:rStyle w:val="Hyperlink"/>
                <w:noProof/>
              </w:rPr>
              <w:t>Safety events</w:t>
            </w:r>
            <w:r>
              <w:rPr>
                <w:noProof/>
                <w:webHidden/>
              </w:rPr>
              <w:tab/>
            </w:r>
            <w:r>
              <w:rPr>
                <w:noProof/>
                <w:webHidden/>
              </w:rPr>
              <w:fldChar w:fldCharType="begin"/>
            </w:r>
            <w:r>
              <w:rPr>
                <w:noProof/>
                <w:webHidden/>
              </w:rPr>
              <w:instrText xml:space="preserve"> PAGEREF _Toc533153871 \h </w:instrText>
            </w:r>
            <w:r>
              <w:rPr>
                <w:noProof/>
                <w:webHidden/>
              </w:rPr>
              <w:fldChar w:fldCharType="separate"/>
            </w:r>
            <w:r>
              <w:rPr>
                <w:noProof/>
                <w:webHidden/>
              </w:rPr>
              <w:t>30</w:t>
            </w:r>
            <w:r>
              <w:rPr>
                <w:noProof/>
                <w:webHidden/>
              </w:rPr>
              <w:fldChar w:fldCharType="end"/>
            </w:r>
          </w:hyperlink>
        </w:p>
        <w:p w:rsidR="00B03928">
          <w:pPr>
            <w:pStyle w:val="TOC1"/>
            <w:rPr>
              <w:rFonts w:asciiTheme="minorHAnsi" w:eastAsiaTheme="minorEastAsia" w:hAnsiTheme="minorHAnsi"/>
              <w:sz w:val="22"/>
              <w:lang w:val="fr-FR" w:eastAsia="fr-FR"/>
            </w:rPr>
          </w:pPr>
          <w:hyperlink w:anchor="_Toc533153872" w:history="1">
            <w:r w:rsidRPr="005B4685">
              <w:rPr>
                <w:rStyle w:val="Hyperlink"/>
                <w:rFonts w:cs="Arial"/>
              </w:rPr>
              <w:t>3.</w:t>
            </w:r>
            <w:r>
              <w:rPr>
                <w:rFonts w:asciiTheme="minorHAnsi" w:eastAsiaTheme="minorEastAsia" w:hAnsiTheme="minorHAnsi"/>
                <w:sz w:val="22"/>
                <w:lang w:val="fr-FR" w:eastAsia="fr-FR"/>
              </w:rPr>
              <w:tab/>
            </w:r>
            <w:r w:rsidRPr="005B4685">
              <w:rPr>
                <w:rStyle w:val="Hyperlink"/>
              </w:rPr>
              <w:t>Railway safety initiatives</w:t>
            </w:r>
            <w:r>
              <w:rPr>
                <w:webHidden/>
              </w:rPr>
              <w:tab/>
            </w:r>
            <w:r>
              <w:rPr>
                <w:webHidden/>
              </w:rPr>
              <w:fldChar w:fldCharType="begin"/>
            </w:r>
            <w:r>
              <w:rPr>
                <w:webHidden/>
              </w:rPr>
              <w:instrText xml:space="preserve"> PAGEREF _Toc533153872 \h </w:instrText>
            </w:r>
            <w:r>
              <w:rPr>
                <w:webHidden/>
              </w:rPr>
              <w:fldChar w:fldCharType="separate"/>
            </w:r>
            <w:r>
              <w:rPr>
                <w:webHidden/>
              </w:rPr>
              <w:t>33</w:t>
            </w:r>
            <w:r>
              <w:rPr>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73" w:history="1">
            <w:r w:rsidRPr="005B4685">
              <w:rPr>
                <w:rStyle w:val="Hyperlink"/>
                <w:rFonts w:cs="Arial"/>
                <w:noProof/>
              </w:rPr>
              <w:t>3.1.</w:t>
            </w:r>
            <w:r>
              <w:rPr>
                <w:rFonts w:asciiTheme="minorHAnsi" w:eastAsiaTheme="minorEastAsia" w:hAnsiTheme="minorHAnsi"/>
                <w:noProof/>
                <w:sz w:val="22"/>
                <w:lang w:val="fr-FR" w:eastAsia="fr-FR"/>
              </w:rPr>
              <w:tab/>
            </w:r>
            <w:r w:rsidRPr="005B4685">
              <w:rPr>
                <w:rStyle w:val="Hyperlink"/>
                <w:noProof/>
              </w:rPr>
              <w:t>Safety alerts</w:t>
            </w:r>
            <w:r>
              <w:rPr>
                <w:noProof/>
                <w:webHidden/>
              </w:rPr>
              <w:tab/>
            </w:r>
            <w:r>
              <w:rPr>
                <w:noProof/>
                <w:webHidden/>
              </w:rPr>
              <w:fldChar w:fldCharType="begin"/>
            </w:r>
            <w:r>
              <w:rPr>
                <w:noProof/>
                <w:webHidden/>
              </w:rPr>
              <w:instrText xml:space="preserve"> PAGEREF _Toc533153873 \h </w:instrText>
            </w:r>
            <w:r>
              <w:rPr>
                <w:noProof/>
                <w:webHidden/>
              </w:rPr>
              <w:fldChar w:fldCharType="separate"/>
            </w:r>
            <w:r>
              <w:rPr>
                <w:noProof/>
                <w:webHidden/>
              </w:rPr>
              <w:t>33</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74" w:history="1">
            <w:r w:rsidRPr="005B4685">
              <w:rPr>
                <w:rStyle w:val="Hyperlink"/>
                <w:rFonts w:cs="Arial"/>
                <w:noProof/>
              </w:rPr>
              <w:t>3.2.</w:t>
            </w:r>
            <w:r>
              <w:rPr>
                <w:rFonts w:asciiTheme="minorHAnsi" w:eastAsiaTheme="minorEastAsia" w:hAnsiTheme="minorHAnsi"/>
                <w:noProof/>
                <w:sz w:val="22"/>
                <w:lang w:val="fr-FR" w:eastAsia="fr-FR"/>
              </w:rPr>
              <w:tab/>
            </w:r>
            <w:r w:rsidRPr="005B4685">
              <w:rPr>
                <w:rStyle w:val="Hyperlink"/>
                <w:noProof/>
              </w:rPr>
              <w:t>The prevention of accidents to persons</w:t>
            </w:r>
            <w:r>
              <w:rPr>
                <w:noProof/>
                <w:webHidden/>
              </w:rPr>
              <w:tab/>
            </w:r>
            <w:r>
              <w:rPr>
                <w:noProof/>
                <w:webHidden/>
              </w:rPr>
              <w:fldChar w:fldCharType="begin"/>
            </w:r>
            <w:r>
              <w:rPr>
                <w:noProof/>
                <w:webHidden/>
              </w:rPr>
              <w:instrText xml:space="preserve"> PAGEREF _Toc533153874 \h </w:instrText>
            </w:r>
            <w:r>
              <w:rPr>
                <w:noProof/>
                <w:webHidden/>
              </w:rPr>
              <w:fldChar w:fldCharType="separate"/>
            </w:r>
            <w:r>
              <w:rPr>
                <w:noProof/>
                <w:webHidden/>
              </w:rPr>
              <w:t>35</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75" w:history="1">
            <w:r w:rsidRPr="005B4685">
              <w:rPr>
                <w:rStyle w:val="Hyperlink"/>
                <w:rFonts w:cs="Arial"/>
                <w:noProof/>
              </w:rPr>
              <w:t>3.3.</w:t>
            </w:r>
            <w:r>
              <w:rPr>
                <w:rFonts w:asciiTheme="minorHAnsi" w:eastAsiaTheme="minorEastAsia" w:hAnsiTheme="minorHAnsi"/>
                <w:noProof/>
                <w:sz w:val="22"/>
                <w:lang w:val="fr-FR" w:eastAsia="fr-FR"/>
              </w:rPr>
              <w:tab/>
            </w:r>
            <w:r w:rsidRPr="005B4685">
              <w:rPr>
                <w:rStyle w:val="Hyperlink"/>
                <w:noProof/>
              </w:rPr>
              <w:t>The prevention of accidents at level crossings</w:t>
            </w:r>
            <w:r>
              <w:rPr>
                <w:noProof/>
                <w:webHidden/>
              </w:rPr>
              <w:tab/>
            </w:r>
            <w:r>
              <w:rPr>
                <w:noProof/>
                <w:webHidden/>
              </w:rPr>
              <w:fldChar w:fldCharType="begin"/>
            </w:r>
            <w:r>
              <w:rPr>
                <w:noProof/>
                <w:webHidden/>
              </w:rPr>
              <w:instrText xml:space="preserve"> PAGEREF _Toc533153875 \h </w:instrText>
            </w:r>
            <w:r>
              <w:rPr>
                <w:noProof/>
                <w:webHidden/>
              </w:rPr>
              <w:fldChar w:fldCharType="separate"/>
            </w:r>
            <w:r>
              <w:rPr>
                <w:noProof/>
                <w:webHidden/>
              </w:rPr>
              <w:t>38</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76" w:history="1">
            <w:r w:rsidRPr="005B4685">
              <w:rPr>
                <w:rStyle w:val="Hyperlink"/>
                <w:rFonts w:cs="Arial"/>
                <w:noProof/>
              </w:rPr>
              <w:t>3.4.</w:t>
            </w:r>
            <w:r>
              <w:rPr>
                <w:rFonts w:asciiTheme="minorHAnsi" w:eastAsiaTheme="minorEastAsia" w:hAnsiTheme="minorHAnsi"/>
                <w:noProof/>
                <w:sz w:val="22"/>
                <w:lang w:val="fr-FR" w:eastAsia="fr-FR"/>
              </w:rPr>
              <w:tab/>
            </w:r>
            <w:r w:rsidRPr="005B4685">
              <w:rPr>
                <w:rStyle w:val="Hyperlink"/>
                <w:noProof/>
              </w:rPr>
              <w:t>The management of de-shunting risk</w:t>
            </w:r>
            <w:r>
              <w:rPr>
                <w:noProof/>
                <w:webHidden/>
              </w:rPr>
              <w:tab/>
            </w:r>
            <w:r>
              <w:rPr>
                <w:noProof/>
                <w:webHidden/>
              </w:rPr>
              <w:fldChar w:fldCharType="begin"/>
            </w:r>
            <w:r>
              <w:rPr>
                <w:noProof/>
                <w:webHidden/>
              </w:rPr>
              <w:instrText xml:space="preserve"> PAGEREF _Toc533153876 \h </w:instrText>
            </w:r>
            <w:r>
              <w:rPr>
                <w:noProof/>
                <w:webHidden/>
              </w:rPr>
              <w:fldChar w:fldCharType="separate"/>
            </w:r>
            <w:r>
              <w:rPr>
                <w:noProof/>
                <w:webHidden/>
              </w:rPr>
              <w:t>40</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77" w:history="1">
            <w:r w:rsidRPr="005B4685">
              <w:rPr>
                <w:rStyle w:val="Hyperlink"/>
                <w:rFonts w:cs="Arial"/>
                <w:noProof/>
              </w:rPr>
              <w:t>3.5.</w:t>
            </w:r>
            <w:r>
              <w:rPr>
                <w:rFonts w:asciiTheme="minorHAnsi" w:eastAsiaTheme="minorEastAsia" w:hAnsiTheme="minorHAnsi"/>
                <w:noProof/>
                <w:sz w:val="22"/>
                <w:lang w:val="fr-FR" w:eastAsia="fr-FR"/>
              </w:rPr>
              <w:tab/>
            </w:r>
            <w:r w:rsidRPr="005B4685">
              <w:rPr>
                <w:rStyle w:val="Hyperlink"/>
                <w:noProof/>
              </w:rPr>
              <w:t>The recommendations of the BEA-TT</w:t>
            </w:r>
            <w:r>
              <w:rPr>
                <w:noProof/>
                <w:webHidden/>
              </w:rPr>
              <w:tab/>
            </w:r>
            <w:r>
              <w:rPr>
                <w:noProof/>
                <w:webHidden/>
              </w:rPr>
              <w:fldChar w:fldCharType="begin"/>
            </w:r>
            <w:r>
              <w:rPr>
                <w:noProof/>
                <w:webHidden/>
              </w:rPr>
              <w:instrText xml:space="preserve"> PAGEREF _Toc533153877 \h </w:instrText>
            </w:r>
            <w:r>
              <w:rPr>
                <w:noProof/>
                <w:webHidden/>
              </w:rPr>
              <w:fldChar w:fldCharType="separate"/>
            </w:r>
            <w:r>
              <w:rPr>
                <w:noProof/>
                <w:webHidden/>
              </w:rPr>
              <w:t>45</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78" w:history="1">
            <w:r w:rsidRPr="005B4685">
              <w:rPr>
                <w:rStyle w:val="Hyperlink"/>
                <w:rFonts w:cs="Arial"/>
                <w:noProof/>
              </w:rPr>
              <w:t>3.6.</w:t>
            </w:r>
            <w:r>
              <w:rPr>
                <w:rFonts w:asciiTheme="minorHAnsi" w:eastAsiaTheme="minorEastAsia" w:hAnsiTheme="minorHAnsi"/>
                <w:noProof/>
                <w:sz w:val="22"/>
                <w:lang w:val="fr-FR" w:eastAsia="fr-FR"/>
              </w:rPr>
              <w:tab/>
            </w:r>
            <w:r w:rsidRPr="005B4685">
              <w:rPr>
                <w:rStyle w:val="Hyperlink"/>
                <w:noProof/>
              </w:rPr>
              <w:t>Feedback in 2017</w:t>
            </w:r>
            <w:r>
              <w:rPr>
                <w:noProof/>
                <w:webHidden/>
              </w:rPr>
              <w:tab/>
            </w:r>
            <w:r>
              <w:rPr>
                <w:noProof/>
                <w:webHidden/>
              </w:rPr>
              <w:fldChar w:fldCharType="begin"/>
            </w:r>
            <w:r>
              <w:rPr>
                <w:noProof/>
                <w:webHidden/>
              </w:rPr>
              <w:instrText xml:space="preserve"> PAGEREF _Toc533153878 \h </w:instrText>
            </w:r>
            <w:r>
              <w:rPr>
                <w:noProof/>
                <w:webHidden/>
              </w:rPr>
              <w:fldChar w:fldCharType="separate"/>
            </w:r>
            <w:r>
              <w:rPr>
                <w:noProof/>
                <w:webHidden/>
              </w:rPr>
              <w:t>48</w:t>
            </w:r>
            <w:r>
              <w:rPr>
                <w:noProof/>
                <w:webHidden/>
              </w:rPr>
              <w:fldChar w:fldCharType="end"/>
            </w:r>
          </w:hyperlink>
        </w:p>
        <w:p w:rsidR="00B03928">
          <w:pPr>
            <w:pStyle w:val="TOC1"/>
            <w:rPr>
              <w:rFonts w:asciiTheme="minorHAnsi" w:eastAsiaTheme="minorEastAsia" w:hAnsiTheme="minorHAnsi"/>
              <w:sz w:val="22"/>
              <w:lang w:val="fr-FR" w:eastAsia="fr-FR"/>
            </w:rPr>
          </w:pPr>
          <w:hyperlink w:anchor="_Toc533153879" w:history="1">
            <w:r w:rsidRPr="005B4685">
              <w:rPr>
                <w:rStyle w:val="Hyperlink"/>
                <w:rFonts w:cs="Arial"/>
              </w:rPr>
              <w:t>4.</w:t>
            </w:r>
            <w:r>
              <w:rPr>
                <w:rFonts w:asciiTheme="minorHAnsi" w:eastAsiaTheme="minorEastAsia" w:hAnsiTheme="minorHAnsi"/>
                <w:sz w:val="22"/>
                <w:lang w:val="fr-FR" w:eastAsia="fr-FR"/>
              </w:rPr>
              <w:tab/>
            </w:r>
            <w:r w:rsidRPr="005B4685">
              <w:rPr>
                <w:rStyle w:val="Hyperlink"/>
              </w:rPr>
              <w:t>Adoption of regulatory changes by actors</w:t>
            </w:r>
            <w:r>
              <w:rPr>
                <w:webHidden/>
              </w:rPr>
              <w:tab/>
            </w:r>
            <w:r>
              <w:rPr>
                <w:webHidden/>
              </w:rPr>
              <w:fldChar w:fldCharType="begin"/>
            </w:r>
            <w:r>
              <w:rPr>
                <w:webHidden/>
              </w:rPr>
              <w:instrText xml:space="preserve"> PAGEREF _Toc533153879 \h </w:instrText>
            </w:r>
            <w:r>
              <w:rPr>
                <w:webHidden/>
              </w:rPr>
              <w:fldChar w:fldCharType="separate"/>
            </w:r>
            <w:r>
              <w:rPr>
                <w:webHidden/>
              </w:rPr>
              <w:t>52</w:t>
            </w:r>
            <w:r>
              <w:rPr>
                <w:webHidden/>
              </w:rPr>
              <w:fldChar w:fldCharType="end"/>
            </w:r>
          </w:hyperlink>
        </w:p>
        <w:p w:rsidR="00B03928">
          <w:pPr>
            <w:pStyle w:val="TOC1"/>
            <w:rPr>
              <w:rFonts w:asciiTheme="minorHAnsi" w:eastAsiaTheme="minorEastAsia" w:hAnsiTheme="minorHAnsi"/>
              <w:sz w:val="22"/>
              <w:lang w:val="fr-FR" w:eastAsia="fr-FR"/>
            </w:rPr>
          </w:pPr>
          <w:hyperlink w:anchor="_Toc533153880" w:history="1">
            <w:r w:rsidRPr="005B4685">
              <w:rPr>
                <w:rStyle w:val="Hyperlink"/>
                <w:rFonts w:cs="Arial"/>
              </w:rPr>
              <w:t>5.</w:t>
            </w:r>
            <w:r>
              <w:rPr>
                <w:rFonts w:asciiTheme="minorHAnsi" w:eastAsiaTheme="minorEastAsia" w:hAnsiTheme="minorHAnsi"/>
                <w:sz w:val="22"/>
                <w:lang w:val="fr-FR" w:eastAsia="fr-FR"/>
              </w:rPr>
              <w:tab/>
            </w:r>
            <w:r w:rsidRPr="005B4685">
              <w:rPr>
                <w:rStyle w:val="Hyperlink"/>
              </w:rPr>
              <w:t>Lessons learned from authorisations and inspections</w:t>
            </w:r>
            <w:r>
              <w:rPr>
                <w:webHidden/>
              </w:rPr>
              <w:tab/>
            </w:r>
            <w:r>
              <w:rPr>
                <w:webHidden/>
              </w:rPr>
              <w:fldChar w:fldCharType="begin"/>
            </w:r>
            <w:r>
              <w:rPr>
                <w:webHidden/>
              </w:rPr>
              <w:instrText xml:space="preserve"> PAGEREF _Toc533153880 \h </w:instrText>
            </w:r>
            <w:r>
              <w:rPr>
                <w:webHidden/>
              </w:rPr>
              <w:fldChar w:fldCharType="separate"/>
            </w:r>
            <w:r>
              <w:rPr>
                <w:webHidden/>
              </w:rPr>
              <w:t>55</w:t>
            </w:r>
            <w:r>
              <w:rPr>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81" w:history="1">
            <w:r w:rsidRPr="005B4685">
              <w:rPr>
                <w:rStyle w:val="Hyperlink"/>
                <w:rFonts w:cs="Arial"/>
                <w:noProof/>
              </w:rPr>
              <w:t>5.1</w:t>
            </w:r>
            <w:r>
              <w:rPr>
                <w:rFonts w:asciiTheme="minorHAnsi" w:eastAsiaTheme="minorEastAsia" w:hAnsiTheme="minorHAnsi"/>
                <w:noProof/>
                <w:sz w:val="22"/>
                <w:lang w:val="fr-FR" w:eastAsia="fr-FR"/>
              </w:rPr>
              <w:tab/>
            </w:r>
            <w:r w:rsidRPr="005B4685">
              <w:rPr>
                <w:rStyle w:val="Hyperlink"/>
                <w:noProof/>
              </w:rPr>
              <w:t>Infrastructure</w:t>
            </w:r>
            <w:r>
              <w:rPr>
                <w:noProof/>
                <w:webHidden/>
              </w:rPr>
              <w:tab/>
            </w:r>
            <w:r>
              <w:rPr>
                <w:noProof/>
                <w:webHidden/>
              </w:rPr>
              <w:fldChar w:fldCharType="begin"/>
            </w:r>
            <w:r>
              <w:rPr>
                <w:noProof/>
                <w:webHidden/>
              </w:rPr>
              <w:instrText xml:space="preserve"> PAGEREF _Toc533153881 \h </w:instrText>
            </w:r>
            <w:r>
              <w:rPr>
                <w:noProof/>
                <w:webHidden/>
              </w:rPr>
              <w:fldChar w:fldCharType="separate"/>
            </w:r>
            <w:r>
              <w:rPr>
                <w:noProof/>
                <w:webHidden/>
              </w:rPr>
              <w:t>55</w:t>
            </w:r>
            <w:r>
              <w:rPr>
                <w:noProof/>
                <w:webHidden/>
              </w:rPr>
              <w:fldChar w:fldCharType="end"/>
            </w:r>
          </w:hyperlink>
        </w:p>
        <w:p w:rsidR="00B03928">
          <w:pPr>
            <w:pStyle w:val="TOC2"/>
            <w:tabs>
              <w:tab w:val="left" w:pos="880"/>
            </w:tabs>
            <w:rPr>
              <w:rFonts w:asciiTheme="minorHAnsi" w:eastAsiaTheme="minorEastAsia" w:hAnsiTheme="minorHAnsi"/>
              <w:noProof/>
              <w:sz w:val="22"/>
              <w:lang w:val="fr-FR" w:eastAsia="fr-FR"/>
            </w:rPr>
          </w:pPr>
          <w:hyperlink w:anchor="_Toc533153882" w:history="1">
            <w:r w:rsidRPr="005B4685">
              <w:rPr>
                <w:rStyle w:val="Hyperlink"/>
                <w:rFonts w:cs="Arial"/>
                <w:noProof/>
              </w:rPr>
              <w:t>5.2</w:t>
            </w:r>
            <w:r>
              <w:rPr>
                <w:rFonts w:asciiTheme="minorHAnsi" w:eastAsiaTheme="minorEastAsia" w:hAnsiTheme="minorHAnsi"/>
                <w:noProof/>
                <w:sz w:val="22"/>
                <w:lang w:val="fr-FR" w:eastAsia="fr-FR"/>
              </w:rPr>
              <w:tab/>
            </w:r>
            <w:r w:rsidRPr="005B4685">
              <w:rPr>
                <w:rStyle w:val="Hyperlink"/>
                <w:noProof/>
              </w:rPr>
              <w:t>Safety culture</w:t>
            </w:r>
            <w:r>
              <w:rPr>
                <w:noProof/>
                <w:webHidden/>
              </w:rPr>
              <w:tab/>
            </w:r>
            <w:r>
              <w:rPr>
                <w:noProof/>
                <w:webHidden/>
              </w:rPr>
              <w:fldChar w:fldCharType="begin"/>
            </w:r>
            <w:r>
              <w:rPr>
                <w:noProof/>
                <w:webHidden/>
              </w:rPr>
              <w:instrText xml:space="preserve"> PAGEREF _Toc533153882 \h </w:instrText>
            </w:r>
            <w:r>
              <w:rPr>
                <w:noProof/>
                <w:webHidden/>
              </w:rPr>
              <w:fldChar w:fldCharType="separate"/>
            </w:r>
            <w:r>
              <w:rPr>
                <w:noProof/>
                <w:webHidden/>
              </w:rPr>
              <w:t>57</w:t>
            </w:r>
            <w:r>
              <w:rPr>
                <w:noProof/>
                <w:webHidden/>
              </w:rPr>
              <w:fldChar w:fldCharType="end"/>
            </w:r>
          </w:hyperlink>
        </w:p>
        <w:p w:rsidR="00B03928">
          <w:pPr>
            <w:pStyle w:val="TOC1"/>
            <w:rPr>
              <w:rFonts w:asciiTheme="minorHAnsi" w:eastAsiaTheme="minorEastAsia" w:hAnsiTheme="minorHAnsi"/>
              <w:sz w:val="22"/>
              <w:lang w:val="fr-FR" w:eastAsia="fr-FR"/>
            </w:rPr>
          </w:pPr>
          <w:hyperlink w:anchor="_Toc533153883" w:history="1">
            <w:r w:rsidRPr="005B4685">
              <w:rPr>
                <w:rStyle w:val="Hyperlink"/>
              </w:rPr>
              <w:t>Annex 1 – Definitions: common safety objectives and indicators</w:t>
            </w:r>
            <w:r>
              <w:rPr>
                <w:webHidden/>
              </w:rPr>
              <w:tab/>
            </w:r>
            <w:r>
              <w:rPr>
                <w:webHidden/>
              </w:rPr>
              <w:fldChar w:fldCharType="begin"/>
            </w:r>
            <w:r>
              <w:rPr>
                <w:webHidden/>
              </w:rPr>
              <w:instrText xml:space="preserve"> PAGEREF _Toc533153883 \h </w:instrText>
            </w:r>
            <w:r>
              <w:rPr>
                <w:webHidden/>
              </w:rPr>
              <w:fldChar w:fldCharType="separate"/>
            </w:r>
            <w:r>
              <w:rPr>
                <w:webHidden/>
              </w:rPr>
              <w:t>59</w:t>
            </w:r>
            <w:r>
              <w:rPr>
                <w:webHidden/>
              </w:rPr>
              <w:fldChar w:fldCharType="end"/>
            </w:r>
          </w:hyperlink>
        </w:p>
        <w:p w:rsidR="00B03928">
          <w:pPr>
            <w:pStyle w:val="TOC1"/>
            <w:rPr>
              <w:rFonts w:asciiTheme="minorHAnsi" w:eastAsiaTheme="minorEastAsia" w:hAnsiTheme="minorHAnsi"/>
              <w:sz w:val="22"/>
              <w:lang w:val="fr-FR" w:eastAsia="fr-FR"/>
            </w:rPr>
          </w:pPr>
          <w:hyperlink w:anchor="_Toc533153884" w:history="1">
            <w:r w:rsidRPr="005B4685">
              <w:rPr>
                <w:rStyle w:val="Hyperlink"/>
              </w:rPr>
              <w:t>Annex 2 – Common safety indicators</w:t>
            </w:r>
            <w:r>
              <w:rPr>
                <w:webHidden/>
              </w:rPr>
              <w:tab/>
            </w:r>
            <w:r>
              <w:rPr>
                <w:webHidden/>
              </w:rPr>
              <w:fldChar w:fldCharType="begin"/>
            </w:r>
            <w:r>
              <w:rPr>
                <w:webHidden/>
              </w:rPr>
              <w:instrText xml:space="preserve"> PAGEREF _Toc533153884 \h </w:instrText>
            </w:r>
            <w:r>
              <w:rPr>
                <w:webHidden/>
              </w:rPr>
              <w:fldChar w:fldCharType="separate"/>
            </w:r>
            <w:r>
              <w:rPr>
                <w:webHidden/>
              </w:rPr>
              <w:t>63</w:t>
            </w:r>
            <w:r>
              <w:rPr>
                <w:webHidden/>
              </w:rPr>
              <w:fldChar w:fldCharType="end"/>
            </w:r>
          </w:hyperlink>
        </w:p>
        <w:p w:rsidR="00B03928">
          <w:pPr>
            <w:pStyle w:val="TOC1"/>
            <w:rPr>
              <w:rFonts w:asciiTheme="minorHAnsi" w:eastAsiaTheme="minorEastAsia" w:hAnsiTheme="minorHAnsi"/>
              <w:sz w:val="22"/>
              <w:lang w:val="fr-FR" w:eastAsia="fr-FR"/>
            </w:rPr>
          </w:pPr>
          <w:hyperlink w:anchor="_Toc533153885" w:history="1">
            <w:r w:rsidRPr="005B4685">
              <w:rPr>
                <w:rStyle w:val="Hyperlink"/>
              </w:rPr>
              <w:t>Annex 3 – Summary of regulatory changes</w:t>
            </w:r>
            <w:r>
              <w:rPr>
                <w:webHidden/>
              </w:rPr>
              <w:tab/>
            </w:r>
            <w:r>
              <w:rPr>
                <w:webHidden/>
              </w:rPr>
              <w:fldChar w:fldCharType="begin"/>
            </w:r>
            <w:r>
              <w:rPr>
                <w:webHidden/>
              </w:rPr>
              <w:instrText xml:space="preserve"> PAGEREF _Toc533153885 \h </w:instrText>
            </w:r>
            <w:r>
              <w:rPr>
                <w:webHidden/>
              </w:rPr>
              <w:fldChar w:fldCharType="separate"/>
            </w:r>
            <w:r>
              <w:rPr>
                <w:webHidden/>
              </w:rPr>
              <w:t>72</w:t>
            </w:r>
            <w:r>
              <w:rPr>
                <w:webHidden/>
              </w:rPr>
              <w:fldChar w:fldCharType="end"/>
            </w:r>
          </w:hyperlink>
        </w:p>
        <w:p w:rsidR="00B03928">
          <w:pPr>
            <w:pStyle w:val="TOC1"/>
            <w:rPr>
              <w:rFonts w:asciiTheme="minorHAnsi" w:eastAsiaTheme="minorEastAsia" w:hAnsiTheme="minorHAnsi"/>
              <w:sz w:val="22"/>
              <w:lang w:val="fr-FR" w:eastAsia="fr-FR"/>
            </w:rPr>
          </w:pPr>
          <w:hyperlink w:anchor="_Toc533153886" w:history="1">
            <w:r w:rsidRPr="005B4685">
              <w:rPr>
                <w:rStyle w:val="Hyperlink"/>
              </w:rPr>
              <w:t>Annex 4 – Technical publications</w:t>
            </w:r>
            <w:r>
              <w:rPr>
                <w:webHidden/>
              </w:rPr>
              <w:tab/>
            </w:r>
            <w:r>
              <w:rPr>
                <w:webHidden/>
              </w:rPr>
              <w:fldChar w:fldCharType="begin"/>
            </w:r>
            <w:r>
              <w:rPr>
                <w:webHidden/>
              </w:rPr>
              <w:instrText xml:space="preserve"> PAGEREF _Toc533153886 \h </w:instrText>
            </w:r>
            <w:r>
              <w:rPr>
                <w:webHidden/>
              </w:rPr>
              <w:fldChar w:fldCharType="separate"/>
            </w:r>
            <w:r>
              <w:rPr>
                <w:webHidden/>
              </w:rPr>
              <w:t>76</w:t>
            </w:r>
            <w:r>
              <w:rPr>
                <w:webHidden/>
              </w:rPr>
              <w:fldChar w:fldCharType="end"/>
            </w:r>
          </w:hyperlink>
        </w:p>
        <w:p w:rsidR="00B03928">
          <w:pPr>
            <w:pStyle w:val="TOC1"/>
            <w:rPr>
              <w:rFonts w:asciiTheme="minorHAnsi" w:eastAsiaTheme="minorEastAsia" w:hAnsiTheme="minorHAnsi"/>
              <w:sz w:val="22"/>
              <w:lang w:val="fr-FR" w:eastAsia="fr-FR"/>
            </w:rPr>
          </w:pPr>
          <w:hyperlink w:anchor="_Toc533153887" w:history="1">
            <w:r w:rsidRPr="005B4685">
              <w:rPr>
                <w:rStyle w:val="Hyperlink"/>
              </w:rPr>
              <w:t>Annex 5 – Authorisations issued by the EPSF</w:t>
            </w:r>
            <w:r>
              <w:rPr>
                <w:webHidden/>
              </w:rPr>
              <w:tab/>
            </w:r>
            <w:r>
              <w:rPr>
                <w:webHidden/>
              </w:rPr>
              <w:fldChar w:fldCharType="begin"/>
            </w:r>
            <w:r>
              <w:rPr>
                <w:webHidden/>
              </w:rPr>
              <w:instrText xml:space="preserve"> PAGEREF _Toc533153887 \h </w:instrText>
            </w:r>
            <w:r>
              <w:rPr>
                <w:webHidden/>
              </w:rPr>
              <w:fldChar w:fldCharType="separate"/>
            </w:r>
            <w:r>
              <w:rPr>
                <w:webHidden/>
              </w:rPr>
              <w:t>79</w:t>
            </w:r>
            <w:r>
              <w:rPr>
                <w:webHidden/>
              </w:rPr>
              <w:fldChar w:fldCharType="end"/>
            </w:r>
          </w:hyperlink>
        </w:p>
        <w:p w:rsidR="00B03928">
          <w:pPr>
            <w:pStyle w:val="TOC1"/>
            <w:rPr>
              <w:rFonts w:asciiTheme="minorHAnsi" w:eastAsiaTheme="minorEastAsia" w:hAnsiTheme="minorHAnsi"/>
              <w:sz w:val="22"/>
              <w:lang w:val="fr-FR" w:eastAsia="fr-FR"/>
            </w:rPr>
          </w:pPr>
          <w:hyperlink w:anchor="_Toc533153888" w:history="1">
            <w:r w:rsidRPr="005B4685">
              <w:rPr>
                <w:rStyle w:val="Hyperlink"/>
              </w:rPr>
              <w:t>Annex 6 – List of holders of authorisations issued by the EPSF</w:t>
            </w:r>
            <w:r>
              <w:rPr>
                <w:webHidden/>
              </w:rPr>
              <w:tab/>
            </w:r>
            <w:r>
              <w:rPr>
                <w:webHidden/>
              </w:rPr>
              <w:fldChar w:fldCharType="begin"/>
            </w:r>
            <w:r>
              <w:rPr>
                <w:webHidden/>
              </w:rPr>
              <w:instrText xml:space="preserve"> PAGEREF _Toc533153888 \h </w:instrText>
            </w:r>
            <w:r>
              <w:rPr>
                <w:webHidden/>
              </w:rPr>
              <w:fldChar w:fldCharType="separate"/>
            </w:r>
            <w:r>
              <w:rPr>
                <w:webHidden/>
              </w:rPr>
              <w:t>81</w:t>
            </w:r>
            <w:r>
              <w:rPr>
                <w:webHidden/>
              </w:rPr>
              <w:fldChar w:fldCharType="end"/>
            </w:r>
          </w:hyperlink>
        </w:p>
        <w:p w:rsidR="00B03928">
          <w:pPr>
            <w:pStyle w:val="TOC1"/>
            <w:rPr>
              <w:rFonts w:asciiTheme="minorHAnsi" w:eastAsiaTheme="minorEastAsia" w:hAnsiTheme="minorHAnsi"/>
              <w:sz w:val="22"/>
              <w:lang w:val="fr-FR" w:eastAsia="fr-FR"/>
            </w:rPr>
          </w:pPr>
          <w:hyperlink w:anchor="_Toc533153889" w:history="1">
            <w:r w:rsidRPr="005B4685">
              <w:rPr>
                <w:rStyle w:val="Hyperlink"/>
              </w:rPr>
              <w:t>Annex 7 – Follow-up of BEA-TT recommendations</w:t>
            </w:r>
            <w:r>
              <w:rPr>
                <w:webHidden/>
              </w:rPr>
              <w:tab/>
            </w:r>
            <w:r>
              <w:rPr>
                <w:webHidden/>
              </w:rPr>
              <w:fldChar w:fldCharType="begin"/>
            </w:r>
            <w:r>
              <w:rPr>
                <w:webHidden/>
              </w:rPr>
              <w:instrText xml:space="preserve"> PAGEREF _Toc533153889 \h </w:instrText>
            </w:r>
            <w:r>
              <w:rPr>
                <w:webHidden/>
              </w:rPr>
              <w:fldChar w:fldCharType="separate"/>
            </w:r>
            <w:r>
              <w:rPr>
                <w:webHidden/>
              </w:rPr>
              <w:t>85</w:t>
            </w:r>
            <w:r>
              <w:rPr>
                <w:webHidden/>
              </w:rPr>
              <w:fldChar w:fldCharType="end"/>
            </w:r>
          </w:hyperlink>
        </w:p>
        <w:p w:rsidR="00B03928">
          <w:pPr>
            <w:pStyle w:val="TOC1"/>
            <w:rPr>
              <w:rFonts w:asciiTheme="minorHAnsi" w:eastAsiaTheme="minorEastAsia" w:hAnsiTheme="minorHAnsi"/>
              <w:sz w:val="22"/>
              <w:lang w:val="fr-FR" w:eastAsia="fr-FR"/>
            </w:rPr>
          </w:pPr>
          <w:hyperlink w:anchor="_Toc533153890" w:history="1">
            <w:r w:rsidRPr="005B4685">
              <w:rPr>
                <w:rStyle w:val="Hyperlink"/>
              </w:rPr>
              <w:t>Annex 8 – Abbreviations and acronyms used in this report</w:t>
            </w:r>
            <w:r>
              <w:rPr>
                <w:webHidden/>
              </w:rPr>
              <w:tab/>
            </w:r>
            <w:r>
              <w:rPr>
                <w:webHidden/>
              </w:rPr>
              <w:fldChar w:fldCharType="begin"/>
            </w:r>
            <w:r>
              <w:rPr>
                <w:webHidden/>
              </w:rPr>
              <w:instrText xml:space="preserve"> PAGEREF _Toc533153890 \h </w:instrText>
            </w:r>
            <w:r>
              <w:rPr>
                <w:webHidden/>
              </w:rPr>
              <w:fldChar w:fldCharType="separate"/>
            </w:r>
            <w:r>
              <w:rPr>
                <w:webHidden/>
              </w:rPr>
              <w:t>106</w:t>
            </w:r>
            <w:r>
              <w:rPr>
                <w:webHidden/>
              </w:rPr>
              <w:fldChar w:fldCharType="end"/>
            </w:r>
          </w:hyperlink>
        </w:p>
        <w:p w:rsidR="00275E6A" w:rsidRPr="00756DA5">
          <w:pPr>
            <w:rPr>
              <w:rFonts w:cs="Arial"/>
            </w:rPr>
          </w:pPr>
          <w:r w:rsidRPr="00756DA5">
            <w:rPr>
              <w:rFonts w:cs="Arial"/>
              <w:b/>
              <w:bCs/>
            </w:rPr>
            <w:fldChar w:fldCharType="end"/>
          </w:r>
        </w:p>
      </w:sdtContent>
    </w:sdt>
    <w:p w:rsidR="0083253D" w:rsidRPr="00756DA5" w:rsidP="00423F21">
      <w:pPr>
        <w:pStyle w:val="Heading1"/>
        <w:pageBreakBefore/>
        <w:spacing w:before="0"/>
        <w:rPr>
          <w:rFonts w:cs="Arial"/>
        </w:rPr>
      </w:pPr>
      <w:bookmarkStart w:id="1" w:name="_Toc494469611"/>
      <w:bookmarkStart w:id="2" w:name="_Toc533153859"/>
      <w:r w:rsidRPr="00756DA5">
        <w:t>Foreword</w:t>
      </w:r>
      <w:bookmarkEnd w:id="1"/>
      <w:bookmarkEnd w:id="2"/>
    </w:p>
    <w:p w:rsidR="002E2920" w:rsidRPr="00756DA5" w:rsidP="002E2920">
      <w:pPr>
        <w:spacing w:line="280" w:lineRule="exact"/>
        <w:rPr>
          <w:rFonts w:cs="Arial"/>
        </w:rPr>
      </w:pPr>
      <w:r w:rsidRPr="00756DA5">
        <w:t xml:space="preserve">The Annual Report on Railway Traffic Safety has been prepared to satisfy the obligation imposed on the </w:t>
      </w:r>
      <w:r w:rsidRPr="00756DA5">
        <w:rPr>
          <w:i/>
        </w:rPr>
        <w:t>Établissement public de sécurité ferroviaire</w:t>
      </w:r>
      <w:bookmarkStart w:id="3" w:name="_GoBack"/>
      <w:bookmarkEnd w:id="3"/>
      <w:r w:rsidRPr="00756DA5">
        <w:t xml:space="preserve"> (EPSF) [French Rail Safety Authority] pursuant to Article 17 of amended Decree 2006-1279 of 19 October 2006 to draw up and send a report, for the previous calendar year, on railway traffic safety on the national railway network and the other comparable networks as defined in Decree 2017-674 of 28 April 2017 to the Minister for Transport, the </w:t>
      </w:r>
      <w:r w:rsidRPr="00756DA5">
        <w:rPr>
          <w:i/>
        </w:rPr>
        <w:t>Bureau d’enquêtes sur les accidents de transport terrestre</w:t>
      </w:r>
      <w:r w:rsidRPr="00756DA5">
        <w:t xml:space="preserve"> (BEA-TT) [Land Transport Accident Investigation Bureau] and the European Union Agency for Railways before 30 September each year.</w:t>
      </w:r>
    </w:p>
    <w:p w:rsidR="002E2920" w:rsidRPr="00756DA5" w:rsidP="002E2920">
      <w:pPr>
        <w:spacing w:line="280" w:lineRule="exact"/>
        <w:rPr>
          <w:rFonts w:cs="Arial"/>
        </w:rPr>
      </w:pPr>
      <w:r w:rsidRPr="00756DA5">
        <w:t xml:space="preserve">This report is drawn up </w:t>
      </w:r>
      <w:r w:rsidRPr="00756DA5">
        <w:t>on the basis of</w:t>
      </w:r>
      <w:r w:rsidRPr="00756DA5">
        <w:t xml:space="preserve"> the information received from railway undertakings and infrastructure managers before 30 June of each year in their annual safety reports. It is available on the EPSF website in the </w:t>
      </w:r>
      <w:r w:rsidRPr="00756DA5">
        <w:rPr>
          <w:i/>
        </w:rPr>
        <w:t>Les données chiffrées de la sécurité</w:t>
      </w:r>
      <w:r w:rsidRPr="00756DA5">
        <w:t xml:space="preserve"> [Quantified safety data] section. The main objective is to take stock of the overall level of safety of the railway system and of the actions carried out by the sector as a whole to enhance or maintain the high level of security. It therefore includes, among other things, the trends emerging from the European common safety indicators and the statistics obtained through the notification of safety events to the EPSF. There is also a strong focus on the initiatives implemented to improve safety performance. In terms of the EPSF’s activities, this report </w:t>
      </w:r>
      <w:r w:rsidRPr="00756DA5">
        <w:t>should be read</w:t>
      </w:r>
      <w:r w:rsidRPr="00756DA5">
        <w:t xml:space="preserve"> in conjunction with the EPSF’s 2017 activity report, also available in the ‘Communication’ section of the EPSF website.</w:t>
      </w:r>
    </w:p>
    <w:p w:rsidR="001053D4" w:rsidRPr="00756DA5" w:rsidP="002E2920">
      <w:pPr>
        <w:spacing w:line="280" w:lineRule="exact"/>
        <w:rPr>
          <w:rFonts w:cs="Arial"/>
        </w:rPr>
      </w:pPr>
      <w:bookmarkStart w:id="4" w:name="_Hlk523309149"/>
      <w:r w:rsidRPr="00756DA5">
        <w:t xml:space="preserve">In 2016, the three texts of the technical pillar of the </w:t>
      </w:r>
      <w:r w:rsidRPr="00756DA5">
        <w:t>4th</w:t>
      </w:r>
      <w:r w:rsidRPr="00756DA5">
        <w:t xml:space="preserve"> railway package were published in the </w:t>
      </w:r>
      <w:r w:rsidRPr="00756DA5">
        <w:rPr>
          <w:i/>
        </w:rPr>
        <w:t>Official Journal of the European Union</w:t>
      </w:r>
      <w:r w:rsidRPr="00756DA5">
        <w:t xml:space="preserve">. </w:t>
      </w:r>
      <w:r w:rsidRPr="00756DA5">
        <w:t>These are Regulation (EU) 2016/796 of the European Parliament and of the Council of 11 May 2016 on the European Union Agency for Railways, Directive (EU) 2016/797 of the European Parliament and of the Council of 11 May 2016 on the interoperability of the rail system within the European Union, and Directive (EU) 2016/798 of the European Parliament and of the Council of 11 May 2016 on railway safety.</w:t>
      </w:r>
      <w:r w:rsidRPr="00756DA5">
        <w:t xml:space="preserve"> Article 4 of the latter provides for the development and publication of annual safety plans setting out the measures envisaged by each Member State of the European Union to achieve the common safety targets. In this context, this report could usefully serve as part of the basis for the development of the French plan. The same Directive amends several provisions concerning annual safety reports. Railway operators must henceforth submit their annual safety report to the national safety authorities before the 31 May of each calendar year, as soon as this Directive </w:t>
      </w:r>
      <w:r w:rsidRPr="00756DA5">
        <w:t>is transposed</w:t>
      </w:r>
      <w:r w:rsidRPr="00756DA5">
        <w:t xml:space="preserve"> into French legislation.</w:t>
      </w:r>
    </w:p>
    <w:p w:rsidR="004E363F" w:rsidRPr="00756DA5" w:rsidP="00423F21">
      <w:pPr>
        <w:pStyle w:val="Heading1"/>
        <w:pageBreakBefore/>
        <w:spacing w:before="0"/>
        <w:rPr>
          <w:rFonts w:cs="Arial"/>
        </w:rPr>
      </w:pPr>
      <w:bookmarkStart w:id="5" w:name="_Toc494469612"/>
      <w:bookmarkStart w:id="6" w:name="_Toc533153860"/>
      <w:bookmarkEnd w:id="4"/>
      <w:r w:rsidRPr="00756DA5">
        <w:t>Summary</w:t>
      </w:r>
      <w:bookmarkEnd w:id="5"/>
      <w:bookmarkEnd w:id="6"/>
    </w:p>
    <w:p w:rsidR="0024258F" w:rsidRPr="00756DA5" w:rsidP="0024258F">
      <w:pPr>
        <w:rPr>
          <w:rFonts w:cs="Arial"/>
        </w:rPr>
      </w:pPr>
      <w:r w:rsidRPr="00756DA5">
        <w:t>2017</w:t>
      </w:r>
      <w:r w:rsidRPr="00756DA5">
        <w:t xml:space="preserve"> was marked by significant accidents and, in particular, by the serious accident that occurred at the level crossing (LC) in Millas on 14 December. The collision at the level crossing in Bonneville-sur-Touques on 2 November and the derailment of three wagons loaded with ethanol at the entrance of the marshalling yard in Sibelin on 13 March are other accidents that are a reminder of the constant attention required to maintain and improve the level of safety.</w:t>
      </w:r>
    </w:p>
    <w:p w:rsidR="0024258F" w:rsidRPr="00756DA5" w:rsidP="0024258F">
      <w:pPr>
        <w:spacing w:after="0" w:line="260" w:lineRule="exact"/>
        <w:rPr>
          <w:rFonts w:cs="Arial"/>
        </w:rPr>
      </w:pPr>
      <w:r w:rsidRPr="00756DA5">
        <w:t xml:space="preserve">The ratio of the number of significant accidents per million train-km observed over the last 10 years shows a stable trend at approximately 0.30. Despite a slight rise in the number of these accidents in 2017 (151) compared to 2016, this ratio remains at 0.31 owing to an increase in traffic compared to the previous year. Among these accidents, accidents at level crossings and accidents involving people </w:t>
      </w:r>
      <w:r w:rsidRPr="00756DA5">
        <w:t>being struck</w:t>
      </w:r>
      <w:r w:rsidRPr="00756DA5">
        <w:t xml:space="preserve"> by rolling stock in motion continue to represent a very significant proportion and to be a major concern.</w:t>
      </w:r>
    </w:p>
    <w:p w:rsidR="0024258F" w:rsidRPr="00756DA5" w:rsidP="0024258F">
      <w:pPr>
        <w:spacing w:after="0" w:line="260" w:lineRule="exact"/>
        <w:rPr>
          <w:rFonts w:cs="Arial"/>
        </w:rPr>
      </w:pPr>
    </w:p>
    <w:p w:rsidR="0024258F" w:rsidRPr="00756DA5" w:rsidP="0024258F">
      <w:pPr>
        <w:spacing w:after="0" w:line="260" w:lineRule="exact"/>
        <w:rPr>
          <w:rFonts w:cs="Arial"/>
        </w:rPr>
      </w:pPr>
      <w:bookmarkStart w:id="7" w:name="_Hlk522703671"/>
      <w:r w:rsidRPr="00756DA5">
        <w:t>In terms of fatalities resulting from railway accidents, 94 people were killed on the railway network, which is an increase compared to 2015 (54) and 2016 (81).</w:t>
      </w:r>
      <w:bookmarkEnd w:id="7"/>
      <w:r w:rsidRPr="00756DA5">
        <w:t xml:space="preserve"> This number is a return to the high level of 10 years ago. Despite this, the trend over the last decade has continued to decline and the average number of people killed over that period amounts to 78. The rise in the number of people killed between 2016 and 2017 is predominantly due to the 42 deaths in the category of ‘level crossing users’, which is a 35 % increase compared to 2016. This category accounts for 45 % of the people killed in 2017, while the other major category was that of ‘trespassers’ at 49 %. There were 58 people seriously injured in 2017, which is a 16 % increase compared to 2016, continuing a rising trend over the last 10 years.</w:t>
      </w:r>
    </w:p>
    <w:p w:rsidR="0024258F" w:rsidRPr="00756DA5" w:rsidP="0024258F">
      <w:pPr>
        <w:spacing w:after="0" w:line="260" w:lineRule="exact"/>
        <w:rPr>
          <w:rFonts w:cs="Arial"/>
        </w:rPr>
      </w:pPr>
    </w:p>
    <w:p w:rsidR="0024258F" w:rsidRPr="00756DA5" w:rsidP="0024258F">
      <w:pPr>
        <w:spacing w:after="0" w:line="260" w:lineRule="exact"/>
        <w:rPr>
          <w:rFonts w:cs="Arial"/>
          <w:color w:val="FF0000"/>
        </w:rPr>
      </w:pPr>
      <w:r w:rsidRPr="00756DA5">
        <w:t xml:space="preserve">For the first time, this report provides analysis of the full scope of the safety events notified to the EPSF pursuant to the ‘Nomenclature’ order of January 2016, going beyond the use of the common safety indicators (CSIs) defined by European regulations. These events </w:t>
      </w:r>
      <w:r w:rsidRPr="00756DA5">
        <w:t>can be considered</w:t>
      </w:r>
      <w:r w:rsidRPr="00756DA5">
        <w:t xml:space="preserve"> the precursors of more serious accidents as included in these CSIs discussed in the past.</w:t>
      </w:r>
    </w:p>
    <w:p w:rsidR="0024258F" w:rsidRPr="00756DA5" w:rsidP="0024258F">
      <w:pPr>
        <w:spacing w:after="0" w:line="260" w:lineRule="exact"/>
        <w:rPr>
          <w:rFonts w:cs="Arial"/>
        </w:rPr>
      </w:pPr>
    </w:p>
    <w:p w:rsidR="0024258F" w:rsidRPr="00756DA5" w:rsidP="0024258F">
      <w:pPr>
        <w:spacing w:after="0" w:line="260" w:lineRule="exact"/>
        <w:rPr>
          <w:rFonts w:cs="Arial"/>
        </w:rPr>
      </w:pPr>
      <w:r w:rsidRPr="00756DA5">
        <w:t xml:space="preserve">This report also includes a series of initiatives and action plans implemented by the sector to address the issues revealed by the analysis of safety events or by the supervision of railway activities. In this respect, this report covers in particular preventing people from </w:t>
      </w:r>
      <w:r w:rsidRPr="00756DA5">
        <w:t>being struck</w:t>
      </w:r>
      <w:r w:rsidRPr="00756DA5">
        <w:t xml:space="preserve"> on the line or at stations and the prevention of accidents at level crossings. The different issues chosen present the measures taken to improve risk management through the strengthening of safeguards, whether technical initiatives or continuous improvements in the areas of organisational and human factors or of ‘safety culture’.</w:t>
      </w:r>
    </w:p>
    <w:p w:rsidR="004E363F" w:rsidRPr="00756DA5" w:rsidP="00423F21">
      <w:pPr>
        <w:pStyle w:val="Heading1"/>
        <w:pageBreakBefore/>
        <w:numPr>
          <w:ilvl w:val="0"/>
          <w:numId w:val="12"/>
        </w:numPr>
        <w:rPr>
          <w:rFonts w:cs="Arial"/>
        </w:rPr>
      </w:pPr>
      <w:bookmarkStart w:id="8" w:name="_Toc494469613"/>
      <w:bookmarkStart w:id="9" w:name="_Toc533153861"/>
      <w:r w:rsidRPr="00756DA5">
        <w:t>Description of the network and traffic</w:t>
      </w:r>
      <w:bookmarkEnd w:id="8"/>
      <w:bookmarkEnd w:id="0"/>
      <w:bookmarkEnd w:id="9"/>
    </w:p>
    <w:p w:rsidR="003B3147" w:rsidRPr="00756DA5" w:rsidP="00A6505D">
      <w:pPr>
        <w:pBdr>
          <w:top w:val="single" w:sz="4" w:space="1" w:color="auto"/>
          <w:bottom w:val="single" w:sz="4" w:space="17" w:color="auto"/>
        </w:pBdr>
        <w:spacing w:line="320" w:lineRule="exact"/>
        <w:rPr>
          <w:rFonts w:cs="Arial"/>
          <w:color w:val="808080" w:themeColor="background1" w:themeShade="80"/>
          <w:sz w:val="24"/>
          <w:szCs w:val="24"/>
        </w:rPr>
      </w:pPr>
      <w:r w:rsidRPr="00756DA5">
        <w:rPr>
          <w:color w:val="808080" w:themeColor="background1" w:themeShade="80"/>
          <w:sz w:val="24"/>
          <w:szCs w:val="24"/>
        </w:rPr>
        <w:br/>
        <w:t>This report assesses the national railway network and networks that have operating characteristics comparable to those of the national railway network under French regulations.</w:t>
      </w:r>
    </w:p>
    <w:p w:rsidR="0018647B" w:rsidRPr="00756DA5" w:rsidP="00A62F98">
      <w:pPr>
        <w:spacing w:line="280" w:lineRule="exact"/>
        <w:rPr>
          <w:rFonts w:cs="Arial"/>
          <w:szCs w:val="20"/>
        </w:rPr>
      </w:pPr>
    </w:p>
    <w:p w:rsidR="00776BF9" w:rsidRPr="00756DA5" w:rsidP="00663073">
      <w:pPr>
        <w:pStyle w:val="Heading2"/>
        <w:numPr>
          <w:ilvl w:val="1"/>
          <w:numId w:val="8"/>
        </w:numPr>
        <w:spacing w:line="280" w:lineRule="exact"/>
        <w:rPr>
          <w:rFonts w:cs="Arial"/>
        </w:rPr>
      </w:pPr>
      <w:bookmarkStart w:id="10" w:name="_Toc423668201"/>
      <w:bookmarkStart w:id="11" w:name="_Toc494469614"/>
      <w:bookmarkStart w:id="12" w:name="_Toc533153862"/>
      <w:r w:rsidRPr="00756DA5">
        <w:t>The national railway network</w:t>
      </w:r>
      <w:bookmarkEnd w:id="10"/>
      <w:bookmarkEnd w:id="11"/>
      <w:r w:rsidRPr="00756DA5">
        <w:t xml:space="preserve"> and comparable networks</w:t>
      </w:r>
      <w:bookmarkStart w:id="13" w:name="_Toc494469615"/>
      <w:bookmarkEnd w:id="13"/>
      <w:bookmarkEnd w:id="12"/>
    </w:p>
    <w:p w:rsidR="00DF624F" w:rsidRPr="00756DA5" w:rsidP="00DF624F">
      <w:pPr>
        <w:pStyle w:val="Caption"/>
        <w:spacing w:line="280" w:lineRule="exact"/>
        <w:rPr>
          <w:rFonts w:cs="Arial"/>
        </w:rPr>
      </w:pPr>
      <w:r w:rsidRPr="00756DA5">
        <w:br/>
        <w:t>The national railway network</w:t>
      </w:r>
    </w:p>
    <w:p w:rsidR="00DF624F" w:rsidRPr="00756DA5" w:rsidP="00DF624F">
      <w:pPr>
        <w:spacing w:after="0" w:line="280" w:lineRule="exact"/>
        <w:rPr>
          <w:rFonts w:cs="Arial"/>
          <w:szCs w:val="20"/>
        </w:rPr>
      </w:pPr>
    </w:p>
    <w:p w:rsidR="00DF624F" w:rsidRPr="00756DA5" w:rsidP="00DF624F">
      <w:pPr>
        <w:spacing w:after="0" w:line="280" w:lineRule="exact"/>
        <w:rPr>
          <w:rFonts w:cs="Arial"/>
          <w:szCs w:val="20"/>
        </w:rPr>
      </w:pPr>
      <w:r w:rsidRPr="00756DA5">
        <w:t>The national railway network (</w:t>
      </w:r>
      <w:r w:rsidRPr="00756DA5">
        <w:rPr>
          <w:i/>
        </w:rPr>
        <w:t>réseau ferré national</w:t>
      </w:r>
      <w:r w:rsidRPr="00756DA5">
        <w:t>, RFN), totalling at the end of 2017 approximately 50 200 km of main lines, including nearly 30 000 km of lines open to commercial services, whose different infrastructure managers are SNCF Réseau and, since 2017, LISEA, ERE and Oc’Via (cf. Section 1.3), is still in second place in Europe behind Germany in terms of kilometres of lines.</w:t>
      </w:r>
      <w:r w:rsidRPr="00756DA5">
        <w:t xml:space="preserve"> This network provides access to the railway networks of France’s neighbouring countries, to adjoining infrastructures such as the Channel Tunnel and the Perpignan-Figueras line, to port railways and to industrial sidings.</w:t>
      </w:r>
    </w:p>
    <w:p w:rsidR="00DF624F" w:rsidRPr="00756DA5" w:rsidP="00DF624F">
      <w:pPr>
        <w:spacing w:after="0" w:line="280" w:lineRule="exact"/>
        <w:rPr>
          <w:rFonts w:cs="Arial"/>
          <w:szCs w:val="20"/>
        </w:rPr>
      </w:pPr>
    </w:p>
    <w:p w:rsidR="00DF624F" w:rsidRPr="00756DA5" w:rsidP="00DF624F">
      <w:pPr>
        <w:spacing w:after="0" w:line="280" w:lineRule="exact"/>
        <w:rPr>
          <w:rFonts w:cs="Arial"/>
          <w:szCs w:val="20"/>
        </w:rPr>
      </w:pPr>
      <w:r w:rsidRPr="00756DA5">
        <w:t xml:space="preserve">The RFN has more than 2 600 km of high-speed lines (HSLs) in service, which places France second in Europe behind Spain. </w:t>
      </w:r>
      <w:r w:rsidRPr="00756DA5">
        <w:t>These lines, which are connected to the conventional network and dedicated to passenger traffic, represent the country’s main traffic flows, and, with speeds of up to 300 km/h, or even 320 km/h on the latest lines opened, namely the East European, Brittany-Pays de la Loire and South Europe Atlantic HSLs, they reduce journey times both nationally and between France and neighbouring European countries.</w:t>
      </w:r>
    </w:p>
    <w:p w:rsidR="00DF624F" w:rsidRPr="00756DA5" w:rsidP="00DF624F">
      <w:pPr>
        <w:spacing w:after="0" w:line="280" w:lineRule="exact"/>
        <w:rPr>
          <w:rFonts w:cs="Arial"/>
          <w:szCs w:val="20"/>
        </w:rPr>
      </w:pPr>
    </w:p>
    <w:p w:rsidR="00DF624F" w:rsidRPr="00756DA5" w:rsidP="00DF624F">
      <w:pPr>
        <w:spacing w:after="0" w:line="280" w:lineRule="exact"/>
        <w:rPr>
          <w:rFonts w:cs="Arial"/>
          <w:i/>
          <w:szCs w:val="20"/>
        </w:rPr>
      </w:pPr>
      <w:r w:rsidRPr="00756DA5">
        <w:rPr>
          <w:i/>
          <w:szCs w:val="20"/>
        </w:rPr>
        <w:t>As at the end of 2017, the RFN infrastructure was composed of approximately:</w:t>
      </w:r>
    </w:p>
    <w:p w:rsidR="00DF624F" w:rsidRPr="00756DA5" w:rsidP="00054DA8">
      <w:pPr>
        <w:pStyle w:val="ListParagraph"/>
        <w:numPr>
          <w:ilvl w:val="0"/>
          <w:numId w:val="14"/>
        </w:numPr>
        <w:spacing w:after="0" w:line="280" w:lineRule="exact"/>
        <w:rPr>
          <w:rFonts w:cs="Arial"/>
          <w:szCs w:val="20"/>
        </w:rPr>
      </w:pPr>
      <w:r w:rsidRPr="00756DA5">
        <w:t>36 100 km of double-track main lines;</w:t>
      </w:r>
    </w:p>
    <w:p w:rsidR="00DF624F" w:rsidRPr="00756DA5" w:rsidP="00054DA8">
      <w:pPr>
        <w:pStyle w:val="ListParagraph"/>
        <w:numPr>
          <w:ilvl w:val="0"/>
          <w:numId w:val="14"/>
        </w:numPr>
        <w:spacing w:after="0" w:line="280" w:lineRule="exact"/>
        <w:rPr>
          <w:rFonts w:cs="Arial"/>
          <w:szCs w:val="20"/>
        </w:rPr>
      </w:pPr>
      <w:r w:rsidRPr="00756DA5">
        <w:t>14 000 km of single-track main lines;</w:t>
      </w:r>
    </w:p>
    <w:p w:rsidR="00DF624F" w:rsidRPr="00756DA5" w:rsidP="00054DA8">
      <w:pPr>
        <w:pStyle w:val="ListParagraph"/>
        <w:numPr>
          <w:ilvl w:val="0"/>
          <w:numId w:val="14"/>
        </w:numPr>
        <w:spacing w:after="0" w:line="280" w:lineRule="exact"/>
        <w:rPr>
          <w:rFonts w:cs="Arial"/>
          <w:szCs w:val="20"/>
        </w:rPr>
      </w:pPr>
      <w:r w:rsidRPr="00756DA5">
        <w:t>35 000 km of main lines equipped with KVB (</w:t>
      </w:r>
      <w:r w:rsidRPr="00756DA5">
        <w:rPr>
          <w:i/>
        </w:rPr>
        <w:t>contrôle de vitesse par balises</w:t>
      </w:r>
      <w:r w:rsidRPr="00756DA5">
        <w:t xml:space="preserve"> [speed control using balises]);</w:t>
      </w:r>
    </w:p>
    <w:p w:rsidR="00DF624F" w:rsidRPr="00756DA5" w:rsidP="00054DA8">
      <w:pPr>
        <w:pStyle w:val="ListParagraph"/>
        <w:numPr>
          <w:ilvl w:val="0"/>
          <w:numId w:val="14"/>
        </w:numPr>
        <w:spacing w:after="0" w:line="280" w:lineRule="exact"/>
        <w:rPr>
          <w:rFonts w:cs="Arial"/>
          <w:szCs w:val="20"/>
        </w:rPr>
      </w:pPr>
      <w:r w:rsidRPr="00756DA5">
        <w:t>3 400 km of main lines equipped with TVM (</w:t>
      </w:r>
      <w:r w:rsidRPr="00756DA5">
        <w:rPr>
          <w:i/>
        </w:rPr>
        <w:t>transmission voie-machine</w:t>
      </w:r>
      <w:r w:rsidRPr="00756DA5">
        <w:t xml:space="preserve"> [track-to-train transmission]);</w:t>
      </w:r>
    </w:p>
    <w:p w:rsidR="00DF624F" w:rsidRPr="00756DA5" w:rsidP="00054DA8">
      <w:pPr>
        <w:pStyle w:val="ListParagraph"/>
        <w:numPr>
          <w:ilvl w:val="0"/>
          <w:numId w:val="14"/>
        </w:numPr>
        <w:spacing w:after="0" w:line="280" w:lineRule="exact"/>
        <w:rPr>
          <w:rFonts w:cs="Arial"/>
          <w:szCs w:val="20"/>
        </w:rPr>
      </w:pPr>
      <w:r w:rsidRPr="00756DA5">
        <w:t>2 000 km of main lines equipped with ERTMS (European Rail Traffic Management System);</w:t>
      </w:r>
    </w:p>
    <w:p w:rsidR="00DF624F" w:rsidRPr="00756DA5" w:rsidP="00054DA8">
      <w:pPr>
        <w:pStyle w:val="ListParagraph"/>
        <w:numPr>
          <w:ilvl w:val="0"/>
          <w:numId w:val="14"/>
        </w:numPr>
        <w:spacing w:after="0" w:line="280" w:lineRule="exact"/>
        <w:rPr>
          <w:rFonts w:cs="Arial"/>
          <w:szCs w:val="20"/>
        </w:rPr>
      </w:pPr>
      <w:r w:rsidRPr="00756DA5">
        <w:t>34 600 km of electrified main lines (mostly via catenaries at 25 000 V, or 1 500 V or via a third rail), which carry 90 % of passenger traffic and 85 % of freight traffic;</w:t>
      </w:r>
    </w:p>
    <w:p w:rsidR="00DF624F" w:rsidRPr="00756DA5" w:rsidP="00054DA8">
      <w:pPr>
        <w:pStyle w:val="ListParagraph"/>
        <w:numPr>
          <w:ilvl w:val="0"/>
          <w:numId w:val="14"/>
        </w:numPr>
        <w:spacing w:after="0" w:line="280" w:lineRule="exact"/>
        <w:rPr>
          <w:rFonts w:cs="Arial"/>
          <w:szCs w:val="20"/>
        </w:rPr>
      </w:pPr>
      <w:r w:rsidRPr="00756DA5">
        <w:t>15 500 km of non-electrified main lines;</w:t>
      </w:r>
    </w:p>
    <w:p w:rsidR="00DF624F" w:rsidRPr="00756DA5" w:rsidP="00054DA8">
      <w:pPr>
        <w:pStyle w:val="ListParagraph"/>
        <w:numPr>
          <w:ilvl w:val="0"/>
          <w:numId w:val="14"/>
        </w:numPr>
        <w:spacing w:after="0" w:line="280" w:lineRule="exact"/>
        <w:rPr>
          <w:rFonts w:cs="Arial"/>
          <w:szCs w:val="20"/>
        </w:rPr>
      </w:pPr>
      <w:r w:rsidRPr="00756DA5">
        <w:t>15 400 level crossings on lines open to traffic (no level crossings on high-speed lines);</w:t>
      </w:r>
    </w:p>
    <w:p w:rsidR="00DF624F" w:rsidRPr="00756DA5" w:rsidP="00054DA8">
      <w:pPr>
        <w:pStyle w:val="ListParagraph"/>
        <w:numPr>
          <w:ilvl w:val="0"/>
          <w:numId w:val="14"/>
        </w:numPr>
        <w:spacing w:after="0" w:line="280" w:lineRule="exact"/>
        <w:rPr>
          <w:rFonts w:cs="Arial"/>
          <w:szCs w:val="20"/>
        </w:rPr>
      </w:pPr>
      <w:r w:rsidRPr="00756DA5">
        <w:t>1 570 tunnels with a combined length of approximately 650 km;</w:t>
      </w:r>
    </w:p>
    <w:p w:rsidR="00DF624F" w:rsidRPr="00756DA5" w:rsidP="00054DA8">
      <w:pPr>
        <w:pStyle w:val="ListParagraph"/>
        <w:numPr>
          <w:ilvl w:val="0"/>
          <w:numId w:val="14"/>
        </w:numPr>
        <w:spacing w:after="0" w:line="280" w:lineRule="exact"/>
        <w:rPr>
          <w:rFonts w:cs="Arial"/>
          <w:szCs w:val="20"/>
        </w:rPr>
      </w:pPr>
      <w:r w:rsidRPr="00756DA5">
        <w:t>26 730 bridges and viaducts;</w:t>
      </w:r>
    </w:p>
    <w:p w:rsidR="00DF624F" w:rsidRPr="00756DA5" w:rsidP="00054DA8">
      <w:pPr>
        <w:pStyle w:val="ListParagraph"/>
        <w:numPr>
          <w:ilvl w:val="0"/>
          <w:numId w:val="14"/>
        </w:numPr>
        <w:spacing w:after="0" w:line="280" w:lineRule="exact"/>
        <w:rPr>
          <w:rFonts w:cs="Arial"/>
          <w:szCs w:val="20"/>
        </w:rPr>
      </w:pPr>
      <w:r w:rsidRPr="00756DA5">
        <w:t>2 </w:t>
      </w:r>
      <w:r w:rsidRPr="00756DA5">
        <w:t>200 signal</w:t>
      </w:r>
      <w:r w:rsidRPr="00756DA5">
        <w:t xml:space="preserve"> boxes.</w:t>
      </w:r>
    </w:p>
    <w:p w:rsidR="003E688A" w:rsidRPr="00756DA5" w:rsidP="003E688A">
      <w:pPr>
        <w:pStyle w:val="ListParagraph"/>
        <w:spacing w:after="0" w:line="280" w:lineRule="exact"/>
        <w:rPr>
          <w:rFonts w:cs="Arial"/>
          <w:szCs w:val="20"/>
        </w:rPr>
      </w:pPr>
    </w:p>
    <w:p w:rsidR="00DF624F" w:rsidRPr="00756DA5" w:rsidP="00DF624F">
      <w:pPr>
        <w:spacing w:after="0" w:line="280" w:lineRule="exact"/>
        <w:rPr>
          <w:rFonts w:cs="Arial"/>
          <w:szCs w:val="20"/>
        </w:rPr>
      </w:pPr>
      <w:r w:rsidRPr="00756DA5">
        <w:t xml:space="preserve">Every year, SNCF Réseau publishes the National Rail Network Statement, detailing the network’s technical characteristics and indicating the conditions of access, train path allocation and pricing. This document is available on its website: </w:t>
      </w:r>
      <w:hyperlink r:id="rId8" w:history="1">
        <w:r w:rsidRPr="00756DA5">
          <w:rPr>
            <w:rStyle w:val="Hyperlink"/>
          </w:rPr>
          <w:t>www.sncf-reseau.fr/en/national-rail-network-statement</w:t>
        </w:r>
      </w:hyperlink>
      <w:r w:rsidRPr="00756DA5">
        <w:t>.</w:t>
      </w:r>
    </w:p>
    <w:p w:rsidR="00DF624F" w:rsidRPr="00756DA5" w:rsidP="00DF624F">
      <w:pPr>
        <w:spacing w:after="0" w:line="280" w:lineRule="exact"/>
        <w:rPr>
          <w:rFonts w:cs="Arial"/>
          <w:szCs w:val="20"/>
        </w:rPr>
      </w:pPr>
    </w:p>
    <w:p w:rsidR="00DF624F" w:rsidRPr="00756DA5" w:rsidP="00DF624F">
      <w:pPr>
        <w:pStyle w:val="Caption"/>
        <w:spacing w:line="280" w:lineRule="exact"/>
        <w:rPr>
          <w:rFonts w:cs="Arial"/>
        </w:rPr>
      </w:pPr>
      <w:r w:rsidRPr="00756DA5">
        <w:t>Comparable networks</w:t>
      </w:r>
    </w:p>
    <w:p w:rsidR="00DF624F" w:rsidRPr="00756DA5" w:rsidP="00DF624F">
      <w:pPr>
        <w:spacing w:line="280" w:lineRule="exact"/>
        <w:rPr>
          <w:rFonts w:cs="Arial"/>
          <w:szCs w:val="20"/>
          <w:shd w:val="clear" w:color="auto" w:fill="FFFFFF"/>
        </w:rPr>
      </w:pPr>
      <w:r w:rsidRPr="00756DA5">
        <w:br/>
      </w:r>
      <w:r w:rsidRPr="00756DA5">
        <w:rPr>
          <w:szCs w:val="20"/>
          <w:shd w:val="clear" w:color="auto" w:fill="FFFFFF"/>
        </w:rPr>
        <w:t xml:space="preserve">Certain networks as listed in Decree No 2017-674 of 28 April 2017 have operating characteristics that </w:t>
      </w:r>
      <w:r w:rsidRPr="00756DA5">
        <w:rPr>
          <w:szCs w:val="20"/>
          <w:shd w:val="clear" w:color="auto" w:fill="FFFFFF"/>
        </w:rPr>
        <w:t>can be compared</w:t>
      </w:r>
      <w:r w:rsidRPr="00756DA5">
        <w:rPr>
          <w:szCs w:val="20"/>
          <w:shd w:val="clear" w:color="auto" w:fill="FFFFFF"/>
        </w:rPr>
        <w:t xml:space="preserve"> to those of the RFN. With the exception of certain adaptations defined by the Order of 28 April 2017, the safety regulations applicable to these networks are the same as those for the RFN.</w:t>
      </w:r>
    </w:p>
    <w:p w:rsidR="00DF624F" w:rsidRPr="00756DA5" w:rsidP="00DF624F">
      <w:pPr>
        <w:spacing w:line="280" w:lineRule="exact"/>
        <w:rPr>
          <w:rFonts w:cs="Arial"/>
          <w:szCs w:val="20"/>
          <w:shd w:val="clear" w:color="auto" w:fill="FFFFFF"/>
        </w:rPr>
      </w:pPr>
      <w:r w:rsidRPr="00756DA5">
        <w:rPr>
          <w:szCs w:val="20"/>
          <w:shd w:val="clear" w:color="auto" w:fill="FFFFFF"/>
        </w:rPr>
        <w:t xml:space="preserve">These comparable </w:t>
      </w:r>
      <w:r w:rsidRPr="00756DA5">
        <w:rPr>
          <w:szCs w:val="20"/>
          <w:shd w:val="clear" w:color="auto" w:fill="FFFFFF"/>
        </w:rPr>
        <w:t>networks,</w:t>
      </w:r>
      <w:r w:rsidRPr="00756DA5">
        <w:rPr>
          <w:szCs w:val="20"/>
          <w:shd w:val="clear" w:color="auto" w:fill="FFFFFF"/>
        </w:rPr>
        <w:t xml:space="preserve"> composed of 1 473 km of track in total, are:</w:t>
      </w:r>
    </w:p>
    <w:p w:rsidR="00DF624F" w:rsidRPr="00756DA5" w:rsidP="00DF624F">
      <w:pPr>
        <w:spacing w:line="280" w:lineRule="exact"/>
        <w:rPr>
          <w:rFonts w:cs="Arial"/>
          <w:szCs w:val="20"/>
          <w:shd w:val="clear" w:color="auto" w:fill="FFFFFF"/>
        </w:rPr>
      </w:pPr>
      <w:r w:rsidRPr="00756DA5">
        <w:rPr>
          <w:szCs w:val="20"/>
          <w:shd w:val="clear" w:color="auto" w:fill="FFFFFF"/>
        </w:rPr>
        <w:t>■ The French part of the international section of the line between Perpignan and Figueras (Spain), whose infrastructure manager is Línea Figueras Perpignan, a joint subsidiary of SNCF Réseau and ADIF (the Spanish infrastructure manager): 24.5 km of double-track lines, including 7.3 km of tunnel.</w:t>
      </w:r>
    </w:p>
    <w:p w:rsidR="00DF624F" w:rsidRPr="00756DA5" w:rsidP="00DF624F">
      <w:pPr>
        <w:spacing w:line="280" w:lineRule="exact"/>
        <w:rPr>
          <w:rFonts w:cs="Arial"/>
          <w:szCs w:val="20"/>
          <w:shd w:val="clear" w:color="auto" w:fill="FFFFFF"/>
        </w:rPr>
      </w:pPr>
      <w:r w:rsidRPr="00756DA5">
        <w:rPr>
          <w:szCs w:val="20"/>
          <w:shd w:val="clear" w:color="auto" w:fill="FFFFFF"/>
        </w:rPr>
        <w:t xml:space="preserve">■ The French part of the cross-border section of the future Lyon-Turin line, due to </w:t>
      </w:r>
      <w:r w:rsidRPr="00756DA5">
        <w:rPr>
          <w:szCs w:val="20"/>
          <w:shd w:val="clear" w:color="auto" w:fill="FFFFFF"/>
        </w:rPr>
        <w:t>be opened</w:t>
      </w:r>
      <w:r w:rsidRPr="00756DA5">
        <w:rPr>
          <w:szCs w:val="20"/>
          <w:shd w:val="clear" w:color="auto" w:fill="FFFFFF"/>
        </w:rPr>
        <w:t xml:space="preserve"> in 2030: 48.6 km of track.</w:t>
      </w:r>
    </w:p>
    <w:p w:rsidR="00DF624F" w:rsidRPr="00756DA5" w:rsidP="00DF624F">
      <w:pPr>
        <w:spacing w:line="280" w:lineRule="exact"/>
        <w:rPr>
          <w:rFonts w:cs="Arial"/>
          <w:szCs w:val="20"/>
          <w:shd w:val="clear" w:color="auto" w:fill="FFFFFF"/>
        </w:rPr>
      </w:pPr>
      <w:r w:rsidRPr="00756DA5">
        <w:rPr>
          <w:szCs w:val="20"/>
          <w:shd w:val="clear" w:color="auto" w:fill="FFFFFF"/>
        </w:rPr>
        <w:t>■ The French part of the railway link between Dudelange-Usines (Luxembourg) and Volmerange-les-Mines (Moselle): 850 m of track.</w:t>
      </w:r>
    </w:p>
    <w:p w:rsidR="00DF624F" w:rsidRPr="00756DA5" w:rsidP="00DF624F">
      <w:pPr>
        <w:spacing w:after="0" w:line="280" w:lineRule="exact"/>
        <w:rPr>
          <w:rFonts w:cs="Arial"/>
          <w:szCs w:val="20"/>
          <w:shd w:val="clear" w:color="auto" w:fill="FFFFFF"/>
        </w:rPr>
      </w:pPr>
      <w:r w:rsidRPr="00756DA5">
        <w:rPr>
          <w:szCs w:val="20"/>
          <w:shd w:val="clear" w:color="auto" w:fill="FFFFFF"/>
        </w:rPr>
        <w:t xml:space="preserve">■ </w:t>
      </w:r>
      <w:r w:rsidRPr="00756DA5">
        <w:rPr>
          <w:szCs w:val="20"/>
          <w:shd w:val="clear" w:color="auto" w:fill="FFFFFF"/>
        </w:rPr>
        <w:t>The</w:t>
      </w:r>
      <w:r w:rsidRPr="00756DA5">
        <w:rPr>
          <w:szCs w:val="20"/>
          <w:shd w:val="clear" w:color="auto" w:fill="FFFFFF"/>
        </w:rPr>
        <w:t xml:space="preserve"> following port railway networks:</w:t>
      </w:r>
    </w:p>
    <w:p w:rsidR="00DF624F" w:rsidRPr="00756DA5" w:rsidP="00054DA8">
      <w:pPr>
        <w:pStyle w:val="ListParagraph"/>
        <w:numPr>
          <w:ilvl w:val="0"/>
          <w:numId w:val="14"/>
        </w:numPr>
        <w:spacing w:after="0" w:line="280" w:lineRule="exact"/>
        <w:rPr>
          <w:rFonts w:cs="Arial"/>
          <w:szCs w:val="20"/>
        </w:rPr>
      </w:pPr>
      <w:r w:rsidRPr="00756DA5">
        <w:t>the Grand Port Maritime de Bordeaux : 21 km of track over two sites, Bassens and Verdon, with 11 level crossings;</w:t>
      </w:r>
    </w:p>
    <w:p w:rsidR="00DF624F" w:rsidRPr="00756DA5" w:rsidP="00054DA8">
      <w:pPr>
        <w:pStyle w:val="ListParagraph"/>
        <w:numPr>
          <w:ilvl w:val="0"/>
          <w:numId w:val="14"/>
        </w:numPr>
        <w:spacing w:after="0" w:line="280" w:lineRule="exact"/>
        <w:rPr>
          <w:rFonts w:cs="Arial"/>
          <w:szCs w:val="20"/>
        </w:rPr>
      </w:pPr>
      <w:r w:rsidRPr="00756DA5">
        <w:t>the Grand Port Maritime de Dunkerque: 150 km of track with 23 level crossings;</w:t>
      </w:r>
    </w:p>
    <w:p w:rsidR="00DF624F" w:rsidRPr="00756DA5" w:rsidP="00054DA8">
      <w:pPr>
        <w:pStyle w:val="ListParagraph"/>
        <w:numPr>
          <w:ilvl w:val="0"/>
          <w:numId w:val="14"/>
        </w:numPr>
        <w:spacing w:after="0" w:line="280" w:lineRule="exact"/>
        <w:rPr>
          <w:rFonts w:cs="Arial"/>
          <w:szCs w:val="20"/>
        </w:rPr>
      </w:pPr>
      <w:r w:rsidRPr="00756DA5">
        <w:t>the Grand Port Maritime du Havre: 200 km of track with 128 level crossings;</w:t>
      </w:r>
    </w:p>
    <w:p w:rsidR="00DF624F" w:rsidRPr="00756DA5" w:rsidP="00054DA8">
      <w:pPr>
        <w:pStyle w:val="ListParagraph"/>
        <w:numPr>
          <w:ilvl w:val="0"/>
          <w:numId w:val="14"/>
        </w:numPr>
        <w:spacing w:after="0" w:line="280" w:lineRule="exact"/>
        <w:rPr>
          <w:rFonts w:cs="Arial"/>
          <w:szCs w:val="20"/>
        </w:rPr>
      </w:pPr>
      <w:r w:rsidRPr="00756DA5">
        <w:t>the Grand Port Maritime de La Rochelle: 37 km of track with 30 level crossings;</w:t>
      </w:r>
    </w:p>
    <w:p w:rsidR="00DF624F" w:rsidRPr="00756DA5" w:rsidP="00054DA8">
      <w:pPr>
        <w:pStyle w:val="ListParagraph"/>
        <w:numPr>
          <w:ilvl w:val="0"/>
          <w:numId w:val="14"/>
        </w:numPr>
        <w:spacing w:after="0" w:line="280" w:lineRule="exact"/>
        <w:rPr>
          <w:rFonts w:cs="Arial"/>
          <w:szCs w:val="20"/>
        </w:rPr>
      </w:pPr>
      <w:r w:rsidRPr="00756DA5">
        <w:t>the Grand Port Maritime de Marseille: 94 km of track over two sites, Bassin Est and Bassin Ouest, with 14 level crossings;</w:t>
      </w:r>
    </w:p>
    <w:p w:rsidR="00DF624F" w:rsidRPr="00756DA5" w:rsidP="00054DA8">
      <w:pPr>
        <w:pStyle w:val="ListParagraph"/>
        <w:numPr>
          <w:ilvl w:val="0"/>
          <w:numId w:val="14"/>
        </w:numPr>
        <w:spacing w:after="0" w:line="280" w:lineRule="exact"/>
        <w:rPr>
          <w:rFonts w:cs="Arial"/>
          <w:szCs w:val="20"/>
        </w:rPr>
      </w:pPr>
      <w:r w:rsidRPr="00756DA5">
        <w:t>the Grand Port Maritime de Nantes – Saint-Nazaire: 43 km of track over five sites, Nantes, Le Pellerin, Donges, Montoir-de-Bretagne and Saint-Nazaire, with 35 level crossings;</w:t>
      </w:r>
    </w:p>
    <w:p w:rsidR="00DF624F" w:rsidRPr="00756DA5" w:rsidP="00054DA8">
      <w:pPr>
        <w:pStyle w:val="ListParagraph"/>
        <w:numPr>
          <w:ilvl w:val="0"/>
          <w:numId w:val="14"/>
        </w:numPr>
        <w:spacing w:after="0" w:line="280" w:lineRule="exact"/>
        <w:rPr>
          <w:rFonts w:cs="Arial"/>
          <w:szCs w:val="20"/>
        </w:rPr>
      </w:pPr>
      <w:r w:rsidRPr="00756DA5">
        <w:t>the Grand Port Maritime de Rouen: 80 km of track with 49 level crossings;</w:t>
      </w:r>
    </w:p>
    <w:p w:rsidR="00DF624F" w:rsidRPr="00756DA5" w:rsidP="00054DA8">
      <w:pPr>
        <w:pStyle w:val="ListParagraph"/>
        <w:numPr>
          <w:ilvl w:val="0"/>
          <w:numId w:val="14"/>
        </w:numPr>
        <w:spacing w:after="0" w:line="280" w:lineRule="exact"/>
        <w:rPr>
          <w:rFonts w:cs="Arial"/>
          <w:szCs w:val="20"/>
        </w:rPr>
      </w:pPr>
      <w:r w:rsidRPr="00756DA5">
        <w:t>the autonomous Port of Paris: 52 km of track over three sites, Gennevilliers, Bonneuil and Limay, with 29 level crossings;</w:t>
      </w:r>
    </w:p>
    <w:p w:rsidR="00DF624F" w:rsidRPr="00756DA5" w:rsidP="00054DA8">
      <w:pPr>
        <w:pStyle w:val="ListParagraph"/>
        <w:numPr>
          <w:ilvl w:val="0"/>
          <w:numId w:val="14"/>
        </w:numPr>
        <w:spacing w:after="0" w:line="280" w:lineRule="exact"/>
        <w:rPr>
          <w:rFonts w:cs="Arial"/>
          <w:szCs w:val="20"/>
        </w:rPr>
      </w:pPr>
      <w:r w:rsidRPr="00756DA5">
        <w:t>the</w:t>
      </w:r>
      <w:r w:rsidRPr="00756DA5">
        <w:t xml:space="preserve"> autonomous Port of Strasbourg: 88 km of track over three sites, Strasbourg, Lauterbourg and Marckolsheim, with 54 level crossings.</w:t>
      </w:r>
    </w:p>
    <w:p w:rsidR="00DF624F" w:rsidRPr="00756DA5" w:rsidP="00DF624F">
      <w:pPr>
        <w:pStyle w:val="ListParagraph"/>
        <w:spacing w:after="0" w:line="280" w:lineRule="exact"/>
        <w:rPr>
          <w:rFonts w:cs="Arial"/>
          <w:szCs w:val="20"/>
        </w:rPr>
      </w:pPr>
    </w:p>
    <w:p w:rsidR="00DF624F" w:rsidRPr="00756DA5" w:rsidP="00DF624F">
      <w:pPr>
        <w:spacing w:line="280" w:lineRule="exact"/>
        <w:rPr>
          <w:rFonts w:cs="Arial"/>
          <w:szCs w:val="20"/>
          <w:shd w:val="clear" w:color="auto" w:fill="FFFFFF"/>
        </w:rPr>
      </w:pPr>
      <w:r w:rsidRPr="00756DA5">
        <w:rPr>
          <w:szCs w:val="20"/>
          <w:shd w:val="clear" w:color="auto" w:fill="FFFFFF"/>
        </w:rPr>
        <w:t xml:space="preserve">On these port railway networks, </w:t>
      </w:r>
      <w:r w:rsidRPr="00756DA5">
        <w:rPr>
          <w:szCs w:val="20"/>
          <w:shd w:val="clear" w:color="auto" w:fill="FFFFFF"/>
        </w:rPr>
        <w:t>infrastructure manager tasks are carried out by the port authority</w:t>
      </w:r>
      <w:r w:rsidRPr="00756DA5">
        <w:rPr>
          <w:szCs w:val="20"/>
          <w:shd w:val="clear" w:color="auto" w:fill="FFFFFF"/>
        </w:rPr>
        <w:t>.</w:t>
      </w:r>
    </w:p>
    <w:p w:rsidR="005A78C3" w:rsidRPr="00756DA5" w:rsidP="005A78C3">
      <w:pPr>
        <w:pStyle w:val="Heading2"/>
        <w:numPr>
          <w:ilvl w:val="1"/>
          <w:numId w:val="8"/>
        </w:numPr>
        <w:rPr>
          <w:rFonts w:cs="Arial"/>
        </w:rPr>
      </w:pPr>
      <w:bookmarkStart w:id="14" w:name="_Toc457565797"/>
      <w:bookmarkStart w:id="15" w:name="_Toc457565829"/>
      <w:bookmarkStart w:id="16" w:name="_Toc457566088"/>
      <w:bookmarkStart w:id="17" w:name="_Toc457566132"/>
      <w:bookmarkStart w:id="18" w:name="_Toc457567531"/>
      <w:bookmarkStart w:id="19" w:name="_Toc457568050"/>
      <w:bookmarkStart w:id="20" w:name="_Toc457565798"/>
      <w:bookmarkStart w:id="21" w:name="_Toc457565830"/>
      <w:bookmarkStart w:id="22" w:name="_Toc457566089"/>
      <w:bookmarkStart w:id="23" w:name="_Toc457566133"/>
      <w:bookmarkStart w:id="24" w:name="_Toc457567532"/>
      <w:bookmarkStart w:id="25" w:name="_Toc457568051"/>
      <w:bookmarkStart w:id="26" w:name="_Toc494469617"/>
      <w:bookmarkStart w:id="27" w:name="_Toc494469616"/>
      <w:bookmarkStart w:id="28" w:name="_Toc533153863"/>
      <w:bookmarkEnd w:id="14"/>
      <w:bookmarkEnd w:id="15"/>
      <w:bookmarkEnd w:id="16"/>
      <w:bookmarkEnd w:id="17"/>
      <w:bookmarkEnd w:id="18"/>
      <w:bookmarkEnd w:id="19"/>
      <w:bookmarkEnd w:id="20"/>
      <w:bookmarkEnd w:id="21"/>
      <w:bookmarkEnd w:id="22"/>
      <w:bookmarkEnd w:id="23"/>
      <w:bookmarkEnd w:id="24"/>
      <w:bookmarkEnd w:id="25"/>
      <w:r w:rsidRPr="00756DA5">
        <w:t>Changes in traffic</w:t>
      </w:r>
      <w:bookmarkEnd w:id="26"/>
      <w:bookmarkEnd w:id="28"/>
    </w:p>
    <w:p w:rsidR="00DF624F" w:rsidRPr="00756DA5" w:rsidP="00DF624F">
      <w:pPr>
        <w:spacing w:line="280" w:lineRule="exact"/>
        <w:rPr>
          <w:rFonts w:cs="Arial"/>
          <w:szCs w:val="20"/>
        </w:rPr>
      </w:pPr>
      <w:r w:rsidRPr="00756DA5">
        <w:br/>
        <w:t>At the end of 2017, 39 railway companies held a safety certificate issued by the EPSF authorising them to carry out railway transport on the RFN and other comparable networks.  There were 35 in the previous year.</w:t>
      </w:r>
    </w:p>
    <w:p w:rsidR="00DF624F" w:rsidRPr="00756DA5" w:rsidP="00DF624F">
      <w:pPr>
        <w:spacing w:line="280" w:lineRule="exact"/>
        <w:rPr>
          <w:rFonts w:cs="Arial"/>
          <w:szCs w:val="20"/>
        </w:rPr>
      </w:pPr>
      <w:r w:rsidRPr="00756DA5">
        <w:t>Although the 10-year downward trend continued, railway traffic rose overall in 2017 with 486 000 000 train-km, a 3.4 % increase compared to 2016, which had been greatly affected by social movements and the cereals crisis.</w:t>
      </w:r>
    </w:p>
    <w:p w:rsidR="00DF624F" w:rsidRPr="00756DA5" w:rsidP="00DF624F">
      <w:pPr>
        <w:jc w:val="center"/>
        <w:rPr>
          <w:rFonts w:cs="Arial"/>
          <w:szCs w:val="20"/>
        </w:rPr>
      </w:pPr>
      <w:r w:rsidRPr="00756DA5">
        <w:rPr>
          <w:noProof/>
          <w:lang w:val="fr-FR" w:eastAsia="fr-FR"/>
        </w:rPr>
        <w:drawing>
          <wp:inline distT="0" distB="0" distL="0" distR="0">
            <wp:extent cx="4542790" cy="2794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95930" name="Picture 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2790" cy="2794635"/>
                    </a:xfrm>
                    <a:prstGeom prst="rect">
                      <a:avLst/>
                    </a:prstGeom>
                    <a:noFill/>
                    <a:ln>
                      <a:noFill/>
                    </a:ln>
                  </pic:spPr>
                </pic:pic>
              </a:graphicData>
            </a:graphic>
          </wp:inline>
        </w:drawing>
      </w:r>
    </w:p>
    <w:tbl>
      <w:tblPr>
        <w:tblStyle w:val="TableGrid"/>
        <w:tblW w:w="9062" w:type="dxa"/>
        <w:tblLook w:val="04A0"/>
      </w:tblPr>
      <w:tblGrid>
        <w:gridCol w:w="4531"/>
        <w:gridCol w:w="4531"/>
      </w:tblGrid>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Trafic en millions de train-km</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Traffic in millions of train-km</w:t>
            </w:r>
          </w:p>
        </w:tc>
      </w:tr>
    </w:tbl>
    <w:p w:rsidR="00DF624F" w:rsidRPr="00756DA5" w:rsidP="00DF624F">
      <w:pPr>
        <w:jc w:val="center"/>
        <w:rPr>
          <w:rFonts w:cs="Arial"/>
          <w:szCs w:val="20"/>
          <w:shd w:val="clear" w:color="auto" w:fill="FFFFFF"/>
        </w:rPr>
      </w:pPr>
    </w:p>
    <w:p w:rsidR="00DF624F" w:rsidRPr="00756DA5" w:rsidP="00C20127">
      <w:pPr>
        <w:spacing w:line="280" w:lineRule="exact"/>
        <w:rPr>
          <w:rFonts w:cs="Arial"/>
          <w:szCs w:val="20"/>
          <w:shd w:val="clear" w:color="auto" w:fill="FFFFFF"/>
        </w:rPr>
      </w:pPr>
      <w:r w:rsidRPr="00756DA5">
        <w:rPr>
          <w:b/>
          <w:szCs w:val="20"/>
        </w:rPr>
        <w:t xml:space="preserve">■ </w:t>
      </w:r>
      <w:r w:rsidRPr="00756DA5">
        <w:rPr>
          <w:szCs w:val="20"/>
          <w:shd w:val="clear" w:color="auto" w:fill="FFFFFF"/>
        </w:rPr>
        <w:t>Freight traffic:</w:t>
      </w:r>
    </w:p>
    <w:p w:rsidR="00DF624F" w:rsidRPr="00756DA5" w:rsidP="00DF624F">
      <w:pPr>
        <w:spacing w:line="280" w:lineRule="exact"/>
        <w:rPr>
          <w:rFonts w:cs="Arial"/>
          <w:szCs w:val="20"/>
          <w:shd w:val="clear" w:color="auto" w:fill="FFFFFF"/>
        </w:rPr>
      </w:pPr>
      <w:r w:rsidRPr="00756DA5">
        <w:rPr>
          <w:szCs w:val="20"/>
          <w:shd w:val="clear" w:color="auto" w:fill="FFFFFF"/>
        </w:rPr>
        <w:t xml:space="preserve">The modal split in the land transport of goods in France remained the same as the previous year: railway transport accounted for 9.9 % of traffic, while road transport accounted for 88 % and waterway transport 2.1 %. Of the inland transport of goods by rail, 76.9 % was by conventional transport and 23.1 % by combined transport. The latter is down from the previous year when it accounted for 26.3 % of railway transport, while combined transport using containers was affected more than </w:t>
      </w:r>
      <w:r w:rsidRPr="00756DA5">
        <w:rPr>
          <w:szCs w:val="20"/>
          <w:shd w:val="clear" w:color="auto" w:fill="FFFFFF"/>
        </w:rPr>
        <w:t>that using semi-trailers</w:t>
      </w:r>
      <w:r>
        <w:rPr>
          <w:rStyle w:val="FootnoteReference"/>
          <w:rFonts w:cs="Arial"/>
          <w:szCs w:val="20"/>
          <w:shd w:val="clear" w:color="auto" w:fill="FFFFFF"/>
        </w:rPr>
        <w:footnoteReference w:id="2"/>
      </w:r>
      <w:r w:rsidRPr="00756DA5">
        <w:rPr>
          <w:szCs w:val="20"/>
          <w:shd w:val="clear" w:color="auto" w:fill="FFFFFF"/>
        </w:rPr>
        <w:t>. In 2017, the transport of goods by rail represented approximately 40 billion tonne-km.</w:t>
      </w:r>
    </w:p>
    <w:p w:rsidR="00DF624F" w:rsidRPr="00756DA5" w:rsidP="00552D2C">
      <w:pPr>
        <w:spacing w:line="280" w:lineRule="exact"/>
        <w:rPr>
          <w:rFonts w:cs="Arial"/>
          <w:szCs w:val="20"/>
          <w:shd w:val="clear" w:color="auto" w:fill="FFFFFF"/>
        </w:rPr>
      </w:pPr>
      <w:r w:rsidRPr="00756DA5">
        <w:rPr>
          <w:b/>
          <w:szCs w:val="20"/>
        </w:rPr>
        <w:t xml:space="preserve">■ </w:t>
      </w:r>
      <w:r w:rsidRPr="00756DA5">
        <w:rPr>
          <w:szCs w:val="20"/>
          <w:shd w:val="clear" w:color="auto" w:fill="FFFFFF"/>
        </w:rPr>
        <w:t>Passenger traffic:</w:t>
      </w:r>
    </w:p>
    <w:p w:rsidR="00DF624F" w:rsidRPr="00756DA5" w:rsidP="00DF624F">
      <w:pPr>
        <w:spacing w:line="280" w:lineRule="exact"/>
        <w:rPr>
          <w:rFonts w:cs="Arial"/>
          <w:noProof/>
          <w:szCs w:val="20"/>
        </w:rPr>
      </w:pPr>
      <w:r w:rsidRPr="00756DA5">
        <w:t>Benefiting in particular from the opening of the South Europe Atlantic and Brittany-Pays de la Loire high-speed lines (3 326 350 train-km and 2 069 551 train-km in 2017 respectively), passenger traffic in that year increased by 8.7 % compared to the previous year, thus reaching its highest level in the last 10 years with nearly 91.86 billion passenger-km and continuing the upward trend observed over the same period.</w:t>
      </w:r>
    </w:p>
    <w:p w:rsidR="00DF624F" w:rsidRPr="00756DA5" w:rsidP="00DF624F">
      <w:pPr>
        <w:jc w:val="center"/>
        <w:rPr>
          <w:rFonts w:cs="Arial"/>
          <w:szCs w:val="20"/>
          <w:shd w:val="clear" w:color="auto" w:fill="FFFFFF"/>
        </w:rPr>
      </w:pPr>
      <w:r w:rsidRPr="00756DA5">
        <w:rPr>
          <w:noProof/>
          <w:lang w:val="fr-FR" w:eastAsia="fr-FR"/>
        </w:rPr>
        <w:drawing>
          <wp:inline distT="0" distB="0" distL="0" distR="0">
            <wp:extent cx="485775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0226"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0" cy="2952750"/>
                    </a:xfrm>
                    <a:prstGeom prst="rect">
                      <a:avLst/>
                    </a:prstGeom>
                    <a:noFill/>
                    <a:ln>
                      <a:noFill/>
                    </a:ln>
                  </pic:spPr>
                </pic:pic>
              </a:graphicData>
            </a:graphic>
          </wp:inline>
        </w:drawing>
      </w:r>
    </w:p>
    <w:tbl>
      <w:tblPr>
        <w:tblStyle w:val="TableGrid"/>
        <w:tblW w:w="9062" w:type="dxa"/>
        <w:tblLook w:val="04A0"/>
      </w:tblPr>
      <w:tblGrid>
        <w:gridCol w:w="4531"/>
        <w:gridCol w:w="4531"/>
      </w:tblGrid>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Trafic voyageurs en milliards de voyageur-km</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Passenger traffic in billions of passenger-km</w:t>
            </w:r>
          </w:p>
        </w:tc>
      </w:tr>
    </w:tbl>
    <w:p w:rsidR="00D705A9" w:rsidRPr="00756DA5" w:rsidP="00DF624F">
      <w:pPr>
        <w:jc w:val="center"/>
        <w:rPr>
          <w:rFonts w:cs="Arial"/>
          <w:szCs w:val="20"/>
          <w:shd w:val="clear" w:color="auto" w:fill="FFFFFF"/>
        </w:rPr>
      </w:pPr>
    </w:p>
    <w:p w:rsidR="001A7E33" w:rsidRPr="00756DA5" w:rsidP="00DF4657">
      <w:pPr>
        <w:pStyle w:val="Heading2"/>
        <w:numPr>
          <w:ilvl w:val="1"/>
          <w:numId w:val="8"/>
        </w:numPr>
        <w:rPr>
          <w:rFonts w:cs="Arial"/>
        </w:rPr>
      </w:pPr>
      <w:bookmarkStart w:id="29" w:name="_Toc533153864"/>
      <w:r w:rsidRPr="00756DA5">
        <w:t>Developments and works carried out in 201</w:t>
      </w:r>
      <w:bookmarkEnd w:id="27"/>
      <w:r w:rsidRPr="00756DA5">
        <w:t>7</w:t>
      </w:r>
      <w:bookmarkEnd w:id="29"/>
    </w:p>
    <w:p w:rsidR="00DF624F" w:rsidRPr="00756DA5" w:rsidP="00DF624F">
      <w:pPr>
        <w:spacing w:line="280" w:lineRule="exact"/>
        <w:jc w:val="left"/>
        <w:rPr>
          <w:rFonts w:cs="Arial"/>
          <w:szCs w:val="20"/>
        </w:rPr>
      </w:pPr>
      <w:r w:rsidRPr="00756DA5">
        <w:br/>
      </w:r>
      <w:r w:rsidRPr="00756DA5">
        <w:rPr>
          <w:b/>
          <w:szCs w:val="20"/>
        </w:rPr>
        <w:t>■ Investment in the RFN</w:t>
      </w:r>
    </w:p>
    <w:p w:rsidR="00DF624F" w:rsidRPr="00756DA5" w:rsidP="00DF624F">
      <w:pPr>
        <w:spacing w:line="280" w:lineRule="exact"/>
        <w:rPr>
          <w:rFonts w:cs="Arial"/>
          <w:szCs w:val="20"/>
        </w:rPr>
      </w:pPr>
      <w:r w:rsidRPr="00756DA5">
        <w:t xml:space="preserve">On 20 April 2017, the French State and SNCF Réseau signed a multi-annual performance contract for the period 2017 to 2026. </w:t>
      </w:r>
      <w:r w:rsidRPr="00756DA5">
        <w:t>It establishes the following six strategic objectives: develop a maintenance policy, in synergy with operations, aim for a high level of safety and cost control; implement a usage-based network management policy; expand the commercial offering and improve the quality of service of SNCF Réseau by strengthening a partnership approach with the users of the RFN; build an innovative railway network focused on new technologies and engaged in environmental transition; make SNCF Réseau an effective infrastructure manager and driver of excellence in the French railway sector; frame SNCF Réseau’s activities in a sustainable financial trajectory.</w:t>
      </w:r>
    </w:p>
    <w:p w:rsidR="00DF624F" w:rsidRPr="00756DA5" w:rsidP="00DF624F">
      <w:pPr>
        <w:spacing w:line="280" w:lineRule="exact"/>
      </w:pPr>
      <w:r w:rsidRPr="00756DA5">
        <w:t>In particular, this contract confirms the priority given to the maintenance and renewal of the railway network, with a total of EUR 46 billion of planned investments over 10 years on the existing network.</w:t>
      </w:r>
    </w:p>
    <w:p w:rsidR="00DF624F" w:rsidRPr="00756DA5" w:rsidP="00DF624F">
      <w:pPr>
        <w:spacing w:line="280" w:lineRule="exact"/>
      </w:pPr>
      <w:r w:rsidRPr="00756DA5">
        <w:rPr>
          <w:b/>
          <w:szCs w:val="20"/>
        </w:rPr>
        <w:t xml:space="preserve">■ </w:t>
      </w:r>
      <w:r w:rsidRPr="00756DA5">
        <w:rPr>
          <w:b/>
          <w:szCs w:val="20"/>
        </w:rPr>
        <w:t>The</w:t>
      </w:r>
      <w:r w:rsidRPr="00756DA5">
        <w:rPr>
          <w:b/>
          <w:szCs w:val="20"/>
        </w:rPr>
        <w:t xml:space="preserve"> new high-speed lines (HSLs)</w:t>
      </w:r>
    </w:p>
    <w:p w:rsidR="00DF624F" w:rsidRPr="00756DA5" w:rsidP="00DF624F">
      <w:pPr>
        <w:spacing w:line="280" w:lineRule="exact"/>
        <w:rPr>
          <w:rFonts w:cs="Arial"/>
          <w:szCs w:val="20"/>
        </w:rPr>
      </w:pPr>
      <w:r w:rsidRPr="00756DA5">
        <w:t xml:space="preserve">In 2017, three new lines built in the context of public-private partnerships </w:t>
      </w:r>
      <w:r w:rsidRPr="00756DA5">
        <w:t>were put</w:t>
      </w:r>
      <w:r w:rsidRPr="00756DA5">
        <w:t xml:space="preserve"> into service: the Brittany-Pays de la Loire (BPL) HSL, the South Europe Atlantic (SEA) HSL and the Nimes and Montpellier Bypass (CNM).</w:t>
      </w:r>
    </w:p>
    <w:p w:rsidR="00DF624F" w:rsidRPr="00756DA5" w:rsidP="00E41E54">
      <w:pPr>
        <w:spacing w:line="280" w:lineRule="exact"/>
        <w:rPr>
          <w:rFonts w:cs="Arial"/>
          <w:i/>
          <w:szCs w:val="20"/>
        </w:rPr>
      </w:pPr>
      <w:r w:rsidRPr="00756DA5">
        <w:rPr>
          <w:i/>
          <w:szCs w:val="20"/>
        </w:rPr>
        <w:t>The Brittany-Pays de la Loire HSL</w:t>
      </w:r>
    </w:p>
    <w:p w:rsidR="00DF624F" w:rsidRPr="00756DA5" w:rsidP="00DF624F">
      <w:pPr>
        <w:spacing w:line="280" w:lineRule="exact"/>
        <w:rPr>
          <w:rFonts w:cs="Arial"/>
          <w:szCs w:val="20"/>
        </w:rPr>
      </w:pPr>
      <w:r w:rsidRPr="00756DA5">
        <w:t xml:space="preserve">The BPL HSL, put into commercial service on 2 July with 182 km of double-track lines and 32 km of branch lines, is the extension of the Atlantic line and connects Connerré, to the east of Le Mans (Sarthe) and Cesson-Sévigné, a municipality on the edge of Rennes (Ille-et-Vilaine). With a commercial speed of up to 320 km/h, Rennes is consequently less than 1 1/2 hours from Paris, a time saving of 37 minutes compared to the conventional line. </w:t>
      </w:r>
      <w:r w:rsidRPr="00756DA5">
        <w:t>Traffic management is carried out by SNCF Réseau</w:t>
      </w:r>
      <w:r w:rsidRPr="00756DA5">
        <w:t>, while maintenance and renewal of the HSL are entrusted to Eiffage Rail Express (ERE).</w:t>
      </w:r>
    </w:p>
    <w:p w:rsidR="00DF624F" w:rsidRPr="00756DA5" w:rsidP="00DF624F">
      <w:pPr>
        <w:spacing w:line="280" w:lineRule="exact"/>
        <w:rPr>
          <w:rFonts w:cs="Arial"/>
          <w:szCs w:val="20"/>
        </w:rPr>
      </w:pPr>
      <w:r w:rsidRPr="00756DA5">
        <w:t>Along the whole line, the signalling system enables the running of passenger trains with ETCS</w:t>
      </w:r>
      <w:r>
        <w:rPr>
          <w:rStyle w:val="FootnoteReference"/>
          <w:rFonts w:cs="Arial"/>
          <w:szCs w:val="20"/>
        </w:rPr>
        <w:footnoteReference w:id="3"/>
      </w:r>
      <w:r w:rsidRPr="00756DA5">
        <w:t xml:space="preserve"> level 2 or TVM 430 or TVM 300 on-board equipment and of special trains (works, measurements), which are similarly equipped. In 2018, ETCS level 1 </w:t>
      </w:r>
      <w:r w:rsidRPr="00756DA5">
        <w:t>must also be put</w:t>
      </w:r>
      <w:r w:rsidRPr="00756DA5">
        <w:t xml:space="preserve"> into service on the Le Mans section of the bypass to enable freight and passenger trains equipped with this signalling system to run on it.</w:t>
      </w:r>
    </w:p>
    <w:p w:rsidR="00DF624F" w:rsidRPr="00756DA5" w:rsidP="00E41E54">
      <w:pPr>
        <w:spacing w:line="280" w:lineRule="exact"/>
        <w:rPr>
          <w:rFonts w:cs="Arial"/>
          <w:i/>
          <w:szCs w:val="20"/>
        </w:rPr>
      </w:pPr>
      <w:r w:rsidRPr="00756DA5">
        <w:rPr>
          <w:i/>
          <w:szCs w:val="20"/>
        </w:rPr>
        <w:t>The South Europe Atlantic HSL</w:t>
      </w:r>
    </w:p>
    <w:p w:rsidR="00DF624F" w:rsidRPr="00756DA5" w:rsidP="00DF624F">
      <w:pPr>
        <w:spacing w:line="280" w:lineRule="exact"/>
        <w:rPr>
          <w:rFonts w:cs="Arial"/>
          <w:szCs w:val="20"/>
        </w:rPr>
      </w:pPr>
      <w:r w:rsidRPr="00756DA5">
        <w:t xml:space="preserve">The SEA HSL, put into service on the same day as the BPL HSL, extends the south-west branch of the Atlantic HSL from Tours (Indre-et-Loire) to Bordeaux (Gironde), which consequently is no more than around 2 hours from Paris. The concession for the line, which has 302 km of double-track line and 38 km of branch lines, </w:t>
      </w:r>
      <w:r w:rsidRPr="00756DA5">
        <w:t>has been granted</w:t>
      </w:r>
      <w:r w:rsidRPr="00756DA5">
        <w:t xml:space="preserve"> to LISEA until 2061.</w:t>
      </w:r>
    </w:p>
    <w:p w:rsidR="00DF624F" w:rsidRPr="00756DA5" w:rsidP="00DF624F">
      <w:pPr>
        <w:spacing w:line="280" w:lineRule="exact"/>
        <w:rPr>
          <w:rFonts w:cs="Arial"/>
          <w:szCs w:val="20"/>
        </w:rPr>
      </w:pPr>
      <w:r w:rsidRPr="00756DA5">
        <w:t>In terms of signalling, the line is also equipped with ETCS level 2, which permits a commercial speed of 320 km/h overlaid on the TVM 300 system, which limits speed to 300 km/h.</w:t>
      </w:r>
    </w:p>
    <w:p w:rsidR="00DF624F" w:rsidRPr="00756DA5" w:rsidP="00E41E54">
      <w:pPr>
        <w:spacing w:line="280" w:lineRule="exact"/>
        <w:rPr>
          <w:rFonts w:cs="Arial"/>
          <w:i/>
          <w:szCs w:val="20"/>
        </w:rPr>
      </w:pPr>
      <w:r w:rsidRPr="00756DA5">
        <w:rPr>
          <w:i/>
          <w:szCs w:val="20"/>
        </w:rPr>
        <w:t>The Nîmes and Montpellier Bypass</w:t>
      </w:r>
    </w:p>
    <w:p w:rsidR="00DF624F" w:rsidRPr="00756DA5" w:rsidP="00DF624F">
      <w:pPr>
        <w:spacing w:line="280" w:lineRule="exact"/>
        <w:rPr>
          <w:rFonts w:cs="Arial"/>
          <w:szCs w:val="20"/>
        </w:rPr>
      </w:pPr>
      <w:r w:rsidRPr="00756DA5">
        <w:t xml:space="preserve">The CNM, for which traffic management </w:t>
      </w:r>
      <w:r w:rsidRPr="00756DA5">
        <w:t>is carried out</w:t>
      </w:r>
      <w:r w:rsidRPr="00756DA5">
        <w:t xml:space="preserve"> by SNCF Réseau and infrastructure maintenance by Oc’Via, was put into commercial service on 10 November 2017 and commercial traffic started running in early December 2017. This line, which has 60 km of double track and 20 km of branch lines, </w:t>
      </w:r>
      <w:r w:rsidRPr="00756DA5">
        <w:t>is designed to be travelled</w:t>
      </w:r>
      <w:r w:rsidRPr="00756DA5">
        <w:t xml:space="preserve"> at 320 km/h, but as a first step is operated at a maximum speed of 220 km/h with a BAL</w:t>
      </w:r>
      <w:r>
        <w:rPr>
          <w:rStyle w:val="FootnoteReference"/>
          <w:rFonts w:cs="Arial"/>
          <w:szCs w:val="20"/>
        </w:rPr>
        <w:footnoteReference w:id="4"/>
      </w:r>
      <w:r w:rsidRPr="00756DA5">
        <w:t xml:space="preserve"> + KVB lateral signalling system. As part of a European freight corridor, the line will be equipped with ETCS level 1, the commercial authorisation of which </w:t>
      </w:r>
      <w:r w:rsidRPr="00756DA5">
        <w:t>is expected</w:t>
      </w:r>
      <w:r w:rsidRPr="00756DA5">
        <w:t xml:space="preserve"> during 2018.</w:t>
      </w:r>
    </w:p>
    <w:p w:rsidR="00DF624F" w:rsidRPr="00756DA5" w:rsidP="00DF624F">
      <w:pPr>
        <w:spacing w:line="280" w:lineRule="exact"/>
        <w:rPr>
          <w:rFonts w:cs="Arial"/>
          <w:b/>
          <w:szCs w:val="20"/>
        </w:rPr>
      </w:pPr>
      <w:r w:rsidRPr="00756DA5">
        <w:rPr>
          <w:b/>
          <w:szCs w:val="20"/>
        </w:rPr>
        <w:t xml:space="preserve">■ </w:t>
      </w:r>
      <w:r w:rsidRPr="00756DA5">
        <w:rPr>
          <w:b/>
          <w:szCs w:val="20"/>
        </w:rPr>
        <w:t>The</w:t>
      </w:r>
      <w:r w:rsidRPr="00756DA5">
        <w:rPr>
          <w:b/>
          <w:szCs w:val="20"/>
        </w:rPr>
        <w:t xml:space="preserve"> Tangentielle Légère Nord</w:t>
      </w:r>
    </w:p>
    <w:p w:rsidR="00DF624F" w:rsidRPr="00756DA5" w:rsidP="00DF624F">
      <w:pPr>
        <w:spacing w:line="280" w:lineRule="exact"/>
        <w:rPr>
          <w:rFonts w:cs="Arial"/>
          <w:szCs w:val="20"/>
        </w:rPr>
      </w:pPr>
      <w:r w:rsidRPr="00756DA5">
        <w:t>This tram-train line in Île-de-France, the project for which is divided into two phases, is to eventually link Sartrouville (Yvelines) and Noisy-le-Sec (Seine-Saint-Denis) through the creation of two new tracks of approximately 28 km, electrified at 25 000 V and parallel to the existing Grande Ceinture line, and which will link 14 passenger stations, including 6 new ones.</w:t>
      </w:r>
    </w:p>
    <w:p w:rsidR="00DF624F" w:rsidRPr="00756DA5" w:rsidP="00DF624F">
      <w:pPr>
        <w:spacing w:line="280" w:lineRule="exact"/>
        <w:rPr>
          <w:rFonts w:cs="Arial"/>
          <w:szCs w:val="20"/>
        </w:rPr>
      </w:pPr>
      <w:r w:rsidRPr="00756DA5">
        <w:t xml:space="preserve">On 11 April 2017, the EPSF issued the authorisation for the putting into service of the Epinay sur Seine-Le Bourget section, which is phase 1 of the project. This 10.6-km section of the RFN has been operated on behalf of SNCF Mobilités by the Transkeo </w:t>
      </w:r>
      <w:r w:rsidRPr="00756DA5">
        <w:t>company</w:t>
      </w:r>
      <w:r w:rsidRPr="00756DA5">
        <w:t xml:space="preserve"> since 7 June 2017.</w:t>
      </w:r>
    </w:p>
    <w:p w:rsidR="00DF624F" w:rsidRPr="00756DA5" w:rsidP="00DF624F">
      <w:pPr>
        <w:spacing w:line="280" w:lineRule="exact"/>
        <w:jc w:val="left"/>
        <w:rPr>
          <w:rFonts w:cs="Arial"/>
          <w:szCs w:val="20"/>
        </w:rPr>
      </w:pPr>
      <w:r w:rsidRPr="00756DA5">
        <w:rPr>
          <w:b/>
          <w:szCs w:val="20"/>
        </w:rPr>
        <w:t>■ ERTMS</w:t>
      </w:r>
    </w:p>
    <w:p w:rsidR="00DF624F" w:rsidRPr="00756DA5" w:rsidP="00DF624F">
      <w:pPr>
        <w:spacing w:line="280" w:lineRule="exact"/>
      </w:pPr>
      <w:r w:rsidRPr="00756DA5">
        <w:t xml:space="preserve">In 2017, nearly 9.4 million train-km </w:t>
      </w:r>
      <w:r w:rsidRPr="00756DA5">
        <w:t>were travelled</w:t>
      </w:r>
      <w:r w:rsidRPr="00756DA5">
        <w:t xml:space="preserve"> on the East European, Brittany-Pays de la Loire and South Europe Atlantic HSLs, all three of which are equipped with ETCS level 2.</w:t>
      </w:r>
    </w:p>
    <w:p w:rsidR="008E7ACE" w:rsidRPr="00756DA5" w:rsidP="00DF624F">
      <w:pPr>
        <w:spacing w:line="280" w:lineRule="exact"/>
      </w:pPr>
      <w:r w:rsidRPr="00756DA5">
        <w:t xml:space="preserve">On the conventional network, with the exception of certain complex nodes, a process of reflection has led to a preference for equipment with ERTMS level 2 over level 1. The arrangements and timetable for its deployment are, however, the subject of ongoing work, and </w:t>
      </w:r>
      <w:r w:rsidRPr="00756DA5">
        <w:t>have therefore not yet been established</w:t>
      </w:r>
      <w:r w:rsidRPr="00756DA5">
        <w:t xml:space="preserve">. In particular, whether or not to keep the existing lateral signalling subsequent to ERTMS deployment will depend on the assessments to be carried out, </w:t>
      </w:r>
      <w:r w:rsidRPr="00756DA5">
        <w:t>taking the whole railway system into account</w:t>
      </w:r>
      <w:r w:rsidRPr="00756DA5">
        <w:t>. In any case, the chosen strategy will seek to take account of the target dates for renewal of the incumbent signalling (BAL systems and interlocking apparatus), in order to cost the amounts that would be required for this renewal in the economic model for ERTMS deployment.</w:t>
      </w:r>
    </w:p>
    <w:p w:rsidR="00DF624F" w:rsidRPr="00756DA5" w:rsidP="00DF624F">
      <w:pPr>
        <w:spacing w:line="280" w:lineRule="exact"/>
      </w:pPr>
      <w:r w:rsidRPr="00756DA5">
        <w:t>The national plan for ERTMS deployment for France, in the version dated 27 June 2017, provides for the following by 2023:</w:t>
      </w:r>
    </w:p>
    <w:p w:rsidR="00DF624F" w:rsidRPr="00756DA5" w:rsidP="00E41E54">
      <w:pPr>
        <w:spacing w:after="0" w:line="280" w:lineRule="exact"/>
      </w:pPr>
      <w:r w:rsidRPr="00756DA5">
        <w:rPr>
          <w:i/>
        </w:rPr>
        <w:t>On the conventional network</w:t>
      </w:r>
      <w:r w:rsidRPr="00756DA5">
        <w:t>:</w:t>
      </w:r>
    </w:p>
    <w:p w:rsidR="00DF624F" w:rsidRPr="00756DA5" w:rsidP="00E41E54">
      <w:pPr>
        <w:pStyle w:val="ListParagraph"/>
        <w:numPr>
          <w:ilvl w:val="0"/>
          <w:numId w:val="45"/>
        </w:numPr>
        <w:spacing w:after="0" w:line="280" w:lineRule="exact"/>
        <w:ind w:left="709" w:hanging="283"/>
      </w:pPr>
      <w:r w:rsidRPr="00756DA5">
        <w:t>full equipment of the Longuyon-Basel line (427 km) with ERTMS level 1, overlaid on the class B system (TVM);</w:t>
      </w:r>
    </w:p>
    <w:p w:rsidR="00DF624F" w:rsidRPr="00756DA5" w:rsidP="00E41E54">
      <w:pPr>
        <w:pStyle w:val="ListParagraph"/>
        <w:numPr>
          <w:ilvl w:val="0"/>
          <w:numId w:val="45"/>
        </w:numPr>
        <w:spacing w:after="0" w:line="280" w:lineRule="exact"/>
        <w:ind w:left="709" w:hanging="283"/>
      </w:pPr>
      <w:r w:rsidRPr="00756DA5">
        <w:t>overlaid on the class B system, equipment of the border sections between France and Belgium in Longwy (built in early 2017), between France and Luxembourg in Mont-Saint-Martin and Zoufftgen (built in early 2017), between France and Germany in Kehl (2021) and between France and Switzerland in Mulhouse (2021);</w:t>
      </w:r>
    </w:p>
    <w:p w:rsidR="00DF624F" w:rsidRPr="00756DA5" w:rsidP="00E41E54">
      <w:pPr>
        <w:pStyle w:val="ListParagraph"/>
        <w:numPr>
          <w:ilvl w:val="0"/>
          <w:numId w:val="45"/>
        </w:numPr>
        <w:spacing w:after="0" w:line="280" w:lineRule="exact"/>
        <w:ind w:left="709" w:hanging="283"/>
      </w:pPr>
      <w:r w:rsidRPr="00756DA5">
        <w:t>equipment</w:t>
      </w:r>
      <w:r w:rsidRPr="00756DA5">
        <w:t xml:space="preserve"> of the French part (2 km) of the border section between Geneva and Annemasse (2019) with ERTMS level 2.</w:t>
      </w:r>
    </w:p>
    <w:p w:rsidR="00AA4A01" w:rsidRPr="00756DA5" w:rsidP="008E7ACE">
      <w:pPr>
        <w:spacing w:after="0" w:line="280" w:lineRule="exact"/>
      </w:pPr>
    </w:p>
    <w:p w:rsidR="00DF624F" w:rsidRPr="00756DA5" w:rsidP="00DF624F">
      <w:pPr>
        <w:spacing w:line="280" w:lineRule="exact"/>
      </w:pPr>
      <w:r w:rsidRPr="00756DA5">
        <w:t xml:space="preserve">It </w:t>
      </w:r>
      <w:r w:rsidRPr="00756DA5">
        <w:t>should be noted</w:t>
      </w:r>
      <w:r w:rsidRPr="00756DA5">
        <w:t xml:space="preserve"> that while awaiting the insights provided by the ongoing studies, no dismantling of the KVB system is planned at this stage on the conventional network, with the exception of the Marseille-Vintimille line.</w:t>
      </w:r>
    </w:p>
    <w:p w:rsidR="00DF624F" w:rsidRPr="00756DA5" w:rsidP="00E41E54">
      <w:pPr>
        <w:spacing w:after="0" w:line="280" w:lineRule="exact"/>
      </w:pPr>
      <w:r w:rsidRPr="00756DA5">
        <w:rPr>
          <w:i/>
        </w:rPr>
        <w:t>On the high-speed lines</w:t>
      </w:r>
      <w:r w:rsidRPr="00756DA5">
        <w:t>:</w:t>
      </w:r>
    </w:p>
    <w:p w:rsidR="00DF624F" w:rsidRPr="00756DA5" w:rsidP="00E41E54">
      <w:pPr>
        <w:pStyle w:val="ListParagraph"/>
        <w:numPr>
          <w:ilvl w:val="0"/>
          <w:numId w:val="46"/>
        </w:numPr>
        <w:spacing w:after="0" w:line="280" w:lineRule="exact"/>
        <w:ind w:left="709" w:hanging="283"/>
      </w:pPr>
      <w:r w:rsidRPr="00756DA5">
        <w:t>the putting into service of ERTMS level 1 on the Nîmes and Montpellier Bypass in 2018;</w:t>
      </w:r>
    </w:p>
    <w:p w:rsidR="00DF624F" w:rsidRPr="00756DA5" w:rsidP="00100EEB">
      <w:pPr>
        <w:pStyle w:val="ListParagraph"/>
        <w:numPr>
          <w:ilvl w:val="0"/>
          <w:numId w:val="46"/>
        </w:numPr>
        <w:spacing w:after="0" w:line="280" w:lineRule="exact"/>
        <w:ind w:left="709" w:hanging="283"/>
      </w:pPr>
      <w:r w:rsidRPr="00756DA5">
        <w:t>the</w:t>
      </w:r>
      <w:r w:rsidRPr="00756DA5">
        <w:t xml:space="preserve"> deployment of ERTMS level 2 on the 420 km of the Paris-Lyon line by 2023.</w:t>
      </w:r>
    </w:p>
    <w:p w:rsidR="00100EEB" w:rsidRPr="00756DA5" w:rsidP="00E41E54">
      <w:pPr>
        <w:pStyle w:val="ListParagraph"/>
        <w:spacing w:after="0" w:line="280" w:lineRule="exact"/>
        <w:ind w:left="709"/>
      </w:pPr>
    </w:p>
    <w:p w:rsidR="00DF624F" w:rsidRPr="00756DA5" w:rsidP="00DF624F">
      <w:pPr>
        <w:spacing w:line="280" w:lineRule="exact"/>
      </w:pPr>
      <w:r w:rsidRPr="00756DA5">
        <w:t xml:space="preserve">The dismantling of the TVM system </w:t>
      </w:r>
      <w:r w:rsidRPr="00756DA5">
        <w:t>is not planned</w:t>
      </w:r>
      <w:r w:rsidRPr="00756DA5">
        <w:t xml:space="preserve"> on the high-speed network before 2030.</w:t>
      </w:r>
    </w:p>
    <w:p w:rsidR="00674E09" w:rsidRPr="00756DA5" w:rsidP="00423F21">
      <w:pPr>
        <w:pStyle w:val="Heading1"/>
        <w:pageBreakBefore/>
        <w:numPr>
          <w:ilvl w:val="0"/>
          <w:numId w:val="12"/>
        </w:numPr>
        <w:rPr>
          <w:rFonts w:cs="Arial"/>
        </w:rPr>
      </w:pPr>
      <w:bookmarkStart w:id="30" w:name="_Toc494469618"/>
      <w:bookmarkStart w:id="31" w:name="_Toc533153865"/>
      <w:r w:rsidRPr="00756DA5">
        <w:t>Railway Safety Performance</w:t>
      </w:r>
      <w:bookmarkEnd w:id="30"/>
      <w:bookmarkEnd w:id="31"/>
    </w:p>
    <w:p w:rsidR="00BE721F" w:rsidRPr="00756DA5" w:rsidP="001D1FBA">
      <w:pPr>
        <w:pStyle w:val="Heading2"/>
        <w:numPr>
          <w:ilvl w:val="1"/>
          <w:numId w:val="13"/>
        </w:numPr>
        <w:spacing w:line="280" w:lineRule="exact"/>
        <w:rPr>
          <w:rFonts w:cs="Arial"/>
        </w:rPr>
      </w:pPr>
      <w:bookmarkStart w:id="32" w:name="_Toc494469619"/>
      <w:bookmarkStart w:id="33" w:name="_Toc423668203"/>
      <w:bookmarkStart w:id="34" w:name="_Toc533153866"/>
      <w:r w:rsidRPr="00756DA5">
        <w:t>The significant events</w:t>
      </w:r>
      <w:bookmarkEnd w:id="32"/>
      <w:bookmarkEnd w:id="34"/>
    </w:p>
    <w:p w:rsidR="001D5CB5" w:rsidRPr="00756DA5" w:rsidP="001D5CB5">
      <w:pPr>
        <w:spacing w:line="280" w:lineRule="exact"/>
        <w:rPr>
          <w:rFonts w:cs="Arial"/>
          <w:b/>
          <w:szCs w:val="20"/>
        </w:rPr>
      </w:pPr>
      <w:r w:rsidRPr="00756DA5">
        <w:rPr>
          <w:szCs w:val="20"/>
          <w:shd w:val="clear" w:color="auto" w:fill="FFFFFF"/>
        </w:rPr>
        <w:br/>
      </w:r>
      <w:bookmarkEnd w:id="33"/>
      <w:r w:rsidRPr="00756DA5">
        <w:rPr>
          <w:b/>
          <w:szCs w:val="20"/>
        </w:rPr>
        <w:t>■ SÉLESTAT (Bas-Rhin)</w:t>
      </w:r>
    </w:p>
    <w:p w:rsidR="001D5CB5" w:rsidRPr="00756DA5" w:rsidP="001D5CB5">
      <w:pPr>
        <w:spacing w:after="0" w:line="280" w:lineRule="exact"/>
        <w:rPr>
          <w:rFonts w:cs="Arial"/>
          <w:szCs w:val="20"/>
        </w:rPr>
      </w:pPr>
      <w:r w:rsidRPr="00756DA5">
        <w:t xml:space="preserve">On 9 March 2017, following works at Sélestat station, a work train made up of a track motor car and two flat cars was waiting to depart. This train, which </w:t>
      </w:r>
      <w:r w:rsidRPr="00756DA5">
        <w:t>was originally meant</w:t>
      </w:r>
      <w:r w:rsidRPr="00756DA5">
        <w:t xml:space="preserve"> to travel with the traction unit at the front to Colmar, was eventually moved backwards because it was not possible to place the track motor car at the other end. There were three people in the cab: a driver, a trainee driver and the guard who was not facing the direction of movement. The train moved off 45 minutes before its scheduled departure and passed signal C1641 at danger. None of the three staff members in the cab heard the sound of the detonator explosion.</w:t>
      </w:r>
    </w:p>
    <w:p w:rsidR="001D5CB5" w:rsidRPr="00756DA5" w:rsidP="001D5CB5">
      <w:pPr>
        <w:spacing w:after="0" w:line="280" w:lineRule="exact"/>
        <w:rPr>
          <w:rFonts w:cs="Arial"/>
          <w:szCs w:val="20"/>
        </w:rPr>
      </w:pPr>
    </w:p>
    <w:p w:rsidR="001D5CB5" w:rsidRPr="00756DA5" w:rsidP="001D5CB5">
      <w:pPr>
        <w:spacing w:after="0" w:line="280" w:lineRule="exact"/>
        <w:rPr>
          <w:rFonts w:cs="Arial"/>
          <w:szCs w:val="20"/>
        </w:rPr>
      </w:pPr>
      <w:r w:rsidRPr="00756DA5">
        <w:t xml:space="preserve">At the same time, even though it was travelling on a planned route on track 2a at a speed of 60 km/h, the driver of a freight train noticed the unexpected stop aspect of signal C1645, which was 40 m away from him. He applied emergency braking but could not avoid a sideways-on collision with the work train at a set of points at a speed of 40 km/h. No one was injured but an axle on both flat wagons derailed without fouling the gauge of the adjacent track 1. This event was classified at level </w:t>
      </w:r>
      <w:r w:rsidRPr="00756DA5">
        <w:t>4</w:t>
      </w:r>
      <w:r w:rsidRPr="00756DA5">
        <w:t xml:space="preserve"> on the severity scale</w:t>
      </w:r>
      <w:r>
        <w:rPr>
          <w:rStyle w:val="FootnoteReference"/>
          <w:rFonts w:cs="Arial"/>
          <w:szCs w:val="20"/>
        </w:rPr>
        <w:footnoteReference w:id="5"/>
      </w:r>
      <w:r w:rsidRPr="00756DA5">
        <w:t>, which has six levels primarily for consequences for employees.</w:t>
      </w:r>
    </w:p>
    <w:p w:rsidR="001D5CB5" w:rsidRPr="00756DA5" w:rsidP="001D5CB5">
      <w:pPr>
        <w:spacing w:after="0" w:line="280" w:lineRule="exact"/>
        <w:rPr>
          <w:rFonts w:cs="Arial"/>
          <w:szCs w:val="20"/>
        </w:rPr>
      </w:pPr>
    </w:p>
    <w:p w:rsidR="001D5CB5" w:rsidRPr="00756DA5" w:rsidP="001D5CB5">
      <w:pPr>
        <w:spacing w:line="280" w:lineRule="exact"/>
        <w:rPr>
          <w:rFonts w:cs="Arial"/>
          <w:b/>
          <w:szCs w:val="20"/>
        </w:rPr>
      </w:pPr>
      <w:r w:rsidRPr="00756DA5">
        <w:rPr>
          <w:b/>
          <w:szCs w:val="20"/>
        </w:rPr>
        <w:t>■ SIBELIN (Rhône)</w:t>
      </w:r>
    </w:p>
    <w:p w:rsidR="001D5CB5" w:rsidRPr="00756DA5" w:rsidP="001D5CB5">
      <w:pPr>
        <w:spacing w:after="0" w:line="280" w:lineRule="exact"/>
        <w:rPr>
          <w:rFonts w:cs="Arial"/>
          <w:szCs w:val="20"/>
        </w:rPr>
      </w:pPr>
      <w:r w:rsidRPr="00756DA5">
        <w:t xml:space="preserve">On 13 March 2017, a goods train made up of 22 wagons entered the service tracks in the set of sidings of the North/South relay of Sibelin station. While it was travelling at a speed of 24 km/h, four of its tank wagons loaded with approximately 65 tonnes of ethanol derailed: the leading third and fourth wagons rolled onto their side, thus fouling the adjacent main track, the fifth wagon had a derailed bogie and the sixth wagon had a derailed axle. An emergency power supply cut-off </w:t>
      </w:r>
      <w:r w:rsidRPr="00756DA5">
        <w:t>was carried out</w:t>
      </w:r>
      <w:r w:rsidRPr="00756DA5">
        <w:t xml:space="preserve"> and traffic was interrupted on the platform and on the adjacent track. Approximately 80 m of the track </w:t>
      </w:r>
      <w:r w:rsidRPr="00756DA5">
        <w:t>was destroyed</w:t>
      </w:r>
      <w:r w:rsidRPr="00756DA5">
        <w:t xml:space="preserve">. A significant leak of hazardous material </w:t>
      </w:r>
      <w:r w:rsidRPr="00756DA5">
        <w:t>was observed</w:t>
      </w:r>
      <w:r w:rsidRPr="00756DA5">
        <w:t xml:space="preserve"> from two holes in the tank of the fifth wagon. The </w:t>
      </w:r>
      <w:r w:rsidRPr="00756DA5">
        <w:t>‘Internal dangerous goods emergency plan’ was triggered by the traffic manager</w:t>
      </w:r>
      <w:r w:rsidRPr="00756DA5">
        <w:t xml:space="preserve"> and the external authorities were notified. The prefecture triggered the ‘</w:t>
      </w:r>
      <w:r w:rsidRPr="00756DA5">
        <w:rPr>
          <w:i/>
        </w:rPr>
        <w:t>Plan d’organisation de la réponse de sécurité civile</w:t>
      </w:r>
      <w:r w:rsidRPr="00756DA5">
        <w:t xml:space="preserve">’ (Civil safety response organisation plan) for this event, which was classified at level 6 severity given its consequences for infrastructure and the environment. A technical investigation </w:t>
      </w:r>
      <w:r w:rsidRPr="00756DA5">
        <w:t>was launched</w:t>
      </w:r>
      <w:r w:rsidRPr="00756DA5">
        <w:t xml:space="preserve"> by the BEA-TT.</w:t>
      </w:r>
    </w:p>
    <w:p w:rsidR="001D5CB5" w:rsidRPr="00756DA5" w:rsidP="001D5CB5">
      <w:pPr>
        <w:spacing w:after="0" w:line="280" w:lineRule="exact"/>
        <w:rPr>
          <w:rFonts w:cs="Arial"/>
          <w:szCs w:val="20"/>
        </w:rPr>
      </w:pPr>
    </w:p>
    <w:p w:rsidR="001D5CB5" w:rsidRPr="00756DA5" w:rsidP="001D5CB5">
      <w:pPr>
        <w:spacing w:line="280" w:lineRule="exact"/>
        <w:rPr>
          <w:rFonts w:cs="Arial"/>
          <w:b/>
          <w:szCs w:val="20"/>
        </w:rPr>
      </w:pPr>
      <w:r w:rsidRPr="00756DA5">
        <w:rPr>
          <w:b/>
          <w:szCs w:val="20"/>
        </w:rPr>
        <w:t>■ SAUSSET-LES-PINS (Bouches-du-Rhône)</w:t>
      </w:r>
    </w:p>
    <w:p w:rsidR="001D5CB5" w:rsidRPr="00756DA5" w:rsidP="001D5CB5">
      <w:pPr>
        <w:spacing w:after="0" w:line="280" w:lineRule="exact"/>
        <w:rPr>
          <w:rFonts w:cs="Arial"/>
          <w:szCs w:val="20"/>
        </w:rPr>
      </w:pPr>
      <w:r w:rsidRPr="00756DA5">
        <w:t xml:space="preserve">On 18 August 2017, in Sausset-les-Pins, a fault was identified in a partly permissive automatic block over </w:t>
      </w:r>
      <w:r w:rsidRPr="00756DA5">
        <w:t>two</w:t>
      </w:r>
      <w:r w:rsidRPr="00756DA5">
        <w:t xml:space="preserve"> successive block sections the entry to which is controlled by panels C877 and 885. This impaired situation resulted in several trains running on sight following contact with the traffic manager in Martigues. In circumstances that the BEA-TT investigation will have to clarify, it was possible for train number 879719 to be granted line clear at signal 885 and then continue running normally at a prescribed speed of 100 km/h, even though </w:t>
      </w:r>
      <w:r w:rsidRPr="00756DA5">
        <w:t>the section was occupied by train number 879715</w:t>
      </w:r>
      <w:r w:rsidRPr="00756DA5">
        <w:t xml:space="preserve">. Train number 879719 was travelling at approximately 80 km/h as it exited the tunnel in Mathéron when the driver noticed the rear signals of the preceding train. He applied emergency braking and stopped approximately 60 metres from the </w:t>
      </w:r>
      <w:r w:rsidRPr="00756DA5">
        <w:t>tail-end</w:t>
      </w:r>
      <w:r w:rsidRPr="00756DA5">
        <w:t xml:space="preserve"> of train number 879715. This event could have had serious </w:t>
      </w:r>
      <w:r w:rsidRPr="00756DA5">
        <w:t xml:space="preserve">consequences for the people on board, which justified its classification at level </w:t>
      </w:r>
      <w:r w:rsidRPr="00756DA5">
        <w:t>4</w:t>
      </w:r>
      <w:r w:rsidRPr="00756DA5">
        <w:t xml:space="preserve"> severity, which is the maximum for an event with no consequences thanks to the vigilance of the driver of the following train.</w:t>
      </w:r>
    </w:p>
    <w:p w:rsidR="001D5CB5" w:rsidRPr="00756DA5" w:rsidP="001D5CB5">
      <w:pPr>
        <w:spacing w:after="0" w:line="280" w:lineRule="exact"/>
        <w:rPr>
          <w:rFonts w:cs="Arial"/>
          <w:szCs w:val="20"/>
        </w:rPr>
      </w:pPr>
    </w:p>
    <w:p w:rsidR="001D5CB5" w:rsidRPr="00756DA5" w:rsidP="001D5CB5">
      <w:pPr>
        <w:spacing w:line="280" w:lineRule="exact"/>
        <w:rPr>
          <w:rFonts w:cs="Arial"/>
          <w:b/>
          <w:szCs w:val="20"/>
        </w:rPr>
      </w:pPr>
      <w:r w:rsidRPr="00756DA5">
        <w:rPr>
          <w:b/>
          <w:szCs w:val="20"/>
        </w:rPr>
        <w:t>■ BONNEVILLE-SUR-TOUQUES (Calvados)</w:t>
      </w:r>
    </w:p>
    <w:p w:rsidR="001D5CB5" w:rsidRPr="00756DA5" w:rsidP="001D5CB5">
      <w:pPr>
        <w:spacing w:after="0" w:line="280" w:lineRule="exact"/>
        <w:rPr>
          <w:rFonts w:cs="Arial"/>
          <w:szCs w:val="20"/>
        </w:rPr>
      </w:pPr>
      <w:r w:rsidRPr="00756DA5">
        <w:t xml:space="preserve">On 2 November 2017, while approaching level crossing No 8 in Bonneville-sur-Touques, the driver of a passenger train travelling at 136 km/h noticed a car moving onto the level crossing (LC with no barriers and a Saint Andrew’s cross sign). He applied emergency braking but could not avoid a collision. The train came to a stop 480 metres away with a derailed first bogie. The two adults and the child in the vehicle died. This significant accident classified at level </w:t>
      </w:r>
      <w:r w:rsidRPr="00756DA5">
        <w:t>5</w:t>
      </w:r>
      <w:r w:rsidRPr="00756DA5">
        <w:t xml:space="preserve"> on the severity scale is the subject of a technical investigation by the BEA-TT.</w:t>
      </w:r>
    </w:p>
    <w:p w:rsidR="001D5CB5" w:rsidRPr="00756DA5" w:rsidP="001D5CB5">
      <w:pPr>
        <w:spacing w:after="0" w:line="280" w:lineRule="exact"/>
        <w:rPr>
          <w:rFonts w:cs="Arial"/>
          <w:szCs w:val="20"/>
        </w:rPr>
      </w:pPr>
    </w:p>
    <w:p w:rsidR="001D5CB5" w:rsidRPr="00756DA5" w:rsidP="001D5CB5">
      <w:pPr>
        <w:spacing w:line="280" w:lineRule="exact"/>
        <w:rPr>
          <w:rFonts w:cs="Arial"/>
          <w:b/>
          <w:szCs w:val="20"/>
        </w:rPr>
      </w:pPr>
      <w:r w:rsidRPr="00756DA5">
        <w:rPr>
          <w:b/>
          <w:szCs w:val="20"/>
        </w:rPr>
        <w:t>■ MILLAS (Pyrénées Orientales)</w:t>
      </w:r>
    </w:p>
    <w:p w:rsidR="001D5CB5" w:rsidRPr="00756DA5" w:rsidP="001D5CB5">
      <w:pPr>
        <w:spacing w:after="0" w:line="280" w:lineRule="exact"/>
        <w:rPr>
          <w:rFonts w:cs="Arial"/>
          <w:szCs w:val="20"/>
        </w:rPr>
      </w:pPr>
      <w:r w:rsidRPr="00756DA5">
        <w:t xml:space="preserve">On 14 December 2017, a collision occurred at level crossing No 25 in the municipality of Millas between a school coach and a TER regional express train. This collision caused the death of six secondary school pupils and serious injuries to several other passengers on the coach. A technical investigation </w:t>
      </w:r>
      <w:r w:rsidRPr="00756DA5">
        <w:t>was immediately initiated</w:t>
      </w:r>
      <w:r w:rsidRPr="00756DA5">
        <w:t xml:space="preserve"> by the BEA-TT.</w:t>
      </w:r>
    </w:p>
    <w:p w:rsidR="001D5CB5" w:rsidRPr="00756DA5" w:rsidP="001D5CB5">
      <w:pPr>
        <w:spacing w:after="0" w:line="280" w:lineRule="exact"/>
        <w:rPr>
          <w:rFonts w:cs="Arial"/>
          <w:szCs w:val="20"/>
        </w:rPr>
      </w:pPr>
    </w:p>
    <w:p w:rsidR="001D5CB5" w:rsidRPr="00756DA5" w:rsidP="001D5CB5">
      <w:pPr>
        <w:spacing w:after="0" w:line="280" w:lineRule="exact"/>
        <w:rPr>
          <w:rFonts w:cs="Arial"/>
          <w:szCs w:val="20"/>
        </w:rPr>
      </w:pPr>
      <w:r w:rsidRPr="00756DA5">
        <w:t xml:space="preserve">This level crossing, not included in the national safety programme, is equipped with two half-barriers and the road traffic lanes </w:t>
      </w:r>
      <w:r w:rsidRPr="00756DA5">
        <w:t>are separated</w:t>
      </w:r>
      <w:r w:rsidRPr="00756DA5">
        <w:t xml:space="preserve"> by a traffic island.</w:t>
      </w:r>
    </w:p>
    <w:p w:rsidR="001D5CB5" w:rsidRPr="00756DA5" w:rsidP="001D5CB5">
      <w:pPr>
        <w:spacing w:after="0" w:line="280" w:lineRule="exact"/>
        <w:rPr>
          <w:rFonts w:cs="Arial"/>
          <w:szCs w:val="20"/>
        </w:rPr>
      </w:pPr>
    </w:p>
    <w:p w:rsidR="001D5CB5" w:rsidRPr="00756DA5" w:rsidP="001D5CB5">
      <w:pPr>
        <w:spacing w:after="0" w:line="280" w:lineRule="exact"/>
        <w:rPr>
          <w:rFonts w:cs="Arial"/>
          <w:szCs w:val="20"/>
        </w:rPr>
      </w:pPr>
      <w:r w:rsidRPr="00756DA5">
        <w:t>The information brought to the attention of the EPSF concerning the circumstances of this serious accident did not lead it to ask railway operators to take immediate measures to strengthen the current safety arrangements.</w:t>
      </w:r>
    </w:p>
    <w:p w:rsidR="006901F1" w:rsidRPr="00756DA5" w:rsidP="00423F21">
      <w:pPr>
        <w:pStyle w:val="Heading2"/>
        <w:pageBreakBefore/>
        <w:numPr>
          <w:ilvl w:val="1"/>
          <w:numId w:val="9"/>
        </w:numPr>
        <w:rPr>
          <w:rFonts w:cs="Arial"/>
        </w:rPr>
      </w:pPr>
      <w:bookmarkStart w:id="35" w:name="_Ref462909892"/>
      <w:bookmarkStart w:id="36" w:name="_Ref462909896"/>
      <w:bookmarkStart w:id="37" w:name="_Ref462909901"/>
      <w:bookmarkStart w:id="38" w:name="_Ref462909923"/>
      <w:bookmarkStart w:id="39" w:name="_Ref462909936"/>
      <w:bookmarkStart w:id="40" w:name="_Toc494469620"/>
      <w:bookmarkStart w:id="41" w:name="_Toc533153867"/>
      <w:r w:rsidRPr="00756DA5">
        <w:t>Safety indicators</w:t>
      </w:r>
      <w:bookmarkEnd w:id="35"/>
      <w:bookmarkEnd w:id="36"/>
      <w:bookmarkEnd w:id="37"/>
      <w:bookmarkEnd w:id="38"/>
      <w:bookmarkEnd w:id="39"/>
      <w:bookmarkEnd w:id="40"/>
      <w:bookmarkEnd w:id="41"/>
    </w:p>
    <w:p w:rsidR="00707BB4" w:rsidRPr="00756DA5" w:rsidP="004A2C35">
      <w:pPr>
        <w:pStyle w:val="Heading3"/>
        <w:numPr>
          <w:ilvl w:val="2"/>
          <w:numId w:val="9"/>
        </w:numPr>
        <w:rPr>
          <w:rFonts w:cs="Arial"/>
        </w:rPr>
      </w:pPr>
      <w:bookmarkStart w:id="42" w:name="_Toc426123663"/>
      <w:bookmarkStart w:id="43" w:name="_Toc494469621"/>
      <w:bookmarkStart w:id="44" w:name="_Ref525895617"/>
      <w:bookmarkStart w:id="45" w:name="_Toc533153868"/>
      <w:r w:rsidRPr="00756DA5">
        <w:t>Accident impact assessmen</w:t>
      </w:r>
      <w:bookmarkEnd w:id="42"/>
      <w:r w:rsidRPr="00756DA5">
        <w:t>t</w:t>
      </w:r>
      <w:bookmarkEnd w:id="43"/>
      <w:bookmarkEnd w:id="44"/>
      <w:bookmarkEnd w:id="45"/>
    </w:p>
    <w:p w:rsidR="00C64623" w:rsidRPr="00756DA5" w:rsidP="00C64623">
      <w:pPr>
        <w:spacing w:after="0" w:line="280" w:lineRule="exact"/>
        <w:rPr>
          <w:rFonts w:cs="Arial"/>
          <w:szCs w:val="20"/>
        </w:rPr>
      </w:pPr>
      <w:r w:rsidRPr="00756DA5">
        <w:rPr>
          <w:szCs w:val="20"/>
          <w:shd w:val="clear" w:color="auto" w:fill="FFFFFF"/>
        </w:rPr>
        <w:br/>
      </w:r>
      <w:r w:rsidRPr="00756DA5">
        <w:t>The following graphs and tables present the number of people killed or seriously injured in railway accidents on the RFN or comparable networks, according to the categories stipulated by the common safety indicators (CSI).</w:t>
      </w:r>
    </w:p>
    <w:p w:rsidR="00C64623" w:rsidRPr="00756DA5" w:rsidP="00C64623">
      <w:pPr>
        <w:spacing w:after="0" w:line="280" w:lineRule="exact"/>
        <w:rPr>
          <w:rFonts w:cs="Arial"/>
          <w:b/>
          <w:bCs/>
          <w:szCs w:val="20"/>
        </w:rPr>
      </w:pPr>
    </w:p>
    <w:p w:rsidR="00C64623" w:rsidRPr="00756DA5" w:rsidP="00C64623">
      <w:pPr>
        <w:spacing w:after="0" w:line="280" w:lineRule="exact"/>
        <w:rPr>
          <w:rFonts w:cs="Arial"/>
          <w:b/>
          <w:bCs/>
          <w:szCs w:val="20"/>
        </w:rPr>
      </w:pPr>
      <w:r w:rsidRPr="00756DA5">
        <w:rPr>
          <w:b/>
          <w:bCs/>
          <w:szCs w:val="20"/>
        </w:rPr>
        <w:t>■ People killed</w:t>
      </w:r>
    </w:p>
    <w:p w:rsidR="00C64623" w:rsidRPr="00756DA5" w:rsidP="00C64623">
      <w:pPr>
        <w:pStyle w:val="Caption"/>
        <w:spacing w:line="280" w:lineRule="exact"/>
        <w:rPr>
          <w:rFonts w:cs="Arial"/>
          <w:lang w:val="fr-FR"/>
        </w:rPr>
      </w:pPr>
    </w:p>
    <w:p w:rsidR="00C64623" w:rsidRPr="00756DA5" w:rsidP="00C64623">
      <w:pPr>
        <w:spacing w:line="280" w:lineRule="exact"/>
        <w:rPr>
          <w:rFonts w:cs="Arial"/>
          <w:szCs w:val="20"/>
        </w:rPr>
      </w:pPr>
      <w:r w:rsidRPr="00756DA5">
        <w:t xml:space="preserve">For the second consecutive year, the number of people killed increased and reached its high level of 10 years ago with 94 people killed, which represents a 16 % increase compared to last year. Despite this, the 10-year trend has continued to decline and the average number of people killed over the same period remains at 78. The breakdown by category is very similar to 2016 with 49 % of the people killed being in the category of ‘trespassers’ and 45 % in the category of ‘level crossing users’. One person </w:t>
      </w:r>
      <w:r w:rsidRPr="00756DA5">
        <w:t>was killed</w:t>
      </w:r>
      <w:r w:rsidRPr="00756DA5">
        <w:t xml:space="preserve"> in the ‘passenger’ category. Two people </w:t>
      </w:r>
      <w:r w:rsidRPr="00756DA5">
        <w:t>were killed</w:t>
      </w:r>
      <w:r w:rsidRPr="00756DA5">
        <w:t xml:space="preserve"> the previous year.</w:t>
      </w:r>
    </w:p>
    <w:p w:rsidR="00C64623" w:rsidRPr="00756DA5" w:rsidP="00C64623">
      <w:pPr>
        <w:spacing w:line="280" w:lineRule="exact"/>
        <w:rPr>
          <w:rFonts w:cs="Arial"/>
          <w:szCs w:val="20"/>
        </w:rPr>
      </w:pPr>
      <w:r w:rsidRPr="00756DA5">
        <w:t xml:space="preserve">The category of ‘trespassers’, with a number of victims identical to that of 2016, was once again the most affected category in 2017 with 46 people killed. As a reminder, ‘trespasser’ means any person present on railway premises where such presence </w:t>
      </w:r>
      <w:r w:rsidRPr="00756DA5">
        <w:t>is forbidden</w:t>
      </w:r>
      <w:r w:rsidRPr="00756DA5">
        <w:t>, with the exception of a level crossing user. Deaths confirmed by the judicial police as suicide are not included in this category. Section 3.2 of the report provides a more detailed assessment of the accident analysis for such people and of the measures taken to improve their safety.</w:t>
      </w:r>
    </w:p>
    <w:p w:rsidR="00C64623" w:rsidRPr="00756DA5" w:rsidP="00C64623">
      <w:pPr>
        <w:spacing w:line="280" w:lineRule="exact"/>
        <w:rPr>
          <w:rFonts w:cs="Arial"/>
          <w:szCs w:val="20"/>
        </w:rPr>
      </w:pPr>
      <w:r w:rsidRPr="00756DA5">
        <w:t xml:space="preserve">The second most affected category in 2017 was that of ‘level crossing users’ with 42 people killed, which is a 35 % increase compared to 2016. The 10-year trend is now stable whereas the previous year it was still declining. 2017 was especially deadly with the tragic accidents in Millas on 14 December, in which six secondary school pupils died in a collision between their school bus and a passenger </w:t>
      </w:r>
      <w:r w:rsidRPr="00756DA5">
        <w:t>train,</w:t>
      </w:r>
      <w:r w:rsidRPr="00756DA5">
        <w:t xml:space="preserve"> and in Bonneville-sur-Touques on 2 November, in which two adults and one child died. The theme of the prevention of accidents at level crossings </w:t>
      </w:r>
      <w:r w:rsidRPr="00756DA5">
        <w:t>is developed</w:t>
      </w:r>
      <w:r w:rsidRPr="00756DA5">
        <w:t xml:space="preserve"> in Section 3.3 of the report.</w:t>
      </w:r>
    </w:p>
    <w:p w:rsidR="00C64623" w:rsidRPr="00756DA5" w:rsidP="00C64623">
      <w:pPr>
        <w:spacing w:line="280" w:lineRule="exact"/>
        <w:rPr>
          <w:rFonts w:cs="Arial"/>
          <w:szCs w:val="20"/>
        </w:rPr>
      </w:pPr>
      <w:r w:rsidRPr="00756DA5">
        <w:t>Among the other categories that deteriorated in 2017 are the ‘employees’ category, comprising staff members and contractors, which went from one person killed in 2016 to two in 2017, and the ‘others’ category</w:t>
      </w:r>
      <w:r>
        <w:rPr>
          <w:rStyle w:val="FootnoteReference"/>
          <w:rFonts w:cs="Arial"/>
          <w:szCs w:val="20"/>
        </w:rPr>
        <w:footnoteReference w:id="6"/>
      </w:r>
      <w:r w:rsidRPr="00756DA5">
        <w:t xml:space="preserve"> with three victims in 2017, compared to just one in 2016.</w:t>
      </w:r>
    </w:p>
    <w:p w:rsidR="005D6412" w:rsidRPr="00756DA5" w:rsidP="005D6412">
      <w:pPr>
        <w:rPr>
          <w:rFonts w:cs="Arial"/>
          <w:b/>
          <w:szCs w:val="20"/>
        </w:rPr>
      </w:pPr>
      <w:r w:rsidRPr="00756DA5">
        <w:rPr>
          <w:noProof/>
          <w:lang w:val="fr-FR" w:eastAsia="fr-FR"/>
        </w:rPr>
        <w:drawing>
          <wp:inline distT="0" distB="0" distL="0" distR="0">
            <wp:extent cx="5760720" cy="3815433"/>
            <wp:effectExtent l="0" t="0" r="0" b="0"/>
            <wp:docPr id="494" name="Image 494" descr="cid:image005.png@01D43AEE.B77E1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38448" name="Picture 13" descr="cid:image005.png@01D43AEE.B77E1D30"/>
                    <pic:cNvPicPr>
                      <a:picLocks noChangeAspect="1" noChangeArrowheads="1"/>
                    </pic:cNvPicPr>
                  </pic:nvPicPr>
                  <pic:blipFill>
                    <a:blip xmlns:r="http://schemas.openxmlformats.org/officeDocument/2006/relationships" r:embed="rId11" r:link="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3815433"/>
                    </a:xfrm>
                    <a:prstGeom prst="rect">
                      <a:avLst/>
                    </a:prstGeom>
                    <a:noFill/>
                    <a:ln>
                      <a:noFill/>
                    </a:ln>
                  </pic:spPr>
                </pic:pic>
              </a:graphicData>
            </a:graphic>
          </wp:inline>
        </w:drawing>
      </w:r>
    </w:p>
    <w:tbl>
      <w:tblPr>
        <w:tblStyle w:val="TableGrid"/>
        <w:tblW w:w="9062" w:type="dxa"/>
        <w:tblLook w:val="04A0"/>
      </w:tblPr>
      <w:tblGrid>
        <w:gridCol w:w="4531"/>
        <w:gridCol w:w="4531"/>
      </w:tblGrid>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Évolution du nombre de personnes tuées (hors suicides) lors d’accidents ferroviaires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Numbers of people killed (excluding suicides) in railway accidents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Voyageurs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Passengers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Usagers de PN</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LC users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Autres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Others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Personnels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Employees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Intrus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Trespassers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Linéaire (Total des personnes tuées)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Linear (Total number of people killed)</w:t>
            </w:r>
          </w:p>
        </w:tc>
      </w:tr>
    </w:tbl>
    <w:p w:rsidR="00D705A9" w:rsidRPr="00756DA5" w:rsidP="005D6412">
      <w:pPr>
        <w:jc w:val="center"/>
        <w:rPr>
          <w:rFonts w:cs="Arial"/>
          <w:b/>
          <w:szCs w:val="20"/>
        </w:rPr>
      </w:pPr>
    </w:p>
    <w:p w:rsidR="005D6412" w:rsidRPr="00756DA5" w:rsidP="005D6412">
      <w:pPr>
        <w:jc w:val="center"/>
        <w:rPr>
          <w:rFonts w:ascii="Times New Roman" w:hAnsi="Times New Roman"/>
          <w:sz w:val="22"/>
        </w:rPr>
      </w:pPr>
      <w:r w:rsidRPr="00756DA5">
        <w:rPr>
          <w:noProof/>
          <w:lang w:val="fr-FR" w:eastAsia="fr-FR"/>
        </w:rPr>
        <w:drawing>
          <wp:inline distT="0" distB="0" distL="0" distR="0">
            <wp:extent cx="5645425" cy="18288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9618" name="Picture 1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657671" cy="1832767"/>
                    </a:xfrm>
                    <a:prstGeom prst="rect">
                      <a:avLst/>
                    </a:prstGeom>
                    <a:noFill/>
                    <a:ln>
                      <a:noFill/>
                    </a:ln>
                  </pic:spPr>
                </pic:pic>
              </a:graphicData>
            </a:graphic>
          </wp:inline>
        </w:drawing>
      </w:r>
    </w:p>
    <w:tbl>
      <w:tblPr>
        <w:tblStyle w:val="TableGrid"/>
        <w:tblW w:w="9062" w:type="dxa"/>
        <w:tblLook w:val="04A0"/>
      </w:tblPr>
      <w:tblGrid>
        <w:gridCol w:w="4531"/>
        <w:gridCol w:w="4531"/>
      </w:tblGrid>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Nombre de personnes tuées par catégorie</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Number of people killed per category</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Voyageurs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Passengers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Personnels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Employees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Usagers de PN</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LC users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Intrus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Trespassers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Autres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Others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Total</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Total</w:t>
            </w:r>
          </w:p>
        </w:tc>
      </w:tr>
    </w:tbl>
    <w:p w:rsidR="00D705A9" w:rsidRPr="00756DA5" w:rsidP="005D6412">
      <w:pPr>
        <w:jc w:val="center"/>
        <w:rPr>
          <w:rFonts w:ascii="Times New Roman" w:hAnsi="Times New Roman"/>
          <w:sz w:val="22"/>
        </w:rPr>
      </w:pPr>
    </w:p>
    <w:p w:rsidR="005D6412" w:rsidRPr="00756DA5" w:rsidP="00D705A9">
      <w:pPr>
        <w:pStyle w:val="Default"/>
        <w:keepNext/>
        <w:spacing w:line="280" w:lineRule="exact"/>
        <w:rPr>
          <w:b/>
          <w:bCs/>
          <w:sz w:val="20"/>
          <w:szCs w:val="20"/>
        </w:rPr>
      </w:pPr>
      <w:r w:rsidRPr="00756DA5">
        <w:rPr>
          <w:b/>
          <w:bCs/>
          <w:sz w:val="20"/>
          <w:szCs w:val="20"/>
        </w:rPr>
        <w:t>■ People seriously injured</w:t>
      </w:r>
    </w:p>
    <w:p w:rsidR="005D6412" w:rsidRPr="00756DA5" w:rsidP="005D6412">
      <w:pPr>
        <w:pStyle w:val="Caption"/>
        <w:spacing w:line="280" w:lineRule="exact"/>
        <w:rPr>
          <w:rFonts w:cs="Arial"/>
          <w:lang w:val="fr-FR"/>
        </w:rPr>
      </w:pPr>
    </w:p>
    <w:p w:rsidR="005D6412" w:rsidRPr="00756DA5" w:rsidP="005D6412">
      <w:pPr>
        <w:spacing w:line="280" w:lineRule="exact"/>
        <w:rPr>
          <w:rFonts w:cs="Arial"/>
          <w:szCs w:val="20"/>
        </w:rPr>
      </w:pPr>
      <w:r w:rsidRPr="00756DA5">
        <w:t>In 2017, 58 people were seriously injured on the RFN, which is a 16 % increase compared to 2016, continuing a rising trend over the last 10 years.</w:t>
      </w:r>
    </w:p>
    <w:p w:rsidR="005D6412" w:rsidRPr="00756DA5" w:rsidP="005D6412">
      <w:pPr>
        <w:spacing w:line="280" w:lineRule="exact"/>
        <w:rPr>
          <w:rFonts w:cs="Arial"/>
          <w:szCs w:val="20"/>
        </w:rPr>
      </w:pPr>
      <w:r w:rsidRPr="00756DA5">
        <w:t xml:space="preserve">However, there was a change in the breakdown by category of people. The ‘passengers’ category saw a significant fall in the number of people seriously injured, from nine in 2016 to two in 2017: with the exception of one case, in 2016, all of these people were seriously injured while boarding or getting off the train while it was moving. The safety instructions provided to prevent these situations appear to </w:t>
      </w:r>
      <w:r w:rsidRPr="00756DA5">
        <w:t>have been better adhered</w:t>
      </w:r>
      <w:r w:rsidRPr="00756DA5">
        <w:t xml:space="preserve"> to in 2017.</w:t>
      </w:r>
    </w:p>
    <w:p w:rsidR="005D6412" w:rsidRPr="00756DA5" w:rsidP="005D6412">
      <w:pPr>
        <w:spacing w:line="280" w:lineRule="exact"/>
        <w:rPr>
          <w:rFonts w:cs="Arial"/>
          <w:szCs w:val="20"/>
        </w:rPr>
      </w:pPr>
      <w:r w:rsidRPr="00756DA5">
        <w:t xml:space="preserve">Conversely, the ‘others’ category with 3 victims in 2016 totalled 13 in 2017. This category consists of people who are not passengers, employees, level crossing users or trespassers, who </w:t>
      </w:r>
      <w:r w:rsidRPr="00756DA5">
        <w:t>are struck</w:t>
      </w:r>
      <w:r w:rsidRPr="00756DA5">
        <w:t xml:space="preserve"> by a passing train while they are on the platform. In addition to gauge fouling linked to negligence, seven people </w:t>
      </w:r>
      <w:r w:rsidRPr="00756DA5">
        <w:t>were seriously injured</w:t>
      </w:r>
      <w:r w:rsidRPr="00756DA5">
        <w:t xml:space="preserve"> in 2017 due to their state of drunkenness in this high-risk area.</w:t>
      </w:r>
    </w:p>
    <w:p w:rsidR="005D6412" w:rsidRPr="00756DA5" w:rsidP="005D6412">
      <w:pPr>
        <w:spacing w:line="280" w:lineRule="exact"/>
        <w:rPr>
          <w:rFonts w:cs="Arial"/>
          <w:szCs w:val="20"/>
        </w:rPr>
      </w:pPr>
      <w:r w:rsidRPr="00756DA5">
        <w:t>The ‘employees’ category improved slightly in 2017 with two people seriously injured, compared to three in 2016.</w:t>
      </w:r>
    </w:p>
    <w:p w:rsidR="005D6412" w:rsidRPr="00756DA5" w:rsidP="005D6412">
      <w:pPr>
        <w:spacing w:line="280" w:lineRule="exact"/>
        <w:rPr>
          <w:rFonts w:cs="Arial"/>
          <w:szCs w:val="20"/>
        </w:rPr>
      </w:pPr>
      <w:r w:rsidRPr="00756DA5">
        <w:t>Finally, and for the second consecutive year, the categories ‘level crossing users’ and ‘trespassers’ worsened; there were16 and 25 people seriously injured respectively, which are increases of 14 % and 19 % compared to 2016. The accident in Millas once again had serious consequences with 10 secondary school pupils seriously injured.</w:t>
      </w:r>
    </w:p>
    <w:p w:rsidR="00CB15FF" w:rsidRPr="00756DA5" w:rsidP="00CB15FF">
      <w:pPr>
        <w:rPr>
          <w:rFonts w:ascii="Times New Roman" w:hAnsi="Times New Roman"/>
          <w:sz w:val="22"/>
        </w:rPr>
      </w:pPr>
      <w:r w:rsidRPr="00756DA5">
        <w:rPr>
          <w:noProof/>
          <w:lang w:val="fr-FR" w:eastAsia="fr-FR"/>
        </w:rPr>
        <w:drawing>
          <wp:inline distT="0" distB="0" distL="0" distR="0">
            <wp:extent cx="5760720" cy="3780727"/>
            <wp:effectExtent l="0" t="0" r="0" b="0"/>
            <wp:docPr id="493" name="Image 493" descr="cid:image006.png@01D43AEE.B77E1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75814" name="Image 2" descr="cid:image006.png@01D43AEE.B77E1D30"/>
                    <pic:cNvPicPr>
                      <a:picLocks noChangeAspect="1" noChangeArrowheads="1"/>
                    </pic:cNvPicPr>
                  </pic:nvPicPr>
                  <pic:blipFill>
                    <a:blip xmlns:r="http://schemas.openxmlformats.org/officeDocument/2006/relationships" r:embed="rId14" r:link="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3780727"/>
                    </a:xfrm>
                    <a:prstGeom prst="rect">
                      <a:avLst/>
                    </a:prstGeom>
                    <a:noFill/>
                    <a:ln>
                      <a:noFill/>
                    </a:ln>
                  </pic:spPr>
                </pic:pic>
              </a:graphicData>
            </a:graphic>
          </wp:inline>
        </w:drawing>
      </w:r>
    </w:p>
    <w:tbl>
      <w:tblPr>
        <w:tblStyle w:val="TableGrid"/>
        <w:tblW w:w="9062" w:type="dxa"/>
        <w:tblLook w:val="04A0"/>
      </w:tblPr>
      <w:tblGrid>
        <w:gridCol w:w="4531"/>
        <w:gridCol w:w="4531"/>
      </w:tblGrid>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Évolution du nombre de personnes grièvement blessées lors d’accidents ferroviaires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Numbers of people seriously injured in railway accidents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Autres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Others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Usagers de PN</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LC users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Voyageurs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Passengers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Intrus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Trespassers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Personnels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Employees</w:t>
            </w:r>
          </w:p>
        </w:tc>
      </w:tr>
      <w:tr w:rsidTr="00D705A9">
        <w:tblPrEx>
          <w:tblW w:w="9062" w:type="dxa"/>
          <w:tblLook w:val="04A0"/>
        </w:tblPrEx>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Linéaire (Total des personnes grièvement blessées)</w:t>
            </w:r>
          </w:p>
        </w:tc>
        <w:tc>
          <w:tcPr>
            <w:tcW w:w="4531" w:type="dxa"/>
          </w:tcPr>
          <w:p w:rsidR="00D705A9" w:rsidRPr="00756DA5" w:rsidP="00D705A9">
            <w:pPr>
              <w:jc w:val="left"/>
              <w:rPr>
                <w:rFonts w:cs="Arial"/>
                <w:sz w:val="18"/>
                <w:szCs w:val="18"/>
                <w:shd w:val="clear" w:color="auto" w:fill="FFFFFF"/>
              </w:rPr>
            </w:pPr>
            <w:r w:rsidRPr="00756DA5">
              <w:rPr>
                <w:sz w:val="18"/>
                <w:szCs w:val="18"/>
                <w:shd w:val="clear" w:color="auto" w:fill="FFFFFF"/>
              </w:rPr>
              <w:t>Linear (Total number of people seriously injured)</w:t>
            </w:r>
          </w:p>
        </w:tc>
      </w:tr>
    </w:tbl>
    <w:p w:rsidR="00D705A9" w:rsidRPr="00756DA5" w:rsidP="00CB15FF">
      <w:pPr>
        <w:rPr>
          <w:rFonts w:ascii="Times New Roman" w:hAnsi="Times New Roman"/>
          <w:sz w:val="22"/>
        </w:rPr>
      </w:pPr>
    </w:p>
    <w:p w:rsidR="00CB15FF" w:rsidRPr="00756DA5" w:rsidP="00CB15FF">
      <w:r w:rsidRPr="00756DA5">
        <w:rPr>
          <w:noProof/>
          <w:lang w:val="fr-FR" w:eastAsia="fr-FR"/>
        </w:rPr>
        <w:drawing>
          <wp:inline distT="0" distB="0" distL="0" distR="0">
            <wp:extent cx="5657850" cy="1832825"/>
            <wp:effectExtent l="0" t="0" r="0" b="0"/>
            <wp:docPr id="488" name="Image 488" descr="cid:image001.png@01D43AD3.B326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23552" name="Image 1" descr="cid:image001.png@01D43AD3.B326C540"/>
                    <pic:cNvPicPr>
                      <a:picLocks noChangeAspect="1" noChangeArrowheads="1"/>
                    </pic:cNvPicPr>
                  </pic:nvPicPr>
                  <pic:blipFill>
                    <a:blip xmlns:r="http://schemas.openxmlformats.org/officeDocument/2006/relationships" r:embed="rId16" r:link="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2833" cy="1837679"/>
                    </a:xfrm>
                    <a:prstGeom prst="rect">
                      <a:avLst/>
                    </a:prstGeom>
                    <a:noFill/>
                    <a:ln>
                      <a:noFill/>
                    </a:ln>
                  </pic:spPr>
                </pic:pic>
              </a:graphicData>
            </a:graphic>
          </wp:inline>
        </w:drawing>
      </w:r>
    </w:p>
    <w:tbl>
      <w:tblPr>
        <w:tblStyle w:val="TableGrid"/>
        <w:tblW w:w="9062" w:type="dxa"/>
        <w:tblLook w:val="04A0"/>
      </w:tblPr>
      <w:tblGrid>
        <w:gridCol w:w="4531"/>
        <w:gridCol w:w="4531"/>
      </w:tblGrid>
      <w:tr w:rsidTr="007450C7">
        <w:tblPrEx>
          <w:tblW w:w="9062" w:type="dxa"/>
          <w:tblLook w:val="04A0"/>
        </w:tblPrEx>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Nombre de personnes grièvement blessées par catégorie</w:t>
            </w:r>
          </w:p>
        </w:tc>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Number of people seriously injured per category</w:t>
            </w:r>
          </w:p>
        </w:tc>
      </w:tr>
      <w:tr w:rsidTr="007450C7">
        <w:tblPrEx>
          <w:tblW w:w="9062" w:type="dxa"/>
          <w:tblLook w:val="04A0"/>
        </w:tblPrEx>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Voyageurs</w:t>
            </w:r>
          </w:p>
        </w:tc>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Passengers</w:t>
            </w:r>
          </w:p>
        </w:tc>
      </w:tr>
      <w:tr w:rsidTr="007450C7">
        <w:tblPrEx>
          <w:tblW w:w="9062" w:type="dxa"/>
          <w:tblLook w:val="04A0"/>
        </w:tblPrEx>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Personnels</w:t>
            </w:r>
          </w:p>
        </w:tc>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Employees</w:t>
            </w:r>
          </w:p>
        </w:tc>
      </w:tr>
      <w:tr w:rsidTr="007450C7">
        <w:tblPrEx>
          <w:tblW w:w="9062" w:type="dxa"/>
          <w:tblLook w:val="04A0"/>
        </w:tblPrEx>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Usagers de PN</w:t>
            </w:r>
          </w:p>
        </w:tc>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LC users</w:t>
            </w:r>
          </w:p>
        </w:tc>
      </w:tr>
      <w:tr w:rsidTr="007450C7">
        <w:tblPrEx>
          <w:tblW w:w="9062" w:type="dxa"/>
          <w:tblLook w:val="04A0"/>
        </w:tblPrEx>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Intrus</w:t>
            </w:r>
          </w:p>
        </w:tc>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Trespassers</w:t>
            </w:r>
          </w:p>
        </w:tc>
      </w:tr>
      <w:tr w:rsidTr="007450C7">
        <w:tblPrEx>
          <w:tblW w:w="9062" w:type="dxa"/>
          <w:tblLook w:val="04A0"/>
        </w:tblPrEx>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Autres</w:t>
            </w:r>
          </w:p>
        </w:tc>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Others</w:t>
            </w:r>
          </w:p>
        </w:tc>
      </w:tr>
      <w:tr w:rsidTr="007450C7">
        <w:tblPrEx>
          <w:tblW w:w="9062" w:type="dxa"/>
          <w:tblLook w:val="04A0"/>
        </w:tblPrEx>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Total</w:t>
            </w:r>
          </w:p>
        </w:tc>
        <w:tc>
          <w:tcPr>
            <w:tcW w:w="4531" w:type="dxa"/>
          </w:tcPr>
          <w:p w:rsidR="007450C7" w:rsidRPr="00756DA5" w:rsidP="007450C7">
            <w:pPr>
              <w:jc w:val="left"/>
              <w:rPr>
                <w:rFonts w:cs="Arial"/>
                <w:sz w:val="18"/>
                <w:szCs w:val="18"/>
                <w:shd w:val="clear" w:color="auto" w:fill="FFFFFF"/>
              </w:rPr>
            </w:pPr>
            <w:r w:rsidRPr="00756DA5">
              <w:rPr>
                <w:sz w:val="18"/>
                <w:szCs w:val="18"/>
                <w:shd w:val="clear" w:color="auto" w:fill="FFFFFF"/>
              </w:rPr>
              <w:t>Total</w:t>
            </w:r>
          </w:p>
        </w:tc>
      </w:tr>
    </w:tbl>
    <w:p w:rsidR="00D705A9" w:rsidRPr="00756DA5" w:rsidP="00CB15FF"/>
    <w:p w:rsidR="005D6412" w:rsidRPr="00756DA5" w:rsidP="005D6412">
      <w:pPr>
        <w:spacing w:line="280" w:lineRule="exact"/>
        <w:rPr>
          <w:rFonts w:cs="Arial"/>
          <w:szCs w:val="20"/>
        </w:rPr>
      </w:pPr>
      <w:r w:rsidRPr="00756DA5">
        <w:t>The following graph presents the ratio of the number of people killed and seriously injured to traffic in millions of train-km. The increase in traffic in 2017 (cf. Section 1.2) puts into perspective the rise in the number of people killed and seriously injured for the calculation of the FWSI (‘fatalities and weighted serious injuries’) indicator (</w:t>
      </w:r>
      <w:r w:rsidRPr="00756DA5">
        <w:rPr>
          <w:i/>
          <w:szCs w:val="20"/>
        </w:rPr>
        <w:t>see definition in Annex 1</w:t>
      </w:r>
      <w:r w:rsidRPr="00756DA5">
        <w:t>) used for the assessment of the CSTs (common safety targets). With a value of 0.205 (0.194 + 0.1 x 0.119), it once again exceeds the NRV (national reference value) established by the Commission Decision of 23 April 2012 on the second set of CSTs and set for France at 0.180 per million train-km. The value of France’s FWSI indicator in 2016 was 0.183 (0.172 + 0.1 x 0.106).</w:t>
      </w:r>
    </w:p>
    <w:p w:rsidR="00C15BC8" w:rsidRPr="00756DA5" w:rsidP="00C15BC8">
      <w:r w:rsidRPr="00756DA5">
        <w:rPr>
          <w:noProof/>
          <w:lang w:val="fr-FR" w:eastAsia="fr-FR"/>
        </w:rPr>
        <w:drawing>
          <wp:inline distT="0" distB="0" distL="0" distR="0">
            <wp:extent cx="5057775" cy="2609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94410" name="Picture 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057775" cy="2609850"/>
                    </a:xfrm>
                    <a:prstGeom prst="rect">
                      <a:avLst/>
                    </a:prstGeom>
                    <a:noFill/>
                    <a:ln>
                      <a:noFill/>
                    </a:ln>
                  </pic:spPr>
                </pic:pic>
              </a:graphicData>
            </a:graphic>
          </wp:inline>
        </w:drawing>
      </w:r>
    </w:p>
    <w:tbl>
      <w:tblPr>
        <w:tblStyle w:val="TableGrid"/>
        <w:tblW w:w="9062" w:type="dxa"/>
        <w:tblLook w:val="04A0"/>
      </w:tblPr>
      <w:tblGrid>
        <w:gridCol w:w="4531"/>
        <w:gridCol w:w="4531"/>
      </w:tblGrid>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Nombre relatif de personnes tuées et grièvement blessées par million de train-km</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Number of people killed and seriously injured per million train-km</w:t>
            </w:r>
          </w:p>
        </w:tc>
      </w:tr>
      <w:tr w:rsidTr="007B56D2">
        <w:tblPrEx>
          <w:tblW w:w="9062" w:type="dxa"/>
          <w:tblLook w:val="04A0"/>
        </w:tblPrEx>
        <w:tc>
          <w:tcPr>
            <w:tcW w:w="4531" w:type="dxa"/>
          </w:tcPr>
          <w:p w:rsidR="007B56D2" w:rsidRPr="00756DA5" w:rsidP="00B0157E">
            <w:pPr>
              <w:jc w:val="left"/>
              <w:rPr>
                <w:rFonts w:cs="Arial"/>
                <w:sz w:val="18"/>
                <w:szCs w:val="18"/>
                <w:shd w:val="clear" w:color="auto" w:fill="FFFFFF"/>
              </w:rPr>
            </w:pPr>
            <w:r w:rsidRPr="00756DA5">
              <w:rPr>
                <w:sz w:val="18"/>
                <w:szCs w:val="18"/>
                <w:shd w:val="clear" w:color="auto" w:fill="FFFFFF"/>
              </w:rPr>
              <w:t>Tués</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Fatalities</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Blessés graves</w:t>
            </w:r>
          </w:p>
        </w:tc>
        <w:tc>
          <w:tcPr>
            <w:tcW w:w="4531" w:type="dxa"/>
          </w:tcPr>
          <w:p w:rsidR="007B56D2" w:rsidRPr="00756DA5" w:rsidP="00B0157E">
            <w:pPr>
              <w:jc w:val="left"/>
              <w:rPr>
                <w:rFonts w:cs="Arial"/>
                <w:sz w:val="18"/>
                <w:szCs w:val="18"/>
                <w:shd w:val="clear" w:color="auto" w:fill="FFFFFF"/>
              </w:rPr>
            </w:pPr>
            <w:r w:rsidRPr="00756DA5">
              <w:rPr>
                <w:sz w:val="18"/>
                <w:szCs w:val="18"/>
                <w:shd w:val="clear" w:color="auto" w:fill="FFFFFF"/>
              </w:rPr>
              <w:t>Serious injuries</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MBGP</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FWSIs</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VNR6</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NRV6</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0,250</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0.250</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0,200</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0.200</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0,150</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0.150</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0,100</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0.100</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0,050</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0.050</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0,000</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0.000</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0,171</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0.171</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0,145</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0.145</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0,133</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0.133</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0,151</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0.151</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0,109</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0.109</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0,083</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0.083</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0,172</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0.172</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0,106</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0.106</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0,194</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0.194</w:t>
            </w:r>
          </w:p>
        </w:tc>
      </w:tr>
      <w:tr w:rsidTr="007B56D2">
        <w:tblPrEx>
          <w:tblW w:w="9062" w:type="dxa"/>
          <w:tblLook w:val="04A0"/>
        </w:tblPrEx>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0,119</w:t>
            </w:r>
          </w:p>
        </w:tc>
        <w:tc>
          <w:tcPr>
            <w:tcW w:w="4531" w:type="dxa"/>
          </w:tcPr>
          <w:p w:rsidR="007B56D2" w:rsidRPr="00756DA5" w:rsidP="007B56D2">
            <w:pPr>
              <w:jc w:val="left"/>
              <w:rPr>
                <w:rFonts w:cs="Arial"/>
                <w:sz w:val="18"/>
                <w:szCs w:val="18"/>
                <w:shd w:val="clear" w:color="auto" w:fill="FFFFFF"/>
              </w:rPr>
            </w:pPr>
            <w:r w:rsidRPr="00756DA5">
              <w:rPr>
                <w:sz w:val="18"/>
                <w:szCs w:val="18"/>
                <w:shd w:val="clear" w:color="auto" w:fill="FFFFFF"/>
              </w:rPr>
              <w:t>0.119</w:t>
            </w:r>
          </w:p>
        </w:tc>
      </w:tr>
    </w:tbl>
    <w:p w:rsidR="007450C7" w:rsidRPr="00756DA5" w:rsidP="00C15BC8">
      <w:pPr>
        <w:rPr>
          <w:lang w:val="en-US"/>
        </w:rPr>
      </w:pPr>
    </w:p>
    <w:p w:rsidR="005D6412" w:rsidRPr="00756DA5" w:rsidP="00476522">
      <w:pPr>
        <w:pStyle w:val="Caption"/>
        <w:spacing w:line="280" w:lineRule="exact"/>
        <w:rPr>
          <w:rFonts w:cs="Arial"/>
        </w:rPr>
      </w:pPr>
      <w:r w:rsidRPr="00756DA5">
        <w:rPr>
          <w:b w:val="0"/>
          <w:bCs w:val="0"/>
          <w:lang w:val="fr-FR"/>
        </w:rPr>
        <w:t xml:space="preserve">■ </w:t>
      </w:r>
      <w:r w:rsidRPr="00756DA5">
        <w:t>Assessment of NRV and CST achievement</w:t>
      </w:r>
    </w:p>
    <w:p w:rsidR="005D6412" w:rsidRPr="00756DA5" w:rsidP="00476522">
      <w:pPr>
        <w:pStyle w:val="Caption"/>
        <w:spacing w:line="280" w:lineRule="exact"/>
        <w:rPr>
          <w:rFonts w:cs="Arial"/>
          <w:lang w:val="fr-FR"/>
        </w:rPr>
      </w:pPr>
    </w:p>
    <w:p w:rsidR="005D6412" w:rsidRPr="00756DA5" w:rsidP="00476522">
      <w:pPr>
        <w:spacing w:line="280" w:lineRule="exact"/>
        <w:rPr>
          <w:rFonts w:cs="Arial"/>
          <w:i/>
          <w:szCs w:val="20"/>
        </w:rPr>
      </w:pPr>
      <w:r w:rsidRPr="00756DA5">
        <w:rPr>
          <w:i/>
          <w:szCs w:val="20"/>
        </w:rPr>
        <w:t xml:space="preserve">The assessment process relating to the achievement of NRVs and CSTs </w:t>
      </w:r>
      <w:r w:rsidRPr="00756DA5">
        <w:rPr>
          <w:i/>
          <w:szCs w:val="20"/>
        </w:rPr>
        <w:t>is explained</w:t>
      </w:r>
      <w:r w:rsidRPr="00756DA5">
        <w:rPr>
          <w:i/>
          <w:szCs w:val="20"/>
        </w:rPr>
        <w:t xml:space="preserve"> in detail in Annex 1.</w:t>
      </w:r>
    </w:p>
    <w:p w:rsidR="005D6412" w:rsidRPr="00756DA5" w:rsidP="00476522">
      <w:pPr>
        <w:spacing w:line="280" w:lineRule="exact"/>
        <w:rPr>
          <w:rFonts w:cs="Arial"/>
          <w:szCs w:val="20"/>
        </w:rPr>
      </w:pPr>
      <w:r w:rsidRPr="00756DA5">
        <w:t>As shown in the following table, which contains the different steps for assessing France’s achievement of the CSTs by category of people, in 2017, only the ‘passengers per train-km’, ‘passengers per passenger-km’ and ’employees’ categories showed an acceptable result from the first assessment step.</w:t>
      </w:r>
    </w:p>
    <w:p w:rsidR="005D6412" w:rsidRPr="00756DA5" w:rsidP="00476522">
      <w:pPr>
        <w:spacing w:line="280" w:lineRule="exact"/>
        <w:rPr>
          <w:rFonts w:cs="Arial"/>
          <w:szCs w:val="20"/>
        </w:rPr>
      </w:pPr>
      <w:r w:rsidRPr="00756DA5">
        <w:t>Unlike in 2016, the ‘level crossing users’ and ‘others’ categories only achieved an acceptable level in 2017 in the second step. The safety performance for ‘level crossing users’ actually rose from 68.9 10</w:t>
      </w:r>
      <w:r w:rsidRPr="00756DA5">
        <w:rPr>
          <w:szCs w:val="20"/>
          <w:vertAlign w:val="superscript"/>
        </w:rPr>
        <w:t>-9</w:t>
      </w:r>
      <w:r w:rsidRPr="00756DA5">
        <w:t xml:space="preserve"> in 2016 to 89.8 10</w:t>
      </w:r>
      <w:r w:rsidRPr="00756DA5">
        <w:rPr>
          <w:szCs w:val="20"/>
          <w:vertAlign w:val="superscript"/>
        </w:rPr>
        <w:t>-9</w:t>
      </w:r>
      <w:r w:rsidRPr="00756DA5">
        <w:t xml:space="preserve"> in 2017 while the NRV for this category is set at 78.7 10</w:t>
      </w:r>
      <w:r w:rsidRPr="00756DA5">
        <w:rPr>
          <w:szCs w:val="20"/>
          <w:vertAlign w:val="superscript"/>
        </w:rPr>
        <w:t>-9</w:t>
      </w:r>
      <w:r w:rsidRPr="00756DA5">
        <w:t>. The most significant deterioration remains that for ‘others’ with a value of 8.85 10</w:t>
      </w:r>
      <w:r w:rsidRPr="00756DA5">
        <w:rPr>
          <w:szCs w:val="20"/>
          <w:vertAlign w:val="superscript"/>
        </w:rPr>
        <w:t>-9</w:t>
      </w:r>
      <w:r w:rsidRPr="00756DA5">
        <w:t xml:space="preserve"> (2.77 10</w:t>
      </w:r>
      <w:r w:rsidRPr="00756DA5">
        <w:rPr>
          <w:szCs w:val="20"/>
          <w:vertAlign w:val="superscript"/>
        </w:rPr>
        <w:t>-9</w:t>
      </w:r>
      <w:r w:rsidRPr="00756DA5">
        <w:t xml:space="preserve"> in 2016), over the NRV of 7.71 10</w:t>
      </w:r>
      <w:r w:rsidRPr="00756DA5">
        <w:rPr>
          <w:szCs w:val="20"/>
          <w:vertAlign w:val="superscript"/>
        </w:rPr>
        <w:t>-</w:t>
      </w:r>
      <w:r w:rsidRPr="00756DA5">
        <w:t>9 set for this category.</w:t>
      </w:r>
    </w:p>
    <w:p w:rsidR="005D6412" w:rsidRPr="00756DA5" w:rsidP="00476522">
      <w:pPr>
        <w:spacing w:line="280" w:lineRule="exact"/>
        <w:rPr>
          <w:rFonts w:cs="Arial"/>
          <w:szCs w:val="20"/>
        </w:rPr>
      </w:pPr>
      <w:r w:rsidRPr="00756DA5">
        <w:t>Like these two categories, that of risk to ‘society as a whole’, which corresponds to the cumulative risk of all of the categories of people, achieved an acceptable level in the second step, and this was for the second consecutive year. With a national reference value set at 180 10</w:t>
      </w:r>
      <w:r w:rsidRPr="00756DA5">
        <w:rPr>
          <w:szCs w:val="20"/>
          <w:vertAlign w:val="superscript"/>
        </w:rPr>
        <w:t>-9</w:t>
      </w:r>
      <w:r w:rsidRPr="00756DA5">
        <w:t>, this category achieved a value of 183 10</w:t>
      </w:r>
      <w:r w:rsidRPr="00756DA5">
        <w:rPr>
          <w:szCs w:val="20"/>
          <w:vertAlign w:val="superscript"/>
        </w:rPr>
        <w:t>-9</w:t>
      </w:r>
      <w:r w:rsidRPr="00756DA5">
        <w:t xml:space="preserve"> in 2016 and further deteriorated in 2017 with a safety performance value of 205 10</w:t>
      </w:r>
      <w:r w:rsidRPr="00756DA5">
        <w:rPr>
          <w:szCs w:val="20"/>
          <w:vertAlign w:val="superscript"/>
        </w:rPr>
        <w:t>-9</w:t>
      </w:r>
      <w:r w:rsidRPr="00756DA5">
        <w:t>.</w:t>
      </w:r>
    </w:p>
    <w:p w:rsidR="005D6412" w:rsidRPr="00756DA5" w:rsidP="00476522">
      <w:pPr>
        <w:spacing w:line="280" w:lineRule="exact"/>
        <w:rPr>
          <w:rFonts w:cs="Arial"/>
          <w:szCs w:val="20"/>
        </w:rPr>
      </w:pPr>
      <w:r w:rsidRPr="00756DA5">
        <w:t>Finally, the ‘trespassers’ category is assessed as having deteriorated in 2017. Indeed, in that year, this category did not achieve an acceptable level in the second step, as was the case the previous year. Although safety performance in 2017 (100 10</w:t>
      </w:r>
      <w:r w:rsidRPr="00756DA5">
        <w:rPr>
          <w:szCs w:val="20"/>
          <w:vertAlign w:val="superscript"/>
        </w:rPr>
        <w:t>-9</w:t>
      </w:r>
      <w:r w:rsidRPr="00756DA5">
        <w:t>) was better than that in 2016 (102.34 10</w:t>
      </w:r>
      <w:r w:rsidRPr="00756DA5">
        <w:rPr>
          <w:szCs w:val="20"/>
          <w:vertAlign w:val="superscript"/>
        </w:rPr>
        <w:t>-9</w:t>
      </w:r>
      <w:r w:rsidRPr="00756DA5">
        <w:t>), it is the moving weighted average over the period 2013 to 2017 that prevents this category from achieving the expected result in assessment step 2, which should be lower than 1.2 x VNR.</w:t>
      </w:r>
    </w:p>
    <w:p w:rsidR="00BD615C" w:rsidRPr="00756DA5" w:rsidP="00524E3B">
      <w:pPr>
        <w:spacing w:line="280" w:lineRule="exact"/>
        <w:rPr>
          <w:rFonts w:cs="Arial"/>
          <w:sz w:val="16"/>
          <w:szCs w:val="16"/>
        </w:rPr>
      </w:pPr>
      <w:r w:rsidRPr="00756DA5">
        <w:rPr>
          <w:noProof/>
          <w:lang w:val="fr-FR" w:eastAsia="fr-FR"/>
        </w:rPr>
        <w:drawing>
          <wp:anchor distT="0" distB="0" distL="114300" distR="114300" simplePos="0" relativeHeight="251669504" behindDoc="0" locked="0" layoutInCell="1" allowOverlap="1">
            <wp:simplePos x="0" y="0"/>
            <wp:positionH relativeFrom="margin">
              <wp:align>right</wp:align>
            </wp:positionH>
            <wp:positionV relativeFrom="paragraph">
              <wp:posOffset>2487053</wp:posOffset>
            </wp:positionV>
            <wp:extent cx="5770245" cy="335915"/>
            <wp:effectExtent l="0" t="0" r="1905" b="698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38534"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024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DA5">
        <w:rPr>
          <w:noProof/>
          <w:lang w:val="fr-FR" w:eastAsia="fr-FR"/>
        </w:rPr>
        <w:drawing>
          <wp:anchor distT="0" distB="0" distL="114300" distR="114300" simplePos="0" relativeHeight="251668480" behindDoc="0" locked="0" layoutInCell="1" allowOverlap="1">
            <wp:simplePos x="0" y="0"/>
            <wp:positionH relativeFrom="column">
              <wp:posOffset>1726</wp:posOffset>
            </wp:positionH>
            <wp:positionV relativeFrom="paragraph">
              <wp:posOffset>-555</wp:posOffset>
            </wp:positionV>
            <wp:extent cx="5760720" cy="236501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22534"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3650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6" w:name="_Hlk490660568"/>
      <w:r w:rsidRPr="00756DA5">
        <w:rPr>
          <w:sz w:val="16"/>
          <w:szCs w:val="16"/>
        </w:rPr>
        <w:t>*MWA: Moving Weighted Average as defined in</w:t>
      </w:r>
      <w:bookmarkStart w:id="47" w:name="_Hlk490667877"/>
      <w:r w:rsidRPr="00756DA5">
        <w:rPr>
          <w:sz w:val="16"/>
          <w:szCs w:val="16"/>
        </w:rPr>
        <w:t xml:space="preserve"> Decision 2009/460</w:t>
      </w:r>
      <w:bookmarkEnd w:id="47"/>
      <w:r w:rsidRPr="00756DA5">
        <w:rPr>
          <w:sz w:val="16"/>
          <w:szCs w:val="16"/>
        </w:rPr>
        <w:t>/EC</w:t>
      </w:r>
    </w:p>
    <w:tbl>
      <w:tblPr>
        <w:tblStyle w:val="TableGrid"/>
        <w:tblW w:w="9062" w:type="dxa"/>
        <w:tblLook w:val="04A0"/>
      </w:tblPr>
      <w:tblGrid>
        <w:gridCol w:w="4531"/>
        <w:gridCol w:w="4531"/>
      </w:tblGrid>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Étape 1</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Step 1</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Étape 2</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Step 2</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Étape 3</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Step 3</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Étape 4</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Step 4</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Catégories de risques</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Risk categories</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VNR 2004-2009 (*10e-9)</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NRV 2004-2009 (*10e-9)</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Performance de sécurité 2016 (*10e-9)</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Safety performance 2016 (*10e-9)</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Performance de sécurité 2017 (*10e-9)</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Safety performance 2017 (*10e-9)</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OSC &lt; VNR</w:t>
            </w:r>
          </w:p>
          <w:p w:rsidR="00E93771" w:rsidRPr="00756DA5" w:rsidP="00E93771">
            <w:pPr>
              <w:jc w:val="left"/>
              <w:rPr>
                <w:rFonts w:cs="Arial"/>
                <w:sz w:val="18"/>
                <w:szCs w:val="18"/>
                <w:shd w:val="clear" w:color="auto" w:fill="FFFFFF"/>
              </w:rPr>
            </w:pPr>
          </w:p>
          <w:p w:rsidR="00E93771" w:rsidRPr="00756DA5" w:rsidP="00E93771">
            <w:pPr>
              <w:jc w:val="left"/>
              <w:rPr>
                <w:rFonts w:cs="Arial"/>
                <w:sz w:val="18"/>
                <w:szCs w:val="18"/>
                <w:shd w:val="clear" w:color="auto" w:fill="FFFFFF"/>
              </w:rPr>
            </w:pPr>
            <w:r w:rsidRPr="00756DA5">
              <w:rPr>
                <w:sz w:val="18"/>
                <w:szCs w:val="18"/>
                <w:shd w:val="clear" w:color="auto" w:fill="FFFFFF"/>
              </w:rPr>
              <w:t>Oui / Non</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CST &lt; NRV</w:t>
            </w:r>
          </w:p>
          <w:p w:rsidR="00E93771" w:rsidRPr="00756DA5" w:rsidP="00E93771">
            <w:pPr>
              <w:jc w:val="left"/>
              <w:rPr>
                <w:rFonts w:cs="Arial"/>
                <w:sz w:val="18"/>
                <w:szCs w:val="18"/>
                <w:shd w:val="clear" w:color="auto" w:fill="FFFFFF"/>
              </w:rPr>
            </w:pPr>
          </w:p>
          <w:p w:rsidR="00E93771" w:rsidRPr="00756DA5" w:rsidP="00AA185C">
            <w:pPr>
              <w:jc w:val="left"/>
              <w:rPr>
                <w:rFonts w:cs="Arial"/>
                <w:sz w:val="18"/>
                <w:szCs w:val="18"/>
                <w:shd w:val="clear" w:color="auto" w:fill="FFFFFF"/>
              </w:rPr>
            </w:pPr>
            <w:r w:rsidRPr="00756DA5">
              <w:rPr>
                <w:sz w:val="18"/>
                <w:szCs w:val="18"/>
                <w:shd w:val="clear" w:color="auto" w:fill="FFFFFF"/>
              </w:rPr>
              <w:t>Yes/No</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MWA (*10e-9) 2013-2017</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MWA (*10e-9) 2013-2017</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1,2XVNR (*10e-9)</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1.2XNRV (*10e-9)</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MWA &lt; VNRX1,2</w:t>
            </w:r>
          </w:p>
          <w:p w:rsidR="00E93771" w:rsidRPr="00756DA5" w:rsidP="00E93771">
            <w:pPr>
              <w:jc w:val="left"/>
              <w:rPr>
                <w:rFonts w:cs="Arial"/>
                <w:sz w:val="18"/>
                <w:szCs w:val="18"/>
                <w:shd w:val="clear" w:color="auto" w:fill="FFFFFF"/>
              </w:rPr>
            </w:pPr>
          </w:p>
          <w:p w:rsidR="00E93771" w:rsidRPr="00756DA5" w:rsidP="00E93771">
            <w:pPr>
              <w:jc w:val="left"/>
              <w:rPr>
                <w:rFonts w:cs="Arial"/>
                <w:sz w:val="18"/>
                <w:szCs w:val="18"/>
                <w:shd w:val="clear" w:color="auto" w:fill="FFFFFF"/>
              </w:rPr>
            </w:pPr>
            <w:r w:rsidRPr="00756DA5">
              <w:rPr>
                <w:sz w:val="18"/>
                <w:szCs w:val="18"/>
                <w:shd w:val="clear" w:color="auto" w:fill="FFFFFF"/>
              </w:rPr>
              <w:t>Oui / Non</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MWA &lt; NRVX1.2</w:t>
            </w:r>
          </w:p>
          <w:p w:rsidR="00E93771" w:rsidRPr="00756DA5" w:rsidP="00E93771">
            <w:pPr>
              <w:jc w:val="left"/>
              <w:rPr>
                <w:rFonts w:cs="Arial"/>
                <w:sz w:val="18"/>
                <w:szCs w:val="18"/>
                <w:shd w:val="clear" w:color="auto" w:fill="FFFFFF"/>
              </w:rPr>
            </w:pPr>
          </w:p>
          <w:p w:rsidR="00E93771" w:rsidRPr="00756DA5" w:rsidP="00AA185C">
            <w:pPr>
              <w:jc w:val="left"/>
              <w:rPr>
                <w:rFonts w:cs="Arial"/>
                <w:sz w:val="18"/>
                <w:szCs w:val="18"/>
                <w:shd w:val="clear" w:color="auto" w:fill="FFFFFF"/>
              </w:rPr>
            </w:pPr>
            <w:r w:rsidRPr="00756DA5">
              <w:rPr>
                <w:sz w:val="18"/>
                <w:szCs w:val="18"/>
                <w:shd w:val="clear" w:color="auto" w:fill="FFFFFF"/>
              </w:rPr>
              <w:t>Yes/No</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MWA &gt; VNRX1</w:t>
            </w:r>
            <w:r w:rsidRPr="00756DA5">
              <w:rPr>
                <w:sz w:val="18"/>
                <w:szCs w:val="18"/>
                <w:shd w:val="clear" w:color="auto" w:fill="FFFFFF"/>
              </w:rPr>
              <w:t>,2</w:t>
            </w:r>
            <w:r w:rsidRPr="00756DA5">
              <w:rPr>
                <w:sz w:val="18"/>
                <w:szCs w:val="18"/>
                <w:shd w:val="clear" w:color="auto" w:fill="FFFFFF"/>
              </w:rPr>
              <w:t xml:space="preserve"> 1ère fois au cours des 3 dernières années?</w:t>
            </w:r>
          </w:p>
          <w:p w:rsidR="00E93771" w:rsidRPr="00756DA5" w:rsidP="00E93771">
            <w:pPr>
              <w:jc w:val="left"/>
              <w:rPr>
                <w:rFonts w:cs="Arial"/>
                <w:sz w:val="18"/>
                <w:szCs w:val="18"/>
                <w:shd w:val="clear" w:color="auto" w:fill="FFFFFF"/>
              </w:rPr>
            </w:pPr>
          </w:p>
          <w:p w:rsidR="00E93771" w:rsidRPr="00756DA5" w:rsidP="00E93771">
            <w:pPr>
              <w:jc w:val="left"/>
              <w:rPr>
                <w:rFonts w:cs="Arial"/>
                <w:sz w:val="18"/>
                <w:szCs w:val="18"/>
                <w:shd w:val="clear" w:color="auto" w:fill="FFFFFF"/>
              </w:rPr>
            </w:pPr>
            <w:r w:rsidRPr="00756DA5">
              <w:rPr>
                <w:sz w:val="18"/>
                <w:szCs w:val="18"/>
                <w:shd w:val="clear" w:color="auto" w:fill="FFFFFF"/>
              </w:rPr>
              <w:t>Oui / Non</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MWA &gt; VNRX1.2 first time in the past 3 years?</w:t>
            </w:r>
          </w:p>
          <w:p w:rsidR="00E93771" w:rsidRPr="00756DA5" w:rsidP="00E93771">
            <w:pPr>
              <w:jc w:val="left"/>
              <w:rPr>
                <w:rFonts w:cs="Arial"/>
                <w:sz w:val="18"/>
                <w:szCs w:val="18"/>
                <w:shd w:val="clear" w:color="auto" w:fill="FFFFFF"/>
              </w:rPr>
            </w:pPr>
          </w:p>
          <w:p w:rsidR="00E93771" w:rsidRPr="00756DA5" w:rsidP="00AA185C">
            <w:pPr>
              <w:jc w:val="left"/>
              <w:rPr>
                <w:rFonts w:cs="Arial"/>
                <w:sz w:val="18"/>
                <w:szCs w:val="18"/>
                <w:shd w:val="clear" w:color="auto" w:fill="FFFFFF"/>
              </w:rPr>
            </w:pPr>
            <w:r w:rsidRPr="00756DA5">
              <w:rPr>
                <w:sz w:val="18"/>
                <w:szCs w:val="18"/>
                <w:shd w:val="clear" w:color="auto" w:fill="FFFFFF"/>
              </w:rPr>
              <w:t>Yes/No</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 xml:space="preserve">Nombre d’accidents significatifs stable ou en </w:t>
            </w:r>
            <w:r w:rsidRPr="00756DA5">
              <w:rPr>
                <w:sz w:val="18"/>
                <w:szCs w:val="18"/>
                <w:shd w:val="clear" w:color="auto" w:fill="FFFFFF"/>
              </w:rPr>
              <w:t>baisse?</w:t>
            </w:r>
          </w:p>
          <w:p w:rsidR="00E93771" w:rsidRPr="00756DA5" w:rsidP="00E93771">
            <w:pPr>
              <w:jc w:val="left"/>
              <w:rPr>
                <w:rFonts w:cs="Arial"/>
                <w:sz w:val="18"/>
                <w:szCs w:val="18"/>
                <w:shd w:val="clear" w:color="auto" w:fill="FFFFFF"/>
              </w:rPr>
            </w:pPr>
          </w:p>
          <w:p w:rsidR="00E93771" w:rsidRPr="00756DA5" w:rsidP="00E93771">
            <w:pPr>
              <w:jc w:val="left"/>
              <w:rPr>
                <w:rFonts w:cs="Arial"/>
                <w:sz w:val="18"/>
                <w:szCs w:val="18"/>
                <w:shd w:val="clear" w:color="auto" w:fill="FFFFFF"/>
              </w:rPr>
            </w:pPr>
            <w:r w:rsidRPr="00756DA5">
              <w:rPr>
                <w:sz w:val="18"/>
                <w:szCs w:val="18"/>
                <w:shd w:val="clear" w:color="auto" w:fill="FFFFFF"/>
              </w:rPr>
              <w:t>Oui / Non</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Number of significant accidents stable or lower?</w:t>
            </w:r>
          </w:p>
          <w:p w:rsidR="00E93771" w:rsidRPr="00756DA5" w:rsidP="00E93771">
            <w:pPr>
              <w:jc w:val="left"/>
              <w:rPr>
                <w:rFonts w:cs="Arial"/>
                <w:sz w:val="18"/>
                <w:szCs w:val="18"/>
                <w:shd w:val="clear" w:color="auto" w:fill="FFFFFF"/>
              </w:rPr>
            </w:pPr>
          </w:p>
          <w:p w:rsidR="00E93771" w:rsidRPr="00756DA5" w:rsidP="00AA185C">
            <w:pPr>
              <w:jc w:val="left"/>
              <w:rPr>
                <w:rFonts w:cs="Arial"/>
                <w:sz w:val="18"/>
                <w:szCs w:val="18"/>
                <w:shd w:val="clear" w:color="auto" w:fill="FFFFFF"/>
              </w:rPr>
            </w:pPr>
            <w:r w:rsidRPr="00756DA5">
              <w:rPr>
                <w:sz w:val="18"/>
                <w:szCs w:val="18"/>
                <w:shd w:val="clear" w:color="auto" w:fill="FFFFFF"/>
              </w:rPr>
              <w:t>Yes/No</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Évaluation de la performance</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Assessment of performance</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1.1 Voyageurs (par train.km)</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1.1 Passengers (per train-km)</w:t>
            </w:r>
          </w:p>
        </w:tc>
      </w:tr>
      <w:tr w:rsidTr="00E93771">
        <w:tblPrEx>
          <w:tblW w:w="9062" w:type="dxa"/>
          <w:tblLook w:val="04A0"/>
        </w:tblPrEx>
        <w:tc>
          <w:tcPr>
            <w:tcW w:w="4531" w:type="dxa"/>
          </w:tcPr>
          <w:p w:rsidR="00E93771" w:rsidRPr="00756DA5" w:rsidP="002D4915">
            <w:pPr>
              <w:jc w:val="left"/>
              <w:rPr>
                <w:rFonts w:cs="Arial"/>
                <w:sz w:val="18"/>
                <w:szCs w:val="18"/>
                <w:shd w:val="clear" w:color="auto" w:fill="FFFFFF"/>
              </w:rPr>
            </w:pPr>
            <w:r w:rsidRPr="00756DA5">
              <w:rPr>
                <w:sz w:val="18"/>
                <w:szCs w:val="18"/>
                <w:shd w:val="clear" w:color="auto" w:fill="FFFFFF"/>
              </w:rPr>
              <w:t>1.2 Voyageurs (par voyageurs.km)</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1.2 Passengers (per passenger-km)</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2 Personnels (par train.km)</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2 Employees (per train-km)</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3.1 Usagers de PN (par train.km)</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3.1 LC users (per train-km)</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4 Autres (par train.km)</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4 Others (per train-km)</w:t>
            </w:r>
          </w:p>
        </w:tc>
      </w:tr>
      <w:tr w:rsidTr="00E93771">
        <w:tblPrEx>
          <w:tblW w:w="9062" w:type="dxa"/>
          <w:tblLook w:val="04A0"/>
        </w:tblPrEx>
        <w:tc>
          <w:tcPr>
            <w:tcW w:w="4531" w:type="dxa"/>
          </w:tcPr>
          <w:p w:rsidR="00E93771" w:rsidRPr="00756DA5" w:rsidP="002D4915">
            <w:pPr>
              <w:jc w:val="left"/>
              <w:rPr>
                <w:rFonts w:cs="Arial"/>
                <w:sz w:val="18"/>
                <w:szCs w:val="18"/>
                <w:shd w:val="clear" w:color="auto" w:fill="FFFFFF"/>
              </w:rPr>
            </w:pPr>
            <w:r w:rsidRPr="00756DA5">
              <w:rPr>
                <w:sz w:val="18"/>
                <w:szCs w:val="18"/>
                <w:shd w:val="clear" w:color="auto" w:fill="FFFFFF"/>
              </w:rPr>
              <w:t>5 Intrus (par train.km)</w:t>
            </w:r>
          </w:p>
        </w:tc>
        <w:tc>
          <w:tcPr>
            <w:tcW w:w="4531" w:type="dxa"/>
          </w:tcPr>
          <w:p w:rsidR="00E93771" w:rsidRPr="00756DA5" w:rsidP="002D4915">
            <w:pPr>
              <w:jc w:val="left"/>
              <w:rPr>
                <w:rFonts w:cs="Arial"/>
                <w:sz w:val="18"/>
                <w:szCs w:val="18"/>
                <w:shd w:val="clear" w:color="auto" w:fill="FFFFFF"/>
              </w:rPr>
            </w:pPr>
            <w:r w:rsidRPr="00756DA5">
              <w:rPr>
                <w:sz w:val="18"/>
                <w:szCs w:val="18"/>
                <w:shd w:val="clear" w:color="auto" w:fill="FFFFFF"/>
              </w:rPr>
              <w:t>5 Trespassers (per train-km)</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6 Sociétaux (par train.km)</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6 Whole society (par train.km)</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Oui</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Yes</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Non</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No</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22,5</w:t>
            </w:r>
          </w:p>
          <w:p w:rsidR="00E93771" w:rsidRPr="00756DA5" w:rsidP="00E93771">
            <w:pPr>
              <w:jc w:val="left"/>
              <w:rPr>
                <w:rFonts w:cs="Arial"/>
                <w:sz w:val="18"/>
                <w:szCs w:val="18"/>
                <w:shd w:val="clear" w:color="auto" w:fill="FFFFFF"/>
              </w:rPr>
            </w:pPr>
            <w:r w:rsidRPr="00756DA5">
              <w:rPr>
                <w:sz w:val="18"/>
                <w:szCs w:val="18"/>
                <w:shd w:val="clear" w:color="auto" w:fill="FFFFFF"/>
              </w:rPr>
              <w:t>0,11</w:t>
            </w:r>
          </w:p>
          <w:p w:rsidR="00E93771" w:rsidRPr="00756DA5" w:rsidP="00E93771">
            <w:pPr>
              <w:jc w:val="left"/>
              <w:rPr>
                <w:rFonts w:cs="Arial"/>
                <w:sz w:val="18"/>
                <w:szCs w:val="18"/>
                <w:shd w:val="clear" w:color="auto" w:fill="FFFFFF"/>
              </w:rPr>
            </w:pPr>
            <w:r w:rsidRPr="00756DA5">
              <w:rPr>
                <w:sz w:val="18"/>
                <w:szCs w:val="18"/>
                <w:shd w:val="clear" w:color="auto" w:fill="FFFFFF"/>
              </w:rPr>
              <w:t>6,06</w:t>
            </w:r>
          </w:p>
          <w:p w:rsidR="00E93771" w:rsidRPr="00756DA5" w:rsidP="00E93771">
            <w:pPr>
              <w:jc w:val="left"/>
              <w:rPr>
                <w:rFonts w:cs="Arial"/>
                <w:sz w:val="18"/>
                <w:szCs w:val="18"/>
                <w:shd w:val="clear" w:color="auto" w:fill="FFFFFF"/>
              </w:rPr>
            </w:pPr>
            <w:r w:rsidRPr="00756DA5">
              <w:rPr>
                <w:sz w:val="18"/>
                <w:szCs w:val="18"/>
                <w:shd w:val="clear" w:color="auto" w:fill="FFFFFF"/>
              </w:rPr>
              <w:t>78,7</w:t>
            </w:r>
          </w:p>
          <w:p w:rsidR="00E93771" w:rsidRPr="00756DA5" w:rsidP="00E93771">
            <w:pPr>
              <w:jc w:val="left"/>
              <w:rPr>
                <w:rFonts w:cs="Arial"/>
                <w:sz w:val="18"/>
                <w:szCs w:val="18"/>
                <w:shd w:val="clear" w:color="auto" w:fill="FFFFFF"/>
              </w:rPr>
            </w:pPr>
            <w:r w:rsidRPr="00756DA5">
              <w:rPr>
                <w:sz w:val="18"/>
                <w:szCs w:val="18"/>
                <w:shd w:val="clear" w:color="auto" w:fill="FFFFFF"/>
              </w:rPr>
              <w:t>7,71</w:t>
            </w:r>
          </w:p>
          <w:p w:rsidR="00E93771" w:rsidRPr="00756DA5" w:rsidP="00E93771">
            <w:pPr>
              <w:jc w:val="left"/>
              <w:rPr>
                <w:rFonts w:cs="Arial"/>
                <w:sz w:val="18"/>
                <w:szCs w:val="18"/>
                <w:shd w:val="clear" w:color="auto" w:fill="FFFFFF"/>
              </w:rPr>
            </w:pPr>
            <w:r w:rsidRPr="00756DA5">
              <w:rPr>
                <w:sz w:val="18"/>
                <w:szCs w:val="18"/>
                <w:shd w:val="clear" w:color="auto" w:fill="FFFFFF"/>
              </w:rPr>
              <w:t>67,2</w:t>
            </w:r>
          </w:p>
          <w:p w:rsidR="00E93771" w:rsidRPr="00756DA5" w:rsidP="00E93771">
            <w:pPr>
              <w:jc w:val="left"/>
              <w:rPr>
                <w:rFonts w:cs="Arial"/>
                <w:sz w:val="18"/>
                <w:szCs w:val="18"/>
                <w:shd w:val="clear" w:color="auto" w:fill="FFFFFF"/>
              </w:rPr>
            </w:pPr>
            <w:r w:rsidRPr="00756DA5">
              <w:rPr>
                <w:sz w:val="18"/>
                <w:szCs w:val="18"/>
                <w:shd w:val="clear" w:color="auto" w:fill="FFFFFF"/>
              </w:rPr>
              <w:t>6,17</w:t>
            </w:r>
          </w:p>
          <w:p w:rsidR="00E93771" w:rsidRPr="00756DA5" w:rsidP="00E93771">
            <w:pPr>
              <w:jc w:val="left"/>
              <w:rPr>
                <w:rFonts w:cs="Arial"/>
                <w:sz w:val="18"/>
                <w:szCs w:val="18"/>
                <w:shd w:val="clear" w:color="auto" w:fill="FFFFFF"/>
              </w:rPr>
            </w:pPr>
            <w:r w:rsidRPr="00756DA5">
              <w:rPr>
                <w:sz w:val="18"/>
                <w:szCs w:val="18"/>
                <w:shd w:val="clear" w:color="auto" w:fill="FFFFFF"/>
              </w:rPr>
              <w:t>0,04</w:t>
            </w:r>
          </w:p>
          <w:p w:rsidR="00E93771" w:rsidRPr="00756DA5" w:rsidP="00E93771">
            <w:pPr>
              <w:jc w:val="left"/>
              <w:rPr>
                <w:rFonts w:cs="Arial"/>
                <w:sz w:val="18"/>
                <w:szCs w:val="18"/>
                <w:shd w:val="clear" w:color="auto" w:fill="FFFFFF"/>
              </w:rPr>
            </w:pPr>
            <w:r w:rsidRPr="00756DA5">
              <w:rPr>
                <w:sz w:val="18"/>
                <w:szCs w:val="18"/>
                <w:shd w:val="clear" w:color="auto" w:fill="FFFFFF"/>
              </w:rPr>
              <w:t>2,77</w:t>
            </w:r>
          </w:p>
          <w:p w:rsidR="00E93771" w:rsidRPr="00756DA5" w:rsidP="00E93771">
            <w:pPr>
              <w:jc w:val="left"/>
              <w:rPr>
                <w:rFonts w:cs="Arial"/>
                <w:sz w:val="18"/>
                <w:szCs w:val="18"/>
                <w:shd w:val="clear" w:color="auto" w:fill="FFFFFF"/>
              </w:rPr>
            </w:pPr>
            <w:r w:rsidRPr="00756DA5">
              <w:rPr>
                <w:sz w:val="18"/>
                <w:szCs w:val="18"/>
                <w:shd w:val="clear" w:color="auto" w:fill="FFFFFF"/>
              </w:rPr>
              <w:t>68,9</w:t>
            </w:r>
          </w:p>
          <w:p w:rsidR="00E93771" w:rsidRPr="00756DA5" w:rsidP="00E93771">
            <w:pPr>
              <w:jc w:val="left"/>
              <w:rPr>
                <w:rFonts w:cs="Arial"/>
                <w:sz w:val="18"/>
                <w:szCs w:val="18"/>
                <w:shd w:val="clear" w:color="auto" w:fill="FFFFFF"/>
              </w:rPr>
            </w:pPr>
            <w:r w:rsidRPr="00756DA5">
              <w:rPr>
                <w:sz w:val="18"/>
                <w:szCs w:val="18"/>
                <w:shd w:val="clear" w:color="auto" w:fill="FFFFFF"/>
              </w:rPr>
              <w:t>2,77</w:t>
            </w:r>
          </w:p>
          <w:p w:rsidR="00E93771" w:rsidRPr="00756DA5" w:rsidP="00E93771">
            <w:pPr>
              <w:jc w:val="left"/>
              <w:rPr>
                <w:rFonts w:cs="Arial"/>
                <w:sz w:val="18"/>
                <w:szCs w:val="18"/>
                <w:shd w:val="clear" w:color="auto" w:fill="FFFFFF"/>
              </w:rPr>
            </w:pPr>
            <w:r w:rsidRPr="00756DA5">
              <w:rPr>
                <w:sz w:val="18"/>
                <w:szCs w:val="18"/>
                <w:shd w:val="clear" w:color="auto" w:fill="FFFFFF"/>
              </w:rPr>
              <w:t>68,9</w:t>
            </w:r>
          </w:p>
          <w:p w:rsidR="00E93771" w:rsidRPr="00756DA5" w:rsidP="00E93771">
            <w:pPr>
              <w:jc w:val="left"/>
              <w:rPr>
                <w:rFonts w:cs="Arial"/>
                <w:sz w:val="18"/>
                <w:szCs w:val="18"/>
                <w:shd w:val="clear" w:color="auto" w:fill="FFFFFF"/>
              </w:rPr>
            </w:pPr>
            <w:r w:rsidRPr="00756DA5">
              <w:rPr>
                <w:sz w:val="18"/>
                <w:szCs w:val="18"/>
                <w:shd w:val="clear" w:color="auto" w:fill="FFFFFF"/>
              </w:rPr>
              <w:t>102,34</w:t>
            </w:r>
          </w:p>
          <w:p w:rsidR="00E93771" w:rsidRPr="00756DA5" w:rsidP="00E93771">
            <w:pPr>
              <w:jc w:val="left"/>
              <w:rPr>
                <w:rFonts w:cs="Arial"/>
                <w:sz w:val="18"/>
                <w:szCs w:val="18"/>
                <w:shd w:val="clear" w:color="auto" w:fill="FFFFFF"/>
              </w:rPr>
            </w:pPr>
            <w:r w:rsidRPr="00756DA5">
              <w:rPr>
                <w:sz w:val="18"/>
                <w:szCs w:val="18"/>
                <w:shd w:val="clear" w:color="auto" w:fill="FFFFFF"/>
              </w:rPr>
              <w:t>2,47</w:t>
            </w:r>
          </w:p>
          <w:p w:rsidR="00E93771" w:rsidRPr="00756DA5" w:rsidP="00E93771">
            <w:pPr>
              <w:jc w:val="left"/>
              <w:rPr>
                <w:rFonts w:cs="Arial"/>
                <w:sz w:val="18"/>
                <w:szCs w:val="18"/>
                <w:shd w:val="clear" w:color="auto" w:fill="FFFFFF"/>
              </w:rPr>
            </w:pPr>
            <w:r w:rsidRPr="00756DA5">
              <w:rPr>
                <w:sz w:val="18"/>
                <w:szCs w:val="18"/>
                <w:shd w:val="clear" w:color="auto" w:fill="FFFFFF"/>
              </w:rPr>
              <w:t>0,01</w:t>
            </w:r>
          </w:p>
          <w:p w:rsidR="00E93771" w:rsidRPr="00756DA5" w:rsidP="00E93771">
            <w:pPr>
              <w:jc w:val="left"/>
              <w:rPr>
                <w:rFonts w:cs="Arial"/>
                <w:sz w:val="18"/>
                <w:szCs w:val="18"/>
                <w:shd w:val="clear" w:color="auto" w:fill="FFFFFF"/>
              </w:rPr>
            </w:pPr>
            <w:r w:rsidRPr="00756DA5">
              <w:rPr>
                <w:sz w:val="18"/>
                <w:szCs w:val="18"/>
                <w:shd w:val="clear" w:color="auto" w:fill="FFFFFF"/>
              </w:rPr>
              <w:t>4,53</w:t>
            </w:r>
          </w:p>
          <w:p w:rsidR="00E93771" w:rsidRPr="00756DA5" w:rsidP="00E93771">
            <w:pPr>
              <w:jc w:val="left"/>
              <w:rPr>
                <w:rFonts w:cs="Arial"/>
                <w:sz w:val="18"/>
                <w:szCs w:val="18"/>
                <w:shd w:val="clear" w:color="auto" w:fill="FFFFFF"/>
              </w:rPr>
            </w:pPr>
            <w:r w:rsidRPr="00756DA5">
              <w:rPr>
                <w:sz w:val="18"/>
                <w:szCs w:val="18"/>
                <w:shd w:val="clear" w:color="auto" w:fill="FFFFFF"/>
              </w:rPr>
              <w:t>89,9</w:t>
            </w:r>
          </w:p>
          <w:p w:rsidR="00E93771" w:rsidRPr="00756DA5" w:rsidP="00E93771">
            <w:pPr>
              <w:jc w:val="left"/>
              <w:rPr>
                <w:rFonts w:cs="Arial"/>
                <w:sz w:val="18"/>
                <w:szCs w:val="18"/>
                <w:shd w:val="clear" w:color="auto" w:fill="FFFFFF"/>
              </w:rPr>
            </w:pPr>
            <w:r w:rsidRPr="00756DA5">
              <w:rPr>
                <w:sz w:val="18"/>
                <w:szCs w:val="18"/>
                <w:shd w:val="clear" w:color="auto" w:fill="FFFFFF"/>
              </w:rPr>
              <w:t>8,85</w:t>
            </w:r>
          </w:p>
          <w:p w:rsidR="00E93771" w:rsidRPr="00756DA5" w:rsidP="00E93771">
            <w:pPr>
              <w:jc w:val="left"/>
              <w:rPr>
                <w:rFonts w:cs="Arial"/>
                <w:sz w:val="18"/>
                <w:szCs w:val="18"/>
                <w:shd w:val="clear" w:color="auto" w:fill="FFFFFF"/>
              </w:rPr>
            </w:pPr>
            <w:r w:rsidRPr="00756DA5">
              <w:rPr>
                <w:sz w:val="18"/>
                <w:szCs w:val="18"/>
                <w:shd w:val="clear" w:color="auto" w:fill="FFFFFF"/>
              </w:rPr>
              <w:t>65,7</w:t>
            </w:r>
          </w:p>
          <w:p w:rsidR="00E93771" w:rsidRPr="00756DA5" w:rsidP="00E93771">
            <w:pPr>
              <w:jc w:val="left"/>
              <w:rPr>
                <w:rFonts w:cs="Arial"/>
                <w:sz w:val="18"/>
                <w:szCs w:val="18"/>
                <w:shd w:val="clear" w:color="auto" w:fill="FFFFFF"/>
              </w:rPr>
            </w:pPr>
            <w:r w:rsidRPr="00756DA5">
              <w:rPr>
                <w:sz w:val="18"/>
                <w:szCs w:val="18"/>
                <w:shd w:val="clear" w:color="auto" w:fill="FFFFFF"/>
              </w:rPr>
              <w:t>6,48</w:t>
            </w:r>
          </w:p>
          <w:p w:rsidR="00E93771" w:rsidRPr="00756DA5" w:rsidP="00E93771">
            <w:pPr>
              <w:jc w:val="left"/>
              <w:rPr>
                <w:rFonts w:cs="Arial"/>
                <w:sz w:val="18"/>
                <w:szCs w:val="18"/>
                <w:shd w:val="clear" w:color="auto" w:fill="FFFFFF"/>
              </w:rPr>
            </w:pPr>
            <w:r w:rsidRPr="00756DA5">
              <w:rPr>
                <w:sz w:val="18"/>
                <w:szCs w:val="18"/>
                <w:shd w:val="clear" w:color="auto" w:fill="FFFFFF"/>
              </w:rPr>
              <w:t>85,8</w:t>
            </w:r>
          </w:p>
          <w:p w:rsidR="00E93771" w:rsidRPr="00756DA5" w:rsidP="00E93771">
            <w:pPr>
              <w:jc w:val="left"/>
              <w:rPr>
                <w:rFonts w:cs="Arial"/>
                <w:sz w:val="18"/>
                <w:szCs w:val="18"/>
                <w:shd w:val="clear" w:color="auto" w:fill="FFFFFF"/>
              </w:rPr>
            </w:pPr>
            <w:r w:rsidRPr="00756DA5">
              <w:rPr>
                <w:sz w:val="18"/>
                <w:szCs w:val="18"/>
                <w:shd w:val="clear" w:color="auto" w:fill="FFFFFF"/>
              </w:rPr>
              <w:t>94,44</w:t>
            </w:r>
          </w:p>
          <w:p w:rsidR="00E93771" w:rsidRPr="00756DA5" w:rsidP="00E93771">
            <w:pPr>
              <w:jc w:val="left"/>
              <w:rPr>
                <w:rFonts w:cs="Arial"/>
                <w:sz w:val="18"/>
                <w:szCs w:val="18"/>
                <w:shd w:val="clear" w:color="auto" w:fill="FFFFFF"/>
              </w:rPr>
            </w:pPr>
            <w:r w:rsidRPr="00756DA5">
              <w:rPr>
                <w:sz w:val="18"/>
                <w:szCs w:val="18"/>
                <w:shd w:val="clear" w:color="auto" w:fill="FFFFFF"/>
              </w:rPr>
              <w:t>9,252</w:t>
            </w:r>
          </w:p>
          <w:p w:rsidR="00E93771" w:rsidRPr="00756DA5" w:rsidP="00E93771">
            <w:pPr>
              <w:jc w:val="left"/>
              <w:rPr>
                <w:rFonts w:cs="Arial"/>
                <w:sz w:val="18"/>
                <w:szCs w:val="18"/>
                <w:shd w:val="clear" w:color="auto" w:fill="FFFFFF"/>
              </w:rPr>
            </w:pPr>
            <w:r w:rsidRPr="00756DA5">
              <w:rPr>
                <w:sz w:val="18"/>
                <w:szCs w:val="18"/>
                <w:shd w:val="clear" w:color="auto" w:fill="FFFFFF"/>
              </w:rPr>
              <w:t>80,64</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22.5</w:t>
            </w:r>
          </w:p>
          <w:p w:rsidR="00E93771" w:rsidRPr="00756DA5" w:rsidP="00E93771">
            <w:pPr>
              <w:jc w:val="left"/>
              <w:rPr>
                <w:rFonts w:cs="Arial"/>
                <w:sz w:val="18"/>
                <w:szCs w:val="18"/>
                <w:shd w:val="clear" w:color="auto" w:fill="FFFFFF"/>
              </w:rPr>
            </w:pPr>
            <w:r w:rsidRPr="00756DA5">
              <w:rPr>
                <w:sz w:val="18"/>
                <w:szCs w:val="18"/>
                <w:shd w:val="clear" w:color="auto" w:fill="FFFFFF"/>
              </w:rPr>
              <w:t>0.11</w:t>
            </w:r>
          </w:p>
          <w:p w:rsidR="00E93771" w:rsidRPr="00756DA5" w:rsidP="00E93771">
            <w:pPr>
              <w:jc w:val="left"/>
              <w:rPr>
                <w:rFonts w:cs="Arial"/>
                <w:sz w:val="18"/>
                <w:szCs w:val="18"/>
                <w:shd w:val="clear" w:color="auto" w:fill="FFFFFF"/>
              </w:rPr>
            </w:pPr>
            <w:r w:rsidRPr="00756DA5">
              <w:rPr>
                <w:sz w:val="18"/>
                <w:szCs w:val="18"/>
                <w:shd w:val="clear" w:color="auto" w:fill="FFFFFF"/>
              </w:rPr>
              <w:t>6.06</w:t>
            </w:r>
          </w:p>
          <w:p w:rsidR="00E93771" w:rsidRPr="00756DA5" w:rsidP="00E93771">
            <w:pPr>
              <w:jc w:val="left"/>
              <w:rPr>
                <w:rFonts w:cs="Arial"/>
                <w:sz w:val="18"/>
                <w:szCs w:val="18"/>
                <w:shd w:val="clear" w:color="auto" w:fill="FFFFFF"/>
              </w:rPr>
            </w:pPr>
            <w:r w:rsidRPr="00756DA5">
              <w:rPr>
                <w:sz w:val="18"/>
                <w:szCs w:val="18"/>
                <w:shd w:val="clear" w:color="auto" w:fill="FFFFFF"/>
              </w:rPr>
              <w:t>78.7</w:t>
            </w:r>
          </w:p>
          <w:p w:rsidR="00E93771" w:rsidRPr="00756DA5" w:rsidP="00E93771">
            <w:pPr>
              <w:jc w:val="left"/>
              <w:rPr>
                <w:rFonts w:cs="Arial"/>
                <w:sz w:val="18"/>
                <w:szCs w:val="18"/>
                <w:shd w:val="clear" w:color="auto" w:fill="FFFFFF"/>
              </w:rPr>
            </w:pPr>
            <w:r w:rsidRPr="00756DA5">
              <w:rPr>
                <w:sz w:val="18"/>
                <w:szCs w:val="18"/>
                <w:shd w:val="clear" w:color="auto" w:fill="FFFFFF"/>
              </w:rPr>
              <w:t>7.71</w:t>
            </w:r>
          </w:p>
          <w:p w:rsidR="00E93771" w:rsidRPr="00756DA5" w:rsidP="00E93771">
            <w:pPr>
              <w:jc w:val="left"/>
              <w:rPr>
                <w:rFonts w:cs="Arial"/>
                <w:sz w:val="18"/>
                <w:szCs w:val="18"/>
                <w:shd w:val="clear" w:color="auto" w:fill="FFFFFF"/>
              </w:rPr>
            </w:pPr>
            <w:r w:rsidRPr="00756DA5">
              <w:rPr>
                <w:sz w:val="18"/>
                <w:szCs w:val="18"/>
                <w:shd w:val="clear" w:color="auto" w:fill="FFFFFF"/>
              </w:rPr>
              <w:t>67.2</w:t>
            </w:r>
          </w:p>
          <w:p w:rsidR="00E93771" w:rsidRPr="00756DA5" w:rsidP="00E93771">
            <w:pPr>
              <w:jc w:val="left"/>
              <w:rPr>
                <w:rFonts w:cs="Arial"/>
                <w:sz w:val="18"/>
                <w:szCs w:val="18"/>
                <w:shd w:val="clear" w:color="auto" w:fill="FFFFFF"/>
              </w:rPr>
            </w:pPr>
            <w:r w:rsidRPr="00756DA5">
              <w:rPr>
                <w:sz w:val="18"/>
                <w:szCs w:val="18"/>
                <w:shd w:val="clear" w:color="auto" w:fill="FFFFFF"/>
              </w:rPr>
              <w:t>6.17</w:t>
            </w:r>
          </w:p>
          <w:p w:rsidR="00E93771" w:rsidRPr="00756DA5" w:rsidP="00E93771">
            <w:pPr>
              <w:jc w:val="left"/>
              <w:rPr>
                <w:rFonts w:cs="Arial"/>
                <w:sz w:val="18"/>
                <w:szCs w:val="18"/>
                <w:shd w:val="clear" w:color="auto" w:fill="FFFFFF"/>
              </w:rPr>
            </w:pPr>
            <w:r w:rsidRPr="00756DA5">
              <w:rPr>
                <w:sz w:val="18"/>
                <w:szCs w:val="18"/>
                <w:shd w:val="clear" w:color="auto" w:fill="FFFFFF"/>
              </w:rPr>
              <w:t>0.04</w:t>
            </w:r>
          </w:p>
          <w:p w:rsidR="00E93771" w:rsidRPr="00756DA5" w:rsidP="00E93771">
            <w:pPr>
              <w:jc w:val="left"/>
              <w:rPr>
                <w:rFonts w:cs="Arial"/>
                <w:sz w:val="18"/>
                <w:szCs w:val="18"/>
                <w:shd w:val="clear" w:color="auto" w:fill="FFFFFF"/>
              </w:rPr>
            </w:pPr>
            <w:r w:rsidRPr="00756DA5">
              <w:rPr>
                <w:sz w:val="18"/>
                <w:szCs w:val="18"/>
                <w:shd w:val="clear" w:color="auto" w:fill="FFFFFF"/>
              </w:rPr>
              <w:t>2.77</w:t>
            </w:r>
          </w:p>
          <w:p w:rsidR="00E93771" w:rsidRPr="00756DA5" w:rsidP="00E93771">
            <w:pPr>
              <w:jc w:val="left"/>
              <w:rPr>
                <w:rFonts w:cs="Arial"/>
                <w:sz w:val="18"/>
                <w:szCs w:val="18"/>
                <w:shd w:val="clear" w:color="auto" w:fill="FFFFFF"/>
              </w:rPr>
            </w:pPr>
            <w:r w:rsidRPr="00756DA5">
              <w:rPr>
                <w:sz w:val="18"/>
                <w:szCs w:val="18"/>
                <w:shd w:val="clear" w:color="auto" w:fill="FFFFFF"/>
              </w:rPr>
              <w:t>68.9</w:t>
            </w:r>
          </w:p>
          <w:p w:rsidR="00E93771" w:rsidRPr="00756DA5" w:rsidP="00E93771">
            <w:pPr>
              <w:jc w:val="left"/>
              <w:rPr>
                <w:rFonts w:cs="Arial"/>
                <w:sz w:val="18"/>
                <w:szCs w:val="18"/>
                <w:shd w:val="clear" w:color="auto" w:fill="FFFFFF"/>
              </w:rPr>
            </w:pPr>
            <w:r w:rsidRPr="00756DA5">
              <w:rPr>
                <w:sz w:val="18"/>
                <w:szCs w:val="18"/>
                <w:shd w:val="clear" w:color="auto" w:fill="FFFFFF"/>
              </w:rPr>
              <w:t>2.77</w:t>
            </w:r>
          </w:p>
          <w:p w:rsidR="00E93771" w:rsidRPr="00756DA5" w:rsidP="00E93771">
            <w:pPr>
              <w:jc w:val="left"/>
              <w:rPr>
                <w:rFonts w:cs="Arial"/>
                <w:sz w:val="18"/>
                <w:szCs w:val="18"/>
                <w:shd w:val="clear" w:color="auto" w:fill="FFFFFF"/>
              </w:rPr>
            </w:pPr>
            <w:r w:rsidRPr="00756DA5">
              <w:rPr>
                <w:sz w:val="18"/>
                <w:szCs w:val="18"/>
                <w:shd w:val="clear" w:color="auto" w:fill="FFFFFF"/>
              </w:rPr>
              <w:t>68.9</w:t>
            </w:r>
          </w:p>
          <w:p w:rsidR="00E93771" w:rsidRPr="00756DA5" w:rsidP="00E93771">
            <w:pPr>
              <w:jc w:val="left"/>
              <w:rPr>
                <w:rFonts w:cs="Arial"/>
                <w:sz w:val="18"/>
                <w:szCs w:val="18"/>
                <w:shd w:val="clear" w:color="auto" w:fill="FFFFFF"/>
              </w:rPr>
            </w:pPr>
            <w:r w:rsidRPr="00756DA5">
              <w:rPr>
                <w:sz w:val="18"/>
                <w:szCs w:val="18"/>
                <w:shd w:val="clear" w:color="auto" w:fill="FFFFFF"/>
              </w:rPr>
              <w:t>102.34</w:t>
            </w:r>
          </w:p>
          <w:p w:rsidR="00E93771" w:rsidRPr="00756DA5" w:rsidP="00E93771">
            <w:pPr>
              <w:jc w:val="left"/>
              <w:rPr>
                <w:rFonts w:cs="Arial"/>
                <w:sz w:val="18"/>
                <w:szCs w:val="18"/>
                <w:shd w:val="clear" w:color="auto" w:fill="FFFFFF"/>
              </w:rPr>
            </w:pPr>
            <w:r w:rsidRPr="00756DA5">
              <w:rPr>
                <w:sz w:val="18"/>
                <w:szCs w:val="18"/>
                <w:shd w:val="clear" w:color="auto" w:fill="FFFFFF"/>
              </w:rPr>
              <w:t>2.47</w:t>
            </w:r>
          </w:p>
          <w:p w:rsidR="00E93771" w:rsidRPr="00756DA5" w:rsidP="00E93771">
            <w:pPr>
              <w:jc w:val="left"/>
              <w:rPr>
                <w:rFonts w:cs="Arial"/>
                <w:sz w:val="18"/>
                <w:szCs w:val="18"/>
                <w:shd w:val="clear" w:color="auto" w:fill="FFFFFF"/>
              </w:rPr>
            </w:pPr>
            <w:r w:rsidRPr="00756DA5">
              <w:rPr>
                <w:sz w:val="18"/>
                <w:szCs w:val="18"/>
                <w:shd w:val="clear" w:color="auto" w:fill="FFFFFF"/>
              </w:rPr>
              <w:t>0.01</w:t>
            </w:r>
          </w:p>
          <w:p w:rsidR="00E93771" w:rsidRPr="00756DA5" w:rsidP="00E93771">
            <w:pPr>
              <w:jc w:val="left"/>
              <w:rPr>
                <w:rFonts w:cs="Arial"/>
                <w:sz w:val="18"/>
                <w:szCs w:val="18"/>
                <w:shd w:val="clear" w:color="auto" w:fill="FFFFFF"/>
              </w:rPr>
            </w:pPr>
            <w:r w:rsidRPr="00756DA5">
              <w:rPr>
                <w:sz w:val="18"/>
                <w:szCs w:val="18"/>
                <w:shd w:val="clear" w:color="auto" w:fill="FFFFFF"/>
              </w:rPr>
              <w:t>4.53</w:t>
            </w:r>
          </w:p>
          <w:p w:rsidR="00E93771" w:rsidRPr="00756DA5" w:rsidP="00E93771">
            <w:pPr>
              <w:jc w:val="left"/>
              <w:rPr>
                <w:rFonts w:cs="Arial"/>
                <w:sz w:val="18"/>
                <w:szCs w:val="18"/>
                <w:shd w:val="clear" w:color="auto" w:fill="FFFFFF"/>
              </w:rPr>
            </w:pPr>
            <w:r w:rsidRPr="00756DA5">
              <w:rPr>
                <w:sz w:val="18"/>
                <w:szCs w:val="18"/>
                <w:shd w:val="clear" w:color="auto" w:fill="FFFFFF"/>
              </w:rPr>
              <w:t>89.9</w:t>
            </w:r>
          </w:p>
          <w:p w:rsidR="00E93771" w:rsidRPr="00756DA5" w:rsidP="00E93771">
            <w:pPr>
              <w:jc w:val="left"/>
              <w:rPr>
                <w:rFonts w:cs="Arial"/>
                <w:sz w:val="18"/>
                <w:szCs w:val="18"/>
                <w:shd w:val="clear" w:color="auto" w:fill="FFFFFF"/>
              </w:rPr>
            </w:pPr>
            <w:r w:rsidRPr="00756DA5">
              <w:rPr>
                <w:sz w:val="18"/>
                <w:szCs w:val="18"/>
                <w:shd w:val="clear" w:color="auto" w:fill="FFFFFF"/>
              </w:rPr>
              <w:t>8.85</w:t>
            </w:r>
          </w:p>
          <w:p w:rsidR="00E93771" w:rsidRPr="00756DA5" w:rsidP="00E93771">
            <w:pPr>
              <w:jc w:val="left"/>
              <w:rPr>
                <w:rFonts w:cs="Arial"/>
                <w:sz w:val="18"/>
                <w:szCs w:val="18"/>
                <w:shd w:val="clear" w:color="auto" w:fill="FFFFFF"/>
              </w:rPr>
            </w:pPr>
            <w:r w:rsidRPr="00756DA5">
              <w:rPr>
                <w:sz w:val="18"/>
                <w:szCs w:val="18"/>
                <w:shd w:val="clear" w:color="auto" w:fill="FFFFFF"/>
              </w:rPr>
              <w:t>65.7</w:t>
            </w:r>
          </w:p>
          <w:p w:rsidR="00E93771" w:rsidRPr="00756DA5" w:rsidP="00E93771">
            <w:pPr>
              <w:jc w:val="left"/>
              <w:rPr>
                <w:rFonts w:cs="Arial"/>
                <w:sz w:val="18"/>
                <w:szCs w:val="18"/>
                <w:shd w:val="clear" w:color="auto" w:fill="FFFFFF"/>
              </w:rPr>
            </w:pPr>
            <w:r w:rsidRPr="00756DA5">
              <w:rPr>
                <w:sz w:val="18"/>
                <w:szCs w:val="18"/>
                <w:shd w:val="clear" w:color="auto" w:fill="FFFFFF"/>
              </w:rPr>
              <w:t>6.48</w:t>
            </w:r>
          </w:p>
          <w:p w:rsidR="00E93771" w:rsidRPr="00756DA5" w:rsidP="00E93771">
            <w:pPr>
              <w:jc w:val="left"/>
              <w:rPr>
                <w:rFonts w:cs="Arial"/>
                <w:sz w:val="18"/>
                <w:szCs w:val="18"/>
                <w:shd w:val="clear" w:color="auto" w:fill="FFFFFF"/>
              </w:rPr>
            </w:pPr>
            <w:r w:rsidRPr="00756DA5">
              <w:rPr>
                <w:sz w:val="18"/>
                <w:szCs w:val="18"/>
                <w:shd w:val="clear" w:color="auto" w:fill="FFFFFF"/>
              </w:rPr>
              <w:t>85.8</w:t>
            </w:r>
          </w:p>
          <w:p w:rsidR="00E93771" w:rsidRPr="00756DA5" w:rsidP="00E93771">
            <w:pPr>
              <w:jc w:val="left"/>
              <w:rPr>
                <w:rFonts w:cs="Arial"/>
                <w:sz w:val="18"/>
                <w:szCs w:val="18"/>
                <w:shd w:val="clear" w:color="auto" w:fill="FFFFFF"/>
              </w:rPr>
            </w:pPr>
            <w:r w:rsidRPr="00756DA5">
              <w:rPr>
                <w:sz w:val="18"/>
                <w:szCs w:val="18"/>
                <w:shd w:val="clear" w:color="auto" w:fill="FFFFFF"/>
              </w:rPr>
              <w:t>94.44</w:t>
            </w:r>
          </w:p>
          <w:p w:rsidR="00E93771" w:rsidRPr="00756DA5" w:rsidP="00E93771">
            <w:pPr>
              <w:jc w:val="left"/>
              <w:rPr>
                <w:rFonts w:cs="Arial"/>
                <w:sz w:val="18"/>
                <w:szCs w:val="18"/>
                <w:shd w:val="clear" w:color="auto" w:fill="FFFFFF"/>
              </w:rPr>
            </w:pPr>
            <w:r w:rsidRPr="00756DA5">
              <w:rPr>
                <w:sz w:val="18"/>
                <w:szCs w:val="18"/>
                <w:shd w:val="clear" w:color="auto" w:fill="FFFFFF"/>
              </w:rPr>
              <w:t>9.252</w:t>
            </w:r>
          </w:p>
          <w:p w:rsidR="00E93771" w:rsidRPr="00756DA5" w:rsidP="00E93771">
            <w:pPr>
              <w:jc w:val="left"/>
              <w:rPr>
                <w:rFonts w:cs="Arial"/>
                <w:sz w:val="18"/>
                <w:szCs w:val="18"/>
                <w:shd w:val="clear" w:color="auto" w:fill="FFFFFF"/>
              </w:rPr>
            </w:pPr>
            <w:r w:rsidRPr="00756DA5">
              <w:rPr>
                <w:sz w:val="18"/>
                <w:szCs w:val="18"/>
                <w:shd w:val="clear" w:color="auto" w:fill="FFFFFF"/>
              </w:rPr>
              <w:t>80.64</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Performance acceptable en 1</w:t>
            </w:r>
            <w:r w:rsidRPr="00756DA5">
              <w:rPr>
                <w:sz w:val="18"/>
                <w:szCs w:val="18"/>
                <w:shd w:val="clear" w:color="auto" w:fill="FFFFFF"/>
                <w:vertAlign w:val="superscript"/>
              </w:rPr>
              <w:t>ère</w:t>
            </w:r>
            <w:r w:rsidRPr="00756DA5">
              <w:rPr>
                <w:sz w:val="18"/>
                <w:szCs w:val="18"/>
                <w:shd w:val="clear" w:color="auto" w:fill="FFFFFF"/>
              </w:rPr>
              <w:t xml:space="preserve"> etape</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Acceptable performance in first step</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Performance acceptable en 2</w:t>
            </w:r>
            <w:r w:rsidRPr="00756DA5">
              <w:rPr>
                <w:sz w:val="18"/>
                <w:szCs w:val="18"/>
                <w:shd w:val="clear" w:color="auto" w:fill="FFFFFF"/>
                <w:vertAlign w:val="superscript"/>
              </w:rPr>
              <w:t>e</w:t>
            </w:r>
            <w:r w:rsidRPr="00756DA5">
              <w:rPr>
                <w:sz w:val="18"/>
                <w:szCs w:val="18"/>
                <w:shd w:val="clear" w:color="auto" w:fill="FFFFFF"/>
              </w:rPr>
              <w:t xml:space="preserve"> etape</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Acceptable performance in second step</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Détérioration possible</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Possible deterioration</w:t>
            </w:r>
          </w:p>
        </w:tc>
      </w:tr>
      <w:tr w:rsidTr="00E93771">
        <w:tblPrEx>
          <w:tblW w:w="9062" w:type="dxa"/>
          <w:tblLook w:val="04A0"/>
        </w:tblPrEx>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Détérioration probable</w:t>
            </w:r>
          </w:p>
        </w:tc>
        <w:tc>
          <w:tcPr>
            <w:tcW w:w="4531" w:type="dxa"/>
          </w:tcPr>
          <w:p w:rsidR="00E93771" w:rsidRPr="00756DA5" w:rsidP="00E93771">
            <w:pPr>
              <w:jc w:val="left"/>
              <w:rPr>
                <w:rFonts w:cs="Arial"/>
                <w:sz w:val="18"/>
                <w:szCs w:val="18"/>
                <w:shd w:val="clear" w:color="auto" w:fill="FFFFFF"/>
              </w:rPr>
            </w:pPr>
            <w:r w:rsidRPr="00756DA5">
              <w:rPr>
                <w:sz w:val="18"/>
                <w:szCs w:val="18"/>
                <w:shd w:val="clear" w:color="auto" w:fill="FFFFFF"/>
              </w:rPr>
              <w:t>Probable deterioration</w:t>
            </w:r>
          </w:p>
        </w:tc>
      </w:tr>
    </w:tbl>
    <w:p w:rsidR="00B12625" w:rsidRPr="00756DA5" w:rsidP="00AF76CE">
      <w:pPr>
        <w:spacing w:line="280" w:lineRule="exact"/>
        <w:jc w:val="left"/>
        <w:rPr>
          <w:rFonts w:cs="Arial"/>
          <w:szCs w:val="20"/>
        </w:rPr>
      </w:pPr>
    </w:p>
    <w:p w:rsidR="00F2631B" w:rsidRPr="00756DA5" w:rsidP="00A347DD">
      <w:pPr>
        <w:pStyle w:val="Heading3"/>
        <w:numPr>
          <w:ilvl w:val="2"/>
          <w:numId w:val="9"/>
        </w:numPr>
        <w:rPr>
          <w:rFonts w:cs="Arial"/>
        </w:rPr>
      </w:pPr>
      <w:bookmarkStart w:id="48" w:name="_Toc426123664"/>
      <w:bookmarkStart w:id="49" w:name="_Toc494469622"/>
      <w:bookmarkStart w:id="50" w:name="_Toc533153869"/>
      <w:bookmarkEnd w:id="46"/>
      <w:r w:rsidRPr="00756DA5">
        <w:t>Accident occurrence rat</w:t>
      </w:r>
      <w:bookmarkEnd w:id="48"/>
      <w:r w:rsidRPr="00756DA5">
        <w:t>e</w:t>
      </w:r>
      <w:bookmarkEnd w:id="49"/>
      <w:bookmarkEnd w:id="50"/>
    </w:p>
    <w:p w:rsidR="005D6412" w:rsidRPr="00756DA5" w:rsidP="00AF76CE">
      <w:pPr>
        <w:spacing w:line="280" w:lineRule="exact"/>
        <w:rPr>
          <w:rFonts w:cs="Arial"/>
          <w:b/>
          <w:szCs w:val="20"/>
        </w:rPr>
      </w:pPr>
      <w:r w:rsidRPr="00756DA5">
        <w:br/>
      </w:r>
      <w:r w:rsidRPr="00756DA5">
        <w:rPr>
          <w:b/>
          <w:bCs/>
          <w:szCs w:val="20"/>
        </w:rPr>
        <w:t xml:space="preserve">■ </w:t>
      </w:r>
      <w:r w:rsidRPr="00756DA5">
        <w:rPr>
          <w:b/>
          <w:szCs w:val="20"/>
        </w:rPr>
        <w:t>Significant</w:t>
      </w:r>
      <w:r w:rsidRPr="00756DA5">
        <w:rPr>
          <w:b/>
          <w:szCs w:val="20"/>
        </w:rPr>
        <w:t xml:space="preserve"> accidents</w:t>
      </w:r>
    </w:p>
    <w:p w:rsidR="005D6412" w:rsidRPr="00756DA5" w:rsidP="00AF76CE">
      <w:pPr>
        <w:spacing w:line="280" w:lineRule="exact"/>
        <w:rPr>
          <w:rFonts w:cs="Arial"/>
          <w:szCs w:val="20"/>
        </w:rPr>
      </w:pPr>
      <w:r w:rsidRPr="00756DA5">
        <w:t>The appendix to Annex I of Directive (EU) 2016/798 of 11 May 2016 defines a ‘significant accident’ as any accident involving at least one rail vehicle in motion, resulting in at least one killed or seriously injured person, or in significant damage to stock, track, other installations or environment equivalent to EUR 150 000 or more, or disruptions to traffic on a main railway line for 6 hours or more.</w:t>
      </w:r>
    </w:p>
    <w:p w:rsidR="005D6412" w:rsidRPr="00756DA5" w:rsidP="00AF76CE">
      <w:pPr>
        <w:spacing w:line="280" w:lineRule="exact"/>
        <w:rPr>
          <w:rFonts w:cs="Arial"/>
          <w:szCs w:val="20"/>
        </w:rPr>
      </w:pPr>
      <w:r w:rsidRPr="00756DA5">
        <w:t>The 3.4 % rise in traffic in 2017 offsets the rise in the number of significant accidents in absolute terms from 146 in 2016 to 151 this year. Thus, the ratio of the number of accidents to traffic was the same as in 2016 with 0.31 accidents per million train-km.</w:t>
      </w:r>
    </w:p>
    <w:p w:rsidR="005D6412" w:rsidRPr="00756DA5" w:rsidP="005D6412">
      <w:r w:rsidRPr="00756DA5">
        <w:rPr>
          <w:noProof/>
          <w:lang w:val="fr-FR" w:eastAsia="fr-FR"/>
        </w:rPr>
        <w:drawing>
          <wp:inline distT="0" distB="0" distL="0" distR="0">
            <wp:extent cx="5324475" cy="26193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55310" name="Picture 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4475" cy="2619375"/>
                    </a:xfrm>
                    <a:prstGeom prst="rect">
                      <a:avLst/>
                    </a:prstGeom>
                    <a:noFill/>
                    <a:ln>
                      <a:noFill/>
                    </a:ln>
                  </pic:spPr>
                </pic:pic>
              </a:graphicData>
            </a:graphic>
          </wp:inline>
        </w:drawing>
      </w:r>
    </w:p>
    <w:tbl>
      <w:tblPr>
        <w:tblStyle w:val="TableGrid"/>
        <w:tblW w:w="9062" w:type="dxa"/>
        <w:tblLook w:val="04A0"/>
      </w:tblPr>
      <w:tblGrid>
        <w:gridCol w:w="4531"/>
        <w:gridCol w:w="4531"/>
      </w:tblGrid>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Nombre relatif d’accidents par million de train-km</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Number of accidents per million train-km</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0,40</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0.40</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0,35</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0.35</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0,30</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0.30</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0,25</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0.25</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0,20</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0.20</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0,15</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0.15</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0,10</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0.10</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0,05</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0.05</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0,00</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0.00</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0,33</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0.33</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0,32</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0.32</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0,31</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0.31</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0,27</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0.27</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0,29</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0.29</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0,36</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0.36</w:t>
            </w:r>
          </w:p>
        </w:tc>
      </w:tr>
    </w:tbl>
    <w:p w:rsidR="00C04344" w:rsidRPr="00756DA5" w:rsidP="00AF76CE">
      <w:pPr>
        <w:spacing w:line="280" w:lineRule="exact"/>
      </w:pPr>
    </w:p>
    <w:p w:rsidR="005D6412" w:rsidRPr="00756DA5" w:rsidP="00AF76CE">
      <w:pPr>
        <w:spacing w:line="280" w:lineRule="exact"/>
        <w:rPr>
          <w:rFonts w:ascii="Times New Roman" w:hAnsi="Times New Roman"/>
          <w:sz w:val="22"/>
        </w:rPr>
      </w:pPr>
      <w:r w:rsidRPr="00756DA5">
        <w:rPr>
          <w:noProof/>
          <w:lang w:val="fr-FR" w:eastAsia="fr-FR"/>
        </w:rPr>
        <w:drawing>
          <wp:anchor distT="0" distB="0" distL="114300" distR="114300" simplePos="0" relativeHeight="251664384" behindDoc="0" locked="0" layoutInCell="1" allowOverlap="1">
            <wp:simplePos x="0" y="0"/>
            <wp:positionH relativeFrom="margin">
              <wp:align>right</wp:align>
            </wp:positionH>
            <wp:positionV relativeFrom="paragraph">
              <wp:posOffset>571749</wp:posOffset>
            </wp:positionV>
            <wp:extent cx="5759450" cy="1333045"/>
            <wp:effectExtent l="0" t="0" r="0" b="63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96975" name="Picture 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9450" cy="133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6DA5">
        <w:t>The following table shows the number of significant accidents per year in absolute terms by category of accident:</w:t>
      </w:r>
    </w:p>
    <w:p w:rsidR="00D244B2" w:rsidRPr="00756DA5" w:rsidP="005D6412">
      <w:pPr>
        <w:rPr>
          <w:rFonts w:ascii="Times New Roman" w:hAnsi="Times New Roman"/>
          <w:sz w:val="22"/>
        </w:rPr>
      </w:pPr>
    </w:p>
    <w:tbl>
      <w:tblPr>
        <w:tblStyle w:val="TableGrid"/>
        <w:tblW w:w="9062" w:type="dxa"/>
        <w:tblLook w:val="04A0"/>
      </w:tblPr>
      <w:tblGrid>
        <w:gridCol w:w="4531"/>
        <w:gridCol w:w="4531"/>
      </w:tblGrid>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Catégories d’accidents</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Accident Categories</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Collisions</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Collisions</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Déraillements</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Derailments</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Accidents aux PN</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Accidents at LCs</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Accidents de personnes impliquant le matériel roulant en mouvement</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Accidents to persons involving rolling stock in motion</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Incendies dans le matériel roulant</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Fires in rolling stock</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Autres</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Others</w:t>
            </w:r>
          </w:p>
        </w:tc>
      </w:tr>
      <w:tr w:rsidTr="00D244B2">
        <w:tblPrEx>
          <w:tblW w:w="9062" w:type="dxa"/>
          <w:tblLook w:val="04A0"/>
        </w:tblPrEx>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Total</w:t>
            </w:r>
          </w:p>
        </w:tc>
        <w:tc>
          <w:tcPr>
            <w:tcW w:w="4531" w:type="dxa"/>
          </w:tcPr>
          <w:p w:rsidR="00D244B2" w:rsidRPr="00756DA5" w:rsidP="00D244B2">
            <w:pPr>
              <w:jc w:val="left"/>
              <w:rPr>
                <w:rFonts w:cs="Arial"/>
                <w:sz w:val="18"/>
                <w:szCs w:val="18"/>
                <w:shd w:val="clear" w:color="auto" w:fill="FFFFFF"/>
              </w:rPr>
            </w:pPr>
            <w:r w:rsidRPr="00756DA5">
              <w:rPr>
                <w:sz w:val="18"/>
                <w:szCs w:val="18"/>
                <w:shd w:val="clear" w:color="auto" w:fill="FFFFFF"/>
              </w:rPr>
              <w:t>Total</w:t>
            </w:r>
          </w:p>
        </w:tc>
      </w:tr>
    </w:tbl>
    <w:p w:rsidR="005D6412" w:rsidRPr="00756DA5" w:rsidP="005D6412">
      <w:pPr>
        <w:rPr>
          <w:rFonts w:ascii="Times New Roman" w:hAnsi="Times New Roman"/>
          <w:sz w:val="22"/>
        </w:rPr>
      </w:pPr>
    </w:p>
    <w:p w:rsidR="005D6412" w:rsidRPr="00756DA5" w:rsidP="00AF76CE">
      <w:pPr>
        <w:spacing w:line="280" w:lineRule="exact"/>
        <w:rPr>
          <w:i/>
          <w:iCs/>
        </w:rPr>
      </w:pPr>
      <w:bookmarkStart w:id="51" w:name="_Hlk522790421"/>
      <w:r w:rsidRPr="00756DA5">
        <w:rPr>
          <w:i/>
          <w:iCs/>
        </w:rPr>
        <w:t xml:space="preserve">These data are in line with the CSIs (cf. Annex 2) as defined in Annex 1 of Directive (EU) 2016/798. In line with these definitions, the accident indicators given in this paragraph concern only ‘significant accidents’. Where necessary, corrections </w:t>
      </w:r>
      <w:r w:rsidRPr="00756DA5">
        <w:rPr>
          <w:i/>
          <w:iCs/>
        </w:rPr>
        <w:t>have been made</w:t>
      </w:r>
      <w:r w:rsidRPr="00756DA5">
        <w:rPr>
          <w:i/>
          <w:iCs/>
        </w:rPr>
        <w:t xml:space="preserve"> to take account of new facts or classification inaccuracies discovered after publication of the 2016 safety report.</w:t>
      </w:r>
    </w:p>
    <w:p w:rsidR="005D6412" w:rsidRPr="00756DA5" w:rsidP="005D6412">
      <w:pPr>
        <w:rPr>
          <w:rFonts w:cs="Arial"/>
          <w:szCs w:val="20"/>
        </w:rPr>
      </w:pPr>
      <w:bookmarkEnd w:id="51"/>
      <w:r w:rsidRPr="00756DA5">
        <w:rPr>
          <w:noProof/>
          <w:lang w:val="fr-FR" w:eastAsia="fr-FR"/>
        </w:rPr>
        <w:drawing>
          <wp:inline distT="0" distB="0" distL="0" distR="0">
            <wp:extent cx="5760720" cy="2796139"/>
            <wp:effectExtent l="0" t="0" r="0" b="4445"/>
            <wp:docPr id="498" name="Image 498" descr="cid:image008.png@01D43AF1.2C2C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79036" name="Graphique 1" descr="cid:image008.png@01D43AF1.2C2C5820"/>
                    <pic:cNvPicPr>
                      <a:picLocks noChangeAspect="1" noChangeArrowheads="1"/>
                    </pic:cNvPicPr>
                  </pic:nvPicPr>
                  <pic:blipFill>
                    <a:blip xmlns:r="http://schemas.openxmlformats.org/officeDocument/2006/relationships" r:embed="rId23" r:link="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796139"/>
                    </a:xfrm>
                    <a:prstGeom prst="rect">
                      <a:avLst/>
                    </a:prstGeom>
                    <a:noFill/>
                    <a:ln>
                      <a:noFill/>
                    </a:ln>
                  </pic:spPr>
                </pic:pic>
              </a:graphicData>
            </a:graphic>
          </wp:inline>
        </w:drawing>
      </w:r>
    </w:p>
    <w:tbl>
      <w:tblPr>
        <w:tblStyle w:val="TableGrid"/>
        <w:tblW w:w="9062" w:type="dxa"/>
        <w:tblLook w:val="04A0"/>
      </w:tblPr>
      <w:tblGrid>
        <w:gridCol w:w="4531"/>
        <w:gridCol w:w="4531"/>
      </w:tblGrid>
      <w:tr w:rsidTr="00462C77">
        <w:tblPrEx>
          <w:tblW w:w="9062" w:type="dxa"/>
          <w:tblLook w:val="04A0"/>
        </w:tblPrEx>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Tendance sur 10 ans du nombre d’accidents par catégorie</w:t>
            </w:r>
          </w:p>
        </w:tc>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10-year trend in accident rates per category</w:t>
            </w:r>
          </w:p>
        </w:tc>
      </w:tr>
      <w:tr w:rsidTr="00462C77">
        <w:tblPrEx>
          <w:tblW w:w="9062" w:type="dxa"/>
          <w:tblLook w:val="04A0"/>
        </w:tblPrEx>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Nombre total d’accidents significatifs</w:t>
            </w:r>
          </w:p>
        </w:tc>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Total number of significant accidents</w:t>
            </w:r>
          </w:p>
        </w:tc>
      </w:tr>
      <w:tr w:rsidTr="00462C77">
        <w:tblPrEx>
          <w:tblW w:w="9062" w:type="dxa"/>
          <w:tblLook w:val="04A0"/>
        </w:tblPrEx>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Accidents de personnes impliquant le matériel roulant en mouvement</w:t>
            </w:r>
          </w:p>
        </w:tc>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Accidents to persons involving rolling stock in motion</w:t>
            </w:r>
          </w:p>
        </w:tc>
      </w:tr>
      <w:tr w:rsidTr="00462C77">
        <w:tblPrEx>
          <w:tblW w:w="9062" w:type="dxa"/>
          <w:tblLook w:val="04A0"/>
        </w:tblPrEx>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Accidents aux passages à niveau</w:t>
            </w:r>
          </w:p>
        </w:tc>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Accidents at level crossings</w:t>
            </w:r>
          </w:p>
        </w:tc>
      </w:tr>
      <w:tr w:rsidTr="00462C77">
        <w:tblPrEx>
          <w:tblW w:w="9062" w:type="dxa"/>
          <w:tblLook w:val="04A0"/>
        </w:tblPrEx>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Déraillements</w:t>
            </w:r>
          </w:p>
        </w:tc>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Derailments</w:t>
            </w:r>
          </w:p>
        </w:tc>
      </w:tr>
      <w:tr w:rsidTr="00462C77">
        <w:tblPrEx>
          <w:tblW w:w="9062" w:type="dxa"/>
          <w:tblLook w:val="04A0"/>
        </w:tblPrEx>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Accidents «autres»</w:t>
            </w:r>
          </w:p>
        </w:tc>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‘Other’ accidents</w:t>
            </w:r>
          </w:p>
        </w:tc>
      </w:tr>
      <w:tr w:rsidTr="00462C77">
        <w:tblPrEx>
          <w:tblW w:w="9062" w:type="dxa"/>
          <w:tblLook w:val="04A0"/>
        </w:tblPrEx>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Collisions</w:t>
            </w:r>
          </w:p>
        </w:tc>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Collisions</w:t>
            </w:r>
          </w:p>
        </w:tc>
      </w:tr>
      <w:tr w:rsidTr="00462C77">
        <w:tblPrEx>
          <w:tblW w:w="9062" w:type="dxa"/>
          <w:tblLook w:val="04A0"/>
        </w:tblPrEx>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Incendies dans le matériel roulant</w:t>
            </w:r>
          </w:p>
        </w:tc>
        <w:tc>
          <w:tcPr>
            <w:tcW w:w="4531" w:type="dxa"/>
          </w:tcPr>
          <w:p w:rsidR="00462C77" w:rsidRPr="00756DA5" w:rsidP="00462C77">
            <w:pPr>
              <w:jc w:val="left"/>
              <w:rPr>
                <w:rFonts w:cs="Arial"/>
                <w:sz w:val="18"/>
                <w:szCs w:val="18"/>
                <w:shd w:val="clear" w:color="auto" w:fill="FFFFFF"/>
              </w:rPr>
            </w:pPr>
            <w:r w:rsidRPr="00756DA5">
              <w:rPr>
                <w:sz w:val="18"/>
                <w:szCs w:val="18"/>
                <w:shd w:val="clear" w:color="auto" w:fill="FFFFFF"/>
              </w:rPr>
              <w:t>Fires in rolling stock</w:t>
            </w:r>
          </w:p>
        </w:tc>
      </w:tr>
    </w:tbl>
    <w:p w:rsidR="00462C77" w:rsidRPr="00756DA5" w:rsidP="007D59B2">
      <w:pPr>
        <w:spacing w:line="280" w:lineRule="exact"/>
        <w:rPr>
          <w:rFonts w:cs="Arial"/>
          <w:szCs w:val="20"/>
        </w:rPr>
      </w:pPr>
    </w:p>
    <w:p w:rsidR="005D6412" w:rsidRPr="00756DA5" w:rsidP="007D59B2">
      <w:pPr>
        <w:spacing w:line="280" w:lineRule="exact"/>
        <w:rPr>
          <w:rFonts w:cs="Arial"/>
          <w:szCs w:val="20"/>
        </w:rPr>
      </w:pPr>
      <w:r w:rsidRPr="00756DA5">
        <w:t>In general, although the number of significant accidents, all categories combined, increased from 146 in 2016 to 151 in 2017, the 10-year trend is falling.</w:t>
      </w:r>
    </w:p>
    <w:p w:rsidR="005D6412" w:rsidRPr="00756DA5" w:rsidP="00E41E54">
      <w:pPr>
        <w:spacing w:after="0" w:line="280" w:lineRule="exact"/>
        <w:rPr>
          <w:rFonts w:cs="Arial"/>
          <w:szCs w:val="20"/>
        </w:rPr>
      </w:pPr>
      <w:r w:rsidRPr="00756DA5">
        <w:t xml:space="preserve">The three categories of accident that were stable or improved in 2017 compared to </w:t>
      </w:r>
      <w:r w:rsidRPr="00756DA5">
        <w:t>2016,</w:t>
      </w:r>
      <w:r w:rsidRPr="00756DA5">
        <w:t xml:space="preserve"> are collisions, accidents at level crossings and fires in rolling stock:</w:t>
      </w:r>
    </w:p>
    <w:p w:rsidR="005D6412" w:rsidRPr="00756DA5" w:rsidP="00E41E54">
      <w:pPr>
        <w:pStyle w:val="ListParagraph"/>
        <w:numPr>
          <w:ilvl w:val="0"/>
          <w:numId w:val="21"/>
        </w:numPr>
        <w:spacing w:after="0" w:line="280" w:lineRule="exact"/>
        <w:rPr>
          <w:rFonts w:cs="Arial"/>
          <w:szCs w:val="20"/>
        </w:rPr>
      </w:pPr>
      <w:r w:rsidRPr="00756DA5">
        <w:t>Collisions: although the number of collisions in 2017 was the same as in 2016 (7), there is still an adverse 10-year trend for this category. Six of these collisions occurred between a train and an obstacle on the track and the seventh when one train hit another sideways on in Sélestat on 9 March (cf. Section 2.1).</w:t>
      </w:r>
    </w:p>
    <w:p w:rsidR="005D6412" w:rsidRPr="00756DA5" w:rsidP="00054DA8">
      <w:pPr>
        <w:pStyle w:val="ListParagraph"/>
        <w:numPr>
          <w:ilvl w:val="0"/>
          <w:numId w:val="21"/>
        </w:numPr>
        <w:spacing w:line="280" w:lineRule="exact"/>
        <w:rPr>
          <w:rFonts w:cs="Arial"/>
          <w:szCs w:val="20"/>
        </w:rPr>
      </w:pPr>
      <w:r w:rsidRPr="00756DA5">
        <w:t xml:space="preserve">Accidents at level crossings: their number fell by approximately 14 % in 2017 compared to 2016 but they had </w:t>
      </w:r>
      <w:r w:rsidRPr="00756DA5">
        <w:t>more significant human consequences (cf. Section 2.2.1)</w:t>
      </w:r>
      <w:r w:rsidRPr="00756DA5">
        <w:t xml:space="preserve">. Accidents on the RFN numbered 41, compared to 48 in 2016, mainly </w:t>
      </w:r>
      <w:r w:rsidRPr="00756DA5">
        <w:t>as a result</w:t>
      </w:r>
      <w:r w:rsidRPr="00756DA5">
        <w:t xml:space="preserve"> of failures to comply with the highway code. Measures to prevent these accidents are included in Section 3.3. From the 10-year trend curve for LC accidents, it </w:t>
      </w:r>
      <w:r w:rsidRPr="00756DA5">
        <w:t>can be seen</w:t>
      </w:r>
      <w:r w:rsidRPr="00756DA5">
        <w:t xml:space="preserve"> that it was more stable in 2017, while it more clearly showed a rising trend the previous year.</w:t>
      </w:r>
    </w:p>
    <w:p w:rsidR="005D6412" w:rsidRPr="00756DA5" w:rsidP="00054DA8">
      <w:pPr>
        <w:pStyle w:val="ListParagraph"/>
        <w:numPr>
          <w:ilvl w:val="0"/>
          <w:numId w:val="21"/>
        </w:numPr>
        <w:spacing w:line="280" w:lineRule="exact"/>
        <w:rPr>
          <w:rFonts w:cs="Arial"/>
          <w:szCs w:val="20"/>
        </w:rPr>
      </w:pPr>
      <w:r w:rsidRPr="00756DA5">
        <w:t>Fires in rolling stock: there were no significant accidents to report in this category in 2017 compared to four in 2016, which confirms the improvement noted over the last 10 years.</w:t>
      </w:r>
    </w:p>
    <w:p w:rsidR="005D6412" w:rsidRPr="00756DA5" w:rsidP="00FA6799">
      <w:pPr>
        <w:spacing w:after="0" w:line="280" w:lineRule="exact"/>
        <w:rPr>
          <w:rFonts w:cs="Arial"/>
          <w:szCs w:val="20"/>
        </w:rPr>
      </w:pPr>
      <w:r w:rsidRPr="00756DA5">
        <w:t>The three categories that deteriorated in 2017 compared to 2016 are:</w:t>
      </w:r>
    </w:p>
    <w:p w:rsidR="005D6412" w:rsidRPr="00756DA5" w:rsidP="00FA6799">
      <w:pPr>
        <w:pStyle w:val="ListParagraph"/>
        <w:numPr>
          <w:ilvl w:val="0"/>
          <w:numId w:val="21"/>
        </w:numPr>
        <w:spacing w:after="0" w:line="280" w:lineRule="exact"/>
        <w:rPr>
          <w:rFonts w:cs="Arial"/>
          <w:szCs w:val="20"/>
        </w:rPr>
      </w:pPr>
      <w:r w:rsidRPr="00756DA5">
        <w:t>derailments: the 10-year downward trend for this category continued in 2017, although the number of significant derailments increased with eight accidents, while in 2016 there were five;</w:t>
      </w:r>
    </w:p>
    <w:p w:rsidR="005D6412" w:rsidRPr="00756DA5" w:rsidP="00FA6799">
      <w:pPr>
        <w:pStyle w:val="ListParagraph"/>
        <w:numPr>
          <w:ilvl w:val="0"/>
          <w:numId w:val="21"/>
        </w:numPr>
        <w:spacing w:after="0" w:line="280" w:lineRule="exact"/>
        <w:rPr>
          <w:rFonts w:cs="Arial"/>
          <w:szCs w:val="20"/>
        </w:rPr>
      </w:pPr>
      <w:r w:rsidRPr="00756DA5">
        <w:t>accidents to persons involving rolling stock in motion: with a 10 % increase compared to 2016, a total of 87 accidents were recorded in 2017, which led to a more pronounced rise in the 10-year trend for this category;</w:t>
      </w:r>
    </w:p>
    <w:p w:rsidR="005D6412" w:rsidRPr="00756DA5" w:rsidP="00FA6799">
      <w:pPr>
        <w:pStyle w:val="ListParagraph"/>
        <w:numPr>
          <w:ilvl w:val="0"/>
          <w:numId w:val="21"/>
        </w:numPr>
        <w:spacing w:after="0" w:line="280" w:lineRule="exact"/>
        <w:rPr>
          <w:rFonts w:cs="Arial"/>
          <w:szCs w:val="20"/>
        </w:rPr>
      </w:pPr>
      <w:r w:rsidRPr="00756DA5">
        <w:t>other</w:t>
      </w:r>
      <w:r w:rsidRPr="00756DA5">
        <w:t xml:space="preserve"> accidents: the trend continued to decline despite there being eight accidents in 2017 compared to three in 2016, a year when the figure was exceptionally low.</w:t>
      </w:r>
    </w:p>
    <w:p w:rsidR="00FA6799" w:rsidRPr="00756DA5" w:rsidP="00406979">
      <w:pPr>
        <w:pStyle w:val="ListParagraph"/>
        <w:spacing w:after="0" w:line="280" w:lineRule="exact"/>
        <w:rPr>
          <w:rFonts w:cs="Arial"/>
          <w:szCs w:val="20"/>
        </w:rPr>
      </w:pPr>
    </w:p>
    <w:p w:rsidR="005D6412" w:rsidRPr="00756DA5" w:rsidP="007D59B2">
      <w:pPr>
        <w:spacing w:line="280" w:lineRule="exact"/>
        <w:rPr>
          <w:rFonts w:cs="Arial"/>
          <w:szCs w:val="20"/>
        </w:rPr>
      </w:pPr>
      <w:r w:rsidRPr="00756DA5">
        <w:rPr>
          <w:noProof/>
          <w:lang w:val="fr-FR" w:eastAsia="fr-FR"/>
        </w:rPr>
        <w:drawing>
          <wp:anchor distT="0" distB="0" distL="114300" distR="114300" simplePos="0" relativeHeight="251663360" behindDoc="0" locked="0" layoutInCell="1" allowOverlap="1">
            <wp:simplePos x="0" y="0"/>
            <wp:positionH relativeFrom="column">
              <wp:posOffset>68580</wp:posOffset>
            </wp:positionH>
            <wp:positionV relativeFrom="paragraph">
              <wp:posOffset>450215</wp:posOffset>
            </wp:positionV>
            <wp:extent cx="5759450" cy="3228975"/>
            <wp:effectExtent l="0" t="0" r="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45191"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759450" cy="3228975"/>
                    </a:xfrm>
                    <a:prstGeom prst="rect">
                      <a:avLst/>
                    </a:prstGeom>
                  </pic:spPr>
                </pic:pic>
              </a:graphicData>
            </a:graphic>
          </wp:anchor>
        </w:drawing>
      </w:r>
      <w:r w:rsidRPr="00756DA5">
        <w:t>The following graph shows that the number of purely railway accidents remained stable, continuing the progress observed in 2016, with 15 accidents compared to 136 involving third parties.</w:t>
      </w:r>
    </w:p>
    <w:tbl>
      <w:tblPr>
        <w:tblStyle w:val="TableGrid"/>
        <w:tblW w:w="9062" w:type="dxa"/>
        <w:tblLook w:val="04A0"/>
      </w:tblPr>
      <w:tblGrid>
        <w:gridCol w:w="4531"/>
        <w:gridCol w:w="4531"/>
      </w:tblGrid>
      <w:tr w:rsidTr="002C4E6A">
        <w:tblPrEx>
          <w:tblW w:w="9062" w:type="dxa"/>
          <w:tblLook w:val="04A0"/>
        </w:tblPrEx>
        <w:tc>
          <w:tcPr>
            <w:tcW w:w="4531" w:type="dxa"/>
          </w:tcPr>
          <w:p w:rsidR="002C4E6A" w:rsidRPr="00756DA5" w:rsidP="002C4E6A">
            <w:pPr>
              <w:jc w:val="left"/>
              <w:rPr>
                <w:rFonts w:cs="Arial"/>
                <w:sz w:val="18"/>
                <w:szCs w:val="18"/>
                <w:shd w:val="clear" w:color="auto" w:fill="FFFFFF"/>
              </w:rPr>
            </w:pPr>
            <w:r w:rsidRPr="00756DA5">
              <w:rPr>
                <w:sz w:val="18"/>
                <w:szCs w:val="18"/>
                <w:shd w:val="clear" w:color="auto" w:fill="FFFFFF"/>
              </w:rPr>
              <w:t>Autres accidents (personnes heurtées par un train / passages à niveau / autres)</w:t>
            </w:r>
          </w:p>
        </w:tc>
        <w:tc>
          <w:tcPr>
            <w:tcW w:w="4531" w:type="dxa"/>
          </w:tcPr>
          <w:p w:rsidR="002C4E6A" w:rsidRPr="00756DA5" w:rsidP="002C4E6A">
            <w:pPr>
              <w:jc w:val="left"/>
              <w:rPr>
                <w:rFonts w:cs="Arial"/>
                <w:sz w:val="18"/>
                <w:szCs w:val="18"/>
                <w:shd w:val="clear" w:color="auto" w:fill="FFFFFF"/>
              </w:rPr>
            </w:pPr>
            <w:r w:rsidRPr="00756DA5">
              <w:rPr>
                <w:sz w:val="18"/>
                <w:szCs w:val="18"/>
                <w:shd w:val="clear" w:color="auto" w:fill="FFFFFF"/>
              </w:rPr>
              <w:t>Other accidents (people struck by a train/level crossings/other)</w:t>
            </w:r>
          </w:p>
        </w:tc>
      </w:tr>
      <w:tr w:rsidTr="002C4E6A">
        <w:tblPrEx>
          <w:tblW w:w="9062" w:type="dxa"/>
          <w:tblLook w:val="04A0"/>
        </w:tblPrEx>
        <w:tc>
          <w:tcPr>
            <w:tcW w:w="4531" w:type="dxa"/>
          </w:tcPr>
          <w:p w:rsidR="002C4E6A" w:rsidRPr="00756DA5" w:rsidP="002C4E6A">
            <w:pPr>
              <w:jc w:val="left"/>
              <w:rPr>
                <w:rFonts w:cs="Arial"/>
                <w:sz w:val="18"/>
                <w:szCs w:val="18"/>
                <w:shd w:val="clear" w:color="auto" w:fill="FFFFFF"/>
              </w:rPr>
            </w:pPr>
            <w:r w:rsidRPr="00756DA5">
              <w:rPr>
                <w:sz w:val="18"/>
                <w:szCs w:val="18"/>
                <w:shd w:val="clear" w:color="auto" w:fill="FFFFFF"/>
              </w:rPr>
              <w:t>Accidents lies aux circulations ferroviaires (collisions / déraillements / incendies)</w:t>
            </w:r>
          </w:p>
        </w:tc>
        <w:tc>
          <w:tcPr>
            <w:tcW w:w="4531" w:type="dxa"/>
          </w:tcPr>
          <w:p w:rsidR="002C4E6A" w:rsidRPr="00756DA5" w:rsidP="002C4E6A">
            <w:pPr>
              <w:jc w:val="left"/>
              <w:rPr>
                <w:rFonts w:cs="Arial"/>
                <w:sz w:val="18"/>
                <w:szCs w:val="18"/>
                <w:shd w:val="clear" w:color="auto" w:fill="FFFFFF"/>
              </w:rPr>
            </w:pPr>
            <w:r w:rsidRPr="00756DA5">
              <w:rPr>
                <w:sz w:val="18"/>
                <w:szCs w:val="18"/>
                <w:shd w:val="clear" w:color="auto" w:fill="FFFFFF"/>
              </w:rPr>
              <w:t>Accidents involving railway traffic (collisions/derailments/fires)</w:t>
            </w:r>
          </w:p>
        </w:tc>
      </w:tr>
    </w:tbl>
    <w:p w:rsidR="001A1D8A" w:rsidRPr="00756DA5" w:rsidP="005D6412">
      <w:pPr>
        <w:spacing w:line="280" w:lineRule="exact"/>
        <w:rPr>
          <w:rFonts w:cs="Arial"/>
          <w:szCs w:val="20"/>
        </w:rPr>
      </w:pPr>
    </w:p>
    <w:p w:rsidR="005D6412" w:rsidRPr="00756DA5" w:rsidP="005D6412">
      <w:pPr>
        <w:spacing w:line="280" w:lineRule="exact"/>
        <w:rPr>
          <w:rFonts w:cs="Arial"/>
          <w:szCs w:val="20"/>
        </w:rPr>
      </w:pPr>
      <w:r w:rsidRPr="00756DA5">
        <w:t>The following graphs present the ratio of the different types of accidents to traffic in millions of train-km:</w:t>
      </w:r>
    </w:p>
    <w:p w:rsidR="005D6412" w:rsidRPr="00756DA5" w:rsidP="005D6412">
      <w:pPr>
        <w:rPr>
          <w:rFonts w:cs="Arial"/>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2"/>
        <w:gridCol w:w="145"/>
        <w:gridCol w:w="258"/>
        <w:gridCol w:w="1822"/>
        <w:gridCol w:w="2374"/>
        <w:gridCol w:w="249"/>
        <w:gridCol w:w="1902"/>
      </w:tblGrid>
      <w:tr w:rsidTr="0086522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03"/>
        </w:trPr>
        <w:tc>
          <w:tcPr>
            <w:tcW w:w="4545" w:type="dxa"/>
            <w:gridSpan w:val="4"/>
          </w:tcPr>
          <w:p w:rsidR="00680840" w:rsidRPr="00756DA5" w:rsidP="00680840">
            <w:pPr>
              <w:rPr>
                <w:rFonts w:cs="Arial"/>
                <w:noProof/>
              </w:rPr>
            </w:pPr>
            <w:r w:rsidRPr="00756DA5">
              <w:rPr>
                <w:noProof/>
                <w:lang w:val="fr-FR" w:eastAsia="fr-FR"/>
              </w:rPr>
              <w:drawing>
                <wp:inline distT="0" distB="0" distL="0" distR="0">
                  <wp:extent cx="2671281" cy="2143861"/>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53923" name="Picture 6"/>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6770" cy="2156292"/>
                          </a:xfrm>
                          <a:prstGeom prst="rect">
                            <a:avLst/>
                          </a:prstGeom>
                          <a:noFill/>
                          <a:ln>
                            <a:noFill/>
                          </a:ln>
                        </pic:spPr>
                      </pic:pic>
                    </a:graphicData>
                  </a:graphic>
                </wp:inline>
              </w:drawing>
            </w:r>
          </w:p>
        </w:tc>
        <w:tc>
          <w:tcPr>
            <w:tcW w:w="4527" w:type="dxa"/>
            <w:gridSpan w:val="3"/>
          </w:tcPr>
          <w:p w:rsidR="00680840" w:rsidRPr="00756DA5" w:rsidP="00663073">
            <w:pPr>
              <w:rPr>
                <w:rFonts w:cs="Arial"/>
                <w:noProof/>
              </w:rPr>
            </w:pPr>
            <w:r w:rsidRPr="00756DA5">
              <w:rPr>
                <w:noProof/>
                <w:lang w:val="fr-FR" w:eastAsia="fr-FR"/>
              </w:rPr>
              <w:drawing>
                <wp:inline distT="0" distB="0" distL="0" distR="0">
                  <wp:extent cx="2691829" cy="2168831"/>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76750" name="Picture 7"/>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5961" cy="2188275"/>
                          </a:xfrm>
                          <a:prstGeom prst="rect">
                            <a:avLst/>
                          </a:prstGeom>
                          <a:noFill/>
                          <a:ln>
                            <a:noFill/>
                          </a:ln>
                        </pic:spPr>
                      </pic:pic>
                    </a:graphicData>
                  </a:graphic>
                </wp:inline>
              </w:drawing>
            </w:r>
          </w:p>
        </w:tc>
      </w:tr>
      <w:tr w:rsidTr="0086522B">
        <w:tblPrEx>
          <w:tblW w:w="0" w:type="auto"/>
          <w:tblLook w:val="04A0"/>
        </w:tblPrEx>
        <w:trPr>
          <w:trHeight w:val="129"/>
        </w:trPr>
        <w:tc>
          <w:tcPr>
            <w:tcW w:w="2684" w:type="dxa"/>
            <w:gridSpan w:val="3"/>
          </w:tcPr>
          <w:p w:rsidR="00362DF8" w:rsidRPr="00756DA5" w:rsidP="00362DF8">
            <w:pPr>
              <w:jc w:val="left"/>
              <w:rPr>
                <w:rFonts w:cs="Arial"/>
                <w:sz w:val="16"/>
                <w:szCs w:val="16"/>
              </w:rPr>
            </w:pPr>
            <w:r w:rsidRPr="00756DA5">
              <w:rPr>
                <w:sz w:val="16"/>
                <w:szCs w:val="16"/>
                <w:lang w:eastAsia="zh-CN" w:bidi="mn-Mong-CN"/>
              </w:rPr>
              <w:t>Nombre relatif de collisions par million de train-km</w:t>
            </w:r>
          </w:p>
        </w:tc>
        <w:tc>
          <w:tcPr>
            <w:tcW w:w="1861" w:type="dxa"/>
          </w:tcPr>
          <w:p w:rsidR="00362DF8" w:rsidRPr="00756DA5" w:rsidP="00362DF8">
            <w:pPr>
              <w:jc w:val="left"/>
              <w:rPr>
                <w:rFonts w:cs="Arial"/>
                <w:sz w:val="16"/>
                <w:szCs w:val="16"/>
              </w:rPr>
            </w:pPr>
            <w:r w:rsidRPr="00756DA5">
              <w:rPr>
                <w:sz w:val="16"/>
                <w:szCs w:val="16"/>
              </w:rPr>
              <w:t>Number of collisions per million train-km</w:t>
            </w:r>
          </w:p>
        </w:tc>
        <w:tc>
          <w:tcPr>
            <w:tcW w:w="2603" w:type="dxa"/>
            <w:gridSpan w:val="2"/>
          </w:tcPr>
          <w:p w:rsidR="00362DF8" w:rsidRPr="00756DA5" w:rsidP="00362DF8">
            <w:pPr>
              <w:jc w:val="left"/>
              <w:rPr>
                <w:rFonts w:cs="Arial"/>
                <w:sz w:val="16"/>
                <w:szCs w:val="16"/>
              </w:rPr>
            </w:pPr>
            <w:r w:rsidRPr="00756DA5">
              <w:rPr>
                <w:sz w:val="16"/>
                <w:szCs w:val="16"/>
                <w:lang w:eastAsia="zh-CN" w:bidi="mn-Mong-CN"/>
              </w:rPr>
              <w:t>Nombre relatif de déraillements par million de train-km</w:t>
            </w:r>
          </w:p>
        </w:tc>
        <w:tc>
          <w:tcPr>
            <w:tcW w:w="1924" w:type="dxa"/>
          </w:tcPr>
          <w:p w:rsidR="00362DF8" w:rsidRPr="00756DA5" w:rsidP="00362DF8">
            <w:pPr>
              <w:jc w:val="left"/>
              <w:rPr>
                <w:rFonts w:cs="Arial"/>
                <w:sz w:val="16"/>
                <w:szCs w:val="16"/>
              </w:rPr>
            </w:pPr>
            <w:r w:rsidRPr="00756DA5">
              <w:rPr>
                <w:sz w:val="16"/>
                <w:szCs w:val="16"/>
              </w:rPr>
              <w:t>Number of derailments per million train-km</w:t>
            </w:r>
          </w:p>
        </w:tc>
      </w:tr>
      <w:tr w:rsidTr="0086522B">
        <w:tblPrEx>
          <w:tblW w:w="0" w:type="auto"/>
          <w:tblLook w:val="04A0"/>
        </w:tblPrEx>
        <w:trPr>
          <w:trHeight w:val="118"/>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0,05</w:t>
            </w:r>
          </w:p>
        </w:tc>
        <w:tc>
          <w:tcPr>
            <w:tcW w:w="1861" w:type="dxa"/>
          </w:tcPr>
          <w:p w:rsidR="00362DF8" w:rsidRPr="00756DA5" w:rsidP="00362DF8">
            <w:pPr>
              <w:rPr>
                <w:rFonts w:cs="Arial"/>
                <w:noProof/>
                <w:sz w:val="16"/>
                <w:szCs w:val="16"/>
              </w:rPr>
            </w:pPr>
            <w:r w:rsidRPr="00756DA5">
              <w:rPr>
                <w:sz w:val="16"/>
                <w:szCs w:val="16"/>
              </w:rPr>
              <w:t>0.05</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0,04</w:t>
            </w:r>
          </w:p>
        </w:tc>
        <w:tc>
          <w:tcPr>
            <w:tcW w:w="1924" w:type="dxa"/>
          </w:tcPr>
          <w:p w:rsidR="00362DF8" w:rsidRPr="00756DA5" w:rsidP="00362DF8">
            <w:pPr>
              <w:rPr>
                <w:rFonts w:cs="Arial"/>
                <w:noProof/>
                <w:sz w:val="16"/>
                <w:szCs w:val="16"/>
              </w:rPr>
            </w:pPr>
            <w:r w:rsidRPr="00756DA5">
              <w:rPr>
                <w:sz w:val="16"/>
                <w:szCs w:val="16"/>
              </w:rPr>
              <w:t>0.04</w:t>
            </w:r>
          </w:p>
        </w:tc>
      </w:tr>
      <w:tr w:rsidTr="0086522B">
        <w:tblPrEx>
          <w:tblW w:w="0" w:type="auto"/>
          <w:tblLook w:val="04A0"/>
        </w:tblPrEx>
        <w:trPr>
          <w:trHeight w:val="118"/>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0,04</w:t>
            </w:r>
          </w:p>
        </w:tc>
        <w:tc>
          <w:tcPr>
            <w:tcW w:w="1861" w:type="dxa"/>
          </w:tcPr>
          <w:p w:rsidR="00362DF8" w:rsidRPr="00756DA5" w:rsidP="00362DF8">
            <w:pPr>
              <w:rPr>
                <w:rFonts w:cs="Arial"/>
                <w:noProof/>
                <w:sz w:val="16"/>
                <w:szCs w:val="16"/>
              </w:rPr>
            </w:pPr>
            <w:r w:rsidRPr="00756DA5">
              <w:rPr>
                <w:sz w:val="16"/>
                <w:szCs w:val="16"/>
              </w:rPr>
              <w:t>0.04</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0,03</w:t>
            </w:r>
          </w:p>
        </w:tc>
        <w:tc>
          <w:tcPr>
            <w:tcW w:w="1924" w:type="dxa"/>
          </w:tcPr>
          <w:p w:rsidR="00362DF8" w:rsidRPr="00756DA5" w:rsidP="00362DF8">
            <w:pPr>
              <w:rPr>
                <w:rFonts w:cs="Arial"/>
                <w:noProof/>
                <w:sz w:val="16"/>
                <w:szCs w:val="16"/>
              </w:rPr>
            </w:pPr>
            <w:r w:rsidRPr="00756DA5">
              <w:rPr>
                <w:sz w:val="16"/>
                <w:szCs w:val="16"/>
              </w:rPr>
              <w:t>0.03</w:t>
            </w:r>
          </w:p>
        </w:tc>
      </w:tr>
      <w:tr w:rsidTr="0086522B">
        <w:tblPrEx>
          <w:tblW w:w="0" w:type="auto"/>
          <w:tblLook w:val="04A0"/>
        </w:tblPrEx>
        <w:trPr>
          <w:trHeight w:val="118"/>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0,03</w:t>
            </w:r>
          </w:p>
        </w:tc>
        <w:tc>
          <w:tcPr>
            <w:tcW w:w="1861" w:type="dxa"/>
          </w:tcPr>
          <w:p w:rsidR="00362DF8" w:rsidRPr="00756DA5" w:rsidP="00362DF8">
            <w:pPr>
              <w:rPr>
                <w:rFonts w:cs="Arial"/>
                <w:noProof/>
                <w:sz w:val="16"/>
                <w:szCs w:val="16"/>
              </w:rPr>
            </w:pPr>
            <w:r w:rsidRPr="00756DA5">
              <w:rPr>
                <w:sz w:val="16"/>
                <w:szCs w:val="16"/>
              </w:rPr>
              <w:t>0.03</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0,02</w:t>
            </w:r>
          </w:p>
        </w:tc>
        <w:tc>
          <w:tcPr>
            <w:tcW w:w="1924" w:type="dxa"/>
          </w:tcPr>
          <w:p w:rsidR="00362DF8" w:rsidRPr="00756DA5" w:rsidP="00362DF8">
            <w:pPr>
              <w:rPr>
                <w:rFonts w:cs="Arial"/>
                <w:noProof/>
                <w:sz w:val="16"/>
                <w:szCs w:val="16"/>
              </w:rPr>
            </w:pPr>
            <w:r w:rsidRPr="00756DA5">
              <w:rPr>
                <w:sz w:val="16"/>
                <w:szCs w:val="16"/>
              </w:rPr>
              <w:t>0.02</w:t>
            </w:r>
          </w:p>
        </w:tc>
      </w:tr>
      <w:tr w:rsidTr="0086522B">
        <w:tblPrEx>
          <w:tblW w:w="0" w:type="auto"/>
          <w:tblLook w:val="04A0"/>
        </w:tblPrEx>
        <w:trPr>
          <w:trHeight w:val="118"/>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0,02</w:t>
            </w:r>
          </w:p>
        </w:tc>
        <w:tc>
          <w:tcPr>
            <w:tcW w:w="1861" w:type="dxa"/>
          </w:tcPr>
          <w:p w:rsidR="00362DF8" w:rsidRPr="00756DA5" w:rsidP="00362DF8">
            <w:pPr>
              <w:rPr>
                <w:rFonts w:cs="Arial"/>
                <w:noProof/>
                <w:sz w:val="16"/>
                <w:szCs w:val="16"/>
              </w:rPr>
            </w:pPr>
            <w:r w:rsidRPr="00756DA5">
              <w:rPr>
                <w:sz w:val="16"/>
                <w:szCs w:val="16"/>
              </w:rPr>
              <w:t>0.02</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0,01</w:t>
            </w:r>
          </w:p>
        </w:tc>
        <w:tc>
          <w:tcPr>
            <w:tcW w:w="1924" w:type="dxa"/>
          </w:tcPr>
          <w:p w:rsidR="00362DF8" w:rsidRPr="00756DA5" w:rsidP="00362DF8">
            <w:pPr>
              <w:rPr>
                <w:rFonts w:cs="Arial"/>
                <w:noProof/>
                <w:sz w:val="16"/>
                <w:szCs w:val="16"/>
              </w:rPr>
            </w:pPr>
            <w:r w:rsidRPr="00756DA5">
              <w:rPr>
                <w:sz w:val="16"/>
                <w:szCs w:val="16"/>
              </w:rPr>
              <w:t>0.01</w:t>
            </w:r>
          </w:p>
        </w:tc>
      </w:tr>
      <w:tr w:rsidTr="0086522B">
        <w:tblPrEx>
          <w:tblW w:w="0" w:type="auto"/>
          <w:tblLook w:val="04A0"/>
        </w:tblPrEx>
        <w:trPr>
          <w:trHeight w:val="70"/>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0,01</w:t>
            </w:r>
          </w:p>
        </w:tc>
        <w:tc>
          <w:tcPr>
            <w:tcW w:w="1861" w:type="dxa"/>
          </w:tcPr>
          <w:p w:rsidR="00362DF8" w:rsidRPr="00756DA5" w:rsidP="00362DF8">
            <w:pPr>
              <w:rPr>
                <w:rFonts w:cs="Arial"/>
                <w:noProof/>
                <w:sz w:val="16"/>
                <w:szCs w:val="16"/>
              </w:rPr>
            </w:pPr>
            <w:r w:rsidRPr="00756DA5">
              <w:rPr>
                <w:sz w:val="16"/>
                <w:szCs w:val="16"/>
              </w:rPr>
              <w:t>0.01</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0,00</w:t>
            </w:r>
          </w:p>
        </w:tc>
        <w:tc>
          <w:tcPr>
            <w:tcW w:w="1924" w:type="dxa"/>
          </w:tcPr>
          <w:p w:rsidR="00362DF8" w:rsidRPr="00756DA5" w:rsidP="00362DF8">
            <w:pPr>
              <w:rPr>
                <w:rFonts w:cs="Arial"/>
                <w:noProof/>
                <w:sz w:val="16"/>
                <w:szCs w:val="16"/>
              </w:rPr>
            </w:pPr>
            <w:r w:rsidRPr="00756DA5">
              <w:rPr>
                <w:sz w:val="16"/>
                <w:szCs w:val="16"/>
              </w:rPr>
              <w:t>0.00</w:t>
            </w:r>
          </w:p>
        </w:tc>
      </w:tr>
      <w:tr w:rsidTr="0086522B">
        <w:tblPrEx>
          <w:tblW w:w="0" w:type="auto"/>
          <w:tblLook w:val="04A0"/>
        </w:tblPrEx>
        <w:trPr>
          <w:trHeight w:val="70"/>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0,00</w:t>
            </w:r>
          </w:p>
        </w:tc>
        <w:tc>
          <w:tcPr>
            <w:tcW w:w="1861" w:type="dxa"/>
          </w:tcPr>
          <w:p w:rsidR="00362DF8" w:rsidRPr="00756DA5" w:rsidP="00362DF8">
            <w:pPr>
              <w:rPr>
                <w:rFonts w:cs="Arial"/>
                <w:noProof/>
                <w:sz w:val="16"/>
                <w:szCs w:val="16"/>
              </w:rPr>
            </w:pPr>
            <w:r w:rsidRPr="00756DA5">
              <w:rPr>
                <w:sz w:val="16"/>
                <w:szCs w:val="16"/>
              </w:rPr>
              <w:t>0.00</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0,022</w:t>
            </w:r>
          </w:p>
        </w:tc>
        <w:tc>
          <w:tcPr>
            <w:tcW w:w="1924" w:type="dxa"/>
          </w:tcPr>
          <w:p w:rsidR="00362DF8" w:rsidRPr="00756DA5" w:rsidP="00362DF8">
            <w:pPr>
              <w:rPr>
                <w:rFonts w:cs="Arial"/>
                <w:noProof/>
                <w:sz w:val="16"/>
                <w:szCs w:val="16"/>
              </w:rPr>
            </w:pPr>
            <w:r w:rsidRPr="00756DA5">
              <w:rPr>
                <w:sz w:val="16"/>
                <w:szCs w:val="16"/>
              </w:rPr>
              <w:t>0.022</w:t>
            </w:r>
          </w:p>
        </w:tc>
      </w:tr>
      <w:tr w:rsidTr="0086522B">
        <w:tblPrEx>
          <w:tblW w:w="0" w:type="auto"/>
          <w:tblLook w:val="04A0"/>
        </w:tblPrEx>
        <w:trPr>
          <w:trHeight w:val="70"/>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0,020</w:t>
            </w:r>
          </w:p>
        </w:tc>
        <w:tc>
          <w:tcPr>
            <w:tcW w:w="1861" w:type="dxa"/>
          </w:tcPr>
          <w:p w:rsidR="00362DF8" w:rsidRPr="00756DA5" w:rsidP="00362DF8">
            <w:pPr>
              <w:rPr>
                <w:rFonts w:cs="Arial"/>
                <w:noProof/>
                <w:sz w:val="16"/>
                <w:szCs w:val="16"/>
              </w:rPr>
            </w:pPr>
            <w:r w:rsidRPr="00756DA5">
              <w:rPr>
                <w:sz w:val="16"/>
                <w:szCs w:val="16"/>
              </w:rPr>
              <w:t>0.020</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0,031</w:t>
            </w:r>
          </w:p>
        </w:tc>
        <w:tc>
          <w:tcPr>
            <w:tcW w:w="1924" w:type="dxa"/>
          </w:tcPr>
          <w:p w:rsidR="00362DF8" w:rsidRPr="00756DA5" w:rsidP="00362DF8">
            <w:pPr>
              <w:rPr>
                <w:rFonts w:cs="Arial"/>
                <w:noProof/>
                <w:sz w:val="16"/>
                <w:szCs w:val="16"/>
              </w:rPr>
            </w:pPr>
            <w:r w:rsidRPr="00756DA5">
              <w:rPr>
                <w:sz w:val="16"/>
                <w:szCs w:val="16"/>
              </w:rPr>
              <w:t>0.031</w:t>
            </w:r>
          </w:p>
        </w:tc>
      </w:tr>
      <w:tr w:rsidTr="0086522B">
        <w:tblPrEx>
          <w:tblW w:w="0" w:type="auto"/>
          <w:tblLook w:val="04A0"/>
        </w:tblPrEx>
        <w:trPr>
          <w:trHeight w:val="70"/>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0,047</w:t>
            </w:r>
          </w:p>
        </w:tc>
        <w:tc>
          <w:tcPr>
            <w:tcW w:w="1861" w:type="dxa"/>
          </w:tcPr>
          <w:p w:rsidR="00362DF8" w:rsidRPr="00756DA5" w:rsidP="00362DF8">
            <w:pPr>
              <w:rPr>
                <w:rFonts w:cs="Arial"/>
                <w:noProof/>
                <w:sz w:val="16"/>
                <w:szCs w:val="16"/>
              </w:rPr>
            </w:pPr>
            <w:r w:rsidRPr="00756DA5">
              <w:rPr>
                <w:sz w:val="16"/>
                <w:szCs w:val="16"/>
              </w:rPr>
              <w:t>0.047</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0,022</w:t>
            </w:r>
          </w:p>
        </w:tc>
        <w:tc>
          <w:tcPr>
            <w:tcW w:w="1924" w:type="dxa"/>
          </w:tcPr>
          <w:p w:rsidR="00362DF8" w:rsidRPr="00756DA5" w:rsidP="00362DF8">
            <w:pPr>
              <w:rPr>
                <w:rFonts w:cs="Arial"/>
                <w:noProof/>
                <w:sz w:val="16"/>
                <w:szCs w:val="16"/>
              </w:rPr>
            </w:pPr>
            <w:r w:rsidRPr="00756DA5">
              <w:rPr>
                <w:sz w:val="16"/>
                <w:szCs w:val="16"/>
              </w:rPr>
              <w:t>0.022</w:t>
            </w:r>
          </w:p>
        </w:tc>
      </w:tr>
      <w:tr w:rsidTr="0086522B">
        <w:tblPrEx>
          <w:tblW w:w="0" w:type="auto"/>
          <w:tblLook w:val="04A0"/>
        </w:tblPrEx>
        <w:trPr>
          <w:trHeight w:val="70"/>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0,055</w:t>
            </w:r>
          </w:p>
        </w:tc>
        <w:tc>
          <w:tcPr>
            <w:tcW w:w="1861" w:type="dxa"/>
          </w:tcPr>
          <w:p w:rsidR="00362DF8" w:rsidRPr="00756DA5" w:rsidP="00362DF8">
            <w:pPr>
              <w:rPr>
                <w:rFonts w:cs="Arial"/>
                <w:noProof/>
                <w:sz w:val="16"/>
                <w:szCs w:val="16"/>
              </w:rPr>
            </w:pPr>
            <w:r w:rsidRPr="00756DA5">
              <w:rPr>
                <w:sz w:val="16"/>
                <w:szCs w:val="16"/>
              </w:rPr>
              <w:t>0.055</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0,011</w:t>
            </w:r>
          </w:p>
        </w:tc>
        <w:tc>
          <w:tcPr>
            <w:tcW w:w="1924" w:type="dxa"/>
          </w:tcPr>
          <w:p w:rsidR="00362DF8" w:rsidRPr="00756DA5" w:rsidP="00362DF8">
            <w:pPr>
              <w:rPr>
                <w:rFonts w:cs="Arial"/>
                <w:noProof/>
                <w:sz w:val="16"/>
                <w:szCs w:val="16"/>
              </w:rPr>
            </w:pPr>
            <w:r w:rsidRPr="00756DA5">
              <w:rPr>
                <w:sz w:val="16"/>
                <w:szCs w:val="16"/>
              </w:rPr>
              <w:t>0.011</w:t>
            </w:r>
          </w:p>
        </w:tc>
      </w:tr>
      <w:tr w:rsidTr="0086522B">
        <w:tblPrEx>
          <w:tblW w:w="0" w:type="auto"/>
          <w:tblLook w:val="04A0"/>
        </w:tblPrEx>
        <w:trPr>
          <w:trHeight w:val="70"/>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0,015</w:t>
            </w:r>
          </w:p>
        </w:tc>
        <w:tc>
          <w:tcPr>
            <w:tcW w:w="1861" w:type="dxa"/>
          </w:tcPr>
          <w:p w:rsidR="00362DF8" w:rsidRPr="00756DA5" w:rsidP="00362DF8">
            <w:pPr>
              <w:rPr>
                <w:rFonts w:cs="Arial"/>
                <w:noProof/>
                <w:sz w:val="16"/>
                <w:szCs w:val="16"/>
              </w:rPr>
            </w:pPr>
            <w:r w:rsidRPr="00756DA5">
              <w:rPr>
                <w:sz w:val="16"/>
                <w:szCs w:val="16"/>
              </w:rPr>
              <w:t>0.015</w:t>
            </w:r>
          </w:p>
        </w:tc>
        <w:tc>
          <w:tcPr>
            <w:tcW w:w="2603" w:type="dxa"/>
            <w:gridSpan w:val="2"/>
          </w:tcPr>
          <w:p w:rsidR="00362DF8" w:rsidRPr="00756DA5" w:rsidP="00362DF8">
            <w:pPr>
              <w:rPr>
                <w:rFonts w:cs="Arial"/>
                <w:noProof/>
                <w:sz w:val="16"/>
                <w:szCs w:val="16"/>
              </w:rPr>
            </w:pPr>
            <w:r w:rsidRPr="00756DA5">
              <w:rPr>
                <w:sz w:val="16"/>
                <w:szCs w:val="16"/>
                <w:lang w:val="fr-LU" w:eastAsia="zh-CN" w:bidi="mn-Mong-CN"/>
              </w:rPr>
              <w:t>0,016</w:t>
            </w:r>
          </w:p>
        </w:tc>
        <w:tc>
          <w:tcPr>
            <w:tcW w:w="1924" w:type="dxa"/>
          </w:tcPr>
          <w:p w:rsidR="00362DF8" w:rsidRPr="00756DA5" w:rsidP="00362DF8">
            <w:pPr>
              <w:rPr>
                <w:rFonts w:cs="Arial"/>
                <w:noProof/>
                <w:sz w:val="16"/>
                <w:szCs w:val="16"/>
              </w:rPr>
            </w:pPr>
            <w:r w:rsidRPr="00756DA5">
              <w:rPr>
                <w:sz w:val="16"/>
                <w:szCs w:val="16"/>
              </w:rPr>
              <w:t>0.016</w:t>
            </w:r>
          </w:p>
        </w:tc>
      </w:tr>
      <w:tr w:rsidTr="0086522B">
        <w:tblPrEx>
          <w:tblW w:w="0" w:type="auto"/>
          <w:tblLook w:val="04A0"/>
        </w:tblPrEx>
        <w:trPr>
          <w:trHeight w:val="70"/>
        </w:trPr>
        <w:tc>
          <w:tcPr>
            <w:tcW w:w="2684" w:type="dxa"/>
            <w:gridSpan w:val="3"/>
          </w:tcPr>
          <w:p w:rsidR="00362DF8" w:rsidRPr="00756DA5" w:rsidP="00362DF8">
            <w:pPr>
              <w:rPr>
                <w:rFonts w:cs="Arial"/>
                <w:noProof/>
                <w:sz w:val="16"/>
                <w:szCs w:val="16"/>
              </w:rPr>
            </w:pPr>
            <w:r w:rsidRPr="00756DA5">
              <w:rPr>
                <w:sz w:val="16"/>
                <w:szCs w:val="16"/>
                <w:lang w:val="fr-LU" w:eastAsia="zh-CN" w:bidi="mn-Mong-CN"/>
              </w:rPr>
              <w:t>0,014</w:t>
            </w:r>
          </w:p>
        </w:tc>
        <w:tc>
          <w:tcPr>
            <w:tcW w:w="1861" w:type="dxa"/>
          </w:tcPr>
          <w:p w:rsidR="00362DF8" w:rsidRPr="00756DA5" w:rsidP="00362DF8">
            <w:pPr>
              <w:rPr>
                <w:rFonts w:cs="Arial"/>
                <w:noProof/>
                <w:sz w:val="16"/>
                <w:szCs w:val="16"/>
              </w:rPr>
            </w:pPr>
            <w:r w:rsidRPr="00756DA5">
              <w:rPr>
                <w:sz w:val="16"/>
                <w:szCs w:val="16"/>
              </w:rPr>
              <w:t>0.014</w:t>
            </w:r>
          </w:p>
        </w:tc>
        <w:tc>
          <w:tcPr>
            <w:tcW w:w="2603" w:type="dxa"/>
            <w:gridSpan w:val="2"/>
          </w:tcPr>
          <w:p w:rsidR="00362DF8" w:rsidRPr="00756DA5" w:rsidP="00362DF8">
            <w:pPr>
              <w:rPr>
                <w:rFonts w:cs="Arial"/>
                <w:noProof/>
                <w:sz w:val="16"/>
                <w:szCs w:val="16"/>
                <w:lang w:val="fr-LU" w:eastAsia="zh-CN" w:bidi="mn-Mong-CN"/>
              </w:rPr>
            </w:pPr>
          </w:p>
        </w:tc>
        <w:tc>
          <w:tcPr>
            <w:tcW w:w="1924" w:type="dxa"/>
          </w:tcPr>
          <w:p w:rsidR="00362DF8" w:rsidRPr="00756DA5" w:rsidP="00362DF8">
            <w:pPr>
              <w:rPr>
                <w:rFonts w:cs="Arial"/>
                <w:noProof/>
                <w:sz w:val="16"/>
                <w:szCs w:val="16"/>
                <w:lang w:val="fr-LU" w:eastAsia="zh-CN" w:bidi="mn-Mong-CN"/>
              </w:rPr>
            </w:pPr>
          </w:p>
        </w:tc>
      </w:tr>
      <w:tr w:rsidTr="0086522B">
        <w:tblPrEx>
          <w:tblW w:w="0" w:type="auto"/>
          <w:tblLook w:val="04A0"/>
        </w:tblPrEx>
        <w:tc>
          <w:tcPr>
            <w:tcW w:w="4545" w:type="dxa"/>
            <w:gridSpan w:val="4"/>
          </w:tcPr>
          <w:p w:rsidR="005D6412" w:rsidRPr="00756DA5" w:rsidP="00663073">
            <w:pPr>
              <w:rPr>
                <w:rFonts w:cs="Arial"/>
                <w:noProof/>
              </w:rPr>
            </w:pPr>
            <w:r w:rsidRPr="00756DA5">
              <w:rPr>
                <w:noProof/>
                <w:lang w:val="fr-FR" w:eastAsia="fr-FR"/>
              </w:rPr>
              <w:drawing>
                <wp:inline distT="0" distB="0" distL="0" distR="0">
                  <wp:extent cx="2800350" cy="225013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45557" name="Picture 1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1288" cy="2258924"/>
                          </a:xfrm>
                          <a:prstGeom prst="rect">
                            <a:avLst/>
                          </a:prstGeom>
                          <a:noFill/>
                          <a:ln>
                            <a:noFill/>
                          </a:ln>
                        </pic:spPr>
                      </pic:pic>
                    </a:graphicData>
                  </a:graphic>
                </wp:inline>
              </w:drawing>
            </w:r>
          </w:p>
        </w:tc>
        <w:tc>
          <w:tcPr>
            <w:tcW w:w="4527" w:type="dxa"/>
            <w:gridSpan w:val="3"/>
          </w:tcPr>
          <w:p w:rsidR="005D6412" w:rsidRPr="00756DA5" w:rsidP="00663073">
            <w:pPr>
              <w:rPr>
                <w:rFonts w:cs="Arial"/>
                <w:noProof/>
              </w:rPr>
            </w:pPr>
            <w:r w:rsidRPr="00756DA5">
              <w:rPr>
                <w:noProof/>
                <w:lang w:val="fr-FR" w:eastAsia="fr-FR"/>
              </w:rPr>
              <w:drawing>
                <wp:inline distT="0" distB="0" distL="0" distR="0">
                  <wp:extent cx="2789758" cy="2249805"/>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72430" name="Picture 12"/>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9577" cy="2257723"/>
                          </a:xfrm>
                          <a:prstGeom prst="rect">
                            <a:avLst/>
                          </a:prstGeom>
                          <a:noFill/>
                          <a:ln>
                            <a:noFill/>
                          </a:ln>
                        </pic:spPr>
                      </pic:pic>
                    </a:graphicData>
                  </a:graphic>
                </wp:inline>
              </w:drawing>
            </w:r>
          </w:p>
        </w:tc>
      </w:tr>
      <w:tr w:rsidTr="0086522B">
        <w:tblPrEx>
          <w:tblW w:w="0" w:type="auto"/>
          <w:tblLook w:val="04A0"/>
        </w:tblPrEx>
        <w:trPr>
          <w:trHeight w:val="129"/>
        </w:trPr>
        <w:tc>
          <w:tcPr>
            <w:tcW w:w="2294" w:type="dxa"/>
          </w:tcPr>
          <w:p w:rsidR="00D802A5" w:rsidRPr="00756DA5" w:rsidP="00D802A5">
            <w:pPr>
              <w:jc w:val="left"/>
              <w:rPr>
                <w:rFonts w:cs="Arial"/>
                <w:sz w:val="16"/>
                <w:szCs w:val="16"/>
              </w:rPr>
            </w:pPr>
            <w:r w:rsidRPr="00756DA5">
              <w:rPr>
                <w:sz w:val="16"/>
                <w:szCs w:val="16"/>
                <w:lang w:eastAsia="zh-CN" w:bidi="mn-Mong-CN"/>
              </w:rPr>
              <w:t>Nombre relatif d’accidents aux passages à niveau par million de train-km</w:t>
            </w:r>
          </w:p>
        </w:tc>
        <w:tc>
          <w:tcPr>
            <w:tcW w:w="2251" w:type="dxa"/>
            <w:gridSpan w:val="3"/>
          </w:tcPr>
          <w:p w:rsidR="00D802A5" w:rsidRPr="00756DA5" w:rsidP="00D802A5">
            <w:pPr>
              <w:jc w:val="left"/>
              <w:rPr>
                <w:rFonts w:cs="Arial"/>
                <w:sz w:val="16"/>
                <w:szCs w:val="16"/>
              </w:rPr>
            </w:pPr>
            <w:r w:rsidRPr="00756DA5">
              <w:rPr>
                <w:sz w:val="16"/>
                <w:szCs w:val="16"/>
              </w:rPr>
              <w:t>Number of accidents at level crossings per million train-km</w:t>
            </w:r>
          </w:p>
        </w:tc>
        <w:tc>
          <w:tcPr>
            <w:tcW w:w="2359" w:type="dxa"/>
          </w:tcPr>
          <w:p w:rsidR="00D802A5" w:rsidRPr="00756DA5" w:rsidP="00D802A5">
            <w:pPr>
              <w:jc w:val="left"/>
              <w:rPr>
                <w:rFonts w:cs="Arial"/>
                <w:sz w:val="16"/>
                <w:szCs w:val="16"/>
              </w:rPr>
            </w:pPr>
            <w:r w:rsidRPr="00756DA5">
              <w:rPr>
                <w:sz w:val="16"/>
                <w:szCs w:val="16"/>
                <w:lang w:eastAsia="zh-CN" w:bidi="mn-Mong-CN"/>
              </w:rPr>
              <w:t>Nombre relatif d’accidents de personne impliquant du matériel roulant en mouvement par million de train-km</w:t>
            </w:r>
          </w:p>
        </w:tc>
        <w:tc>
          <w:tcPr>
            <w:tcW w:w="2168" w:type="dxa"/>
            <w:gridSpan w:val="2"/>
          </w:tcPr>
          <w:p w:rsidR="00D802A5" w:rsidRPr="00756DA5" w:rsidP="00D802A5">
            <w:pPr>
              <w:jc w:val="left"/>
              <w:rPr>
                <w:rFonts w:cs="Arial"/>
                <w:sz w:val="16"/>
                <w:szCs w:val="16"/>
              </w:rPr>
            </w:pPr>
            <w:r w:rsidRPr="00756DA5">
              <w:rPr>
                <w:sz w:val="16"/>
                <w:szCs w:val="16"/>
              </w:rPr>
              <w:t>Number of accidents to persons involving rolling stock in motion per million train-km</w:t>
            </w:r>
          </w:p>
        </w:tc>
      </w:tr>
      <w:tr w:rsidTr="0086522B">
        <w:tblPrEx>
          <w:tblW w:w="0" w:type="auto"/>
          <w:tblLook w:val="04A0"/>
        </w:tblPrEx>
        <w:trPr>
          <w:trHeight w:val="118"/>
        </w:trPr>
        <w:tc>
          <w:tcPr>
            <w:tcW w:w="2294" w:type="dxa"/>
          </w:tcPr>
          <w:p w:rsidR="00D802A5" w:rsidRPr="00756DA5" w:rsidP="00D802A5">
            <w:pPr>
              <w:rPr>
                <w:rFonts w:cs="Arial"/>
                <w:noProof/>
                <w:sz w:val="16"/>
                <w:szCs w:val="16"/>
              </w:rPr>
            </w:pPr>
            <w:r w:rsidRPr="00756DA5">
              <w:rPr>
                <w:sz w:val="16"/>
                <w:szCs w:val="16"/>
                <w:lang w:val="fr-LU" w:eastAsia="zh-CN" w:bidi="mn-Mong-CN"/>
              </w:rPr>
              <w:t>0,12</w:t>
            </w:r>
          </w:p>
        </w:tc>
        <w:tc>
          <w:tcPr>
            <w:tcW w:w="2251" w:type="dxa"/>
            <w:gridSpan w:val="3"/>
          </w:tcPr>
          <w:p w:rsidR="00D802A5" w:rsidRPr="00756DA5" w:rsidP="00D802A5">
            <w:pPr>
              <w:rPr>
                <w:rFonts w:cs="Arial"/>
                <w:noProof/>
                <w:sz w:val="16"/>
                <w:szCs w:val="16"/>
              </w:rPr>
            </w:pPr>
            <w:r w:rsidRPr="00756DA5">
              <w:rPr>
                <w:sz w:val="16"/>
                <w:szCs w:val="16"/>
              </w:rPr>
              <w:t>0.12</w:t>
            </w:r>
          </w:p>
        </w:tc>
        <w:tc>
          <w:tcPr>
            <w:tcW w:w="2359" w:type="dxa"/>
          </w:tcPr>
          <w:p w:rsidR="00D802A5" w:rsidRPr="00756DA5" w:rsidP="00D802A5">
            <w:pPr>
              <w:rPr>
                <w:rFonts w:cs="Arial"/>
                <w:noProof/>
                <w:sz w:val="16"/>
                <w:szCs w:val="16"/>
              </w:rPr>
            </w:pPr>
            <w:r w:rsidRPr="00756DA5">
              <w:rPr>
                <w:sz w:val="16"/>
                <w:szCs w:val="16"/>
                <w:lang w:val="fr-LU" w:eastAsia="zh-CN" w:bidi="mn-Mong-CN"/>
              </w:rPr>
              <w:t>0,20</w:t>
            </w:r>
          </w:p>
        </w:tc>
        <w:tc>
          <w:tcPr>
            <w:tcW w:w="2168" w:type="dxa"/>
            <w:gridSpan w:val="2"/>
          </w:tcPr>
          <w:p w:rsidR="00D802A5" w:rsidRPr="00756DA5" w:rsidP="00D802A5">
            <w:pPr>
              <w:rPr>
                <w:rFonts w:cs="Arial"/>
                <w:noProof/>
                <w:sz w:val="16"/>
                <w:szCs w:val="16"/>
              </w:rPr>
            </w:pPr>
            <w:r w:rsidRPr="00756DA5">
              <w:rPr>
                <w:sz w:val="16"/>
                <w:szCs w:val="16"/>
              </w:rPr>
              <w:t>0.20</w:t>
            </w:r>
          </w:p>
        </w:tc>
      </w:tr>
      <w:tr w:rsidTr="0086522B">
        <w:tblPrEx>
          <w:tblW w:w="0" w:type="auto"/>
          <w:tblLook w:val="04A0"/>
        </w:tblPrEx>
        <w:trPr>
          <w:trHeight w:val="118"/>
        </w:trPr>
        <w:tc>
          <w:tcPr>
            <w:tcW w:w="2294" w:type="dxa"/>
          </w:tcPr>
          <w:p w:rsidR="00D802A5" w:rsidRPr="00756DA5" w:rsidP="00D802A5">
            <w:pPr>
              <w:rPr>
                <w:rFonts w:cs="Arial"/>
                <w:noProof/>
                <w:sz w:val="16"/>
                <w:szCs w:val="16"/>
              </w:rPr>
            </w:pPr>
            <w:r w:rsidRPr="00756DA5">
              <w:rPr>
                <w:sz w:val="16"/>
                <w:szCs w:val="16"/>
                <w:lang w:val="fr-LU" w:eastAsia="zh-CN" w:bidi="mn-Mong-CN"/>
              </w:rPr>
              <w:t>0,10</w:t>
            </w:r>
          </w:p>
        </w:tc>
        <w:tc>
          <w:tcPr>
            <w:tcW w:w="2251" w:type="dxa"/>
            <w:gridSpan w:val="3"/>
          </w:tcPr>
          <w:p w:rsidR="00D802A5" w:rsidRPr="00756DA5" w:rsidP="00D802A5">
            <w:pPr>
              <w:rPr>
                <w:rFonts w:cs="Arial"/>
                <w:noProof/>
                <w:sz w:val="16"/>
                <w:szCs w:val="16"/>
              </w:rPr>
            </w:pPr>
            <w:r w:rsidRPr="00756DA5">
              <w:rPr>
                <w:sz w:val="16"/>
                <w:szCs w:val="16"/>
              </w:rPr>
              <w:t>0.10</w:t>
            </w:r>
          </w:p>
        </w:tc>
        <w:tc>
          <w:tcPr>
            <w:tcW w:w="2359" w:type="dxa"/>
          </w:tcPr>
          <w:p w:rsidR="00D802A5" w:rsidRPr="00756DA5" w:rsidP="00D802A5">
            <w:pPr>
              <w:rPr>
                <w:rFonts w:cs="Arial"/>
                <w:noProof/>
                <w:sz w:val="16"/>
                <w:szCs w:val="16"/>
              </w:rPr>
            </w:pPr>
            <w:r w:rsidRPr="00756DA5">
              <w:rPr>
                <w:sz w:val="16"/>
                <w:szCs w:val="16"/>
                <w:lang w:val="fr-LU" w:eastAsia="zh-CN" w:bidi="mn-Mong-CN"/>
              </w:rPr>
              <w:t>0,18</w:t>
            </w:r>
          </w:p>
        </w:tc>
        <w:tc>
          <w:tcPr>
            <w:tcW w:w="2168" w:type="dxa"/>
            <w:gridSpan w:val="2"/>
          </w:tcPr>
          <w:p w:rsidR="00D802A5" w:rsidRPr="00756DA5" w:rsidP="00D802A5">
            <w:pPr>
              <w:rPr>
                <w:rFonts w:cs="Arial"/>
                <w:noProof/>
                <w:sz w:val="16"/>
                <w:szCs w:val="16"/>
              </w:rPr>
            </w:pPr>
            <w:r w:rsidRPr="00756DA5">
              <w:rPr>
                <w:sz w:val="16"/>
                <w:szCs w:val="16"/>
              </w:rPr>
              <w:t>0.18</w:t>
            </w:r>
          </w:p>
        </w:tc>
      </w:tr>
      <w:tr w:rsidTr="0086522B">
        <w:tblPrEx>
          <w:tblW w:w="0" w:type="auto"/>
          <w:tblLook w:val="04A0"/>
        </w:tblPrEx>
        <w:trPr>
          <w:trHeight w:val="118"/>
        </w:trPr>
        <w:tc>
          <w:tcPr>
            <w:tcW w:w="2294" w:type="dxa"/>
          </w:tcPr>
          <w:p w:rsidR="00D802A5" w:rsidRPr="00756DA5" w:rsidP="00D802A5">
            <w:pPr>
              <w:rPr>
                <w:rFonts w:cs="Arial"/>
                <w:noProof/>
                <w:sz w:val="16"/>
                <w:szCs w:val="16"/>
              </w:rPr>
            </w:pPr>
            <w:r w:rsidRPr="00756DA5">
              <w:rPr>
                <w:sz w:val="16"/>
                <w:szCs w:val="16"/>
                <w:lang w:val="fr-LU" w:eastAsia="zh-CN" w:bidi="mn-Mong-CN"/>
              </w:rPr>
              <w:t>0,08</w:t>
            </w:r>
          </w:p>
        </w:tc>
        <w:tc>
          <w:tcPr>
            <w:tcW w:w="2251" w:type="dxa"/>
            <w:gridSpan w:val="3"/>
          </w:tcPr>
          <w:p w:rsidR="00D802A5" w:rsidRPr="00756DA5" w:rsidP="00D802A5">
            <w:pPr>
              <w:rPr>
                <w:rFonts w:cs="Arial"/>
                <w:noProof/>
                <w:sz w:val="16"/>
                <w:szCs w:val="16"/>
              </w:rPr>
            </w:pPr>
            <w:r w:rsidRPr="00756DA5">
              <w:rPr>
                <w:sz w:val="16"/>
                <w:szCs w:val="16"/>
              </w:rPr>
              <w:t>0.08</w:t>
            </w:r>
          </w:p>
        </w:tc>
        <w:tc>
          <w:tcPr>
            <w:tcW w:w="2359" w:type="dxa"/>
          </w:tcPr>
          <w:p w:rsidR="00D802A5" w:rsidRPr="00756DA5" w:rsidP="00D802A5">
            <w:pPr>
              <w:rPr>
                <w:rFonts w:cs="Arial"/>
                <w:noProof/>
                <w:sz w:val="16"/>
                <w:szCs w:val="16"/>
              </w:rPr>
            </w:pPr>
            <w:r w:rsidRPr="00756DA5">
              <w:rPr>
                <w:sz w:val="16"/>
                <w:szCs w:val="16"/>
                <w:lang w:val="fr-LU" w:eastAsia="zh-CN" w:bidi="mn-Mong-CN"/>
              </w:rPr>
              <w:t>0,16</w:t>
            </w:r>
          </w:p>
        </w:tc>
        <w:tc>
          <w:tcPr>
            <w:tcW w:w="2168" w:type="dxa"/>
            <w:gridSpan w:val="2"/>
          </w:tcPr>
          <w:p w:rsidR="00D802A5" w:rsidRPr="00756DA5" w:rsidP="00D802A5">
            <w:pPr>
              <w:rPr>
                <w:rFonts w:cs="Arial"/>
                <w:noProof/>
                <w:sz w:val="16"/>
                <w:szCs w:val="16"/>
              </w:rPr>
            </w:pPr>
            <w:r w:rsidRPr="00756DA5">
              <w:rPr>
                <w:sz w:val="16"/>
                <w:szCs w:val="16"/>
              </w:rPr>
              <w:t>0.16</w:t>
            </w:r>
          </w:p>
        </w:tc>
      </w:tr>
      <w:tr w:rsidTr="0086522B">
        <w:tblPrEx>
          <w:tblW w:w="0" w:type="auto"/>
          <w:tblLook w:val="04A0"/>
        </w:tblPrEx>
        <w:trPr>
          <w:trHeight w:val="118"/>
        </w:trPr>
        <w:tc>
          <w:tcPr>
            <w:tcW w:w="2294" w:type="dxa"/>
          </w:tcPr>
          <w:p w:rsidR="0086522B" w:rsidRPr="00756DA5" w:rsidP="0086522B">
            <w:pPr>
              <w:rPr>
                <w:rFonts w:cs="Arial"/>
                <w:noProof/>
                <w:sz w:val="16"/>
                <w:szCs w:val="16"/>
              </w:rPr>
            </w:pPr>
            <w:r w:rsidRPr="00756DA5">
              <w:rPr>
                <w:sz w:val="16"/>
                <w:szCs w:val="16"/>
                <w:lang w:val="fr-LU" w:eastAsia="zh-CN" w:bidi="mn-Mong-CN"/>
              </w:rPr>
              <w:t>0,06</w:t>
            </w:r>
          </w:p>
        </w:tc>
        <w:tc>
          <w:tcPr>
            <w:tcW w:w="2251" w:type="dxa"/>
            <w:gridSpan w:val="3"/>
          </w:tcPr>
          <w:p w:rsidR="0086522B" w:rsidRPr="00756DA5" w:rsidP="0086522B">
            <w:pPr>
              <w:rPr>
                <w:rFonts w:cs="Arial"/>
                <w:noProof/>
                <w:sz w:val="16"/>
                <w:szCs w:val="16"/>
              </w:rPr>
            </w:pPr>
            <w:r w:rsidRPr="00756DA5">
              <w:rPr>
                <w:sz w:val="16"/>
                <w:szCs w:val="16"/>
              </w:rPr>
              <w:t>0.06</w:t>
            </w:r>
          </w:p>
        </w:tc>
        <w:tc>
          <w:tcPr>
            <w:tcW w:w="2359" w:type="dxa"/>
          </w:tcPr>
          <w:p w:rsidR="0086522B" w:rsidRPr="00756DA5" w:rsidP="0086522B">
            <w:pPr>
              <w:rPr>
                <w:rFonts w:cs="Arial"/>
                <w:noProof/>
                <w:sz w:val="16"/>
                <w:szCs w:val="16"/>
              </w:rPr>
            </w:pPr>
            <w:r w:rsidRPr="00756DA5">
              <w:rPr>
                <w:sz w:val="16"/>
                <w:szCs w:val="16"/>
                <w:lang w:val="fr-LU" w:eastAsia="zh-CN" w:bidi="mn-Mong-CN"/>
              </w:rPr>
              <w:t>0,14</w:t>
            </w:r>
          </w:p>
        </w:tc>
        <w:tc>
          <w:tcPr>
            <w:tcW w:w="2168" w:type="dxa"/>
            <w:gridSpan w:val="2"/>
          </w:tcPr>
          <w:p w:rsidR="0086522B" w:rsidRPr="00756DA5" w:rsidP="0086522B">
            <w:pPr>
              <w:rPr>
                <w:rFonts w:cs="Arial"/>
                <w:noProof/>
                <w:sz w:val="16"/>
                <w:szCs w:val="16"/>
              </w:rPr>
            </w:pPr>
            <w:r w:rsidRPr="00756DA5">
              <w:rPr>
                <w:sz w:val="16"/>
                <w:szCs w:val="16"/>
              </w:rPr>
              <w:t>0.14</w:t>
            </w:r>
          </w:p>
        </w:tc>
      </w:tr>
      <w:tr w:rsidTr="0086522B">
        <w:tblPrEx>
          <w:tblW w:w="0" w:type="auto"/>
          <w:tblLook w:val="04A0"/>
        </w:tblPrEx>
        <w:trPr>
          <w:trHeight w:val="70"/>
        </w:trPr>
        <w:tc>
          <w:tcPr>
            <w:tcW w:w="2294" w:type="dxa"/>
          </w:tcPr>
          <w:p w:rsidR="0086522B" w:rsidRPr="00756DA5" w:rsidP="0086522B">
            <w:pPr>
              <w:rPr>
                <w:rFonts w:cs="Arial"/>
                <w:noProof/>
                <w:sz w:val="16"/>
                <w:szCs w:val="16"/>
              </w:rPr>
            </w:pPr>
            <w:r w:rsidRPr="00756DA5">
              <w:rPr>
                <w:sz w:val="16"/>
                <w:szCs w:val="16"/>
                <w:lang w:val="fr-LU" w:eastAsia="zh-CN" w:bidi="mn-Mong-CN"/>
              </w:rPr>
              <w:t>0,04</w:t>
            </w:r>
          </w:p>
        </w:tc>
        <w:tc>
          <w:tcPr>
            <w:tcW w:w="2251" w:type="dxa"/>
            <w:gridSpan w:val="3"/>
          </w:tcPr>
          <w:p w:rsidR="0086522B" w:rsidRPr="00756DA5" w:rsidP="0086522B">
            <w:pPr>
              <w:rPr>
                <w:rFonts w:cs="Arial"/>
                <w:noProof/>
                <w:sz w:val="16"/>
                <w:szCs w:val="16"/>
              </w:rPr>
            </w:pPr>
            <w:r w:rsidRPr="00756DA5">
              <w:rPr>
                <w:sz w:val="16"/>
                <w:szCs w:val="16"/>
              </w:rPr>
              <w:t>0.04</w:t>
            </w:r>
          </w:p>
        </w:tc>
        <w:tc>
          <w:tcPr>
            <w:tcW w:w="2359" w:type="dxa"/>
          </w:tcPr>
          <w:p w:rsidR="0086522B" w:rsidRPr="00756DA5" w:rsidP="0086522B">
            <w:pPr>
              <w:rPr>
                <w:rFonts w:cs="Arial"/>
                <w:noProof/>
                <w:sz w:val="16"/>
                <w:szCs w:val="16"/>
              </w:rPr>
            </w:pPr>
            <w:r w:rsidRPr="00756DA5">
              <w:rPr>
                <w:sz w:val="16"/>
                <w:szCs w:val="16"/>
                <w:lang w:val="fr-LU" w:eastAsia="zh-CN" w:bidi="mn-Mong-CN"/>
              </w:rPr>
              <w:t>0,12</w:t>
            </w:r>
          </w:p>
        </w:tc>
        <w:tc>
          <w:tcPr>
            <w:tcW w:w="2168" w:type="dxa"/>
            <w:gridSpan w:val="2"/>
          </w:tcPr>
          <w:p w:rsidR="0086522B" w:rsidRPr="00756DA5" w:rsidP="0086522B">
            <w:pPr>
              <w:rPr>
                <w:rFonts w:cs="Arial"/>
                <w:noProof/>
                <w:sz w:val="16"/>
                <w:szCs w:val="16"/>
              </w:rPr>
            </w:pPr>
            <w:r w:rsidRPr="00756DA5">
              <w:rPr>
                <w:sz w:val="16"/>
                <w:szCs w:val="16"/>
              </w:rPr>
              <w:t>0.12</w:t>
            </w:r>
          </w:p>
        </w:tc>
      </w:tr>
      <w:tr w:rsidTr="0086522B">
        <w:tblPrEx>
          <w:tblW w:w="0" w:type="auto"/>
          <w:tblLook w:val="04A0"/>
        </w:tblPrEx>
        <w:trPr>
          <w:trHeight w:val="70"/>
        </w:trPr>
        <w:tc>
          <w:tcPr>
            <w:tcW w:w="2294" w:type="dxa"/>
          </w:tcPr>
          <w:p w:rsidR="0086522B" w:rsidRPr="00756DA5" w:rsidP="0086522B">
            <w:pPr>
              <w:rPr>
                <w:rFonts w:cs="Arial"/>
                <w:noProof/>
                <w:sz w:val="16"/>
                <w:szCs w:val="16"/>
              </w:rPr>
            </w:pPr>
            <w:r w:rsidRPr="00756DA5">
              <w:rPr>
                <w:sz w:val="16"/>
                <w:szCs w:val="16"/>
                <w:lang w:val="fr-LU" w:eastAsia="zh-CN" w:bidi="mn-Mong-CN"/>
              </w:rPr>
              <w:t>0,02</w:t>
            </w:r>
          </w:p>
        </w:tc>
        <w:tc>
          <w:tcPr>
            <w:tcW w:w="2251" w:type="dxa"/>
            <w:gridSpan w:val="3"/>
          </w:tcPr>
          <w:p w:rsidR="0086522B" w:rsidRPr="00756DA5" w:rsidP="0086522B">
            <w:pPr>
              <w:rPr>
                <w:rFonts w:cs="Arial"/>
                <w:noProof/>
                <w:sz w:val="16"/>
                <w:szCs w:val="16"/>
              </w:rPr>
            </w:pPr>
            <w:r w:rsidRPr="00756DA5">
              <w:rPr>
                <w:sz w:val="16"/>
                <w:szCs w:val="16"/>
              </w:rPr>
              <w:t>0.02</w:t>
            </w:r>
          </w:p>
        </w:tc>
        <w:tc>
          <w:tcPr>
            <w:tcW w:w="2359" w:type="dxa"/>
          </w:tcPr>
          <w:p w:rsidR="0086522B" w:rsidRPr="00756DA5" w:rsidP="0086522B">
            <w:pPr>
              <w:rPr>
                <w:rFonts w:cs="Arial"/>
                <w:noProof/>
                <w:sz w:val="16"/>
                <w:szCs w:val="16"/>
              </w:rPr>
            </w:pPr>
            <w:r w:rsidRPr="00756DA5">
              <w:rPr>
                <w:sz w:val="16"/>
                <w:szCs w:val="16"/>
                <w:lang w:val="fr-LU" w:eastAsia="zh-CN" w:bidi="mn-Mong-CN"/>
              </w:rPr>
              <w:t>0,10</w:t>
            </w:r>
          </w:p>
        </w:tc>
        <w:tc>
          <w:tcPr>
            <w:tcW w:w="2168" w:type="dxa"/>
            <w:gridSpan w:val="2"/>
          </w:tcPr>
          <w:p w:rsidR="0086522B" w:rsidRPr="00756DA5" w:rsidP="0086522B">
            <w:pPr>
              <w:rPr>
                <w:rFonts w:cs="Arial"/>
                <w:noProof/>
                <w:sz w:val="16"/>
                <w:szCs w:val="16"/>
              </w:rPr>
            </w:pPr>
            <w:r w:rsidRPr="00756DA5">
              <w:rPr>
                <w:sz w:val="16"/>
                <w:szCs w:val="16"/>
              </w:rPr>
              <w:t>0.10</w:t>
            </w:r>
          </w:p>
        </w:tc>
      </w:tr>
      <w:tr w:rsidTr="0086522B">
        <w:tblPrEx>
          <w:tblW w:w="0" w:type="auto"/>
          <w:tblLook w:val="04A0"/>
        </w:tblPrEx>
        <w:trPr>
          <w:trHeight w:val="70"/>
        </w:trPr>
        <w:tc>
          <w:tcPr>
            <w:tcW w:w="2294" w:type="dxa"/>
          </w:tcPr>
          <w:p w:rsidR="0086522B" w:rsidRPr="00756DA5" w:rsidP="0086522B">
            <w:pPr>
              <w:rPr>
                <w:rFonts w:cs="Arial"/>
                <w:noProof/>
                <w:sz w:val="16"/>
                <w:szCs w:val="16"/>
              </w:rPr>
            </w:pPr>
            <w:r w:rsidRPr="00756DA5">
              <w:rPr>
                <w:sz w:val="16"/>
                <w:szCs w:val="16"/>
                <w:lang w:val="fr-LU" w:eastAsia="zh-CN" w:bidi="mn-Mong-CN"/>
              </w:rPr>
              <w:t>0,00</w:t>
            </w:r>
          </w:p>
        </w:tc>
        <w:tc>
          <w:tcPr>
            <w:tcW w:w="2251" w:type="dxa"/>
            <w:gridSpan w:val="3"/>
          </w:tcPr>
          <w:p w:rsidR="0086522B" w:rsidRPr="00756DA5" w:rsidP="0086522B">
            <w:pPr>
              <w:rPr>
                <w:rFonts w:cs="Arial"/>
                <w:noProof/>
                <w:sz w:val="16"/>
                <w:szCs w:val="16"/>
              </w:rPr>
            </w:pPr>
            <w:r w:rsidRPr="00756DA5">
              <w:rPr>
                <w:sz w:val="16"/>
                <w:szCs w:val="16"/>
              </w:rPr>
              <w:t>0.00</w:t>
            </w:r>
          </w:p>
        </w:tc>
        <w:tc>
          <w:tcPr>
            <w:tcW w:w="2359" w:type="dxa"/>
          </w:tcPr>
          <w:p w:rsidR="0086522B" w:rsidRPr="00756DA5" w:rsidP="0086522B">
            <w:pPr>
              <w:rPr>
                <w:rFonts w:cs="Arial"/>
                <w:noProof/>
                <w:sz w:val="16"/>
                <w:szCs w:val="16"/>
              </w:rPr>
            </w:pPr>
            <w:r w:rsidRPr="00756DA5">
              <w:rPr>
                <w:sz w:val="16"/>
                <w:szCs w:val="16"/>
                <w:lang w:val="fr-LU" w:eastAsia="zh-CN" w:bidi="mn-Mong-CN"/>
              </w:rPr>
              <w:t>0,08</w:t>
            </w:r>
          </w:p>
        </w:tc>
        <w:tc>
          <w:tcPr>
            <w:tcW w:w="2168" w:type="dxa"/>
            <w:gridSpan w:val="2"/>
          </w:tcPr>
          <w:p w:rsidR="0086522B" w:rsidRPr="00756DA5" w:rsidP="0086522B">
            <w:pPr>
              <w:rPr>
                <w:rFonts w:cs="Arial"/>
                <w:noProof/>
                <w:sz w:val="16"/>
                <w:szCs w:val="16"/>
              </w:rPr>
            </w:pPr>
            <w:r w:rsidRPr="00756DA5">
              <w:rPr>
                <w:sz w:val="16"/>
                <w:szCs w:val="16"/>
              </w:rPr>
              <w:t>0.08</w:t>
            </w:r>
          </w:p>
        </w:tc>
      </w:tr>
      <w:tr w:rsidTr="0086522B">
        <w:tblPrEx>
          <w:tblW w:w="0" w:type="auto"/>
          <w:tblLook w:val="04A0"/>
        </w:tblPrEx>
        <w:trPr>
          <w:trHeight w:val="70"/>
        </w:trPr>
        <w:tc>
          <w:tcPr>
            <w:tcW w:w="2294" w:type="dxa"/>
          </w:tcPr>
          <w:p w:rsidR="0086522B" w:rsidRPr="00756DA5" w:rsidP="0086522B">
            <w:pPr>
              <w:rPr>
                <w:rFonts w:cs="Arial"/>
                <w:noProof/>
                <w:sz w:val="16"/>
                <w:szCs w:val="16"/>
              </w:rPr>
            </w:pPr>
            <w:r w:rsidRPr="00756DA5">
              <w:rPr>
                <w:sz w:val="16"/>
                <w:szCs w:val="16"/>
                <w:lang w:val="fr-LU" w:eastAsia="zh-CN" w:bidi="mn-Mong-CN"/>
              </w:rPr>
              <w:t>0,084</w:t>
            </w:r>
          </w:p>
        </w:tc>
        <w:tc>
          <w:tcPr>
            <w:tcW w:w="2251" w:type="dxa"/>
            <w:gridSpan w:val="3"/>
          </w:tcPr>
          <w:p w:rsidR="0086522B" w:rsidRPr="00756DA5" w:rsidP="0086522B">
            <w:pPr>
              <w:rPr>
                <w:rFonts w:cs="Arial"/>
                <w:noProof/>
                <w:sz w:val="16"/>
                <w:szCs w:val="16"/>
              </w:rPr>
            </w:pPr>
            <w:r w:rsidRPr="00756DA5">
              <w:rPr>
                <w:sz w:val="16"/>
                <w:szCs w:val="16"/>
              </w:rPr>
              <w:t>0.084</w:t>
            </w:r>
          </w:p>
        </w:tc>
        <w:tc>
          <w:tcPr>
            <w:tcW w:w="2359" w:type="dxa"/>
          </w:tcPr>
          <w:p w:rsidR="0086522B" w:rsidRPr="00756DA5" w:rsidP="0086522B">
            <w:pPr>
              <w:rPr>
                <w:rFonts w:cs="Arial"/>
                <w:noProof/>
                <w:sz w:val="16"/>
                <w:szCs w:val="16"/>
              </w:rPr>
            </w:pPr>
            <w:r w:rsidRPr="00756DA5">
              <w:rPr>
                <w:sz w:val="16"/>
                <w:szCs w:val="16"/>
                <w:lang w:val="fr-LU" w:eastAsia="zh-CN" w:bidi="mn-Mong-CN"/>
              </w:rPr>
              <w:t>0,06</w:t>
            </w:r>
          </w:p>
        </w:tc>
        <w:tc>
          <w:tcPr>
            <w:tcW w:w="2168" w:type="dxa"/>
            <w:gridSpan w:val="2"/>
          </w:tcPr>
          <w:p w:rsidR="0086522B" w:rsidRPr="00756DA5" w:rsidP="0086522B">
            <w:pPr>
              <w:rPr>
                <w:rFonts w:cs="Arial"/>
                <w:noProof/>
                <w:sz w:val="16"/>
                <w:szCs w:val="16"/>
              </w:rPr>
            </w:pPr>
            <w:r w:rsidRPr="00756DA5">
              <w:rPr>
                <w:sz w:val="16"/>
                <w:szCs w:val="16"/>
              </w:rPr>
              <w:t>0.06</w:t>
            </w:r>
          </w:p>
        </w:tc>
      </w:tr>
      <w:tr w:rsidTr="0086522B">
        <w:tblPrEx>
          <w:tblW w:w="0" w:type="auto"/>
          <w:tblLook w:val="04A0"/>
        </w:tblPrEx>
        <w:trPr>
          <w:trHeight w:val="70"/>
        </w:trPr>
        <w:tc>
          <w:tcPr>
            <w:tcW w:w="2294" w:type="dxa"/>
          </w:tcPr>
          <w:p w:rsidR="0086522B" w:rsidRPr="00756DA5" w:rsidP="0086522B">
            <w:pPr>
              <w:rPr>
                <w:rFonts w:cs="Arial"/>
                <w:noProof/>
                <w:sz w:val="16"/>
                <w:szCs w:val="16"/>
              </w:rPr>
            </w:pPr>
            <w:r w:rsidRPr="00756DA5">
              <w:rPr>
                <w:sz w:val="16"/>
                <w:szCs w:val="16"/>
                <w:lang w:val="fr-LU" w:eastAsia="zh-CN" w:bidi="mn-Mong-CN"/>
              </w:rPr>
              <w:t>0,104</w:t>
            </w:r>
          </w:p>
        </w:tc>
        <w:tc>
          <w:tcPr>
            <w:tcW w:w="2251" w:type="dxa"/>
            <w:gridSpan w:val="3"/>
          </w:tcPr>
          <w:p w:rsidR="0086522B" w:rsidRPr="00756DA5" w:rsidP="0086522B">
            <w:pPr>
              <w:rPr>
                <w:rFonts w:cs="Arial"/>
                <w:noProof/>
                <w:sz w:val="16"/>
                <w:szCs w:val="16"/>
              </w:rPr>
            </w:pPr>
            <w:r w:rsidRPr="00756DA5">
              <w:rPr>
                <w:sz w:val="16"/>
                <w:szCs w:val="16"/>
              </w:rPr>
              <w:t>0.104</w:t>
            </w:r>
          </w:p>
        </w:tc>
        <w:tc>
          <w:tcPr>
            <w:tcW w:w="2359" w:type="dxa"/>
          </w:tcPr>
          <w:p w:rsidR="0086522B" w:rsidRPr="00756DA5" w:rsidP="0086522B">
            <w:pPr>
              <w:rPr>
                <w:rFonts w:cs="Arial"/>
                <w:noProof/>
                <w:sz w:val="16"/>
                <w:szCs w:val="16"/>
              </w:rPr>
            </w:pPr>
            <w:r w:rsidRPr="00756DA5">
              <w:rPr>
                <w:sz w:val="16"/>
                <w:szCs w:val="16"/>
                <w:lang w:val="fr-LU" w:eastAsia="zh-CN" w:bidi="mn-Mong-CN"/>
              </w:rPr>
              <w:t>0,04</w:t>
            </w:r>
          </w:p>
        </w:tc>
        <w:tc>
          <w:tcPr>
            <w:tcW w:w="2168" w:type="dxa"/>
            <w:gridSpan w:val="2"/>
          </w:tcPr>
          <w:p w:rsidR="0086522B" w:rsidRPr="00756DA5" w:rsidP="0086522B">
            <w:pPr>
              <w:rPr>
                <w:rFonts w:cs="Arial"/>
                <w:noProof/>
                <w:sz w:val="16"/>
                <w:szCs w:val="16"/>
              </w:rPr>
            </w:pPr>
            <w:r w:rsidRPr="00756DA5">
              <w:rPr>
                <w:sz w:val="16"/>
                <w:szCs w:val="16"/>
              </w:rPr>
              <w:t>0.04</w:t>
            </w:r>
          </w:p>
        </w:tc>
      </w:tr>
      <w:tr w:rsidTr="0086522B">
        <w:tblPrEx>
          <w:tblW w:w="0" w:type="auto"/>
          <w:tblLook w:val="04A0"/>
        </w:tblPrEx>
        <w:trPr>
          <w:trHeight w:val="70"/>
        </w:trPr>
        <w:tc>
          <w:tcPr>
            <w:tcW w:w="2294" w:type="dxa"/>
          </w:tcPr>
          <w:p w:rsidR="0086522B" w:rsidRPr="00756DA5" w:rsidP="0086522B">
            <w:pPr>
              <w:rPr>
                <w:rFonts w:cs="Arial"/>
                <w:noProof/>
                <w:sz w:val="16"/>
                <w:szCs w:val="16"/>
              </w:rPr>
            </w:pPr>
            <w:r w:rsidRPr="00756DA5">
              <w:rPr>
                <w:sz w:val="16"/>
                <w:szCs w:val="16"/>
                <w:lang w:val="fr-LU" w:eastAsia="zh-CN" w:bidi="mn-Mong-CN"/>
              </w:rPr>
              <w:t>0,083</w:t>
            </w:r>
          </w:p>
        </w:tc>
        <w:tc>
          <w:tcPr>
            <w:tcW w:w="2251" w:type="dxa"/>
            <w:gridSpan w:val="3"/>
          </w:tcPr>
          <w:p w:rsidR="0086522B" w:rsidRPr="00756DA5" w:rsidP="0086522B">
            <w:pPr>
              <w:rPr>
                <w:rFonts w:cs="Arial"/>
                <w:noProof/>
                <w:sz w:val="16"/>
                <w:szCs w:val="16"/>
              </w:rPr>
            </w:pPr>
            <w:r w:rsidRPr="00756DA5">
              <w:rPr>
                <w:sz w:val="16"/>
                <w:szCs w:val="16"/>
              </w:rPr>
              <w:t>0.083</w:t>
            </w:r>
          </w:p>
        </w:tc>
        <w:tc>
          <w:tcPr>
            <w:tcW w:w="2359" w:type="dxa"/>
          </w:tcPr>
          <w:p w:rsidR="0086522B" w:rsidRPr="00756DA5" w:rsidP="0086522B">
            <w:pPr>
              <w:rPr>
                <w:rFonts w:cs="Arial"/>
                <w:noProof/>
                <w:sz w:val="16"/>
                <w:szCs w:val="16"/>
              </w:rPr>
            </w:pPr>
            <w:r w:rsidRPr="00756DA5">
              <w:rPr>
                <w:sz w:val="16"/>
                <w:szCs w:val="16"/>
                <w:lang w:val="fr-LU" w:eastAsia="zh-CN" w:bidi="mn-Mong-CN"/>
              </w:rPr>
              <w:t>0,02</w:t>
            </w:r>
          </w:p>
        </w:tc>
        <w:tc>
          <w:tcPr>
            <w:tcW w:w="2168" w:type="dxa"/>
            <w:gridSpan w:val="2"/>
          </w:tcPr>
          <w:p w:rsidR="0086522B" w:rsidRPr="00756DA5" w:rsidP="0086522B">
            <w:pPr>
              <w:rPr>
                <w:rFonts w:cs="Arial"/>
                <w:noProof/>
                <w:sz w:val="16"/>
                <w:szCs w:val="16"/>
              </w:rPr>
            </w:pPr>
            <w:r w:rsidRPr="00756DA5">
              <w:rPr>
                <w:sz w:val="16"/>
                <w:szCs w:val="16"/>
              </w:rPr>
              <w:t>0.02</w:t>
            </w:r>
          </w:p>
        </w:tc>
      </w:tr>
      <w:tr w:rsidTr="0086522B">
        <w:tblPrEx>
          <w:tblW w:w="0" w:type="auto"/>
          <w:tblLook w:val="04A0"/>
        </w:tblPrEx>
        <w:trPr>
          <w:trHeight w:val="70"/>
        </w:trPr>
        <w:tc>
          <w:tcPr>
            <w:tcW w:w="2294" w:type="dxa"/>
          </w:tcPr>
          <w:p w:rsidR="0086522B" w:rsidRPr="00756DA5" w:rsidP="0086522B">
            <w:pPr>
              <w:rPr>
                <w:rFonts w:cs="Arial"/>
                <w:noProof/>
                <w:sz w:val="16"/>
                <w:szCs w:val="16"/>
              </w:rPr>
            </w:pPr>
            <w:r w:rsidRPr="00756DA5">
              <w:rPr>
                <w:sz w:val="16"/>
                <w:szCs w:val="16"/>
                <w:lang w:val="fr-LU" w:eastAsia="zh-CN" w:bidi="mn-Mong-CN"/>
              </w:rPr>
              <w:t>0,102</w:t>
            </w:r>
          </w:p>
        </w:tc>
        <w:tc>
          <w:tcPr>
            <w:tcW w:w="2251" w:type="dxa"/>
            <w:gridSpan w:val="3"/>
          </w:tcPr>
          <w:p w:rsidR="0086522B" w:rsidRPr="00756DA5" w:rsidP="0086522B">
            <w:pPr>
              <w:rPr>
                <w:rFonts w:cs="Arial"/>
                <w:noProof/>
                <w:sz w:val="16"/>
                <w:szCs w:val="16"/>
              </w:rPr>
            </w:pPr>
            <w:r w:rsidRPr="00756DA5">
              <w:rPr>
                <w:sz w:val="16"/>
                <w:szCs w:val="16"/>
              </w:rPr>
              <w:t>0.102</w:t>
            </w:r>
          </w:p>
        </w:tc>
        <w:tc>
          <w:tcPr>
            <w:tcW w:w="2359" w:type="dxa"/>
          </w:tcPr>
          <w:p w:rsidR="0086522B" w:rsidRPr="00756DA5" w:rsidP="0086522B">
            <w:pPr>
              <w:rPr>
                <w:rFonts w:cs="Arial"/>
                <w:noProof/>
                <w:sz w:val="16"/>
                <w:szCs w:val="16"/>
              </w:rPr>
            </w:pPr>
            <w:r w:rsidRPr="00756DA5">
              <w:rPr>
                <w:sz w:val="16"/>
                <w:szCs w:val="16"/>
                <w:lang w:val="fr-LU" w:eastAsia="zh-CN" w:bidi="mn-Mong-CN"/>
              </w:rPr>
              <w:t>0,00</w:t>
            </w:r>
          </w:p>
        </w:tc>
        <w:tc>
          <w:tcPr>
            <w:tcW w:w="2168" w:type="dxa"/>
            <w:gridSpan w:val="2"/>
          </w:tcPr>
          <w:p w:rsidR="0086522B" w:rsidRPr="00756DA5" w:rsidP="0086522B">
            <w:pPr>
              <w:rPr>
                <w:rFonts w:cs="Arial"/>
                <w:noProof/>
                <w:sz w:val="16"/>
                <w:szCs w:val="16"/>
              </w:rPr>
            </w:pPr>
            <w:r w:rsidRPr="00756DA5">
              <w:rPr>
                <w:sz w:val="16"/>
                <w:szCs w:val="16"/>
              </w:rPr>
              <w:t>0.00</w:t>
            </w:r>
          </w:p>
        </w:tc>
      </w:tr>
      <w:tr w:rsidTr="0086522B">
        <w:tblPrEx>
          <w:tblW w:w="0" w:type="auto"/>
          <w:tblLook w:val="04A0"/>
        </w:tblPrEx>
        <w:trPr>
          <w:trHeight w:val="70"/>
        </w:trPr>
        <w:tc>
          <w:tcPr>
            <w:tcW w:w="2294" w:type="dxa"/>
          </w:tcPr>
          <w:p w:rsidR="0086522B" w:rsidRPr="00756DA5" w:rsidP="0086522B">
            <w:pPr>
              <w:rPr>
                <w:rFonts w:cs="Arial"/>
                <w:noProof/>
                <w:sz w:val="16"/>
                <w:szCs w:val="16"/>
              </w:rPr>
            </w:pPr>
            <w:r w:rsidRPr="00756DA5">
              <w:rPr>
                <w:sz w:val="16"/>
                <w:szCs w:val="16"/>
                <w:lang w:val="fr-LU" w:eastAsia="zh-CN" w:bidi="mn-Mong-CN"/>
              </w:rPr>
              <w:t>0,084</w:t>
            </w:r>
          </w:p>
        </w:tc>
        <w:tc>
          <w:tcPr>
            <w:tcW w:w="2251" w:type="dxa"/>
            <w:gridSpan w:val="3"/>
          </w:tcPr>
          <w:p w:rsidR="0086522B" w:rsidRPr="00756DA5" w:rsidP="0086522B">
            <w:pPr>
              <w:rPr>
                <w:rFonts w:cs="Arial"/>
                <w:noProof/>
                <w:sz w:val="16"/>
                <w:szCs w:val="16"/>
              </w:rPr>
            </w:pPr>
            <w:r w:rsidRPr="00756DA5">
              <w:rPr>
                <w:sz w:val="16"/>
                <w:szCs w:val="16"/>
              </w:rPr>
              <w:t>0.084</w:t>
            </w:r>
          </w:p>
        </w:tc>
        <w:tc>
          <w:tcPr>
            <w:tcW w:w="2359" w:type="dxa"/>
          </w:tcPr>
          <w:p w:rsidR="0086522B" w:rsidRPr="00756DA5" w:rsidP="0086522B">
            <w:pPr>
              <w:rPr>
                <w:rFonts w:cs="Arial"/>
                <w:noProof/>
                <w:sz w:val="16"/>
                <w:szCs w:val="16"/>
              </w:rPr>
            </w:pPr>
            <w:r w:rsidRPr="00756DA5">
              <w:rPr>
                <w:sz w:val="16"/>
                <w:szCs w:val="16"/>
                <w:lang w:val="fr-LU" w:eastAsia="zh-CN" w:bidi="mn-Mong-CN"/>
              </w:rPr>
              <w:t>0,129</w:t>
            </w:r>
          </w:p>
        </w:tc>
        <w:tc>
          <w:tcPr>
            <w:tcW w:w="2168" w:type="dxa"/>
            <w:gridSpan w:val="2"/>
          </w:tcPr>
          <w:p w:rsidR="0086522B" w:rsidRPr="00756DA5" w:rsidP="0086522B">
            <w:pPr>
              <w:rPr>
                <w:rFonts w:cs="Arial"/>
                <w:noProof/>
                <w:sz w:val="16"/>
                <w:szCs w:val="16"/>
              </w:rPr>
            </w:pPr>
            <w:r w:rsidRPr="00756DA5">
              <w:rPr>
                <w:sz w:val="16"/>
                <w:szCs w:val="16"/>
              </w:rPr>
              <w:t>0.129</w:t>
            </w:r>
          </w:p>
        </w:tc>
      </w:tr>
      <w:tr w:rsidTr="0086522B">
        <w:tblPrEx>
          <w:tblW w:w="0" w:type="auto"/>
          <w:tblLook w:val="04A0"/>
        </w:tblPrEx>
        <w:trPr>
          <w:trHeight w:val="70"/>
        </w:trPr>
        <w:tc>
          <w:tcPr>
            <w:tcW w:w="2294" w:type="dxa"/>
          </w:tcPr>
          <w:p w:rsidR="0086522B" w:rsidRPr="00756DA5" w:rsidP="0086522B">
            <w:pPr>
              <w:rPr>
                <w:rFonts w:cs="Arial"/>
                <w:noProof/>
                <w:sz w:val="16"/>
                <w:szCs w:val="16"/>
                <w:lang w:val="fr-LU" w:eastAsia="zh-CN" w:bidi="mn-Mong-CN"/>
              </w:rPr>
            </w:pPr>
          </w:p>
        </w:tc>
        <w:tc>
          <w:tcPr>
            <w:tcW w:w="2251" w:type="dxa"/>
            <w:gridSpan w:val="3"/>
          </w:tcPr>
          <w:p w:rsidR="0086522B" w:rsidRPr="00756DA5" w:rsidP="0086522B">
            <w:pPr>
              <w:rPr>
                <w:rFonts w:cs="Arial"/>
                <w:noProof/>
                <w:sz w:val="16"/>
                <w:szCs w:val="16"/>
                <w:lang w:val="fr-LU" w:eastAsia="zh-CN" w:bidi="mn-Mong-CN"/>
              </w:rPr>
            </w:pPr>
          </w:p>
        </w:tc>
        <w:tc>
          <w:tcPr>
            <w:tcW w:w="2359" w:type="dxa"/>
          </w:tcPr>
          <w:p w:rsidR="0086522B" w:rsidRPr="00756DA5" w:rsidP="0086522B">
            <w:pPr>
              <w:rPr>
                <w:rFonts w:cs="Arial"/>
                <w:noProof/>
                <w:sz w:val="16"/>
                <w:szCs w:val="16"/>
              </w:rPr>
            </w:pPr>
            <w:r w:rsidRPr="00756DA5">
              <w:rPr>
                <w:sz w:val="16"/>
                <w:szCs w:val="16"/>
                <w:lang w:val="fr-LU" w:eastAsia="zh-CN" w:bidi="mn-Mong-CN"/>
              </w:rPr>
              <w:t>0,107</w:t>
            </w:r>
          </w:p>
        </w:tc>
        <w:tc>
          <w:tcPr>
            <w:tcW w:w="2168" w:type="dxa"/>
            <w:gridSpan w:val="2"/>
          </w:tcPr>
          <w:p w:rsidR="0086522B" w:rsidRPr="00756DA5" w:rsidP="0086522B">
            <w:pPr>
              <w:rPr>
                <w:rFonts w:cs="Arial"/>
                <w:noProof/>
                <w:sz w:val="16"/>
                <w:szCs w:val="16"/>
              </w:rPr>
            </w:pPr>
            <w:r w:rsidRPr="00756DA5">
              <w:rPr>
                <w:sz w:val="16"/>
                <w:szCs w:val="16"/>
              </w:rPr>
              <w:t>0.107</w:t>
            </w:r>
          </w:p>
        </w:tc>
      </w:tr>
      <w:tr w:rsidTr="0086522B">
        <w:tblPrEx>
          <w:tblW w:w="0" w:type="auto"/>
          <w:tblLook w:val="04A0"/>
        </w:tblPrEx>
        <w:trPr>
          <w:trHeight w:val="70"/>
        </w:trPr>
        <w:tc>
          <w:tcPr>
            <w:tcW w:w="2294" w:type="dxa"/>
          </w:tcPr>
          <w:p w:rsidR="0086522B" w:rsidRPr="00756DA5" w:rsidP="0086522B">
            <w:pPr>
              <w:rPr>
                <w:rFonts w:cs="Arial"/>
                <w:noProof/>
                <w:sz w:val="16"/>
                <w:szCs w:val="16"/>
                <w:lang w:val="fr-LU" w:eastAsia="zh-CN" w:bidi="mn-Mong-CN"/>
              </w:rPr>
            </w:pPr>
          </w:p>
        </w:tc>
        <w:tc>
          <w:tcPr>
            <w:tcW w:w="2251" w:type="dxa"/>
            <w:gridSpan w:val="3"/>
          </w:tcPr>
          <w:p w:rsidR="0086522B" w:rsidRPr="00756DA5" w:rsidP="0086522B">
            <w:pPr>
              <w:rPr>
                <w:rFonts w:cs="Arial"/>
                <w:noProof/>
                <w:sz w:val="16"/>
                <w:szCs w:val="16"/>
                <w:lang w:val="fr-LU" w:eastAsia="zh-CN" w:bidi="mn-Mong-CN"/>
              </w:rPr>
            </w:pPr>
          </w:p>
        </w:tc>
        <w:tc>
          <w:tcPr>
            <w:tcW w:w="2359" w:type="dxa"/>
          </w:tcPr>
          <w:p w:rsidR="0086522B" w:rsidRPr="00756DA5" w:rsidP="0086522B">
            <w:pPr>
              <w:rPr>
                <w:rFonts w:cs="Arial"/>
                <w:noProof/>
                <w:sz w:val="16"/>
                <w:szCs w:val="16"/>
              </w:rPr>
            </w:pPr>
            <w:r w:rsidRPr="00756DA5">
              <w:rPr>
                <w:sz w:val="16"/>
                <w:szCs w:val="16"/>
                <w:lang w:val="fr-LU" w:eastAsia="zh-CN" w:bidi="mn-Mong-CN"/>
              </w:rPr>
              <w:t>0,168</w:t>
            </w:r>
          </w:p>
        </w:tc>
        <w:tc>
          <w:tcPr>
            <w:tcW w:w="2168" w:type="dxa"/>
            <w:gridSpan w:val="2"/>
          </w:tcPr>
          <w:p w:rsidR="0086522B" w:rsidRPr="00756DA5" w:rsidP="0086522B">
            <w:pPr>
              <w:rPr>
                <w:rFonts w:cs="Arial"/>
                <w:noProof/>
                <w:sz w:val="16"/>
                <w:szCs w:val="16"/>
              </w:rPr>
            </w:pPr>
            <w:r w:rsidRPr="00756DA5">
              <w:rPr>
                <w:sz w:val="16"/>
                <w:szCs w:val="16"/>
              </w:rPr>
              <w:t>0.168</w:t>
            </w:r>
          </w:p>
        </w:tc>
      </w:tr>
      <w:tr w:rsidTr="0086522B">
        <w:tblPrEx>
          <w:tblW w:w="0" w:type="auto"/>
          <w:tblLook w:val="04A0"/>
        </w:tblPrEx>
        <w:trPr>
          <w:trHeight w:val="70"/>
        </w:trPr>
        <w:tc>
          <w:tcPr>
            <w:tcW w:w="2294" w:type="dxa"/>
          </w:tcPr>
          <w:p w:rsidR="0086522B" w:rsidRPr="00756DA5" w:rsidP="0086522B">
            <w:pPr>
              <w:rPr>
                <w:rFonts w:cs="Arial"/>
                <w:noProof/>
                <w:sz w:val="16"/>
                <w:szCs w:val="16"/>
                <w:lang w:val="fr-LU" w:eastAsia="zh-CN" w:bidi="mn-Mong-CN"/>
              </w:rPr>
            </w:pPr>
          </w:p>
        </w:tc>
        <w:tc>
          <w:tcPr>
            <w:tcW w:w="2251" w:type="dxa"/>
            <w:gridSpan w:val="3"/>
          </w:tcPr>
          <w:p w:rsidR="0086522B" w:rsidRPr="00756DA5" w:rsidP="0086522B">
            <w:pPr>
              <w:rPr>
                <w:rFonts w:cs="Arial"/>
                <w:noProof/>
                <w:sz w:val="16"/>
                <w:szCs w:val="16"/>
                <w:lang w:val="fr-LU" w:eastAsia="zh-CN" w:bidi="mn-Mong-CN"/>
              </w:rPr>
            </w:pPr>
          </w:p>
        </w:tc>
        <w:tc>
          <w:tcPr>
            <w:tcW w:w="2359" w:type="dxa"/>
          </w:tcPr>
          <w:p w:rsidR="0086522B" w:rsidRPr="00756DA5" w:rsidP="0086522B">
            <w:pPr>
              <w:rPr>
                <w:rFonts w:cs="Arial"/>
                <w:noProof/>
                <w:sz w:val="16"/>
                <w:szCs w:val="16"/>
              </w:rPr>
            </w:pPr>
            <w:r w:rsidRPr="00756DA5">
              <w:rPr>
                <w:sz w:val="16"/>
                <w:szCs w:val="16"/>
                <w:lang w:val="fr-LU" w:eastAsia="zh-CN" w:bidi="mn-Mong-CN"/>
              </w:rPr>
              <w:t>0,179</w:t>
            </w:r>
          </w:p>
        </w:tc>
        <w:tc>
          <w:tcPr>
            <w:tcW w:w="2168" w:type="dxa"/>
            <w:gridSpan w:val="2"/>
          </w:tcPr>
          <w:p w:rsidR="0086522B" w:rsidRPr="00756DA5" w:rsidP="0086522B">
            <w:pPr>
              <w:rPr>
                <w:rFonts w:cs="Arial"/>
                <w:noProof/>
                <w:sz w:val="16"/>
                <w:szCs w:val="16"/>
              </w:rPr>
            </w:pPr>
            <w:r w:rsidRPr="00756DA5">
              <w:rPr>
                <w:sz w:val="16"/>
                <w:szCs w:val="16"/>
              </w:rPr>
              <w:t>0.179</w:t>
            </w:r>
          </w:p>
        </w:tc>
      </w:tr>
      <w:tr w:rsidTr="0086522B">
        <w:tblPrEx>
          <w:tblW w:w="0" w:type="auto"/>
          <w:tblLook w:val="04A0"/>
        </w:tblPrEx>
        <w:tc>
          <w:tcPr>
            <w:tcW w:w="4545" w:type="dxa"/>
            <w:gridSpan w:val="4"/>
          </w:tcPr>
          <w:p w:rsidR="005D6412" w:rsidRPr="00756DA5" w:rsidP="00663073">
            <w:pPr>
              <w:rPr>
                <w:rFonts w:cs="Arial"/>
                <w:noProof/>
              </w:rPr>
            </w:pPr>
            <w:r w:rsidRPr="00756DA5">
              <w:rPr>
                <w:noProof/>
                <w:lang w:val="fr-FR" w:eastAsia="fr-FR"/>
              </w:rPr>
              <w:drawing>
                <wp:inline distT="0" distB="0" distL="0" distR="0">
                  <wp:extent cx="2781749" cy="2238375"/>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97263" name="Picture 13"/>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0298" cy="2245254"/>
                          </a:xfrm>
                          <a:prstGeom prst="rect">
                            <a:avLst/>
                          </a:prstGeom>
                          <a:noFill/>
                          <a:ln>
                            <a:noFill/>
                          </a:ln>
                        </pic:spPr>
                      </pic:pic>
                    </a:graphicData>
                  </a:graphic>
                </wp:inline>
              </w:drawing>
            </w:r>
          </w:p>
        </w:tc>
        <w:tc>
          <w:tcPr>
            <w:tcW w:w="4527" w:type="dxa"/>
            <w:gridSpan w:val="3"/>
          </w:tcPr>
          <w:p w:rsidR="005D6412" w:rsidRPr="00756DA5" w:rsidP="00663073">
            <w:pPr>
              <w:rPr>
                <w:rFonts w:cs="Arial"/>
                <w:noProof/>
              </w:rPr>
            </w:pPr>
            <w:r w:rsidRPr="00756DA5">
              <w:rPr>
                <w:noProof/>
                <w:lang w:val="fr-FR" w:eastAsia="fr-FR"/>
              </w:rPr>
              <w:drawing>
                <wp:inline distT="0" distB="0" distL="0" distR="0">
                  <wp:extent cx="2691765" cy="2222271"/>
                  <wp:effectExtent l="0" t="0" r="0" b="6985"/>
                  <wp:docPr id="497" name="Image 497" descr="cid:image002.png@01D43AF1.2C47C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74662" name="Picture 17" descr="cid:image002.png@01D43AF1.2C47CF60"/>
                          <pic:cNvPicPr>
                            <a:picLocks noChangeAspect="1" noChangeArrowheads="1"/>
                          </pic:cNvPicPr>
                        </pic:nvPicPr>
                        <pic:blipFill>
                          <a:blip xmlns:r="http://schemas.openxmlformats.org/officeDocument/2006/relationships" r:embed="rId31" r:link="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8979" cy="2228227"/>
                          </a:xfrm>
                          <a:prstGeom prst="rect">
                            <a:avLst/>
                          </a:prstGeom>
                          <a:noFill/>
                          <a:ln>
                            <a:noFill/>
                          </a:ln>
                        </pic:spPr>
                      </pic:pic>
                    </a:graphicData>
                  </a:graphic>
                </wp:inline>
              </w:drawing>
            </w:r>
          </w:p>
        </w:tc>
      </w:tr>
      <w:tr w:rsidTr="0086522B">
        <w:tblPrEx>
          <w:tblW w:w="0" w:type="auto"/>
          <w:tblLook w:val="04A0"/>
        </w:tblPrEx>
        <w:trPr>
          <w:trHeight w:val="129"/>
        </w:trPr>
        <w:tc>
          <w:tcPr>
            <w:tcW w:w="2433" w:type="dxa"/>
            <w:gridSpan w:val="2"/>
          </w:tcPr>
          <w:p w:rsidR="00D802A5" w:rsidRPr="00756DA5" w:rsidP="00D802A5">
            <w:pPr>
              <w:jc w:val="left"/>
              <w:rPr>
                <w:rFonts w:cs="Arial"/>
                <w:sz w:val="16"/>
                <w:szCs w:val="16"/>
              </w:rPr>
            </w:pPr>
            <w:r w:rsidRPr="00756DA5">
              <w:rPr>
                <w:sz w:val="16"/>
                <w:szCs w:val="16"/>
                <w:lang w:eastAsia="zh-CN" w:bidi="mn-Mong-CN"/>
              </w:rPr>
              <w:t>Nombre relatif d’incendies de matériel roulant par million de train-km</w:t>
            </w:r>
          </w:p>
        </w:tc>
        <w:tc>
          <w:tcPr>
            <w:tcW w:w="2112" w:type="dxa"/>
            <w:gridSpan w:val="2"/>
          </w:tcPr>
          <w:p w:rsidR="00D802A5" w:rsidRPr="00756DA5" w:rsidP="00D802A5">
            <w:pPr>
              <w:jc w:val="left"/>
              <w:rPr>
                <w:rFonts w:cs="Arial"/>
                <w:sz w:val="16"/>
                <w:szCs w:val="16"/>
              </w:rPr>
            </w:pPr>
            <w:r w:rsidRPr="00756DA5">
              <w:rPr>
                <w:sz w:val="16"/>
                <w:szCs w:val="16"/>
              </w:rPr>
              <w:t>Number of fires on rolling stock per million train-km</w:t>
            </w:r>
          </w:p>
        </w:tc>
        <w:tc>
          <w:tcPr>
            <w:tcW w:w="2359" w:type="dxa"/>
          </w:tcPr>
          <w:p w:rsidR="00D802A5" w:rsidRPr="00756DA5" w:rsidP="00D802A5">
            <w:pPr>
              <w:jc w:val="left"/>
              <w:rPr>
                <w:rFonts w:cs="Arial"/>
                <w:sz w:val="16"/>
                <w:szCs w:val="16"/>
              </w:rPr>
            </w:pPr>
            <w:r w:rsidRPr="00756DA5">
              <w:rPr>
                <w:sz w:val="16"/>
                <w:szCs w:val="16"/>
                <w:lang w:eastAsia="zh-CN" w:bidi="mn-Mong-CN"/>
              </w:rPr>
              <w:t>Nombre relatif d’accidents «autres» par million de train-km</w:t>
            </w:r>
          </w:p>
        </w:tc>
        <w:tc>
          <w:tcPr>
            <w:tcW w:w="2168" w:type="dxa"/>
            <w:gridSpan w:val="2"/>
          </w:tcPr>
          <w:p w:rsidR="00D802A5" w:rsidRPr="00756DA5" w:rsidP="00D802A5">
            <w:pPr>
              <w:jc w:val="left"/>
              <w:rPr>
                <w:rFonts w:cs="Arial"/>
                <w:sz w:val="16"/>
                <w:szCs w:val="16"/>
              </w:rPr>
            </w:pPr>
            <w:r w:rsidRPr="00756DA5">
              <w:rPr>
                <w:sz w:val="16"/>
                <w:szCs w:val="16"/>
              </w:rPr>
              <w:t>Number of ‘other’ accidents per million train-km</w:t>
            </w:r>
          </w:p>
        </w:tc>
      </w:tr>
      <w:tr w:rsidTr="0086522B">
        <w:tblPrEx>
          <w:tblW w:w="0" w:type="auto"/>
          <w:tblLook w:val="04A0"/>
        </w:tblPrEx>
        <w:trPr>
          <w:trHeight w:val="118"/>
        </w:trPr>
        <w:tc>
          <w:tcPr>
            <w:tcW w:w="2433" w:type="dxa"/>
            <w:gridSpan w:val="2"/>
          </w:tcPr>
          <w:p w:rsidR="00D802A5" w:rsidRPr="00756DA5" w:rsidP="00D802A5">
            <w:pPr>
              <w:rPr>
                <w:rFonts w:cs="Arial"/>
                <w:noProof/>
                <w:sz w:val="16"/>
                <w:szCs w:val="16"/>
              </w:rPr>
            </w:pPr>
            <w:r w:rsidRPr="00756DA5">
              <w:rPr>
                <w:sz w:val="16"/>
                <w:szCs w:val="16"/>
                <w:lang w:val="fr-LU" w:eastAsia="zh-CN" w:bidi="mn-Mong-CN"/>
              </w:rPr>
              <w:t>0,02</w:t>
            </w:r>
          </w:p>
        </w:tc>
        <w:tc>
          <w:tcPr>
            <w:tcW w:w="2112" w:type="dxa"/>
            <w:gridSpan w:val="2"/>
          </w:tcPr>
          <w:p w:rsidR="00D802A5" w:rsidRPr="00756DA5" w:rsidP="00D802A5">
            <w:pPr>
              <w:rPr>
                <w:rFonts w:cs="Arial"/>
                <w:noProof/>
                <w:sz w:val="16"/>
                <w:szCs w:val="16"/>
              </w:rPr>
            </w:pPr>
            <w:r w:rsidRPr="00756DA5">
              <w:rPr>
                <w:sz w:val="16"/>
                <w:szCs w:val="16"/>
              </w:rPr>
              <w:t>0.02</w:t>
            </w:r>
          </w:p>
        </w:tc>
        <w:tc>
          <w:tcPr>
            <w:tcW w:w="2359" w:type="dxa"/>
          </w:tcPr>
          <w:p w:rsidR="00D802A5" w:rsidRPr="00756DA5" w:rsidP="00D802A5">
            <w:pPr>
              <w:rPr>
                <w:rFonts w:cs="Arial"/>
                <w:noProof/>
                <w:sz w:val="16"/>
                <w:szCs w:val="16"/>
              </w:rPr>
            </w:pPr>
            <w:r w:rsidRPr="00756DA5">
              <w:rPr>
                <w:sz w:val="16"/>
                <w:szCs w:val="16"/>
                <w:lang w:val="fr-LU" w:eastAsia="zh-CN" w:bidi="mn-Mong-CN"/>
              </w:rPr>
              <w:t>0,05</w:t>
            </w:r>
          </w:p>
        </w:tc>
        <w:tc>
          <w:tcPr>
            <w:tcW w:w="2168" w:type="dxa"/>
            <w:gridSpan w:val="2"/>
          </w:tcPr>
          <w:p w:rsidR="00D802A5" w:rsidRPr="00756DA5" w:rsidP="00D802A5">
            <w:pPr>
              <w:rPr>
                <w:rFonts w:cs="Arial"/>
                <w:noProof/>
                <w:sz w:val="16"/>
                <w:szCs w:val="16"/>
              </w:rPr>
            </w:pPr>
            <w:r w:rsidRPr="00756DA5">
              <w:rPr>
                <w:sz w:val="16"/>
                <w:szCs w:val="16"/>
              </w:rPr>
              <w:t>0.05</w:t>
            </w:r>
          </w:p>
        </w:tc>
      </w:tr>
      <w:tr w:rsidTr="0086522B">
        <w:tblPrEx>
          <w:tblW w:w="0" w:type="auto"/>
          <w:tblLook w:val="04A0"/>
        </w:tblPrEx>
        <w:trPr>
          <w:trHeight w:val="118"/>
        </w:trPr>
        <w:tc>
          <w:tcPr>
            <w:tcW w:w="2433" w:type="dxa"/>
            <w:gridSpan w:val="2"/>
          </w:tcPr>
          <w:p w:rsidR="00D802A5" w:rsidRPr="00756DA5" w:rsidP="00D802A5">
            <w:pPr>
              <w:rPr>
                <w:rFonts w:cs="Arial"/>
                <w:noProof/>
                <w:sz w:val="16"/>
                <w:szCs w:val="16"/>
              </w:rPr>
            </w:pPr>
            <w:r w:rsidRPr="00756DA5">
              <w:rPr>
                <w:sz w:val="16"/>
                <w:szCs w:val="16"/>
                <w:lang w:val="fr-LU" w:eastAsia="zh-CN" w:bidi="mn-Mong-CN"/>
              </w:rPr>
              <w:t>0,01</w:t>
            </w:r>
          </w:p>
        </w:tc>
        <w:tc>
          <w:tcPr>
            <w:tcW w:w="2112" w:type="dxa"/>
            <w:gridSpan w:val="2"/>
          </w:tcPr>
          <w:p w:rsidR="00D802A5" w:rsidRPr="00756DA5" w:rsidP="00D802A5">
            <w:pPr>
              <w:rPr>
                <w:rFonts w:cs="Arial"/>
                <w:noProof/>
                <w:sz w:val="16"/>
                <w:szCs w:val="16"/>
              </w:rPr>
            </w:pPr>
            <w:r w:rsidRPr="00756DA5">
              <w:rPr>
                <w:sz w:val="16"/>
                <w:szCs w:val="16"/>
              </w:rPr>
              <w:t>0.01</w:t>
            </w:r>
          </w:p>
        </w:tc>
        <w:tc>
          <w:tcPr>
            <w:tcW w:w="2359" w:type="dxa"/>
          </w:tcPr>
          <w:p w:rsidR="00D802A5" w:rsidRPr="00756DA5" w:rsidP="00D802A5">
            <w:pPr>
              <w:rPr>
                <w:rFonts w:cs="Arial"/>
                <w:noProof/>
                <w:sz w:val="16"/>
                <w:szCs w:val="16"/>
              </w:rPr>
            </w:pPr>
            <w:r w:rsidRPr="00756DA5">
              <w:rPr>
                <w:sz w:val="16"/>
                <w:szCs w:val="16"/>
                <w:lang w:val="fr-LU" w:eastAsia="zh-CN" w:bidi="mn-Mong-CN"/>
              </w:rPr>
              <w:t>0,04</w:t>
            </w:r>
          </w:p>
        </w:tc>
        <w:tc>
          <w:tcPr>
            <w:tcW w:w="2168" w:type="dxa"/>
            <w:gridSpan w:val="2"/>
          </w:tcPr>
          <w:p w:rsidR="00D802A5" w:rsidRPr="00756DA5" w:rsidP="00D802A5">
            <w:pPr>
              <w:rPr>
                <w:rFonts w:cs="Arial"/>
                <w:noProof/>
                <w:sz w:val="16"/>
                <w:szCs w:val="16"/>
              </w:rPr>
            </w:pPr>
            <w:r w:rsidRPr="00756DA5">
              <w:rPr>
                <w:sz w:val="16"/>
                <w:szCs w:val="16"/>
              </w:rPr>
              <w:t>0.04</w:t>
            </w:r>
          </w:p>
        </w:tc>
      </w:tr>
      <w:tr w:rsidTr="0086522B">
        <w:tblPrEx>
          <w:tblW w:w="0" w:type="auto"/>
          <w:tblLook w:val="04A0"/>
        </w:tblPrEx>
        <w:trPr>
          <w:trHeight w:val="118"/>
        </w:trPr>
        <w:tc>
          <w:tcPr>
            <w:tcW w:w="2433" w:type="dxa"/>
            <w:gridSpan w:val="2"/>
          </w:tcPr>
          <w:p w:rsidR="00D802A5" w:rsidRPr="00756DA5" w:rsidP="00D802A5">
            <w:pPr>
              <w:rPr>
                <w:rFonts w:cs="Arial"/>
                <w:noProof/>
                <w:sz w:val="16"/>
                <w:szCs w:val="16"/>
              </w:rPr>
            </w:pPr>
            <w:r w:rsidRPr="00756DA5">
              <w:rPr>
                <w:sz w:val="16"/>
                <w:szCs w:val="16"/>
                <w:lang w:val="fr-LU" w:eastAsia="zh-CN" w:bidi="mn-Mong-CN"/>
              </w:rPr>
              <w:t>0,00</w:t>
            </w:r>
          </w:p>
        </w:tc>
        <w:tc>
          <w:tcPr>
            <w:tcW w:w="2112" w:type="dxa"/>
            <w:gridSpan w:val="2"/>
          </w:tcPr>
          <w:p w:rsidR="00D802A5" w:rsidRPr="00756DA5" w:rsidP="00D802A5">
            <w:pPr>
              <w:rPr>
                <w:rFonts w:cs="Arial"/>
                <w:noProof/>
                <w:sz w:val="16"/>
                <w:szCs w:val="16"/>
              </w:rPr>
            </w:pPr>
            <w:r w:rsidRPr="00756DA5">
              <w:rPr>
                <w:sz w:val="16"/>
                <w:szCs w:val="16"/>
              </w:rPr>
              <w:t>0.00</w:t>
            </w:r>
          </w:p>
        </w:tc>
        <w:tc>
          <w:tcPr>
            <w:tcW w:w="2359" w:type="dxa"/>
          </w:tcPr>
          <w:p w:rsidR="00D802A5" w:rsidRPr="00756DA5" w:rsidP="00D802A5">
            <w:pPr>
              <w:rPr>
                <w:rFonts w:cs="Arial"/>
                <w:noProof/>
                <w:sz w:val="16"/>
                <w:szCs w:val="16"/>
              </w:rPr>
            </w:pPr>
            <w:r w:rsidRPr="00756DA5">
              <w:rPr>
                <w:sz w:val="16"/>
                <w:szCs w:val="16"/>
                <w:lang w:val="fr-LU" w:eastAsia="zh-CN" w:bidi="mn-Mong-CN"/>
              </w:rPr>
              <w:t>0,03</w:t>
            </w:r>
          </w:p>
        </w:tc>
        <w:tc>
          <w:tcPr>
            <w:tcW w:w="2168" w:type="dxa"/>
            <w:gridSpan w:val="2"/>
          </w:tcPr>
          <w:p w:rsidR="00D802A5" w:rsidRPr="00756DA5" w:rsidP="00D802A5">
            <w:pPr>
              <w:rPr>
                <w:rFonts w:cs="Arial"/>
                <w:noProof/>
                <w:sz w:val="16"/>
                <w:szCs w:val="16"/>
              </w:rPr>
            </w:pPr>
            <w:r w:rsidRPr="00756DA5">
              <w:rPr>
                <w:sz w:val="16"/>
                <w:szCs w:val="16"/>
              </w:rPr>
              <w:t>0.03</w:t>
            </w:r>
          </w:p>
        </w:tc>
      </w:tr>
      <w:tr w:rsidTr="0086522B">
        <w:tblPrEx>
          <w:tblW w:w="0" w:type="auto"/>
          <w:tblLook w:val="04A0"/>
        </w:tblPrEx>
        <w:trPr>
          <w:trHeight w:val="118"/>
        </w:trPr>
        <w:tc>
          <w:tcPr>
            <w:tcW w:w="2433" w:type="dxa"/>
            <w:gridSpan w:val="2"/>
          </w:tcPr>
          <w:p w:rsidR="00D802A5" w:rsidRPr="00756DA5" w:rsidP="00D802A5">
            <w:pPr>
              <w:rPr>
                <w:rFonts w:cs="Arial"/>
                <w:noProof/>
                <w:sz w:val="16"/>
                <w:szCs w:val="16"/>
              </w:rPr>
            </w:pPr>
            <w:r w:rsidRPr="00756DA5">
              <w:rPr>
                <w:sz w:val="16"/>
                <w:szCs w:val="16"/>
                <w:lang w:val="fr-LU" w:eastAsia="zh-CN" w:bidi="mn-Mong-CN"/>
              </w:rPr>
              <w:t>0,016</w:t>
            </w:r>
          </w:p>
        </w:tc>
        <w:tc>
          <w:tcPr>
            <w:tcW w:w="2112" w:type="dxa"/>
            <w:gridSpan w:val="2"/>
          </w:tcPr>
          <w:p w:rsidR="00D802A5" w:rsidRPr="00756DA5" w:rsidP="00D802A5">
            <w:pPr>
              <w:rPr>
                <w:rFonts w:cs="Arial"/>
                <w:noProof/>
                <w:sz w:val="16"/>
                <w:szCs w:val="16"/>
              </w:rPr>
            </w:pPr>
            <w:r w:rsidRPr="00756DA5">
              <w:rPr>
                <w:sz w:val="16"/>
                <w:szCs w:val="16"/>
              </w:rPr>
              <w:t>0.016</w:t>
            </w:r>
          </w:p>
        </w:tc>
        <w:tc>
          <w:tcPr>
            <w:tcW w:w="2359" w:type="dxa"/>
          </w:tcPr>
          <w:p w:rsidR="00D802A5" w:rsidRPr="00756DA5" w:rsidP="00D802A5">
            <w:pPr>
              <w:rPr>
                <w:rFonts w:cs="Arial"/>
                <w:noProof/>
                <w:sz w:val="16"/>
                <w:szCs w:val="16"/>
              </w:rPr>
            </w:pPr>
            <w:r w:rsidRPr="00756DA5">
              <w:rPr>
                <w:sz w:val="16"/>
                <w:szCs w:val="16"/>
                <w:lang w:val="fr-LU" w:eastAsia="zh-CN" w:bidi="mn-Mong-CN"/>
              </w:rPr>
              <w:t>0,02</w:t>
            </w:r>
          </w:p>
        </w:tc>
        <w:tc>
          <w:tcPr>
            <w:tcW w:w="2168" w:type="dxa"/>
            <w:gridSpan w:val="2"/>
          </w:tcPr>
          <w:p w:rsidR="00D802A5" w:rsidRPr="00756DA5" w:rsidP="00D802A5">
            <w:pPr>
              <w:rPr>
                <w:rFonts w:cs="Arial"/>
                <w:noProof/>
                <w:sz w:val="16"/>
                <w:szCs w:val="16"/>
              </w:rPr>
            </w:pPr>
            <w:r w:rsidRPr="00756DA5">
              <w:rPr>
                <w:sz w:val="16"/>
                <w:szCs w:val="16"/>
              </w:rPr>
              <w:t>0.02</w:t>
            </w:r>
          </w:p>
        </w:tc>
      </w:tr>
      <w:tr w:rsidTr="0086522B">
        <w:tblPrEx>
          <w:tblW w:w="0" w:type="auto"/>
          <w:tblLook w:val="04A0"/>
        </w:tblPrEx>
        <w:trPr>
          <w:trHeight w:val="70"/>
        </w:trPr>
        <w:tc>
          <w:tcPr>
            <w:tcW w:w="2433" w:type="dxa"/>
            <w:gridSpan w:val="2"/>
          </w:tcPr>
          <w:p w:rsidR="00D802A5" w:rsidRPr="00756DA5" w:rsidP="00D802A5">
            <w:pPr>
              <w:rPr>
                <w:rFonts w:cs="Arial"/>
                <w:noProof/>
                <w:sz w:val="16"/>
                <w:szCs w:val="16"/>
              </w:rPr>
            </w:pPr>
            <w:r w:rsidRPr="00756DA5">
              <w:rPr>
                <w:sz w:val="16"/>
                <w:szCs w:val="16"/>
                <w:lang w:val="fr-LU" w:eastAsia="zh-CN" w:bidi="mn-Mong-CN"/>
              </w:rPr>
              <w:t>0,004</w:t>
            </w:r>
          </w:p>
        </w:tc>
        <w:tc>
          <w:tcPr>
            <w:tcW w:w="2112" w:type="dxa"/>
            <w:gridSpan w:val="2"/>
          </w:tcPr>
          <w:p w:rsidR="00D802A5" w:rsidRPr="00756DA5" w:rsidP="00D802A5">
            <w:pPr>
              <w:rPr>
                <w:rFonts w:cs="Arial"/>
                <w:noProof/>
                <w:sz w:val="16"/>
                <w:szCs w:val="16"/>
              </w:rPr>
            </w:pPr>
            <w:r w:rsidRPr="00756DA5">
              <w:rPr>
                <w:sz w:val="16"/>
                <w:szCs w:val="16"/>
              </w:rPr>
              <w:t>0.004</w:t>
            </w:r>
          </w:p>
        </w:tc>
        <w:tc>
          <w:tcPr>
            <w:tcW w:w="2359" w:type="dxa"/>
          </w:tcPr>
          <w:p w:rsidR="00D802A5" w:rsidRPr="00756DA5" w:rsidP="00D802A5">
            <w:pPr>
              <w:rPr>
                <w:rFonts w:cs="Arial"/>
                <w:noProof/>
                <w:sz w:val="16"/>
                <w:szCs w:val="16"/>
              </w:rPr>
            </w:pPr>
            <w:r w:rsidRPr="00756DA5">
              <w:rPr>
                <w:sz w:val="16"/>
                <w:szCs w:val="16"/>
                <w:lang w:val="fr-LU" w:eastAsia="zh-CN" w:bidi="mn-Mong-CN"/>
              </w:rPr>
              <w:t>0,01</w:t>
            </w:r>
          </w:p>
        </w:tc>
        <w:tc>
          <w:tcPr>
            <w:tcW w:w="2168" w:type="dxa"/>
            <w:gridSpan w:val="2"/>
          </w:tcPr>
          <w:p w:rsidR="00D802A5" w:rsidRPr="00756DA5" w:rsidP="00D802A5">
            <w:pPr>
              <w:rPr>
                <w:rFonts w:cs="Arial"/>
                <w:noProof/>
                <w:sz w:val="16"/>
                <w:szCs w:val="16"/>
              </w:rPr>
            </w:pPr>
            <w:r w:rsidRPr="00756DA5">
              <w:rPr>
                <w:sz w:val="16"/>
                <w:szCs w:val="16"/>
              </w:rPr>
              <w:t>0.01</w:t>
            </w:r>
          </w:p>
        </w:tc>
      </w:tr>
      <w:tr w:rsidTr="0086522B">
        <w:tblPrEx>
          <w:tblW w:w="0" w:type="auto"/>
          <w:tblLook w:val="04A0"/>
        </w:tblPrEx>
        <w:trPr>
          <w:trHeight w:val="70"/>
        </w:trPr>
        <w:tc>
          <w:tcPr>
            <w:tcW w:w="2433" w:type="dxa"/>
            <w:gridSpan w:val="2"/>
          </w:tcPr>
          <w:p w:rsidR="00D802A5" w:rsidRPr="00756DA5" w:rsidP="00D802A5">
            <w:pPr>
              <w:rPr>
                <w:rFonts w:cs="Arial"/>
                <w:noProof/>
                <w:sz w:val="16"/>
                <w:szCs w:val="16"/>
              </w:rPr>
            </w:pPr>
            <w:r w:rsidRPr="00756DA5">
              <w:rPr>
                <w:sz w:val="16"/>
                <w:szCs w:val="16"/>
                <w:lang w:val="fr-LU" w:eastAsia="zh-CN" w:bidi="mn-Mong-CN"/>
              </w:rPr>
              <w:t>0,009</w:t>
            </w:r>
          </w:p>
        </w:tc>
        <w:tc>
          <w:tcPr>
            <w:tcW w:w="2112" w:type="dxa"/>
            <w:gridSpan w:val="2"/>
          </w:tcPr>
          <w:p w:rsidR="00D802A5" w:rsidRPr="00756DA5" w:rsidP="00D802A5">
            <w:pPr>
              <w:rPr>
                <w:rFonts w:cs="Arial"/>
                <w:noProof/>
                <w:sz w:val="16"/>
                <w:szCs w:val="16"/>
              </w:rPr>
            </w:pPr>
            <w:r w:rsidRPr="00756DA5">
              <w:rPr>
                <w:sz w:val="16"/>
                <w:szCs w:val="16"/>
              </w:rPr>
              <w:t>0.009</w:t>
            </w:r>
          </w:p>
        </w:tc>
        <w:tc>
          <w:tcPr>
            <w:tcW w:w="2359" w:type="dxa"/>
          </w:tcPr>
          <w:p w:rsidR="00D802A5" w:rsidRPr="00756DA5" w:rsidP="00D802A5">
            <w:pPr>
              <w:rPr>
                <w:rFonts w:cs="Arial"/>
                <w:noProof/>
                <w:sz w:val="16"/>
                <w:szCs w:val="16"/>
              </w:rPr>
            </w:pPr>
            <w:r w:rsidRPr="00756DA5">
              <w:rPr>
                <w:sz w:val="16"/>
                <w:szCs w:val="16"/>
                <w:lang w:val="fr-LU" w:eastAsia="zh-CN" w:bidi="mn-Mong-CN"/>
              </w:rPr>
              <w:t>0,00</w:t>
            </w:r>
          </w:p>
        </w:tc>
        <w:tc>
          <w:tcPr>
            <w:tcW w:w="2168" w:type="dxa"/>
            <w:gridSpan w:val="2"/>
          </w:tcPr>
          <w:p w:rsidR="00D802A5" w:rsidRPr="00756DA5" w:rsidP="00D802A5">
            <w:pPr>
              <w:rPr>
                <w:rFonts w:cs="Arial"/>
                <w:noProof/>
                <w:sz w:val="16"/>
                <w:szCs w:val="16"/>
              </w:rPr>
            </w:pPr>
            <w:r w:rsidRPr="00756DA5">
              <w:rPr>
                <w:sz w:val="16"/>
                <w:szCs w:val="16"/>
              </w:rPr>
              <w:t>0.00</w:t>
            </w:r>
          </w:p>
        </w:tc>
      </w:tr>
      <w:tr w:rsidTr="0086522B">
        <w:tblPrEx>
          <w:tblW w:w="0" w:type="auto"/>
          <w:tblLook w:val="04A0"/>
        </w:tblPrEx>
        <w:trPr>
          <w:trHeight w:val="70"/>
        </w:trPr>
        <w:tc>
          <w:tcPr>
            <w:tcW w:w="2433" w:type="dxa"/>
            <w:gridSpan w:val="2"/>
          </w:tcPr>
          <w:p w:rsidR="00D802A5" w:rsidRPr="00756DA5" w:rsidP="00D802A5">
            <w:pPr>
              <w:rPr>
                <w:rFonts w:cs="Arial"/>
                <w:noProof/>
                <w:sz w:val="16"/>
                <w:szCs w:val="16"/>
              </w:rPr>
            </w:pPr>
            <w:r w:rsidRPr="00756DA5">
              <w:rPr>
                <w:sz w:val="16"/>
                <w:szCs w:val="16"/>
                <w:lang w:val="fr-LU" w:eastAsia="zh-CN" w:bidi="mn-Mong-CN"/>
              </w:rPr>
              <w:t>0,000</w:t>
            </w:r>
          </w:p>
        </w:tc>
        <w:tc>
          <w:tcPr>
            <w:tcW w:w="2112" w:type="dxa"/>
            <w:gridSpan w:val="2"/>
          </w:tcPr>
          <w:p w:rsidR="00D802A5" w:rsidRPr="00756DA5" w:rsidP="00D802A5">
            <w:pPr>
              <w:rPr>
                <w:rFonts w:cs="Arial"/>
                <w:noProof/>
                <w:sz w:val="16"/>
                <w:szCs w:val="16"/>
              </w:rPr>
            </w:pPr>
            <w:r w:rsidRPr="00756DA5">
              <w:rPr>
                <w:sz w:val="16"/>
                <w:szCs w:val="16"/>
              </w:rPr>
              <w:t>0.000</w:t>
            </w:r>
          </w:p>
        </w:tc>
        <w:tc>
          <w:tcPr>
            <w:tcW w:w="2359" w:type="dxa"/>
          </w:tcPr>
          <w:p w:rsidR="00D802A5" w:rsidRPr="00756DA5" w:rsidP="00D802A5">
            <w:pPr>
              <w:rPr>
                <w:rFonts w:cs="Arial"/>
                <w:noProof/>
                <w:sz w:val="16"/>
                <w:szCs w:val="16"/>
              </w:rPr>
            </w:pPr>
            <w:r w:rsidRPr="00756DA5">
              <w:rPr>
                <w:sz w:val="16"/>
                <w:szCs w:val="16"/>
                <w:lang w:val="fr-LU" w:eastAsia="zh-CN" w:bidi="mn-Mong-CN"/>
              </w:rPr>
              <w:t>0,022</w:t>
            </w:r>
          </w:p>
        </w:tc>
        <w:tc>
          <w:tcPr>
            <w:tcW w:w="2168" w:type="dxa"/>
            <w:gridSpan w:val="2"/>
          </w:tcPr>
          <w:p w:rsidR="00D802A5" w:rsidRPr="00756DA5" w:rsidP="00D802A5">
            <w:pPr>
              <w:rPr>
                <w:rFonts w:cs="Arial"/>
                <w:noProof/>
                <w:sz w:val="16"/>
                <w:szCs w:val="16"/>
              </w:rPr>
            </w:pPr>
            <w:r w:rsidRPr="00756DA5">
              <w:rPr>
                <w:sz w:val="16"/>
                <w:szCs w:val="16"/>
              </w:rPr>
              <w:t>0.022</w:t>
            </w:r>
          </w:p>
        </w:tc>
      </w:tr>
      <w:tr w:rsidTr="0086522B">
        <w:tblPrEx>
          <w:tblW w:w="0" w:type="auto"/>
          <w:tblLook w:val="04A0"/>
        </w:tblPrEx>
        <w:trPr>
          <w:trHeight w:val="70"/>
        </w:trPr>
        <w:tc>
          <w:tcPr>
            <w:tcW w:w="2433" w:type="dxa"/>
            <w:gridSpan w:val="2"/>
          </w:tcPr>
          <w:p w:rsidR="00D802A5" w:rsidRPr="00756DA5" w:rsidP="00D802A5">
            <w:pPr>
              <w:rPr>
                <w:rFonts w:cs="Arial"/>
                <w:noProof/>
                <w:sz w:val="16"/>
                <w:szCs w:val="16"/>
                <w:lang w:val="fr-LU" w:eastAsia="zh-CN" w:bidi="mn-Mong-CN"/>
              </w:rPr>
            </w:pPr>
          </w:p>
        </w:tc>
        <w:tc>
          <w:tcPr>
            <w:tcW w:w="2112" w:type="dxa"/>
            <w:gridSpan w:val="2"/>
          </w:tcPr>
          <w:p w:rsidR="00D802A5" w:rsidRPr="00756DA5" w:rsidP="00D802A5">
            <w:pPr>
              <w:rPr>
                <w:rFonts w:cs="Arial"/>
                <w:noProof/>
                <w:sz w:val="16"/>
                <w:szCs w:val="16"/>
                <w:lang w:val="fr-LU" w:eastAsia="zh-CN" w:bidi="mn-Mong-CN"/>
              </w:rPr>
            </w:pPr>
          </w:p>
        </w:tc>
        <w:tc>
          <w:tcPr>
            <w:tcW w:w="2359" w:type="dxa"/>
          </w:tcPr>
          <w:p w:rsidR="00D802A5" w:rsidRPr="00756DA5" w:rsidP="00D802A5">
            <w:pPr>
              <w:rPr>
                <w:rFonts w:cs="Arial"/>
                <w:noProof/>
                <w:sz w:val="16"/>
                <w:szCs w:val="16"/>
              </w:rPr>
            </w:pPr>
            <w:r w:rsidRPr="00756DA5">
              <w:rPr>
                <w:sz w:val="16"/>
                <w:szCs w:val="16"/>
                <w:lang w:val="fr-LU" w:eastAsia="zh-CN" w:bidi="mn-Mong-CN"/>
              </w:rPr>
              <w:t>0,047</w:t>
            </w:r>
          </w:p>
        </w:tc>
        <w:tc>
          <w:tcPr>
            <w:tcW w:w="2168" w:type="dxa"/>
            <w:gridSpan w:val="2"/>
          </w:tcPr>
          <w:p w:rsidR="00D802A5" w:rsidRPr="00756DA5" w:rsidP="00D802A5">
            <w:pPr>
              <w:rPr>
                <w:rFonts w:cs="Arial"/>
                <w:noProof/>
                <w:sz w:val="16"/>
                <w:szCs w:val="16"/>
              </w:rPr>
            </w:pPr>
            <w:r w:rsidRPr="00756DA5">
              <w:rPr>
                <w:sz w:val="16"/>
                <w:szCs w:val="16"/>
              </w:rPr>
              <w:t>0.047</w:t>
            </w:r>
          </w:p>
        </w:tc>
      </w:tr>
      <w:tr w:rsidTr="0086522B">
        <w:tblPrEx>
          <w:tblW w:w="0" w:type="auto"/>
          <w:tblLook w:val="04A0"/>
        </w:tblPrEx>
        <w:trPr>
          <w:trHeight w:val="70"/>
        </w:trPr>
        <w:tc>
          <w:tcPr>
            <w:tcW w:w="2433" w:type="dxa"/>
            <w:gridSpan w:val="2"/>
          </w:tcPr>
          <w:p w:rsidR="00D802A5" w:rsidRPr="00756DA5" w:rsidP="00D802A5">
            <w:pPr>
              <w:rPr>
                <w:rFonts w:cs="Arial"/>
                <w:noProof/>
                <w:sz w:val="16"/>
                <w:szCs w:val="16"/>
                <w:lang w:val="fr-LU" w:eastAsia="zh-CN" w:bidi="mn-Mong-CN"/>
              </w:rPr>
            </w:pPr>
          </w:p>
        </w:tc>
        <w:tc>
          <w:tcPr>
            <w:tcW w:w="2112" w:type="dxa"/>
            <w:gridSpan w:val="2"/>
          </w:tcPr>
          <w:p w:rsidR="00D802A5" w:rsidRPr="00756DA5" w:rsidP="00D802A5">
            <w:pPr>
              <w:rPr>
                <w:rFonts w:cs="Arial"/>
                <w:noProof/>
                <w:sz w:val="16"/>
                <w:szCs w:val="16"/>
                <w:lang w:val="fr-LU" w:eastAsia="zh-CN" w:bidi="mn-Mong-CN"/>
              </w:rPr>
            </w:pPr>
          </w:p>
        </w:tc>
        <w:tc>
          <w:tcPr>
            <w:tcW w:w="2359" w:type="dxa"/>
          </w:tcPr>
          <w:p w:rsidR="00D802A5" w:rsidRPr="00756DA5" w:rsidP="00D802A5">
            <w:pPr>
              <w:rPr>
                <w:rFonts w:cs="Arial"/>
                <w:noProof/>
                <w:sz w:val="16"/>
                <w:szCs w:val="16"/>
              </w:rPr>
            </w:pPr>
            <w:r w:rsidRPr="00756DA5">
              <w:rPr>
                <w:sz w:val="16"/>
                <w:szCs w:val="16"/>
                <w:lang w:val="fr-LU" w:eastAsia="zh-CN" w:bidi="mn-Mong-CN"/>
              </w:rPr>
              <w:t>0,020</w:t>
            </w:r>
          </w:p>
        </w:tc>
        <w:tc>
          <w:tcPr>
            <w:tcW w:w="2168" w:type="dxa"/>
            <w:gridSpan w:val="2"/>
          </w:tcPr>
          <w:p w:rsidR="00D802A5" w:rsidRPr="00756DA5" w:rsidP="00D802A5">
            <w:pPr>
              <w:rPr>
                <w:rFonts w:cs="Arial"/>
                <w:noProof/>
                <w:sz w:val="16"/>
                <w:szCs w:val="16"/>
              </w:rPr>
            </w:pPr>
            <w:r w:rsidRPr="00756DA5">
              <w:rPr>
                <w:sz w:val="16"/>
                <w:szCs w:val="16"/>
              </w:rPr>
              <w:t>0.020</w:t>
            </w:r>
          </w:p>
        </w:tc>
      </w:tr>
      <w:tr w:rsidTr="0086522B">
        <w:tblPrEx>
          <w:tblW w:w="0" w:type="auto"/>
          <w:tblLook w:val="04A0"/>
        </w:tblPrEx>
        <w:trPr>
          <w:trHeight w:val="70"/>
        </w:trPr>
        <w:tc>
          <w:tcPr>
            <w:tcW w:w="2433" w:type="dxa"/>
            <w:gridSpan w:val="2"/>
          </w:tcPr>
          <w:p w:rsidR="00D802A5" w:rsidRPr="00756DA5" w:rsidP="00D802A5">
            <w:pPr>
              <w:rPr>
                <w:rFonts w:cs="Arial"/>
                <w:noProof/>
                <w:sz w:val="16"/>
                <w:szCs w:val="16"/>
                <w:lang w:val="fr-LU" w:eastAsia="zh-CN" w:bidi="mn-Mong-CN"/>
              </w:rPr>
            </w:pPr>
          </w:p>
        </w:tc>
        <w:tc>
          <w:tcPr>
            <w:tcW w:w="2112" w:type="dxa"/>
            <w:gridSpan w:val="2"/>
          </w:tcPr>
          <w:p w:rsidR="00D802A5" w:rsidRPr="00756DA5" w:rsidP="00D802A5">
            <w:pPr>
              <w:rPr>
                <w:rFonts w:cs="Arial"/>
                <w:noProof/>
                <w:sz w:val="16"/>
                <w:szCs w:val="16"/>
                <w:lang w:val="fr-LU" w:eastAsia="zh-CN" w:bidi="mn-Mong-CN"/>
              </w:rPr>
            </w:pPr>
          </w:p>
        </w:tc>
        <w:tc>
          <w:tcPr>
            <w:tcW w:w="2359" w:type="dxa"/>
          </w:tcPr>
          <w:p w:rsidR="00D802A5" w:rsidRPr="00756DA5" w:rsidP="00D802A5">
            <w:pPr>
              <w:rPr>
                <w:rFonts w:cs="Arial"/>
                <w:noProof/>
                <w:sz w:val="16"/>
                <w:szCs w:val="16"/>
              </w:rPr>
            </w:pPr>
            <w:r w:rsidRPr="00756DA5">
              <w:rPr>
                <w:sz w:val="16"/>
                <w:szCs w:val="16"/>
                <w:lang w:val="fr-LU" w:eastAsia="zh-CN" w:bidi="mn-Mong-CN"/>
              </w:rPr>
              <w:t>0,006</w:t>
            </w:r>
          </w:p>
        </w:tc>
        <w:tc>
          <w:tcPr>
            <w:tcW w:w="2168" w:type="dxa"/>
            <w:gridSpan w:val="2"/>
          </w:tcPr>
          <w:p w:rsidR="00D802A5" w:rsidRPr="00756DA5" w:rsidP="00D802A5">
            <w:pPr>
              <w:rPr>
                <w:rFonts w:cs="Arial"/>
                <w:noProof/>
                <w:sz w:val="16"/>
                <w:szCs w:val="16"/>
              </w:rPr>
            </w:pPr>
            <w:r w:rsidRPr="00756DA5">
              <w:rPr>
                <w:sz w:val="16"/>
                <w:szCs w:val="16"/>
              </w:rPr>
              <w:t>0.006</w:t>
            </w:r>
          </w:p>
        </w:tc>
      </w:tr>
      <w:tr w:rsidTr="0086522B">
        <w:tblPrEx>
          <w:tblW w:w="0" w:type="auto"/>
          <w:tblLook w:val="04A0"/>
        </w:tblPrEx>
        <w:trPr>
          <w:trHeight w:val="70"/>
        </w:trPr>
        <w:tc>
          <w:tcPr>
            <w:tcW w:w="2433" w:type="dxa"/>
            <w:gridSpan w:val="2"/>
          </w:tcPr>
          <w:p w:rsidR="00D802A5" w:rsidRPr="00756DA5" w:rsidP="00D802A5">
            <w:pPr>
              <w:rPr>
                <w:rFonts w:cs="Arial"/>
                <w:noProof/>
                <w:sz w:val="16"/>
                <w:szCs w:val="16"/>
                <w:lang w:val="fr-LU" w:eastAsia="zh-CN" w:bidi="mn-Mong-CN"/>
              </w:rPr>
            </w:pPr>
          </w:p>
        </w:tc>
        <w:tc>
          <w:tcPr>
            <w:tcW w:w="2112" w:type="dxa"/>
            <w:gridSpan w:val="2"/>
          </w:tcPr>
          <w:p w:rsidR="00D802A5" w:rsidRPr="00756DA5" w:rsidP="00D802A5">
            <w:pPr>
              <w:rPr>
                <w:rFonts w:cs="Arial"/>
                <w:noProof/>
                <w:sz w:val="16"/>
                <w:szCs w:val="16"/>
                <w:lang w:val="fr-LU" w:eastAsia="zh-CN" w:bidi="mn-Mong-CN"/>
              </w:rPr>
            </w:pPr>
          </w:p>
        </w:tc>
        <w:tc>
          <w:tcPr>
            <w:tcW w:w="2359" w:type="dxa"/>
          </w:tcPr>
          <w:p w:rsidR="00D802A5" w:rsidRPr="00756DA5" w:rsidP="00D802A5">
            <w:pPr>
              <w:rPr>
                <w:rFonts w:cs="Arial"/>
                <w:noProof/>
                <w:sz w:val="16"/>
                <w:szCs w:val="16"/>
              </w:rPr>
            </w:pPr>
            <w:r w:rsidRPr="00756DA5">
              <w:rPr>
                <w:sz w:val="16"/>
                <w:szCs w:val="16"/>
                <w:lang w:val="fr-LU" w:eastAsia="zh-CN" w:bidi="mn-Mong-CN"/>
              </w:rPr>
              <w:t>0,016</w:t>
            </w:r>
          </w:p>
        </w:tc>
        <w:tc>
          <w:tcPr>
            <w:tcW w:w="2168" w:type="dxa"/>
            <w:gridSpan w:val="2"/>
          </w:tcPr>
          <w:p w:rsidR="00D802A5" w:rsidRPr="00756DA5" w:rsidP="00D802A5">
            <w:pPr>
              <w:rPr>
                <w:rFonts w:cs="Arial"/>
                <w:noProof/>
                <w:sz w:val="16"/>
                <w:szCs w:val="16"/>
              </w:rPr>
            </w:pPr>
            <w:r w:rsidRPr="00756DA5">
              <w:rPr>
                <w:sz w:val="16"/>
                <w:szCs w:val="16"/>
              </w:rPr>
              <w:t>0.016</w:t>
            </w:r>
          </w:p>
        </w:tc>
      </w:tr>
    </w:tbl>
    <w:p w:rsidR="00D802A5" w:rsidRPr="00756DA5"/>
    <w:p w:rsidR="00A347DD" w:rsidRPr="00756DA5" w:rsidP="00A347DD">
      <w:pPr>
        <w:pStyle w:val="Heading3"/>
        <w:numPr>
          <w:ilvl w:val="2"/>
          <w:numId w:val="9"/>
        </w:numPr>
        <w:rPr>
          <w:rFonts w:cs="Arial"/>
        </w:rPr>
      </w:pPr>
      <w:bookmarkStart w:id="52" w:name="_Toc426123665"/>
      <w:bookmarkStart w:id="53" w:name="_Toc494469623"/>
      <w:bookmarkStart w:id="54" w:name="_Toc533153870"/>
      <w:r w:rsidRPr="00756DA5">
        <w:t>Precursors of accidents</w:t>
      </w:r>
      <w:bookmarkEnd w:id="52"/>
      <w:bookmarkEnd w:id="53"/>
      <w:bookmarkEnd w:id="54"/>
    </w:p>
    <w:p w:rsidR="007D59B2" w:rsidRPr="00756DA5" w:rsidP="000F3AD3">
      <w:pPr>
        <w:spacing w:after="0" w:line="280" w:lineRule="exact"/>
        <w:rPr>
          <w:rFonts w:cs="Arial"/>
          <w:szCs w:val="20"/>
        </w:rPr>
      </w:pPr>
      <w:r w:rsidRPr="00756DA5">
        <w:rPr>
          <w:color w:val="808080" w:themeColor="background1" w:themeShade="80"/>
          <w:sz w:val="24"/>
          <w:szCs w:val="24"/>
        </w:rPr>
        <w:br/>
      </w:r>
      <w:r w:rsidRPr="00756DA5">
        <w:t>Among the CSIs, there is a category dedicated to precursor events, which may or may not have resulted in a ‘collision’ or ‘derailment’ type of accident, as defined in Annex I of Directive (EU) 2016/798. The following are included in the precursor events:</w:t>
      </w:r>
    </w:p>
    <w:p w:rsidR="007D59B2" w:rsidRPr="00756DA5" w:rsidP="000F3AD3">
      <w:pPr>
        <w:pStyle w:val="ListParagraph"/>
        <w:numPr>
          <w:ilvl w:val="0"/>
          <w:numId w:val="14"/>
        </w:numPr>
        <w:spacing w:after="0" w:line="280" w:lineRule="exact"/>
        <w:rPr>
          <w:rFonts w:cs="Arial"/>
          <w:szCs w:val="20"/>
        </w:rPr>
      </w:pPr>
      <w:r w:rsidRPr="00756DA5">
        <w:t>broken wheels and axles on rolling stock in service;</w:t>
      </w:r>
    </w:p>
    <w:p w:rsidR="007D59B2" w:rsidRPr="00756DA5" w:rsidP="000F3AD3">
      <w:pPr>
        <w:pStyle w:val="ListParagraph"/>
        <w:numPr>
          <w:ilvl w:val="0"/>
          <w:numId w:val="14"/>
        </w:numPr>
        <w:spacing w:after="0" w:line="280" w:lineRule="exact"/>
        <w:rPr>
          <w:rFonts w:cs="Arial"/>
          <w:szCs w:val="20"/>
        </w:rPr>
      </w:pPr>
      <w:r w:rsidRPr="00756DA5">
        <w:t>signals passed at danger;</w:t>
      </w:r>
    </w:p>
    <w:p w:rsidR="007D59B2" w:rsidRPr="00756DA5" w:rsidP="000F3AD3">
      <w:pPr>
        <w:pStyle w:val="ListParagraph"/>
        <w:numPr>
          <w:ilvl w:val="0"/>
          <w:numId w:val="14"/>
        </w:numPr>
        <w:spacing w:after="0" w:line="280" w:lineRule="exact"/>
        <w:rPr>
          <w:rFonts w:cs="Arial"/>
          <w:szCs w:val="20"/>
        </w:rPr>
      </w:pPr>
      <w:r w:rsidRPr="00756DA5">
        <w:t>broken rails;</w:t>
      </w:r>
    </w:p>
    <w:p w:rsidR="007D59B2" w:rsidRPr="00756DA5" w:rsidP="000F3AD3">
      <w:pPr>
        <w:pStyle w:val="ListParagraph"/>
        <w:numPr>
          <w:ilvl w:val="0"/>
          <w:numId w:val="14"/>
        </w:numPr>
        <w:spacing w:after="0" w:line="280" w:lineRule="exact"/>
        <w:rPr>
          <w:rFonts w:cs="Arial"/>
          <w:szCs w:val="20"/>
        </w:rPr>
      </w:pPr>
      <w:r w:rsidRPr="00756DA5">
        <w:t>track buckles;</w:t>
      </w:r>
    </w:p>
    <w:p w:rsidR="007D59B2" w:rsidRPr="00756DA5" w:rsidP="000F3AD3">
      <w:pPr>
        <w:pStyle w:val="ListParagraph"/>
        <w:numPr>
          <w:ilvl w:val="0"/>
          <w:numId w:val="14"/>
        </w:numPr>
        <w:spacing w:after="0" w:line="280" w:lineRule="exact"/>
        <w:rPr>
          <w:rFonts w:cs="Arial"/>
          <w:szCs w:val="20"/>
        </w:rPr>
      </w:pPr>
      <w:r w:rsidRPr="00756DA5">
        <w:t>signalling</w:t>
      </w:r>
      <w:r w:rsidRPr="00756DA5">
        <w:t xml:space="preserve"> failures.</w:t>
      </w:r>
    </w:p>
    <w:p w:rsidR="000F3AD3" w:rsidRPr="00756DA5" w:rsidP="000F3AD3">
      <w:pPr>
        <w:pStyle w:val="ListParagraph"/>
        <w:spacing w:after="0" w:line="280" w:lineRule="exact"/>
        <w:rPr>
          <w:rFonts w:cs="Arial"/>
          <w:szCs w:val="20"/>
        </w:rPr>
      </w:pPr>
    </w:p>
    <w:p w:rsidR="007D59B2" w:rsidRPr="00756DA5" w:rsidP="00706D2F">
      <w:pPr>
        <w:spacing w:line="280" w:lineRule="exact"/>
        <w:rPr>
          <w:rFonts w:cs="Arial"/>
          <w:b/>
          <w:bCs/>
          <w:szCs w:val="20"/>
        </w:rPr>
      </w:pPr>
      <w:r w:rsidRPr="00756DA5">
        <w:rPr>
          <w:b/>
          <w:bCs/>
          <w:szCs w:val="20"/>
        </w:rPr>
        <w:t>■ Summary of precursor events in absolute terms</w:t>
      </w:r>
    </w:p>
    <w:p w:rsidR="007D59B2" w:rsidRPr="00756DA5" w:rsidP="007D59B2">
      <w:pPr>
        <w:jc w:val="center"/>
        <w:rPr>
          <w:rFonts w:cs="Arial"/>
          <w:szCs w:val="20"/>
        </w:rPr>
      </w:pPr>
      <w:r w:rsidRPr="00756DA5">
        <w:rPr>
          <w:noProof/>
          <w:lang w:val="fr-FR" w:eastAsia="fr-FR"/>
        </w:rPr>
        <w:drawing>
          <wp:inline distT="0" distB="0" distL="0" distR="0">
            <wp:extent cx="5759450" cy="3674745"/>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02417" name=""/>
                    <pic:cNvPicPr/>
                  </pic:nvPicPr>
                  <pic:blipFill>
                    <a:blip xmlns:r="http://schemas.openxmlformats.org/officeDocument/2006/relationships" r:embed="rId33"/>
                    <a:stretch>
                      <a:fillRect/>
                    </a:stretch>
                  </pic:blipFill>
                  <pic:spPr>
                    <a:xfrm>
                      <a:off x="0" y="0"/>
                      <a:ext cx="5759450" cy="3674745"/>
                    </a:xfrm>
                    <a:prstGeom prst="rect">
                      <a:avLst/>
                    </a:prstGeom>
                  </pic:spPr>
                </pic:pic>
              </a:graphicData>
            </a:graphic>
          </wp:inline>
        </w:drawing>
      </w:r>
    </w:p>
    <w:p w:rsidR="00406979" w:rsidRPr="00756DA5" w:rsidP="00706D2F">
      <w:pPr>
        <w:spacing w:line="280" w:lineRule="exact"/>
        <w:rPr>
          <w:rFonts w:cs="Arial"/>
          <w:szCs w:val="20"/>
        </w:rPr>
      </w:pPr>
    </w:p>
    <w:tbl>
      <w:tblPr>
        <w:tblStyle w:val="TableGrid"/>
        <w:tblW w:w="9062" w:type="dxa"/>
        <w:tblLook w:val="04A0"/>
      </w:tblPr>
      <w:tblGrid>
        <w:gridCol w:w="4531"/>
        <w:gridCol w:w="4531"/>
      </w:tblGrid>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Pannes de signalisation</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Signalling failures</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Ruptures de rail</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Broken rails</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Roues et essieux</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Wheels and axles</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Gauches de voie en valeur de ralentissement</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Track buckles requiring speed reduction</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Franchissements de signaux d’arrêt</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Signals passed at danger</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1000</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1 000</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1037</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1 037</w:t>
            </w:r>
          </w:p>
        </w:tc>
      </w:tr>
    </w:tbl>
    <w:p w:rsidR="000C17C2" w:rsidRPr="00756DA5" w:rsidP="00706D2F">
      <w:pPr>
        <w:spacing w:line="280" w:lineRule="exact"/>
        <w:rPr>
          <w:rFonts w:cs="Arial"/>
          <w:szCs w:val="20"/>
        </w:rPr>
      </w:pPr>
    </w:p>
    <w:p w:rsidR="007D59B2" w:rsidRPr="00756DA5" w:rsidP="00706D2F">
      <w:pPr>
        <w:spacing w:line="280" w:lineRule="exact"/>
        <w:rPr>
          <w:rFonts w:cs="Arial"/>
          <w:szCs w:val="20"/>
        </w:rPr>
      </w:pPr>
      <w:r w:rsidRPr="00756DA5">
        <w:t xml:space="preserve">The fall in the total number of accident precursor events continued in 2017 (-4 % compared to 2016). This performance is all the more noteworthy because traffic increased significantly in 2017. The ratio of </w:t>
      </w:r>
      <w:r w:rsidRPr="00756DA5">
        <w:t>the number of precursor events to traffic fell from 1.47 incidents per million train-km in 2016 to 1.37 in 2017, which is a decrease of 6.8 %.</w:t>
      </w:r>
    </w:p>
    <w:p w:rsidR="00C04344" w:rsidRPr="00756DA5" w:rsidP="007D59B2">
      <w:pPr>
        <w:jc w:val="center"/>
        <w:rPr>
          <w:rFonts w:cs="Arial"/>
          <w:szCs w:val="20"/>
        </w:rPr>
      </w:pPr>
    </w:p>
    <w:p w:rsidR="00C04344" w:rsidRPr="00756DA5" w:rsidP="007D59B2">
      <w:pPr>
        <w:jc w:val="center"/>
        <w:rPr>
          <w:rFonts w:cs="Arial"/>
          <w:szCs w:val="20"/>
        </w:rPr>
      </w:pPr>
      <w:r w:rsidRPr="00756DA5">
        <w:rPr>
          <w:noProof/>
          <w:lang w:val="fr-FR" w:eastAsia="fr-FR"/>
        </w:rPr>
        <w:drawing>
          <wp:anchor distT="0" distB="0" distL="114300" distR="114300" simplePos="0" relativeHeight="251666432" behindDoc="0" locked="0" layoutInCell="1" allowOverlap="1">
            <wp:simplePos x="0" y="0"/>
            <wp:positionH relativeFrom="margin">
              <wp:align>center</wp:align>
            </wp:positionH>
            <wp:positionV relativeFrom="paragraph">
              <wp:posOffset>12065</wp:posOffset>
            </wp:positionV>
            <wp:extent cx="3228975" cy="2628900"/>
            <wp:effectExtent l="0" t="0" r="9525" b="0"/>
            <wp:wrapSquare wrapText="bothSides"/>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72582" name="Picture 19"/>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2289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9B2" w:rsidRPr="00756DA5" w:rsidP="007D59B2">
      <w:pPr>
        <w:jc w:val="center"/>
        <w:rPr>
          <w:rFonts w:cs="Arial"/>
          <w:szCs w:val="20"/>
        </w:rPr>
      </w:pPr>
    </w:p>
    <w:p w:rsidR="00C04344" w:rsidRPr="00756DA5" w:rsidP="007D59B2">
      <w:pPr>
        <w:jc w:val="center"/>
        <w:rPr>
          <w:rFonts w:cs="Arial"/>
          <w:szCs w:val="20"/>
        </w:rPr>
      </w:pPr>
    </w:p>
    <w:p w:rsidR="00C04344" w:rsidRPr="00756DA5" w:rsidP="007D59B2">
      <w:pPr>
        <w:jc w:val="center"/>
        <w:rPr>
          <w:rFonts w:cs="Arial"/>
          <w:szCs w:val="20"/>
        </w:rPr>
      </w:pPr>
    </w:p>
    <w:p w:rsidR="00C04344" w:rsidRPr="00756DA5" w:rsidP="007D59B2">
      <w:pPr>
        <w:jc w:val="center"/>
        <w:rPr>
          <w:rFonts w:cs="Arial"/>
          <w:szCs w:val="20"/>
        </w:rPr>
      </w:pPr>
    </w:p>
    <w:p w:rsidR="00C04344" w:rsidRPr="00756DA5" w:rsidP="007D59B2">
      <w:pPr>
        <w:jc w:val="center"/>
        <w:rPr>
          <w:rFonts w:cs="Arial"/>
          <w:szCs w:val="20"/>
        </w:rPr>
      </w:pPr>
    </w:p>
    <w:p w:rsidR="00C04344" w:rsidRPr="00756DA5" w:rsidP="007D59B2">
      <w:pPr>
        <w:jc w:val="center"/>
        <w:rPr>
          <w:rFonts w:cs="Arial"/>
          <w:szCs w:val="20"/>
        </w:rPr>
      </w:pPr>
    </w:p>
    <w:p w:rsidR="00C04344" w:rsidRPr="00756DA5" w:rsidP="007D59B2">
      <w:pPr>
        <w:jc w:val="center"/>
        <w:rPr>
          <w:rFonts w:cs="Arial"/>
          <w:szCs w:val="20"/>
        </w:rPr>
      </w:pPr>
    </w:p>
    <w:p w:rsidR="00C04344" w:rsidRPr="00756DA5" w:rsidP="007D59B2">
      <w:pPr>
        <w:jc w:val="center"/>
        <w:rPr>
          <w:rFonts w:cs="Arial"/>
          <w:szCs w:val="20"/>
        </w:rPr>
      </w:pPr>
    </w:p>
    <w:tbl>
      <w:tblPr>
        <w:tblStyle w:val="TableGrid"/>
        <w:tblW w:w="9062" w:type="dxa"/>
        <w:tblLook w:val="04A0"/>
      </w:tblPr>
      <w:tblGrid>
        <w:gridCol w:w="4531"/>
        <w:gridCol w:w="4531"/>
      </w:tblGrid>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Nombre relatif de précurseurs par million de train-km</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Number of precursor events per million train-km</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2,5</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2.5</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2,0</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2.0</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1,5</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1.5</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1,0</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1.0</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0,5</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0.5</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2,08</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2.08</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1,84</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1.84</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1,63</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1.63</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1,47</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1.47</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1,37</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1.37</w:t>
            </w:r>
          </w:p>
        </w:tc>
      </w:tr>
    </w:tbl>
    <w:p w:rsidR="000C17C2" w:rsidRPr="00756DA5" w:rsidP="007D59B2">
      <w:pPr>
        <w:jc w:val="center"/>
        <w:rPr>
          <w:rFonts w:cs="Arial"/>
          <w:szCs w:val="20"/>
        </w:rPr>
      </w:pPr>
    </w:p>
    <w:p w:rsidR="007D59B2" w:rsidRPr="00756DA5" w:rsidP="00706D2F">
      <w:pPr>
        <w:pStyle w:val="Default"/>
        <w:spacing w:line="280" w:lineRule="exact"/>
        <w:jc w:val="both"/>
        <w:rPr>
          <w:b/>
          <w:bCs/>
          <w:sz w:val="20"/>
          <w:szCs w:val="20"/>
        </w:rPr>
      </w:pPr>
      <w:r w:rsidRPr="00756DA5">
        <w:rPr>
          <w:b/>
          <w:bCs/>
          <w:sz w:val="20"/>
          <w:szCs w:val="20"/>
        </w:rPr>
        <w:t>■ Wheels and axles</w:t>
      </w:r>
    </w:p>
    <w:p w:rsidR="001B6707" w:rsidRPr="00756DA5" w:rsidP="00706D2F">
      <w:pPr>
        <w:pStyle w:val="Default"/>
        <w:spacing w:line="280" w:lineRule="exact"/>
        <w:jc w:val="both"/>
        <w:rPr>
          <w:b/>
          <w:bCs/>
          <w:sz w:val="20"/>
          <w:szCs w:val="20"/>
        </w:rPr>
      </w:pPr>
    </w:p>
    <w:p w:rsidR="007D59B2" w:rsidRPr="00756DA5" w:rsidP="00706D2F">
      <w:pPr>
        <w:spacing w:line="280" w:lineRule="exact"/>
      </w:pPr>
      <w:r w:rsidRPr="00756DA5">
        <w:t>There were no cases of broken wheels or axles on the RFN or on comparable networks in 2017. Events occurred in other European Union countries for which the EPSF has notably implemented measures to alert the sector (cf. Section 3.1).</w:t>
      </w:r>
    </w:p>
    <w:p w:rsidR="007D59B2" w:rsidRPr="00756DA5" w:rsidP="007D59B2">
      <w:pPr>
        <w:jc w:val="center"/>
      </w:pPr>
      <w:r w:rsidRPr="00756DA5">
        <w:rPr>
          <w:noProof/>
          <w:lang w:val="fr-FR" w:eastAsia="fr-FR"/>
        </w:rPr>
        <w:drawing>
          <wp:inline distT="0" distB="0" distL="0" distR="0">
            <wp:extent cx="5759450" cy="3360841"/>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75821" name="Picture 2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9450" cy="3360841"/>
                    </a:xfrm>
                    <a:prstGeom prst="rect">
                      <a:avLst/>
                    </a:prstGeom>
                    <a:noFill/>
                    <a:ln>
                      <a:noFill/>
                    </a:ln>
                  </pic:spPr>
                </pic:pic>
              </a:graphicData>
            </a:graphic>
          </wp:inline>
        </w:drawing>
      </w:r>
    </w:p>
    <w:tbl>
      <w:tblPr>
        <w:tblStyle w:val="TableGrid"/>
        <w:tblW w:w="9062" w:type="dxa"/>
        <w:tblLook w:val="04A0"/>
      </w:tblPr>
      <w:tblGrid>
        <w:gridCol w:w="4531"/>
        <w:gridCol w:w="4531"/>
      </w:tblGrid>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Nombre relatif de roues et d’essieux cassés par million de train-km</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Number of broken wheels and axles per million train-km</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0,004</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0.004</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0,003</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0.003</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0,002</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0.002</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0,001</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0.001</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0,000</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0.000</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 xml:space="preserve">Roues cassées </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 xml:space="preserve">Broken wheels </w:t>
            </w:r>
          </w:p>
        </w:tc>
      </w:tr>
      <w:tr w:rsidTr="000C17C2">
        <w:tblPrEx>
          <w:tblW w:w="9062" w:type="dxa"/>
          <w:tblLook w:val="04A0"/>
        </w:tblPrEx>
        <w:tc>
          <w:tcPr>
            <w:tcW w:w="4531" w:type="dxa"/>
          </w:tcPr>
          <w:p w:rsidR="000C17C2" w:rsidRPr="00756DA5" w:rsidP="00641FEA">
            <w:pPr>
              <w:jc w:val="left"/>
              <w:rPr>
                <w:rFonts w:cs="Arial"/>
                <w:sz w:val="18"/>
                <w:szCs w:val="18"/>
                <w:shd w:val="clear" w:color="auto" w:fill="FFFFFF"/>
              </w:rPr>
            </w:pPr>
            <w:r w:rsidRPr="00756DA5">
              <w:rPr>
                <w:sz w:val="18"/>
                <w:szCs w:val="18"/>
                <w:shd w:val="clear" w:color="auto" w:fill="FFFFFF"/>
              </w:rPr>
              <w:t>Essieux cassés</w:t>
            </w:r>
          </w:p>
        </w:tc>
        <w:tc>
          <w:tcPr>
            <w:tcW w:w="4531" w:type="dxa"/>
          </w:tcPr>
          <w:p w:rsidR="000C17C2" w:rsidRPr="00756DA5" w:rsidP="00641FEA">
            <w:pPr>
              <w:jc w:val="left"/>
              <w:rPr>
                <w:rFonts w:cs="Arial"/>
                <w:sz w:val="18"/>
                <w:szCs w:val="18"/>
                <w:shd w:val="clear" w:color="auto" w:fill="FFFFFF"/>
              </w:rPr>
            </w:pPr>
            <w:r w:rsidRPr="00756DA5">
              <w:rPr>
                <w:sz w:val="18"/>
                <w:szCs w:val="18"/>
                <w:shd w:val="clear" w:color="auto" w:fill="FFFFFF"/>
              </w:rPr>
              <w:t>Broken axles</w:t>
            </w:r>
          </w:p>
        </w:tc>
      </w:tr>
    </w:tbl>
    <w:p w:rsidR="000C17C2" w:rsidRPr="00756DA5" w:rsidP="007D59B2">
      <w:pPr>
        <w:jc w:val="center"/>
      </w:pPr>
    </w:p>
    <w:p w:rsidR="007D59B2" w:rsidRPr="00756DA5" w:rsidP="005D4143">
      <w:pPr>
        <w:pStyle w:val="Default"/>
        <w:spacing w:line="280" w:lineRule="exact"/>
        <w:jc w:val="both"/>
        <w:rPr>
          <w:b/>
          <w:bCs/>
          <w:sz w:val="20"/>
          <w:szCs w:val="20"/>
        </w:rPr>
      </w:pPr>
      <w:r w:rsidRPr="00756DA5">
        <w:rPr>
          <w:b/>
          <w:bCs/>
          <w:sz w:val="20"/>
          <w:szCs w:val="20"/>
        </w:rPr>
        <w:t>■ Signals passed at danger</w:t>
      </w:r>
    </w:p>
    <w:p w:rsidR="007D59B2" w:rsidRPr="00756DA5" w:rsidP="005D4143">
      <w:pPr>
        <w:spacing w:line="280" w:lineRule="exact"/>
      </w:pPr>
      <w:r w:rsidRPr="00756DA5">
        <w:br/>
        <w:t xml:space="preserve">In 2017, the number of signals passed at danger increased again by nearly 5 %, rising from 0.304 cases of signals passed per million train-km in 2016 to 0.319 in 2017, despite the working group run by the EPSF on this subject. Even though in 2016 France was in </w:t>
      </w:r>
      <w:r w:rsidRPr="00756DA5">
        <w:t>9th</w:t>
      </w:r>
      <w:r w:rsidRPr="00756DA5">
        <w:t xml:space="preserve"> position in Europe on this indicator ahead of Great Britain (13th), Spain (15th), Germany (16th) and Belgium (23rd), the sector’s efforts must be scaled up in order to reverse this trend.</w:t>
      </w:r>
    </w:p>
    <w:p w:rsidR="007D59B2" w:rsidRPr="00756DA5" w:rsidP="005D4143">
      <w:pPr>
        <w:spacing w:line="280" w:lineRule="exact"/>
      </w:pPr>
      <w:r w:rsidRPr="00756DA5">
        <w:t xml:space="preserve">Of the </w:t>
      </w:r>
      <w:r w:rsidRPr="00756DA5">
        <w:t>155 recorded</w:t>
      </w:r>
      <w:r w:rsidRPr="00756DA5">
        <w:t xml:space="preserve"> cases of signals passed in 2017, 44 resulted in the encroachment of the protected point.</w:t>
      </w:r>
    </w:p>
    <w:p w:rsidR="007D59B2" w:rsidRPr="00756DA5" w:rsidP="007D59B2">
      <w:pPr>
        <w:jc w:val="center"/>
      </w:pPr>
      <w:r w:rsidRPr="00756DA5">
        <w:rPr>
          <w:noProof/>
          <w:lang w:val="fr-FR" w:eastAsia="fr-FR"/>
        </w:rPr>
        <w:drawing>
          <wp:inline distT="0" distB="0" distL="0" distR="0">
            <wp:extent cx="3248025" cy="2619375"/>
            <wp:effectExtent l="0" t="0" r="9525" b="9525"/>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76011" name="Picture 23"/>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248025" cy="2619375"/>
                    </a:xfrm>
                    <a:prstGeom prst="rect">
                      <a:avLst/>
                    </a:prstGeom>
                    <a:noFill/>
                    <a:ln>
                      <a:noFill/>
                    </a:ln>
                  </pic:spPr>
                </pic:pic>
              </a:graphicData>
            </a:graphic>
          </wp:inline>
        </w:drawing>
      </w:r>
    </w:p>
    <w:tbl>
      <w:tblPr>
        <w:tblStyle w:val="TableGrid"/>
        <w:tblW w:w="9062" w:type="dxa"/>
        <w:tblLook w:val="04A0"/>
      </w:tblPr>
      <w:tblGrid>
        <w:gridCol w:w="4531"/>
        <w:gridCol w:w="4531"/>
      </w:tblGrid>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Nombre relatif de franchissements de signaux fermés par million de train-km</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Number of signals passed at danger per million train-km</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0,36</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0.36</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0,32</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0.32</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0,28</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0.28</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0,24</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0.24</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0,20</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0.20</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0,16</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0.16</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0,12</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0.12</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0,08</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0.08</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0,04</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0.04</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0.00</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0,293</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0.293</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0,302</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0.302</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0,241</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0.241</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0,304</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0.304</w:t>
            </w:r>
          </w:p>
        </w:tc>
      </w:tr>
      <w:tr w:rsidTr="000C17C2">
        <w:tblPrEx>
          <w:tblW w:w="9062" w:type="dxa"/>
          <w:tblLook w:val="04A0"/>
        </w:tblPrEx>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0,319</w:t>
            </w:r>
          </w:p>
        </w:tc>
        <w:tc>
          <w:tcPr>
            <w:tcW w:w="4531" w:type="dxa"/>
          </w:tcPr>
          <w:p w:rsidR="000C17C2" w:rsidRPr="00756DA5" w:rsidP="000C17C2">
            <w:pPr>
              <w:jc w:val="left"/>
              <w:rPr>
                <w:rFonts w:cs="Arial"/>
                <w:sz w:val="18"/>
                <w:szCs w:val="18"/>
                <w:shd w:val="clear" w:color="auto" w:fill="FFFFFF"/>
              </w:rPr>
            </w:pPr>
            <w:r w:rsidRPr="00756DA5">
              <w:rPr>
                <w:sz w:val="18"/>
                <w:szCs w:val="18"/>
                <w:shd w:val="clear" w:color="auto" w:fill="FFFFFF"/>
              </w:rPr>
              <w:t>0.319</w:t>
            </w:r>
          </w:p>
        </w:tc>
      </w:tr>
    </w:tbl>
    <w:p w:rsidR="000C17C2" w:rsidRPr="00756DA5" w:rsidP="007D59B2">
      <w:pPr>
        <w:jc w:val="center"/>
      </w:pPr>
    </w:p>
    <w:p w:rsidR="007D59B2" w:rsidRPr="00756DA5" w:rsidP="00525E71">
      <w:pPr>
        <w:pStyle w:val="Default"/>
        <w:spacing w:line="280" w:lineRule="exact"/>
        <w:jc w:val="both"/>
        <w:rPr>
          <w:b/>
          <w:bCs/>
          <w:sz w:val="20"/>
          <w:szCs w:val="20"/>
        </w:rPr>
      </w:pPr>
      <w:r w:rsidRPr="00756DA5">
        <w:rPr>
          <w:b/>
          <w:bCs/>
          <w:sz w:val="20"/>
          <w:szCs w:val="20"/>
        </w:rPr>
        <w:t>■ Broken rails</w:t>
      </w:r>
    </w:p>
    <w:p w:rsidR="007D59B2" w:rsidRPr="00756DA5" w:rsidP="00525E71">
      <w:pPr>
        <w:pStyle w:val="Caption"/>
        <w:spacing w:line="280" w:lineRule="exact"/>
        <w:rPr>
          <w:lang w:val="fr-FR"/>
        </w:rPr>
      </w:pPr>
    </w:p>
    <w:p w:rsidR="007D59B2" w:rsidRPr="00756DA5" w:rsidP="00525E71">
      <w:pPr>
        <w:spacing w:line="280" w:lineRule="exact"/>
      </w:pPr>
      <w:r w:rsidRPr="00756DA5">
        <w:t>After the number of broken rails per million train-km had risen in 2016, it once again fell in 2017 (-19 %), i.e. fewer incidents in absolute terms (172) while there was more traffic than the previous year. Cases of broken rails due to corrosion fell significantly (17 in 2017 compared to 29 in 2016). The number of broken thermite welds fell slightly; they amounted to 40 % of total breaks, while the number of broken electric welds increased, being 10 % of this total.</w:t>
      </w:r>
    </w:p>
    <w:p w:rsidR="007D59B2" w:rsidRPr="00756DA5" w:rsidP="009D42EF">
      <w:pPr>
        <w:spacing w:after="0"/>
        <w:jc w:val="center"/>
      </w:pPr>
      <w:r w:rsidRPr="00756DA5">
        <w:rPr>
          <w:noProof/>
          <w:lang w:val="fr-FR" w:eastAsia="fr-FR"/>
        </w:rPr>
        <w:drawing>
          <wp:inline distT="0" distB="0" distL="0" distR="0">
            <wp:extent cx="3228340" cy="25920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66085" name="Picture 3"/>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228340" cy="2592070"/>
                    </a:xfrm>
                    <a:prstGeom prst="rect">
                      <a:avLst/>
                    </a:prstGeom>
                    <a:noFill/>
                    <a:ln>
                      <a:noFill/>
                    </a:ln>
                  </pic:spPr>
                </pic:pic>
              </a:graphicData>
            </a:graphic>
          </wp:inline>
        </w:drawing>
      </w:r>
    </w:p>
    <w:tbl>
      <w:tblPr>
        <w:tblStyle w:val="TableGrid"/>
        <w:tblW w:w="9062" w:type="dxa"/>
        <w:tblLook w:val="04A0"/>
      </w:tblPr>
      <w:tblGrid>
        <w:gridCol w:w="4531"/>
        <w:gridCol w:w="4531"/>
      </w:tblGrid>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Nombre relatif de rails cassés par million de train-km</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Number of broken rails per million train-km</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0,80</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0.80</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0,60</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0.60</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0,40</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0.40</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0,20</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0.20</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0,00</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0.00</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0,604</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0.604</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0,447</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0.447</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0,395</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0.395</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0,438</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0.438</w:t>
            </w:r>
          </w:p>
        </w:tc>
      </w:tr>
      <w:tr w:rsidTr="008E68D9">
        <w:tblPrEx>
          <w:tblW w:w="9062" w:type="dxa"/>
          <w:tblLook w:val="04A0"/>
        </w:tblPrEx>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0,354</w:t>
            </w:r>
          </w:p>
        </w:tc>
        <w:tc>
          <w:tcPr>
            <w:tcW w:w="4531" w:type="dxa"/>
          </w:tcPr>
          <w:p w:rsidR="00272416" w:rsidRPr="00756DA5" w:rsidP="00272416">
            <w:pPr>
              <w:jc w:val="left"/>
              <w:rPr>
                <w:rFonts w:cs="Arial"/>
                <w:sz w:val="18"/>
                <w:szCs w:val="18"/>
                <w:shd w:val="clear" w:color="auto" w:fill="FFFFFF"/>
              </w:rPr>
            </w:pPr>
            <w:r w:rsidRPr="00756DA5">
              <w:rPr>
                <w:sz w:val="18"/>
                <w:szCs w:val="18"/>
                <w:shd w:val="clear" w:color="auto" w:fill="FFFFFF"/>
              </w:rPr>
              <w:t>0.354</w:t>
            </w:r>
          </w:p>
        </w:tc>
      </w:tr>
    </w:tbl>
    <w:p w:rsidR="007D59B2" w:rsidRPr="00756DA5" w:rsidP="007D59B2">
      <w:pPr>
        <w:pStyle w:val="Default"/>
        <w:jc w:val="both"/>
        <w:rPr>
          <w:b/>
          <w:bCs/>
          <w:sz w:val="20"/>
          <w:szCs w:val="20"/>
        </w:rPr>
      </w:pPr>
    </w:p>
    <w:p w:rsidR="007D59B2" w:rsidRPr="00756DA5" w:rsidP="00423F21">
      <w:pPr>
        <w:pStyle w:val="Default"/>
        <w:keepNext/>
        <w:spacing w:line="280" w:lineRule="exact"/>
        <w:jc w:val="both"/>
        <w:rPr>
          <w:b/>
          <w:bCs/>
          <w:sz w:val="20"/>
          <w:szCs w:val="20"/>
        </w:rPr>
      </w:pPr>
      <w:r w:rsidRPr="00756DA5">
        <w:rPr>
          <w:b/>
          <w:bCs/>
          <w:sz w:val="20"/>
          <w:szCs w:val="20"/>
        </w:rPr>
        <w:t>■ Track buckles requiring speed reduction</w:t>
      </w:r>
    </w:p>
    <w:p w:rsidR="0073597E" w:rsidRPr="00756DA5" w:rsidP="00423F21">
      <w:pPr>
        <w:pStyle w:val="Default"/>
        <w:keepNext/>
        <w:spacing w:line="280" w:lineRule="exact"/>
        <w:jc w:val="both"/>
        <w:rPr>
          <w:b/>
          <w:bCs/>
          <w:sz w:val="20"/>
          <w:szCs w:val="20"/>
        </w:rPr>
      </w:pPr>
    </w:p>
    <w:p w:rsidR="007D59B2" w:rsidRPr="00756DA5" w:rsidP="00423F21">
      <w:pPr>
        <w:keepNext/>
        <w:spacing w:line="280" w:lineRule="exact"/>
      </w:pPr>
      <w:r w:rsidRPr="00756DA5">
        <w:t xml:space="preserve">The number of track buckles fell by over 9 % in 2017 with 0.156 events per million train-km. </w:t>
      </w:r>
      <w:bookmarkStart w:id="55" w:name="_Hlk523480225"/>
      <w:r w:rsidRPr="00756DA5">
        <w:t xml:space="preserve">This fall </w:t>
      </w:r>
      <w:r w:rsidRPr="00756DA5">
        <w:t>was observed</w:t>
      </w:r>
      <w:r w:rsidRPr="00756DA5">
        <w:t xml:space="preserve"> on all types of lines with the exception of UIC groups 7 to 9, trains ‘with passengers’</w:t>
      </w:r>
      <w:bookmarkEnd w:id="55"/>
      <w:r w:rsidRPr="00756DA5">
        <w:t>.</w:t>
      </w:r>
    </w:p>
    <w:p w:rsidR="007D59B2" w:rsidRPr="00756DA5" w:rsidP="009D42EF">
      <w:pPr>
        <w:spacing w:after="0"/>
        <w:jc w:val="center"/>
      </w:pPr>
      <w:r w:rsidRPr="00756DA5">
        <w:rPr>
          <w:noProof/>
          <w:lang w:val="fr-FR" w:eastAsia="fr-FR"/>
        </w:rPr>
        <w:drawing>
          <wp:inline distT="0" distB="0" distL="0" distR="0">
            <wp:extent cx="3228340" cy="26003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1265" name="Picture 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3228340" cy="2600325"/>
                    </a:xfrm>
                    <a:prstGeom prst="rect">
                      <a:avLst/>
                    </a:prstGeom>
                    <a:noFill/>
                    <a:ln>
                      <a:noFill/>
                    </a:ln>
                  </pic:spPr>
                </pic:pic>
              </a:graphicData>
            </a:graphic>
          </wp:inline>
        </w:drawing>
      </w:r>
    </w:p>
    <w:tbl>
      <w:tblPr>
        <w:tblStyle w:val="TableGrid"/>
        <w:tblW w:w="9062" w:type="dxa"/>
        <w:tblLook w:val="04A0"/>
      </w:tblPr>
      <w:tblGrid>
        <w:gridCol w:w="4531"/>
        <w:gridCol w:w="4531"/>
      </w:tblGrid>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Nombre relatif de gauches de voie par million de train-km</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Number of track buckles per million train-km</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0,40</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0.40</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0,30</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0.30</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0,20</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0.20</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0,10</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0.10</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0,00</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0.00</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0,345</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0.345</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0,282</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0.282</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0,330</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0.330</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0,172</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0.172</w:t>
            </w:r>
          </w:p>
        </w:tc>
      </w:tr>
      <w:tr w:rsidTr="009D42EF">
        <w:tblPrEx>
          <w:tblW w:w="9062" w:type="dxa"/>
          <w:tblLook w:val="04A0"/>
        </w:tblPrEx>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0,156</w:t>
            </w:r>
          </w:p>
        </w:tc>
        <w:tc>
          <w:tcPr>
            <w:tcW w:w="4531" w:type="dxa"/>
          </w:tcPr>
          <w:p w:rsidR="009D42EF" w:rsidRPr="00756DA5" w:rsidP="009D42EF">
            <w:pPr>
              <w:jc w:val="left"/>
              <w:rPr>
                <w:rFonts w:cs="Arial"/>
                <w:sz w:val="18"/>
                <w:szCs w:val="18"/>
                <w:shd w:val="clear" w:color="auto" w:fill="FFFFFF"/>
              </w:rPr>
            </w:pPr>
            <w:r w:rsidRPr="00756DA5">
              <w:rPr>
                <w:sz w:val="18"/>
                <w:szCs w:val="18"/>
                <w:shd w:val="clear" w:color="auto" w:fill="FFFFFF"/>
              </w:rPr>
              <w:t>0.156</w:t>
            </w:r>
          </w:p>
        </w:tc>
      </w:tr>
    </w:tbl>
    <w:p w:rsidR="00987708" w:rsidRPr="00756DA5" w:rsidP="00525E71">
      <w:pPr>
        <w:pStyle w:val="Default"/>
        <w:spacing w:after="200" w:line="280" w:lineRule="exact"/>
        <w:jc w:val="both"/>
        <w:rPr>
          <w:b/>
          <w:bCs/>
          <w:sz w:val="20"/>
          <w:szCs w:val="20"/>
        </w:rPr>
      </w:pPr>
    </w:p>
    <w:p w:rsidR="007D59B2" w:rsidRPr="00756DA5" w:rsidP="00525E71">
      <w:pPr>
        <w:pStyle w:val="Default"/>
        <w:spacing w:after="200" w:line="280" w:lineRule="exact"/>
        <w:jc w:val="both"/>
        <w:rPr>
          <w:b/>
          <w:bCs/>
          <w:sz w:val="20"/>
          <w:szCs w:val="20"/>
        </w:rPr>
      </w:pPr>
      <w:r w:rsidRPr="00756DA5">
        <w:rPr>
          <w:b/>
          <w:bCs/>
          <w:sz w:val="20"/>
          <w:szCs w:val="20"/>
        </w:rPr>
        <w:t>■ Signalling failures</w:t>
      </w:r>
    </w:p>
    <w:p w:rsidR="007D59B2" w:rsidRPr="00756DA5" w:rsidP="00525E71">
      <w:pPr>
        <w:spacing w:line="280" w:lineRule="exact"/>
      </w:pPr>
      <w:r w:rsidRPr="00756DA5">
        <w:t>‘Signalling failure’ means any technical failure of a signalling system (either of infrastructure or rolling stock) resulting in signalling information being less restrictive than that required. In 2017, the number of signalling failures fell by 3.2 % compared to 2016. Of these it is noted that the share of failures of closures of level crossings fall by 5 % (80 in 2017 compared to 84 in 2016). Section 3.4 goes into further detail on the subject of de-shunting, incidents of which increased in 2017.</w:t>
      </w:r>
    </w:p>
    <w:p w:rsidR="00BD5F3F" w:rsidRPr="00756DA5" w:rsidP="00BD5F3F">
      <w:pPr>
        <w:spacing w:after="0"/>
        <w:jc w:val="center"/>
        <w:rPr>
          <w:rFonts w:cs="Arial"/>
        </w:rPr>
      </w:pPr>
      <w:r w:rsidRPr="00756DA5">
        <w:rPr>
          <w:noProof/>
          <w:lang w:val="fr-FR" w:eastAsia="fr-FR"/>
        </w:rPr>
        <w:drawing>
          <wp:inline distT="0" distB="0" distL="0" distR="0">
            <wp:extent cx="3248025" cy="2609850"/>
            <wp:effectExtent l="0" t="0" r="9525"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48915" name="Picture 28"/>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248025" cy="2609850"/>
                    </a:xfrm>
                    <a:prstGeom prst="rect">
                      <a:avLst/>
                    </a:prstGeom>
                    <a:noFill/>
                    <a:ln>
                      <a:noFill/>
                    </a:ln>
                  </pic:spPr>
                </pic:pic>
              </a:graphicData>
            </a:graphic>
          </wp:inline>
        </w:drawing>
      </w:r>
    </w:p>
    <w:tbl>
      <w:tblPr>
        <w:tblStyle w:val="TableGrid"/>
        <w:tblW w:w="9062" w:type="dxa"/>
        <w:tblLook w:val="04A0"/>
      </w:tblPr>
      <w:tblGrid>
        <w:gridCol w:w="4531"/>
        <w:gridCol w:w="4531"/>
      </w:tblGrid>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Nombre relatif de pannes de signalisation par million de train-km</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Number of signalling failures per million train-km</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1,0</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1.0</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0,80</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0.80</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0,60</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0.60</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0,40</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0.40</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0,20</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0.20</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0,00</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0.00</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0,835</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0.835</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0,806</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0.806</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0,666</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0.666</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0,555</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0.555</w:t>
            </w:r>
          </w:p>
        </w:tc>
      </w:tr>
      <w:tr w:rsidTr="00BD5F3F">
        <w:tblPrEx>
          <w:tblW w:w="9062" w:type="dxa"/>
          <w:tblLook w:val="04A0"/>
        </w:tblPrEx>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0,537</w:t>
            </w:r>
          </w:p>
        </w:tc>
        <w:tc>
          <w:tcPr>
            <w:tcW w:w="4531" w:type="dxa"/>
          </w:tcPr>
          <w:p w:rsidR="00BD5F3F" w:rsidRPr="00756DA5" w:rsidP="00BD5F3F">
            <w:pPr>
              <w:jc w:val="left"/>
              <w:rPr>
                <w:rFonts w:cs="Arial"/>
                <w:sz w:val="18"/>
                <w:szCs w:val="18"/>
                <w:shd w:val="clear" w:color="auto" w:fill="FFFFFF"/>
              </w:rPr>
            </w:pPr>
            <w:r w:rsidRPr="00756DA5">
              <w:rPr>
                <w:sz w:val="18"/>
                <w:szCs w:val="18"/>
                <w:shd w:val="clear" w:color="auto" w:fill="FFFFFF"/>
              </w:rPr>
              <w:t>0.537</w:t>
            </w:r>
          </w:p>
        </w:tc>
      </w:tr>
    </w:tbl>
    <w:p w:rsidR="00A347DD" w:rsidRPr="00756DA5" w:rsidP="00423F21">
      <w:pPr>
        <w:pStyle w:val="Heading3"/>
        <w:pageBreakBefore/>
        <w:numPr>
          <w:ilvl w:val="1"/>
          <w:numId w:val="9"/>
        </w:numPr>
        <w:rPr>
          <w:rFonts w:cs="Arial"/>
          <w:sz w:val="32"/>
        </w:rPr>
      </w:pPr>
      <w:bookmarkStart w:id="56" w:name="_Toc494469624"/>
      <w:bookmarkStart w:id="57" w:name="_Toc533153871"/>
      <w:r w:rsidRPr="00756DA5">
        <w:rPr>
          <w:sz w:val="32"/>
        </w:rPr>
        <w:t xml:space="preserve">Safety </w:t>
      </w:r>
      <w:bookmarkEnd w:id="56"/>
      <w:r w:rsidRPr="00756DA5">
        <w:rPr>
          <w:sz w:val="32"/>
        </w:rPr>
        <w:t>events</w:t>
      </w:r>
      <w:bookmarkEnd w:id="57"/>
    </w:p>
    <w:p w:rsidR="00890B5E" w:rsidRPr="00756DA5" w:rsidP="00890B5E">
      <w:pPr>
        <w:spacing w:line="280" w:lineRule="exact"/>
      </w:pPr>
      <w:bookmarkStart w:id="58" w:name="_Toc494469625"/>
      <w:r w:rsidRPr="00756DA5">
        <w:br/>
        <w:t xml:space="preserve">After a phase of adoption of the Order of 4 January 2016, railway operators notified their safety events using the classification introduced by the nomenclature annexed to that Order. These developments, which are essential for improving the feedback process, enable the EPSF to have </w:t>
      </w:r>
      <w:r w:rsidRPr="00756DA5">
        <w:t>more precise information, passed on by railway operators</w:t>
      </w:r>
      <w:r w:rsidRPr="00756DA5">
        <w:t>. Furthermore, at the end of 2016, the EPSF, at its own initiative and under its leadership, concluded a collective effort bringing together representatives from all of the companies in the sector to define criteria for classifying these events based on six levels of severity presented below.</w:t>
      </w:r>
    </w:p>
    <w:p w:rsidR="007A0F6A" w:rsidRPr="00756DA5" w:rsidP="007A0F6A">
      <w:pPr>
        <w:pStyle w:val="Default"/>
        <w:spacing w:after="200" w:line="280" w:lineRule="exact"/>
        <w:jc w:val="center"/>
      </w:pPr>
      <w:r w:rsidRPr="00756DA5">
        <w:rPr>
          <w:b/>
          <w:bCs/>
          <w:sz w:val="20"/>
          <w:szCs w:val="20"/>
        </w:rPr>
        <w:t>Figure 1: severity scale for the assessment of railway safety events</w:t>
      </w:r>
    </w:p>
    <w:p w:rsidR="00890B5E" w:rsidRPr="00756DA5" w:rsidP="00890B5E">
      <w:pPr>
        <w:keepNext/>
      </w:pPr>
      <w:r w:rsidRPr="00756DA5">
        <w:rPr>
          <w:noProof/>
          <w:lang w:val="fr-FR" w:eastAsia="fr-FR"/>
        </w:rPr>
        <w:drawing>
          <wp:inline distT="0" distB="0" distL="0" distR="0">
            <wp:extent cx="5760720" cy="945590"/>
            <wp:effectExtent l="0" t="0" r="0" b="6985"/>
            <wp:docPr id="496" name="Image 496" descr="D:\ID\Desktop\echelle_grav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82393" name="Picture 16" descr="D:\ID\Desktop\echelle_gravité.jpg"/>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945590"/>
                    </a:xfrm>
                    <a:prstGeom prst="rect">
                      <a:avLst/>
                    </a:prstGeom>
                    <a:noFill/>
                    <a:ln>
                      <a:noFill/>
                    </a:ln>
                  </pic:spPr>
                </pic:pic>
              </a:graphicData>
            </a:graphic>
          </wp:inline>
        </w:drawing>
      </w:r>
    </w:p>
    <w:tbl>
      <w:tblPr>
        <w:tblStyle w:val="TableGrid"/>
        <w:tblW w:w="9062" w:type="dxa"/>
        <w:tblLook w:val="04A0"/>
      </w:tblPr>
      <w:tblGrid>
        <w:gridCol w:w="4531"/>
        <w:gridCol w:w="4531"/>
      </w:tblGrid>
      <w:tr w:rsidTr="008E68D9">
        <w:tblPrEx>
          <w:tblW w:w="9062" w:type="dxa"/>
          <w:tblLook w:val="04A0"/>
        </w:tblPrEx>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Événement «mineur» de sécurité</w:t>
            </w:r>
          </w:p>
        </w:tc>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‘Minor’ safety event</w:t>
            </w:r>
          </w:p>
        </w:tc>
      </w:tr>
      <w:tr w:rsidTr="008E68D9">
        <w:tblPrEx>
          <w:tblW w:w="9062" w:type="dxa"/>
          <w:tblLook w:val="04A0"/>
        </w:tblPrEx>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Événement qui aurait pu avoir des conséquences matérielles, voire des blessés légers</w:t>
            </w:r>
          </w:p>
        </w:tc>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Event that could have had material consequences, and even slightly injured victims</w:t>
            </w:r>
          </w:p>
        </w:tc>
      </w:tr>
      <w:tr w:rsidTr="008E68D9">
        <w:tblPrEx>
          <w:tblW w:w="9062" w:type="dxa"/>
          <w:tblLook w:val="04A0"/>
        </w:tblPrEx>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Événement qui aurait pu avoir des conséquences humaines individuelles</w:t>
            </w:r>
          </w:p>
        </w:tc>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Event that could have had individual human consequences</w:t>
            </w:r>
          </w:p>
        </w:tc>
      </w:tr>
      <w:tr w:rsidTr="008E68D9">
        <w:tblPrEx>
          <w:tblW w:w="9062" w:type="dxa"/>
          <w:tblLook w:val="04A0"/>
        </w:tblPrEx>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Événement qui aurait pu avoir des conséquences humaines collectives</w:t>
            </w:r>
          </w:p>
        </w:tc>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Event that could have had multiple human consequences</w:t>
            </w:r>
          </w:p>
        </w:tc>
      </w:tr>
      <w:tr w:rsidTr="008E68D9">
        <w:tblPrEx>
          <w:tblW w:w="9062" w:type="dxa"/>
          <w:tblLook w:val="04A0"/>
        </w:tblPrEx>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Accident qui a eu des conséquences significatives</w:t>
            </w:r>
          </w:p>
        </w:tc>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Accident that had significant consequences</w:t>
            </w:r>
          </w:p>
        </w:tc>
      </w:tr>
      <w:tr w:rsidTr="008E68D9">
        <w:tblPrEx>
          <w:tblW w:w="9062" w:type="dxa"/>
          <w:tblLook w:val="04A0"/>
        </w:tblPrEx>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Accident qui a eu des conséquences graves</w:t>
            </w:r>
          </w:p>
        </w:tc>
        <w:tc>
          <w:tcPr>
            <w:tcW w:w="4531" w:type="dxa"/>
          </w:tcPr>
          <w:p w:rsidR="00E959BB" w:rsidRPr="00756DA5" w:rsidP="00E959BB">
            <w:pPr>
              <w:jc w:val="left"/>
              <w:rPr>
                <w:rFonts w:cs="Arial"/>
                <w:sz w:val="18"/>
                <w:szCs w:val="18"/>
                <w:shd w:val="clear" w:color="auto" w:fill="FFFFFF"/>
              </w:rPr>
            </w:pPr>
            <w:r w:rsidRPr="00756DA5">
              <w:rPr>
                <w:sz w:val="18"/>
                <w:szCs w:val="18"/>
                <w:shd w:val="clear" w:color="auto" w:fill="FFFFFF"/>
              </w:rPr>
              <w:t>Accident that had serious consequences</w:t>
            </w:r>
          </w:p>
        </w:tc>
      </w:tr>
    </w:tbl>
    <w:p w:rsidR="00E959BB" w:rsidRPr="00756DA5" w:rsidP="00890B5E">
      <w:pPr>
        <w:keepNext/>
      </w:pPr>
    </w:p>
    <w:p w:rsidR="00890B5E" w:rsidP="007A0F6A">
      <w:pPr>
        <w:spacing w:line="280" w:lineRule="exact"/>
      </w:pPr>
      <w:r w:rsidRPr="00756DA5">
        <w:t>In practice, more than 20 </w:t>
      </w:r>
      <w:r w:rsidRPr="00756DA5">
        <w:t>000 safety</w:t>
      </w:r>
      <w:r w:rsidRPr="00756DA5">
        <w:t xml:space="preserve"> events corresponding to the 66 types in the nomenclature were notified in 2017, compared to the 2 000 safety events divided between 15 incident and accident types received annually on average before that. The use of these more numerous indicators on the events occurring on the network, combined with more comprehensive elements of analysis obtained through each railway operator – not only the infrastructure manager – notifying the safety events that it observes, has made the information used in all of the feedback processes run by the EPSF more relevant.</w:t>
      </w:r>
    </w:p>
    <w:p w:rsidR="00756DA5" w:rsidRPr="00756DA5" w:rsidP="00756DA5">
      <w:pPr>
        <w:pStyle w:val="Caption"/>
        <w:keepNext/>
        <w:jc w:val="center"/>
      </w:pPr>
      <w:r w:rsidRPr="00756DA5">
        <w:t>Figure 2: ranking of the top 10 categories of safety events by occurrence of notification in 2017</w:t>
      </w:r>
    </w:p>
    <w:p w:rsidR="00756DA5" w:rsidRPr="00756DA5" w:rsidP="00756DA5">
      <w:pPr>
        <w:keepNext/>
        <w:spacing w:line="280" w:lineRule="exact"/>
      </w:pPr>
    </w:p>
    <w:p w:rsidR="00756DA5" w:rsidP="00756DA5">
      <w:pPr>
        <w:pStyle w:val="Caption"/>
        <w:keepNext/>
        <w:jc w:val="center"/>
      </w:pPr>
      <w:r w:rsidRPr="00756DA5">
        <w:rPr>
          <w:noProof/>
          <w:lang w:val="fr-FR" w:eastAsia="fr-FR"/>
        </w:rPr>
        <w:drawing>
          <wp:inline distT="0" distB="0" distL="0" distR="0">
            <wp:extent cx="5362575" cy="3853180"/>
            <wp:effectExtent l="0" t="0" r="9525" b="0"/>
            <wp:docPr id="500" name="Image 500" descr="cid:image009.png@01D43AF6.AACE9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35978" name="Image 3" descr="cid:image009.png@01D43AF6.AACE9C60"/>
                    <pic:cNvPicPr>
                      <a:picLocks noChangeAspect="1" noChangeArrowheads="1"/>
                    </pic:cNvPicPr>
                  </pic:nvPicPr>
                  <pic:blipFill>
                    <a:blip xmlns:r="http://schemas.openxmlformats.org/officeDocument/2006/relationships" r:embed="rId41" r:link="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2575" cy="3853180"/>
                    </a:xfrm>
                    <a:prstGeom prst="rect">
                      <a:avLst/>
                    </a:prstGeom>
                    <a:noFill/>
                    <a:ln>
                      <a:noFill/>
                    </a:ln>
                  </pic:spPr>
                </pic:pic>
              </a:graphicData>
            </a:graphic>
          </wp:inline>
        </w:drawing>
      </w:r>
    </w:p>
    <w:p w:rsidR="00FD56A5" w:rsidRPr="00756DA5" w:rsidP="00BF3817">
      <w:pPr>
        <w:spacing w:after="2400" w:afterLines="1000" w:line="280" w:lineRule="exact"/>
        <w:contextualSpacing/>
        <w:rPr>
          <w:rFonts w:cs="Arial"/>
          <w:szCs w:val="20"/>
        </w:rPr>
      </w:pPr>
    </w:p>
    <w:tbl>
      <w:tblPr>
        <w:tblStyle w:val="TableGrid"/>
        <w:tblW w:w="9062" w:type="dxa"/>
        <w:tblLook w:val="04A0"/>
      </w:tblPr>
      <w:tblGrid>
        <w:gridCol w:w="4531"/>
        <w:gridCol w:w="4531"/>
      </w:tblGrid>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Classement des 10 premières catégories par l’occurrence en 2017</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Ranking of the top 10 categories by occurrence in 2017</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2.5.4.1 - Personne engageant le gabarit ou personne errante</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2.5.4.1 – Person encroaching the gauge or wandering person</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1.1.2.3 – Collision d’un train contre un animal sur la voie (hors passage à niveau)</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1.1.2.3 – Collision of a train with an animal on the track (excluding level crossings)</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1.1.2.4 – Collision d’un train contre un obstacle sur la voie (hors passage à niveau)</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1.1.2.4 – Collision of a train with an obstacle on the track (excluding level crossings)</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2.4.1.5 – Freinage (insuffisance ou absence, frein serré, serrage, etc.)</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2.4.1.5 – Braking (failure or lack of, applied brake, application, etc.)</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2.3.1 – Incident de signalisation</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2.3.1 – Signalling incident</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1.2.2 – Déraillement de train sans engagement de la voie principale</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1.2.2 – Train derailment with no fouling of the main track</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2.5.1.12 – Talonnage d’aiguille ou bi-voie</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2.5.1.12 – Running through a switch or splitting a switch</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2.5.3.5 – Dépassement du point d’arrêt – Autres (signal d’arrêt à main, tableau lumineux de correspondance, chevron pointe en haut, pancarte arrêt, traverse peinte en blanc, signal fin de caténaire, guidon d’arrêt, etc.)</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2.5.3.5 – Passing of a stop point – Other (hand stop signal, illuminated converging track signal board, upward-pointing chevron, stop sign, crossing painted white, end of catenary signal, stop bar, etc.)</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1.3.1 – Collision (véhicule, piéton, obstacle, etc.)</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1.3.1 – Collision (vehicle, pedestrian, obstacle, etc.)</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2.5.2.2 – Anomalie ou défaut de chargement (problème de porte, paroi, bâche, panneaux, capot, haussette, rancher, toit ou problème d’immobilisation et d’arrimage) pouvant engendrer un accident (collision par engagement du gabarit, etc.)</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2.5.2.2 – Loading anomaly or defect (issue involving door, side, tarpaulin, panels, cover, extended side, stake, roof or immobilisation or securing issue) that could result in an accident (collision through gauge fouling, etc.)</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Gravité 1</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Severity 1</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Gravité 2</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Severity 2</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Gravité 3</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Severity 3</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Gravité 4</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Severity 4</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Gravité 5</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Severity 5</w:t>
            </w:r>
          </w:p>
        </w:tc>
      </w:tr>
      <w:tr w:rsidTr="00FD56A5">
        <w:tblPrEx>
          <w:tblW w:w="9062" w:type="dxa"/>
          <w:tblLook w:val="04A0"/>
        </w:tblPrEx>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Gravité 6</w:t>
            </w:r>
          </w:p>
        </w:tc>
        <w:tc>
          <w:tcPr>
            <w:tcW w:w="4531" w:type="dxa"/>
          </w:tcPr>
          <w:p w:rsidR="00FD56A5" w:rsidRPr="00756DA5" w:rsidP="00FD56A5">
            <w:pPr>
              <w:jc w:val="left"/>
              <w:rPr>
                <w:rFonts w:cs="Arial"/>
                <w:sz w:val="18"/>
                <w:szCs w:val="18"/>
                <w:shd w:val="clear" w:color="auto" w:fill="FFFFFF"/>
              </w:rPr>
            </w:pPr>
            <w:r w:rsidRPr="00756DA5">
              <w:rPr>
                <w:sz w:val="18"/>
                <w:szCs w:val="18"/>
                <w:shd w:val="clear" w:color="auto" w:fill="FFFFFF"/>
              </w:rPr>
              <w:t>Severity 6</w:t>
            </w:r>
          </w:p>
        </w:tc>
      </w:tr>
    </w:tbl>
    <w:p w:rsidR="00FD56A5" w:rsidRPr="00756DA5" w:rsidP="00BF3817">
      <w:pPr>
        <w:spacing w:after="2400" w:afterLines="1000" w:line="280" w:lineRule="exact"/>
        <w:contextualSpacing/>
        <w:rPr>
          <w:rFonts w:cs="Arial"/>
          <w:szCs w:val="20"/>
        </w:rPr>
      </w:pPr>
    </w:p>
    <w:p w:rsidR="00890B5E" w:rsidRPr="00756DA5" w:rsidP="00BF3817">
      <w:pPr>
        <w:spacing w:after="2400" w:afterLines="1000" w:line="280" w:lineRule="exact"/>
        <w:contextualSpacing/>
        <w:rPr>
          <w:rFonts w:cs="Arial"/>
          <w:szCs w:val="20"/>
        </w:rPr>
      </w:pPr>
      <w:r w:rsidRPr="00756DA5">
        <w:t xml:space="preserve">The graph in Figure 2 presenting the ranking, all severity levels combined, of the 10 events that occurred most frequently in 2017, shows that the type of event most frequently notified by railway operators is that corresponding to category ‘2.5.4.1 Person encroaching the gauge or wandering person’. This observation compares with the high level of accidents to persons in particular for the ‘trespassers’ category. Even though these events </w:t>
      </w:r>
      <w:r w:rsidRPr="00756DA5">
        <w:t>were reported</w:t>
      </w:r>
      <w:r w:rsidRPr="00756DA5">
        <w:t xml:space="preserve"> predominantly at severity level 1, they are precursor events, the analysis of which is important for defining the most appropriate measures to be implemented to prevent this type of accident (cf. Section 3.2). Of the other categories appearing in this ranking, collisions excluding level crossings with no significant consequences (severity level 1 and 2 on the scale) should also be noted, in particular those involving collisions with animals. Braking incidents are the most frequent events with causes intrinsic to the railway system (approximately 500 occurrences in 2017), with a majority of events classified at severity level 2.</w:t>
      </w:r>
    </w:p>
    <w:p w:rsidR="00301A26" w:rsidRPr="00756DA5" w:rsidP="00BF3817">
      <w:pPr>
        <w:spacing w:after="2400" w:afterLines="1000" w:line="280" w:lineRule="exact"/>
        <w:contextualSpacing/>
        <w:rPr>
          <w:rFonts w:cs="Arial"/>
          <w:szCs w:val="20"/>
        </w:rPr>
      </w:pPr>
    </w:p>
    <w:p w:rsidR="00890B5E" w:rsidRPr="00756DA5" w:rsidP="00BF3817">
      <w:pPr>
        <w:spacing w:line="280" w:lineRule="exact"/>
        <w:rPr>
          <w:rFonts w:cs="Arial"/>
          <w:szCs w:val="20"/>
        </w:rPr>
      </w:pPr>
      <w:r w:rsidRPr="00756DA5">
        <w:t>In considering the most serious incidents, i.e. those that tend to be in the more limited range of events classified at severity level 4, problems intrinsic to the railway system were in the large majority (see graph in Figure 3 below). This angle of analysis offers the advantage of highlighting incidents or accidents with the highest potential severity (multiple human consequences) without these events having de facto resulted in significant consequences. In this group of events, there was a high frequency of notifications for the passing of stop points (stop signal, route signals or other types) and for track defects (category grouping together all track anomalies). The number of notifications relating to running through a level crossing with no measures preventing road users from running through is also noteworthy.</w:t>
      </w:r>
    </w:p>
    <w:p w:rsidR="00406979" w:rsidRPr="00756DA5" w:rsidP="00A47DF0">
      <w:pPr>
        <w:spacing w:after="0" w:line="280" w:lineRule="exact"/>
        <w:jc w:val="center"/>
        <w:rPr>
          <w:b/>
        </w:rPr>
      </w:pPr>
      <w:r w:rsidRPr="00756DA5">
        <w:rPr>
          <w:b/>
        </w:rPr>
        <w:t xml:space="preserve">Figure 3: Graph illustrating the breakdown of categories of severity level </w:t>
      </w:r>
      <w:r w:rsidRPr="00756DA5">
        <w:rPr>
          <w:b/>
        </w:rPr>
        <w:t>4</w:t>
      </w:r>
      <w:r w:rsidRPr="00756DA5">
        <w:rPr>
          <w:b/>
        </w:rPr>
        <w:t xml:space="preserve"> safety events</w:t>
      </w:r>
    </w:p>
    <w:p w:rsidR="00A47DF0" w:rsidRPr="00756DA5" w:rsidP="00406979">
      <w:pPr>
        <w:spacing w:line="280" w:lineRule="exact"/>
        <w:jc w:val="center"/>
        <w:rPr>
          <w:b/>
        </w:rPr>
      </w:pPr>
      <w:r w:rsidRPr="00756DA5">
        <w:rPr>
          <w:noProof/>
          <w:lang w:val="fr-FR" w:eastAsia="fr-FR"/>
        </w:rPr>
        <w:drawing>
          <wp:anchor distT="0" distB="0" distL="114300" distR="114300" simplePos="0" relativeHeight="251667456" behindDoc="0" locked="0" layoutInCell="1" allowOverlap="1">
            <wp:simplePos x="0" y="0"/>
            <wp:positionH relativeFrom="column">
              <wp:posOffset>-48405</wp:posOffset>
            </wp:positionH>
            <wp:positionV relativeFrom="paragraph">
              <wp:posOffset>212191</wp:posOffset>
            </wp:positionV>
            <wp:extent cx="5969635" cy="2663190"/>
            <wp:effectExtent l="0" t="0" r="0" b="381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5585" name="Picture 2"/>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635" cy="266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6A5" w:rsidRPr="00756DA5" w:rsidP="00FD56A5">
      <w:pPr>
        <w:spacing w:after="0" w:line="280" w:lineRule="exact"/>
        <w:jc w:val="center"/>
        <w:rPr>
          <w:b/>
        </w:rPr>
      </w:pPr>
    </w:p>
    <w:tbl>
      <w:tblPr>
        <w:tblStyle w:val="TableGrid"/>
        <w:tblW w:w="9062" w:type="dxa"/>
        <w:tblLook w:val="04A0"/>
      </w:tblPr>
      <w:tblGrid>
        <w:gridCol w:w="4531"/>
        <w:gridCol w:w="4531"/>
      </w:tblGrid>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Répartition par catégorie des événements de gravité 4 les plus récurrents en 2017</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Breakdown by category of the most common level 4 severity events in 2017</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2.5.3.5 Dépassement du point d’arrêt – Autres</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2.5.3.5 Passing a stop point – Other</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2.1.1 Défaillance de voie</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2.1.1 Track defect</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2.1.5 Franchissement d’un passage à niveau ouvert…</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2.1.5 Running through an open level crossing</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2.5.3.1. Dépassement du point d’arrêt – carré / signaux…</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2.5.3.1. Passing a stop point – stop signal/signals</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2.5.1.2 Autorisation de franchissement sans vérification</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2.5.1.2 Overrun permission without verification</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2.5.1.3 Expédition d’une circulation sans ordre prévu</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2.5.1.3 Dispatching of traffic without a command</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2.5.1.10 Dérive</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2.5.1.10 Loss of control</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2.3.1 Incident de signalisation</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2.3.1 Signalling incident</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1.5.1 Incendie dans le matériel roulant en circulation</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1.5.1 Fire in rolling stock in service</w:t>
            </w:r>
          </w:p>
        </w:tc>
      </w:tr>
    </w:tbl>
    <w:p w:rsidR="00467409" w:rsidRPr="00756DA5" w:rsidP="00423F21">
      <w:pPr>
        <w:pStyle w:val="Heading1"/>
        <w:pageBreakBefore/>
        <w:numPr>
          <w:ilvl w:val="0"/>
          <w:numId w:val="12"/>
        </w:numPr>
        <w:rPr>
          <w:rFonts w:cs="Arial"/>
        </w:rPr>
      </w:pPr>
      <w:bookmarkStart w:id="59" w:name="_Toc533153872"/>
      <w:r w:rsidRPr="00756DA5">
        <w:t>Railway safety initiatives</w:t>
      </w:r>
      <w:bookmarkEnd w:id="58"/>
      <w:bookmarkEnd w:id="59"/>
    </w:p>
    <w:p w:rsidR="00256CBC" w:rsidRPr="00756DA5" w:rsidP="00C55570">
      <w:pPr>
        <w:pStyle w:val="Heading2"/>
        <w:numPr>
          <w:ilvl w:val="1"/>
          <w:numId w:val="12"/>
        </w:numPr>
        <w:rPr>
          <w:rFonts w:cs="Arial"/>
        </w:rPr>
      </w:pPr>
      <w:bookmarkStart w:id="60" w:name="_Toc533153873"/>
      <w:r w:rsidRPr="00756DA5">
        <w:t>Safety alerts</w:t>
      </w:r>
      <w:bookmarkEnd w:id="60"/>
    </w:p>
    <w:p w:rsidR="00E93B3C" w:rsidRPr="00756DA5" w:rsidP="002E42CD">
      <w:pPr>
        <w:spacing w:line="280" w:lineRule="exact"/>
        <w:rPr>
          <w:rFonts w:cs="Arial"/>
          <w:szCs w:val="20"/>
        </w:rPr>
      </w:pPr>
      <w:r w:rsidRPr="00756DA5">
        <w:br/>
        <w:t xml:space="preserve">Among the initiatives aimed at improving safety, the alerts initiated or relayed by the EPSF to the actors working on the RFN and comparable networks </w:t>
      </w:r>
      <w:r w:rsidRPr="00756DA5">
        <w:t>are intended</w:t>
      </w:r>
      <w:r w:rsidRPr="00756DA5">
        <w:t xml:space="preserve"> to maintain the level of safety. In 2017, an alert was issued to these actors (railway operators, keepers or entities in charge of the maintenance of wagons) on four occasions, three of which concerning rolling stock problems and the fourth concerning a head-on collision between two trains that occurred on 14 February in Luxembourg. The aim of these alerts is to inform any persons directly affected about analysis or precautionary measures taken by railway operators, supplementing them with recommendations where appropriate, or even authorisation restrictions, in order to ensure all the affected actors are provided with full information and thus can </w:t>
      </w:r>
      <w:r w:rsidRPr="00756DA5">
        <w:t>take measures appropriate</w:t>
      </w:r>
      <w:r w:rsidRPr="00756DA5">
        <w:t xml:space="preserve"> to their activity without delay.</w:t>
      </w:r>
    </w:p>
    <w:p w:rsidR="00E93B3C" w:rsidRPr="00756DA5" w:rsidP="002E42CD">
      <w:pPr>
        <w:spacing w:line="280" w:lineRule="exact"/>
        <w:rPr>
          <w:rFonts w:cs="Arial"/>
          <w:b/>
          <w:szCs w:val="20"/>
        </w:rPr>
      </w:pPr>
      <w:r w:rsidRPr="00756DA5">
        <w:rPr>
          <w:b/>
          <w:bCs/>
          <w:szCs w:val="20"/>
        </w:rPr>
        <w:t xml:space="preserve">■ </w:t>
      </w:r>
      <w:r w:rsidRPr="00756DA5">
        <w:rPr>
          <w:b/>
          <w:szCs w:val="20"/>
        </w:rPr>
        <w:t>Head-on collision between two trains in Luxembourg</w:t>
      </w:r>
    </w:p>
    <w:p w:rsidR="00E93B3C" w:rsidRPr="00756DA5" w:rsidP="002E42CD">
      <w:pPr>
        <w:spacing w:line="280" w:lineRule="exact"/>
        <w:rPr>
          <w:rFonts w:cs="Arial"/>
          <w:szCs w:val="20"/>
        </w:rPr>
      </w:pPr>
      <w:r w:rsidRPr="00756DA5">
        <w:t xml:space="preserve">On Tuesday 14 February 2017, TER passenger train number 88807 from Bettembourg bound for France </w:t>
      </w:r>
      <w:r w:rsidRPr="00756DA5">
        <w:t>was meant</w:t>
      </w:r>
      <w:r w:rsidRPr="00756DA5">
        <w:t xml:space="preserve"> to stop at a stop signal to allow the passage of goods train number 49800 bound for the Bettembourg marshalling yard. The TER regional express train unexpectedly passed the stop signal protecting the goods train entering the marshalling yard at 41 km/h and collided with it head-on at a speed of 85 km/h. The result was one fatality, the driver of the passenger train, and two people injured. </w:t>
      </w:r>
      <w:r w:rsidRPr="00756DA5">
        <w:t>While the analysis of the initial elements of the investigation by the Luxembourg authorities has not yet made it possible to determine all of the causes, the train’s automatic stop system was nevertheless shown to have malfunctioned because no information was transmitted by the fixed part of the signal placed ahead on the track (‘crocodile’) and the train’s contact brush to the train’s driver assistance system (Memor II+).</w:t>
      </w:r>
    </w:p>
    <w:p w:rsidR="00E93B3C" w:rsidRPr="00756DA5" w:rsidP="002E42CD">
      <w:pPr>
        <w:spacing w:line="280" w:lineRule="exact"/>
        <w:rPr>
          <w:rFonts w:cs="Arial"/>
          <w:szCs w:val="20"/>
        </w:rPr>
      </w:pPr>
      <w:r w:rsidRPr="00756DA5">
        <w:t xml:space="preserve">Following a recommendation from the </w:t>
      </w:r>
      <w:r w:rsidRPr="00756DA5">
        <w:rPr>
          <w:i/>
        </w:rPr>
        <w:t>Administration des enquêtes techniques</w:t>
      </w:r>
      <w:r w:rsidRPr="00756DA5">
        <w:t xml:space="preserve"> (AET) [Luxembourg Administration of Technical Investigations] during the investigation, sent to the </w:t>
      </w:r>
      <w:r w:rsidRPr="00756DA5">
        <w:rPr>
          <w:i/>
        </w:rPr>
        <w:t>Administration des Chemins de Fer</w:t>
      </w:r>
      <w:r w:rsidRPr="00756DA5">
        <w:t xml:space="preserve"> (ACF) [Luxembourg national railway safety agency], which forwarded it to the EPSF, a set of precautionary measures, one of which concerned the maintenance of contact brushes, was implemented in Luxembourg.</w:t>
      </w:r>
    </w:p>
    <w:p w:rsidR="00E93B3C" w:rsidRPr="00756DA5" w:rsidP="002E42CD">
      <w:pPr>
        <w:spacing w:line="280" w:lineRule="exact"/>
        <w:rPr>
          <w:rFonts w:cs="Arial"/>
          <w:szCs w:val="20"/>
        </w:rPr>
      </w:pPr>
      <w:r w:rsidRPr="00756DA5">
        <w:t xml:space="preserve">Since this brush/crocodile transmission system was used on the RFN, the EPSF relayed these measures in its letter of 11 May 2017 to railway operators, asking them to review the arrangements of their own safety management system in order to determine </w:t>
      </w:r>
      <w:r w:rsidRPr="00756DA5">
        <w:t>whether or not</w:t>
      </w:r>
      <w:r w:rsidRPr="00756DA5">
        <w:t xml:space="preserve"> it was necessary to adapt them, in view of the risks.</w:t>
      </w:r>
    </w:p>
    <w:p w:rsidR="00E93B3C" w:rsidRPr="00756DA5" w:rsidP="002E42CD">
      <w:pPr>
        <w:spacing w:line="280" w:lineRule="exact"/>
        <w:rPr>
          <w:rFonts w:cs="Arial"/>
          <w:szCs w:val="20"/>
        </w:rPr>
      </w:pPr>
      <w:r w:rsidRPr="00756DA5">
        <w:t>The EPSF also initiated a short-term audit in June and July to ensure the implementation of an effective maintenance process for contact brushes on rolling stock.</w:t>
      </w:r>
    </w:p>
    <w:p w:rsidR="00E93B3C" w:rsidRPr="00756DA5" w:rsidP="002E42CD">
      <w:pPr>
        <w:spacing w:line="280" w:lineRule="exact"/>
        <w:rPr>
          <w:rFonts w:cs="Arial"/>
          <w:szCs w:val="20"/>
        </w:rPr>
      </w:pPr>
      <w:r w:rsidRPr="00756DA5">
        <w:t>Investigations continue and the AET’s safety investigation is ongoing, in particular from the ‘human factors’ angle regarding the actions of the TER regional express train driver, and the technical angle regarding the failure of the Memor II+ system.</w:t>
      </w:r>
    </w:p>
    <w:p w:rsidR="00E93B3C" w:rsidRPr="00756DA5" w:rsidP="002E42CD">
      <w:pPr>
        <w:spacing w:line="280" w:lineRule="exact"/>
        <w:rPr>
          <w:rFonts w:cs="Arial"/>
          <w:b/>
          <w:szCs w:val="20"/>
        </w:rPr>
      </w:pPr>
      <w:r w:rsidRPr="00756DA5">
        <w:rPr>
          <w:b/>
          <w:bCs/>
          <w:szCs w:val="20"/>
        </w:rPr>
        <w:t xml:space="preserve">■ </w:t>
      </w:r>
      <w:r w:rsidRPr="00756DA5">
        <w:rPr>
          <w:b/>
          <w:szCs w:val="20"/>
        </w:rPr>
        <w:t>Broken wheels in Italy and Belgium</w:t>
      </w:r>
    </w:p>
    <w:p w:rsidR="00E93B3C" w:rsidRPr="00756DA5" w:rsidP="002E42CD">
      <w:pPr>
        <w:spacing w:line="280" w:lineRule="exact"/>
        <w:rPr>
          <w:rFonts w:cs="Arial"/>
          <w:szCs w:val="20"/>
        </w:rPr>
      </w:pPr>
      <w:r w:rsidRPr="00756DA5">
        <w:t xml:space="preserve">On 17 March 2017 in Italy, a broken wheel was found during the inspection of a freight train following an alarm from a </w:t>
      </w:r>
      <w:r w:rsidRPr="00756DA5">
        <w:t>hot box</w:t>
      </w:r>
      <w:r w:rsidRPr="00756DA5">
        <w:t xml:space="preserve"> detector. The </w:t>
      </w:r>
      <w:r w:rsidRPr="00756DA5">
        <w:rPr>
          <w:i/>
        </w:rPr>
        <w:t>Agenzia Nazionale per la Sicurezza delle Ferrovie</w:t>
      </w:r>
      <w:r w:rsidRPr="00756DA5">
        <w:t xml:space="preserve"> (ANSF) [Italian National Railway Safety Agency] immediately issued an alert to all </w:t>
      </w:r>
      <w:r w:rsidRPr="00756DA5">
        <w:t>European railway safety agencies</w:t>
      </w:r>
      <w:r w:rsidRPr="00756DA5">
        <w:t xml:space="preserve">, </w:t>
      </w:r>
      <w:r w:rsidRPr="00756DA5">
        <w:t>since this break had been preceded by two other breaks, which also occurred in Italy, on 27 December 2016 and 25 January 2017.</w:t>
      </w:r>
    </w:p>
    <w:p w:rsidR="00E93B3C" w:rsidRPr="00756DA5" w:rsidP="002E42CD">
      <w:pPr>
        <w:spacing w:line="280" w:lineRule="exact"/>
        <w:rPr>
          <w:rFonts w:cs="Arial"/>
          <w:szCs w:val="20"/>
        </w:rPr>
      </w:pPr>
      <w:r w:rsidRPr="00756DA5">
        <w:t xml:space="preserve">The initial analysis of these three cases helped to identify the manufacturer of the </w:t>
      </w:r>
      <w:r w:rsidRPr="00756DA5">
        <w:t>wheels,</w:t>
      </w:r>
      <w:r w:rsidRPr="00756DA5">
        <w:t xml:space="preserve"> the foundry cast numbers and the type of bogie on which the wheels were mounted.</w:t>
      </w:r>
    </w:p>
    <w:p w:rsidR="00E93B3C" w:rsidRPr="00756DA5" w:rsidP="002E42CD">
      <w:pPr>
        <w:spacing w:line="280" w:lineRule="exact"/>
        <w:rPr>
          <w:rFonts w:cs="Arial"/>
          <w:szCs w:val="20"/>
        </w:rPr>
      </w:pPr>
      <w:r w:rsidRPr="00756DA5">
        <w:t>On 17 April 2017, the EPSF relayed the alert to the keepers of wagons recorded in the national vehicle register in order for them to identify the fleet of vehicles affected, perform an immediate visual inspection of wheels, check the residual stresses in them at the first favourable opportunity and immediately withdraw all the vehicles presenting anomalies from service. This campaign identified 45 potentially affected axles, none of which presented an anomaly.</w:t>
      </w:r>
    </w:p>
    <w:p w:rsidR="00E93B3C" w:rsidRPr="00756DA5" w:rsidP="002E42CD">
      <w:pPr>
        <w:spacing w:line="280" w:lineRule="exact"/>
        <w:rPr>
          <w:rFonts w:cs="Arial"/>
          <w:szCs w:val="20"/>
        </w:rPr>
      </w:pPr>
      <w:r w:rsidRPr="00756DA5">
        <w:t xml:space="preserve">Analysis at the European level highlighted similar situations involving other types of wheels built by other manufacturers, such as, for example, the case of the serious accident that occurred in Belgium on 22 May 2017, in Aubange. The Joint Network Secretariat (JNS) </w:t>
      </w:r>
      <w:r w:rsidRPr="00756DA5">
        <w:t>was informed and recommended additional short-term monitoring measures on vehicles in service or undergoing maintenance as well as on removed axles</w:t>
      </w:r>
      <w:r w:rsidRPr="00756DA5">
        <w:t>.</w:t>
      </w:r>
    </w:p>
    <w:p w:rsidR="00E93B3C" w:rsidRPr="00756DA5" w:rsidP="002E42CD">
      <w:pPr>
        <w:spacing w:line="280" w:lineRule="exact"/>
        <w:rPr>
          <w:rFonts w:cs="Arial"/>
          <w:szCs w:val="20"/>
        </w:rPr>
      </w:pPr>
      <w:r w:rsidRPr="00756DA5">
        <w:t>On 6 September 2017, the EPSF sent an update to the safety alert it issued on 17 April, asking entities in charge of maintenance (ECMs) and railway operators to apply these additional measures immediately.</w:t>
      </w:r>
    </w:p>
    <w:p w:rsidR="00E93B3C" w:rsidRPr="00756DA5" w:rsidP="002E42CD">
      <w:pPr>
        <w:spacing w:line="280" w:lineRule="exact"/>
        <w:rPr>
          <w:rFonts w:cs="Arial"/>
          <w:szCs w:val="20"/>
        </w:rPr>
      </w:pPr>
      <w:r w:rsidRPr="00756DA5">
        <w:t xml:space="preserve">The investigations of the JNS’s European expert group are ongoing to identify the origin of the phenomenon and determine the fleet of stock involved, as well as potential measures to </w:t>
      </w:r>
      <w:r w:rsidRPr="00756DA5">
        <w:t>be implemented</w:t>
      </w:r>
      <w:r w:rsidRPr="00756DA5">
        <w:t xml:space="preserve"> in the medium and long term.</w:t>
      </w:r>
    </w:p>
    <w:p w:rsidR="00E93B3C" w:rsidRPr="00756DA5" w:rsidP="002E42CD">
      <w:pPr>
        <w:spacing w:line="280" w:lineRule="exact"/>
        <w:rPr>
          <w:rFonts w:cs="Arial"/>
          <w:b/>
          <w:szCs w:val="20"/>
        </w:rPr>
      </w:pPr>
      <w:r w:rsidRPr="00756DA5">
        <w:rPr>
          <w:b/>
          <w:bCs/>
          <w:szCs w:val="20"/>
        </w:rPr>
        <w:t xml:space="preserve">■ </w:t>
      </w:r>
      <w:r w:rsidRPr="00756DA5">
        <w:rPr>
          <w:b/>
          <w:szCs w:val="20"/>
        </w:rPr>
        <w:t>Cracks on AFR 22 bogies</w:t>
      </w:r>
    </w:p>
    <w:p w:rsidR="00E93B3C" w:rsidRPr="00756DA5" w:rsidP="002E42CD">
      <w:pPr>
        <w:spacing w:line="280" w:lineRule="exact"/>
        <w:rPr>
          <w:rFonts w:cs="Arial"/>
          <w:szCs w:val="20"/>
        </w:rPr>
      </w:pPr>
      <w:r w:rsidRPr="00756DA5">
        <w:t xml:space="preserve">The EPSF </w:t>
      </w:r>
      <w:r w:rsidRPr="00756DA5">
        <w:t>was informed</w:t>
      </w:r>
      <w:r w:rsidRPr="00756DA5">
        <w:t xml:space="preserve"> on 10 November 2017 following the discovery of significant cracks found by an operator on an AFR 22 bogie. Given the potential severity of the consequences of this type of defect, the same day the EPSF asked keepers of wagons equipped with this type of bogie to stop their vehicles immediately in order to inspect them and withdraw them if necessary. This measure concerned all wagons equipped with this type of bogie, in the absence of information making it possible to withdraw some of them. Approximately 2 500 wagons were subject to those inspections.</w:t>
      </w:r>
    </w:p>
    <w:p w:rsidR="00E93B3C" w:rsidRPr="00756DA5" w:rsidP="002E42CD">
      <w:pPr>
        <w:spacing w:line="280" w:lineRule="exact"/>
        <w:rPr>
          <w:rFonts w:cs="Arial"/>
          <w:szCs w:val="20"/>
        </w:rPr>
      </w:pPr>
      <w:r w:rsidRPr="00756DA5">
        <w:t>Of these, approximately 2 % presented defects or suspected defects and a large majority of them belonged to an identified fleet of wagons equipped with bogies manufactured prior to March 2012, for which the manufacturer had identified a weakness in the manufacturing process, which had been corrected on bogies produced after that date.</w:t>
      </w:r>
    </w:p>
    <w:p w:rsidR="00E93B3C" w:rsidRPr="00756DA5" w:rsidP="002E42CD">
      <w:pPr>
        <w:spacing w:line="280" w:lineRule="exact"/>
        <w:rPr>
          <w:rFonts w:cs="Arial"/>
          <w:szCs w:val="20"/>
        </w:rPr>
      </w:pPr>
      <w:r w:rsidRPr="00756DA5">
        <w:t xml:space="preserve">Bogies manufactured after March 2012, on which defects or suspected defects </w:t>
      </w:r>
      <w:r w:rsidRPr="00756DA5">
        <w:t>have so far been identified</w:t>
      </w:r>
      <w:r w:rsidRPr="00756DA5">
        <w:t xml:space="preserve">, account for less than 1 % of the rest of the fleet inspected, including the cases at the origin of the alert. </w:t>
      </w:r>
      <w:r w:rsidRPr="00756DA5">
        <w:t>This subject is being closely monitored by the keepers</w:t>
      </w:r>
      <w:r w:rsidRPr="00756DA5">
        <w:t xml:space="preserve"> and ECMs for the wagons involved as well as the bogie manufacturer, which are continuing their analysis.</w:t>
      </w:r>
    </w:p>
    <w:p w:rsidR="00E93B3C" w:rsidRPr="00756DA5" w:rsidP="002E42CD">
      <w:pPr>
        <w:spacing w:line="280" w:lineRule="exact"/>
        <w:rPr>
          <w:rFonts w:cs="Arial"/>
          <w:szCs w:val="20"/>
        </w:rPr>
      </w:pPr>
      <w:r w:rsidRPr="00756DA5">
        <w:t xml:space="preserve">The situation and the how the measures shown by the actors affected </w:t>
      </w:r>
      <w:r w:rsidRPr="00756DA5">
        <w:t>have been dealt with</w:t>
      </w:r>
      <w:r w:rsidRPr="00756DA5">
        <w:t xml:space="preserve"> enabled the lifting of the alert issued on 10 November 2017.</w:t>
      </w:r>
    </w:p>
    <w:p w:rsidR="00E93B3C" w:rsidRPr="00756DA5" w:rsidP="002E42CD">
      <w:pPr>
        <w:spacing w:line="280" w:lineRule="exact"/>
        <w:rPr>
          <w:rFonts w:cs="Arial"/>
          <w:szCs w:val="20"/>
        </w:rPr>
      </w:pPr>
      <w:r w:rsidRPr="00756DA5">
        <w:t>More thorough investigations (digital simulations, measures on bogies in service, laboratory testing) are being conducted by the manufacturer and the main keepers in order to understand the origin of the appearance of the cracks and to assess how quickly they spread more accurately.</w:t>
      </w:r>
    </w:p>
    <w:p w:rsidR="00E93B3C" w:rsidRPr="00756DA5" w:rsidP="002E42CD">
      <w:pPr>
        <w:spacing w:line="280" w:lineRule="exact"/>
        <w:rPr>
          <w:rFonts w:cs="Arial"/>
          <w:szCs w:val="20"/>
        </w:rPr>
      </w:pPr>
      <w:r w:rsidRPr="00756DA5">
        <w:t xml:space="preserve">Keepers, ECMs, manufacturers and the EPSF continue to have close exchanges in particular to ensure the satisfactory completion of the measures to </w:t>
      </w:r>
      <w:r w:rsidRPr="00756DA5">
        <w:t>be taken</w:t>
      </w:r>
      <w:r w:rsidRPr="00756DA5">
        <w:t>.</w:t>
      </w:r>
    </w:p>
    <w:p w:rsidR="00E93B3C" w:rsidRPr="00756DA5" w:rsidP="002E42CD">
      <w:pPr>
        <w:spacing w:line="280" w:lineRule="exact"/>
        <w:rPr>
          <w:rFonts w:cs="Arial"/>
          <w:b/>
          <w:szCs w:val="20"/>
        </w:rPr>
      </w:pPr>
      <w:r w:rsidRPr="00756DA5">
        <w:rPr>
          <w:b/>
          <w:bCs/>
          <w:szCs w:val="20"/>
        </w:rPr>
        <w:t xml:space="preserve">■ </w:t>
      </w:r>
      <w:r w:rsidRPr="00756DA5">
        <w:rPr>
          <w:b/>
          <w:szCs w:val="20"/>
        </w:rPr>
        <w:t>Significant risk of loss of brake discs on G1206 locomotives</w:t>
      </w:r>
    </w:p>
    <w:p w:rsidR="00E93B3C" w:rsidRPr="00756DA5" w:rsidP="002E42CD">
      <w:pPr>
        <w:spacing w:line="280" w:lineRule="exact"/>
        <w:rPr>
          <w:rFonts w:cs="Arial"/>
          <w:szCs w:val="20"/>
        </w:rPr>
      </w:pPr>
      <w:r w:rsidRPr="00756DA5">
        <w:t xml:space="preserve">The EPSF </w:t>
      </w:r>
      <w:r w:rsidRPr="00756DA5">
        <w:t>was informed</w:t>
      </w:r>
      <w:r w:rsidRPr="00756DA5">
        <w:t xml:space="preserve"> of a case of the loosening of brake disc mounting screws on eight wheels of a G1206 locomotive, discovered in Luxembourg during a maintenance operation.</w:t>
      </w:r>
    </w:p>
    <w:p w:rsidR="00E93B3C" w:rsidRPr="00756DA5" w:rsidP="002E42CD">
      <w:pPr>
        <w:spacing w:line="280" w:lineRule="exact"/>
        <w:rPr>
          <w:rFonts w:cs="Arial"/>
          <w:szCs w:val="20"/>
        </w:rPr>
      </w:pPr>
      <w:r w:rsidRPr="00756DA5">
        <w:t>Since it was a subject affecting railway security (braking, part loss, etc.), by letter of 29 December 2017, the EPSF issued an alert to keepers of G1206 locomotives entered in the national vehicle register in order to identify all the affected locomotives without delay, check the tightening of the brake discs prior to 15 January 2018, and immediately report and correct any anomalies before the locomotive is put back in service.</w:t>
      </w:r>
    </w:p>
    <w:p w:rsidR="00E93B3C" w:rsidRPr="00756DA5" w:rsidP="002E42CD">
      <w:pPr>
        <w:spacing w:line="280" w:lineRule="exact"/>
        <w:rPr>
          <w:rFonts w:cs="Arial"/>
          <w:szCs w:val="20"/>
        </w:rPr>
      </w:pPr>
      <w:r w:rsidRPr="00756DA5">
        <w:t>At the same time, the EPSF issued a European alert to enable the national agencies of European Union countries to relay the information to keepers of G1206 locomotives registered in other Member States.</w:t>
      </w:r>
    </w:p>
    <w:p w:rsidR="00E93B3C" w:rsidRPr="00756DA5" w:rsidP="002E42CD">
      <w:pPr>
        <w:spacing w:line="280" w:lineRule="exact"/>
        <w:rPr>
          <w:rFonts w:cs="Arial"/>
          <w:szCs w:val="20"/>
        </w:rPr>
      </w:pPr>
      <w:r w:rsidRPr="00756DA5">
        <w:t xml:space="preserve">Without ruling out the existence of a possible technical issue specific to the configuration of these locomotives, the possibility </w:t>
      </w:r>
      <w:r w:rsidRPr="00756DA5">
        <w:t>being considered</w:t>
      </w:r>
      <w:r w:rsidRPr="00756DA5">
        <w:t xml:space="preserve"> is an error in the reassembly of the discs during a maintenance operation.</w:t>
      </w:r>
    </w:p>
    <w:p w:rsidR="00E93B3C" w:rsidRPr="00756DA5" w:rsidP="002E42CD">
      <w:pPr>
        <w:spacing w:line="280" w:lineRule="exact"/>
        <w:rPr>
          <w:rFonts w:cs="Arial"/>
          <w:szCs w:val="20"/>
        </w:rPr>
      </w:pPr>
      <w:r w:rsidRPr="00756DA5">
        <w:t xml:space="preserve">The keeper of the locomotive is continuing its analysis of the event and the search for causes while regularly keeping the EPSF informed of the outcome of these </w:t>
      </w:r>
      <w:r w:rsidRPr="00756DA5">
        <w:t>investigations which</w:t>
      </w:r>
      <w:r w:rsidRPr="00756DA5">
        <w:t xml:space="preserve"> should be completed during 2018.</w:t>
      </w:r>
    </w:p>
    <w:p w:rsidR="00256CBC" w:rsidRPr="00756DA5" w:rsidP="00C55570">
      <w:pPr>
        <w:pStyle w:val="Heading2"/>
        <w:numPr>
          <w:ilvl w:val="1"/>
          <w:numId w:val="12"/>
        </w:numPr>
        <w:rPr>
          <w:rFonts w:cs="Arial"/>
        </w:rPr>
      </w:pPr>
      <w:bookmarkStart w:id="61" w:name="_Toc494469627"/>
      <w:bookmarkStart w:id="62" w:name="_Toc533153874"/>
      <w:r w:rsidRPr="00756DA5">
        <w:t>The prevention of accidents to person</w:t>
      </w:r>
      <w:bookmarkEnd w:id="61"/>
      <w:r w:rsidRPr="00756DA5">
        <w:t>s</w:t>
      </w:r>
      <w:bookmarkEnd w:id="62"/>
    </w:p>
    <w:p w:rsidR="00A73B72" w:rsidRPr="00756DA5" w:rsidP="00A73B72">
      <w:pPr>
        <w:spacing w:line="280" w:lineRule="exact"/>
      </w:pPr>
      <w:r w:rsidRPr="00756DA5">
        <w:br/>
        <w:t>In Section 2.2, the accident impact assessment shows, for 2017, a high level of people killed and seriously injured in the ‘trespassers’ category of people. This has been a recurrent observation for several years despite some situational improvements and the safety performance trend remains poorer than the national reference value, and at a level below the target ‘acceptable safety performance’ (cf. flowchart in Annex 1).</w:t>
      </w:r>
    </w:p>
    <w:p w:rsidR="00A73B72" w:rsidRPr="00756DA5" w:rsidP="00A73B72">
      <w:pPr>
        <w:spacing w:line="280" w:lineRule="exact"/>
      </w:pPr>
      <w:r w:rsidRPr="00756DA5">
        <w:t xml:space="preserve">The concept of ‘unauthorised person’ or ’trespasser’ (change of description introduced within the European Union at the end of 2014) is defined in Annex I of Directive (EU) 2016/798: ‘any person present on railway premises where such presence is forbidden, with the exception of a level crossing user’. In practice, this category mainly concerns people struck by trains in service. It includes cases that, due to a lack of confirmation by the judicial police, </w:t>
      </w:r>
      <w:r w:rsidRPr="00756DA5">
        <w:t>are not classified</w:t>
      </w:r>
      <w:r w:rsidRPr="00756DA5">
        <w:t xml:space="preserve"> as suicide. In France, people found dead on tracks with traces indicating an impact with traffic, without this collision having been observed by traffic or a third party, are recorded in this risk category in accordance with the above definition.</w:t>
      </w:r>
    </w:p>
    <w:p w:rsidR="00A73B72" w:rsidRPr="00756DA5" w:rsidP="00A73B72">
      <w:pPr>
        <w:spacing w:line="280" w:lineRule="exact"/>
      </w:pPr>
      <w:r w:rsidRPr="00756DA5">
        <w:t>The graph below illustrates the data concerning this category of people since 2007. The FWSI indicator corresponds to the sum of the number of fatalities with 0.1 times the number of people seriously injured. The NRV is the target set for France.</w:t>
      </w:r>
    </w:p>
    <w:p w:rsidR="00A73B72" w:rsidRPr="00756DA5" w:rsidP="00A73B72">
      <w:r w:rsidRPr="00756DA5">
        <w:rPr>
          <w:noProof/>
          <w:lang w:val="fr-FR" w:eastAsia="fr-FR"/>
        </w:rPr>
        <w:drawing>
          <wp:inline distT="0" distB="0" distL="0" distR="0">
            <wp:extent cx="5760720" cy="3950868"/>
            <wp:effectExtent l="0" t="0" r="0" b="0"/>
            <wp:docPr id="4" name="Image 4" descr="cid:image002.png@01D43BCC.956CA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65527" name="Image 1" descr="cid:image002.png@01D43BCC.956CA700"/>
                    <pic:cNvPicPr>
                      <a:picLocks noChangeAspect="1" noChangeArrowheads="1"/>
                    </pic:cNvPicPr>
                  </pic:nvPicPr>
                  <pic:blipFill>
                    <a:blip xmlns:r="http://schemas.openxmlformats.org/officeDocument/2006/relationships" r:embed="rId44" r:link="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3950868"/>
                    </a:xfrm>
                    <a:prstGeom prst="rect">
                      <a:avLst/>
                    </a:prstGeom>
                    <a:noFill/>
                    <a:ln>
                      <a:noFill/>
                    </a:ln>
                  </pic:spPr>
                </pic:pic>
              </a:graphicData>
            </a:graphic>
          </wp:inline>
        </w:drawing>
      </w:r>
    </w:p>
    <w:tbl>
      <w:tblPr>
        <w:tblStyle w:val="TableGrid"/>
        <w:tblW w:w="9062" w:type="dxa"/>
        <w:tblLook w:val="04A0"/>
      </w:tblPr>
      <w:tblGrid>
        <w:gridCol w:w="4531"/>
        <w:gridCol w:w="4531"/>
      </w:tblGrid>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Évolution du MBGP/train.km pour la catégorie des "intrus"</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Trend of FWSI/train.km for the ‘trespassers’ category</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0,200</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0.200</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0,150</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0.150</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0,100</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0.100</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0,050</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0.050</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0,000</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0.000</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Intrus (personnes tuées)</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Trespassers (people killed)</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Intrus (personnes grièvement blessées)</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Trespassers (people seriously injured)</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MBGP Intrus</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Trespassers FWSI</w:t>
            </w:r>
          </w:p>
        </w:tc>
      </w:tr>
      <w:tr w:rsidTr="00D60F8D">
        <w:tblPrEx>
          <w:tblW w:w="9062" w:type="dxa"/>
          <w:tblLook w:val="04A0"/>
        </w:tblPrEx>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VNR Intrus</w:t>
            </w:r>
          </w:p>
        </w:tc>
        <w:tc>
          <w:tcPr>
            <w:tcW w:w="4531" w:type="dxa"/>
          </w:tcPr>
          <w:p w:rsidR="00D60F8D" w:rsidRPr="00756DA5" w:rsidP="00D60F8D">
            <w:pPr>
              <w:jc w:val="left"/>
              <w:rPr>
                <w:rFonts w:cs="Arial"/>
                <w:sz w:val="18"/>
                <w:szCs w:val="18"/>
                <w:shd w:val="clear" w:color="auto" w:fill="FFFFFF"/>
              </w:rPr>
            </w:pPr>
            <w:r w:rsidRPr="00756DA5">
              <w:rPr>
                <w:sz w:val="18"/>
                <w:szCs w:val="18"/>
                <w:shd w:val="clear" w:color="auto" w:fill="FFFFFF"/>
              </w:rPr>
              <w:t>Trespassers NRV</w:t>
            </w:r>
          </w:p>
        </w:tc>
      </w:tr>
    </w:tbl>
    <w:p w:rsidR="00D60F8D" w:rsidRPr="00756DA5" w:rsidP="00D60F8D">
      <w:pPr>
        <w:spacing w:after="0" w:line="280" w:lineRule="exact"/>
      </w:pPr>
    </w:p>
    <w:p w:rsidR="00A73B72" w:rsidRPr="00756DA5" w:rsidP="00A73B72">
      <w:pPr>
        <w:spacing w:line="280" w:lineRule="exact"/>
      </w:pPr>
      <w:r w:rsidRPr="00756DA5">
        <w:t>This graph shows that, since 2007, French performance on this category has been very close to or exceeded the NRV, with only 2015 standing out from the other years with significantly better performance. The achievement of a result above the NRV in two consecutive years (2016 and 2017), with a rising 5-year trend, leads to the assessment of performance at the level of ‘possible deterioration’ according to the European definitions.</w:t>
      </w:r>
    </w:p>
    <w:p w:rsidR="00A73B72" w:rsidRPr="00756DA5" w:rsidP="00A73B72">
      <w:pPr>
        <w:spacing w:line="280" w:lineRule="exact"/>
      </w:pPr>
      <w:r w:rsidRPr="00756DA5">
        <w:t xml:space="preserve">The identified causes of these accidents, developed below, predominantly relate to the behaviours of people external to the railway system or users of it. While measures </w:t>
      </w:r>
      <w:r w:rsidRPr="00756DA5">
        <w:t>can be taken</w:t>
      </w:r>
      <w:r w:rsidRPr="00756DA5">
        <w:t xml:space="preserve"> and are taken to manage this accident risk, it is rather difficult to analyse the reasons for the annual variations that are seen.</w:t>
      </w:r>
    </w:p>
    <w:p w:rsidR="00A73B72" w:rsidRPr="00756DA5" w:rsidP="00E41E54">
      <w:pPr>
        <w:spacing w:after="0" w:line="280" w:lineRule="exact"/>
      </w:pPr>
      <w:bookmarkStart w:id="63" w:name="_Hlk523479530"/>
      <w:r w:rsidRPr="00756DA5">
        <w:t xml:space="preserve">Two accident categories </w:t>
      </w:r>
      <w:r w:rsidRPr="00756DA5">
        <w:t>must be distinguished</w:t>
      </w:r>
      <w:r w:rsidRPr="00756DA5">
        <w:t xml:space="preserve"> in the ‘unauthorised persons’ risk category:</w:t>
      </w:r>
    </w:p>
    <w:p w:rsidR="00A73B72" w:rsidRPr="00756DA5" w:rsidP="00E41E54">
      <w:pPr>
        <w:pStyle w:val="ListParagraph"/>
        <w:numPr>
          <w:ilvl w:val="0"/>
          <w:numId w:val="22"/>
        </w:numPr>
        <w:spacing w:after="0" w:line="280" w:lineRule="exact"/>
      </w:pPr>
      <w:r w:rsidRPr="00756DA5">
        <w:t>accidents</w:t>
      </w:r>
      <w:r w:rsidRPr="00756DA5">
        <w:t xml:space="preserve"> on open track. This category accounts for approximately 60 % of accidents.</w:t>
      </w:r>
    </w:p>
    <w:p w:rsidR="00A73B72" w:rsidRPr="00756DA5" w:rsidP="00AA5D7F">
      <w:pPr>
        <w:pStyle w:val="ListParagraph"/>
        <w:numPr>
          <w:ilvl w:val="0"/>
          <w:numId w:val="22"/>
        </w:numPr>
        <w:spacing w:after="0" w:line="280" w:lineRule="exact"/>
      </w:pPr>
      <w:r w:rsidRPr="00756DA5">
        <w:t xml:space="preserve">Accidents at stations. This category accounts for approximately 40 % of accidents. It </w:t>
      </w:r>
      <w:r w:rsidRPr="00756DA5">
        <w:t>can also be divided</w:t>
      </w:r>
      <w:r w:rsidRPr="00756DA5">
        <w:t xml:space="preserve"> into two subcategories, depending on whether the accident takes place on a level track crossing for the public or not on a track crossing.</w:t>
      </w:r>
    </w:p>
    <w:p w:rsidR="00AA5D7F" w:rsidRPr="00756DA5" w:rsidP="000D6475">
      <w:pPr>
        <w:pStyle w:val="ListParagraph"/>
        <w:spacing w:after="0" w:line="280" w:lineRule="exact"/>
      </w:pPr>
      <w:bookmarkEnd w:id="63"/>
    </w:p>
    <w:p w:rsidR="00A73B72" w:rsidRPr="00756DA5" w:rsidP="00756DA5">
      <w:pPr>
        <w:keepNext/>
        <w:spacing w:line="280" w:lineRule="exact"/>
        <w:rPr>
          <w:b/>
        </w:rPr>
      </w:pPr>
      <w:r w:rsidRPr="00756DA5">
        <w:rPr>
          <w:b/>
          <w:bCs/>
          <w:szCs w:val="20"/>
        </w:rPr>
        <w:t xml:space="preserve">■ </w:t>
      </w:r>
      <w:r w:rsidRPr="00756DA5">
        <w:rPr>
          <w:b/>
        </w:rPr>
        <w:t>Accidents on open track</w:t>
      </w:r>
    </w:p>
    <w:p w:rsidR="00A73B72" w:rsidRPr="00756DA5" w:rsidP="00E41E54">
      <w:pPr>
        <w:spacing w:after="0" w:line="280" w:lineRule="exact"/>
      </w:pPr>
      <w:r w:rsidRPr="00756DA5">
        <w:t>There are two main causes of accidents on open track:</w:t>
      </w:r>
    </w:p>
    <w:p w:rsidR="00A73B72" w:rsidRPr="00756DA5" w:rsidP="00E41E54">
      <w:pPr>
        <w:pStyle w:val="ListParagraph"/>
        <w:numPr>
          <w:ilvl w:val="0"/>
          <w:numId w:val="23"/>
        </w:numPr>
        <w:spacing w:after="0" w:line="280" w:lineRule="exact"/>
      </w:pPr>
      <w:r w:rsidRPr="00756DA5">
        <w:t>people who deliberately follow a path that crosses tracks to get to their destination;</w:t>
      </w:r>
    </w:p>
    <w:p w:rsidR="00A73B72" w:rsidRPr="00756DA5" w:rsidP="00AA5D7F">
      <w:pPr>
        <w:pStyle w:val="ListParagraph"/>
        <w:numPr>
          <w:ilvl w:val="0"/>
          <w:numId w:val="23"/>
        </w:numPr>
        <w:spacing w:after="0" w:line="280" w:lineRule="exact"/>
      </w:pPr>
      <w:r w:rsidRPr="00756DA5">
        <w:t>people</w:t>
      </w:r>
      <w:r w:rsidRPr="00756DA5">
        <w:t xml:space="preserve"> who are on the tracks even though they are in an ‘abnormal’ state (drunkenness, loss of consciousness, etc.).</w:t>
      </w:r>
    </w:p>
    <w:p w:rsidR="00AA5D7F" w:rsidRPr="00756DA5" w:rsidP="000D6475">
      <w:pPr>
        <w:pStyle w:val="ListParagraph"/>
        <w:spacing w:after="0" w:line="280" w:lineRule="exact"/>
      </w:pPr>
    </w:p>
    <w:p w:rsidR="00A73B72" w:rsidRPr="00756DA5" w:rsidP="00E41E54">
      <w:pPr>
        <w:spacing w:after="0" w:line="280" w:lineRule="exact"/>
      </w:pPr>
      <w:r w:rsidRPr="00756DA5">
        <w:t xml:space="preserve">The measures implemented by SNCF Réseau to reduce these risks consist first of putting up fences in areas identified as being a priority. Criteria </w:t>
      </w:r>
      <w:r w:rsidRPr="00756DA5">
        <w:t>have been established</w:t>
      </w:r>
      <w:r w:rsidRPr="00756DA5">
        <w:t xml:space="preserve"> to prioritise the problem areas. These criteria are in particular:</w:t>
      </w:r>
    </w:p>
    <w:p w:rsidR="00A73B72" w:rsidRPr="00756DA5" w:rsidP="00E41E54">
      <w:pPr>
        <w:pStyle w:val="ListParagraph"/>
        <w:numPr>
          <w:ilvl w:val="0"/>
          <w:numId w:val="24"/>
        </w:numPr>
        <w:spacing w:after="0" w:line="280" w:lineRule="exact"/>
      </w:pPr>
      <w:r w:rsidRPr="00756DA5">
        <w:t>events that have occurred;</w:t>
      </w:r>
    </w:p>
    <w:p w:rsidR="00A73B72" w:rsidRPr="00756DA5" w:rsidP="00E41E54">
      <w:pPr>
        <w:pStyle w:val="ListParagraph"/>
        <w:numPr>
          <w:ilvl w:val="0"/>
          <w:numId w:val="24"/>
        </w:numPr>
        <w:spacing w:after="0" w:line="280" w:lineRule="exact"/>
      </w:pPr>
      <w:r w:rsidRPr="00756DA5">
        <w:t>reports by third parties (local authorities, individuals, railway undertakings, etc.) of trespassing risks confirmed by the analysis of SNCF Réseau;</w:t>
      </w:r>
    </w:p>
    <w:p w:rsidR="00A73B72" w:rsidRPr="00756DA5" w:rsidP="00E41E54">
      <w:pPr>
        <w:pStyle w:val="ListParagraph"/>
        <w:numPr>
          <w:ilvl w:val="0"/>
          <w:numId w:val="24"/>
        </w:numPr>
        <w:spacing w:after="0" w:line="280" w:lineRule="exact"/>
      </w:pPr>
      <w:r w:rsidRPr="00756DA5">
        <w:t>trespassing discovered by SNCF Réseau (not resulting in an accident);</w:t>
      </w:r>
    </w:p>
    <w:p w:rsidR="00A73B72" w:rsidRPr="00756DA5" w:rsidP="00031378">
      <w:pPr>
        <w:pStyle w:val="ListParagraph"/>
        <w:numPr>
          <w:ilvl w:val="0"/>
          <w:numId w:val="24"/>
        </w:numPr>
        <w:spacing w:after="0" w:line="280" w:lineRule="exact"/>
      </w:pPr>
      <w:r w:rsidRPr="00756DA5">
        <w:t>the</w:t>
      </w:r>
      <w:r w:rsidRPr="00756DA5">
        <w:t xml:space="preserve"> proximity of the railway to dense urban, commercial, industrial or recreational areas.</w:t>
      </w:r>
    </w:p>
    <w:p w:rsidR="00031378" w:rsidRPr="00756DA5" w:rsidP="000D6475">
      <w:pPr>
        <w:pStyle w:val="ListParagraph"/>
        <w:spacing w:after="0" w:line="280" w:lineRule="exact"/>
      </w:pPr>
    </w:p>
    <w:p w:rsidR="00A73B72" w:rsidRPr="00756DA5" w:rsidP="00A73B72">
      <w:pPr>
        <w:spacing w:line="280" w:lineRule="exact"/>
      </w:pPr>
      <w:r w:rsidRPr="00756DA5">
        <w:t xml:space="preserve">It is important to note that the French RFN is made up of 30 000 km of lines the demarcation of which with fences is not mandatory (except for the 2 000 km of high-speed lines, which are fully demarcated). SNCF Réseau points out that today a significant share of the budget provided for the putting up of fences </w:t>
      </w:r>
      <w:r w:rsidRPr="00756DA5">
        <w:t>must also be used</w:t>
      </w:r>
      <w:r w:rsidRPr="00756DA5">
        <w:t xml:space="preserve"> to repair the fences installed previously. Indeed, they are regularly destroyed by unauthorised persons on railway premises in order to ‘take a shortcut’ across the tracks that separate a housing estate from a shopping centre, a campsite from a beach, etc.</w:t>
      </w:r>
    </w:p>
    <w:p w:rsidR="00A73B72" w:rsidRPr="00756DA5" w:rsidP="00E41E54">
      <w:pPr>
        <w:spacing w:after="0" w:line="280" w:lineRule="exact"/>
      </w:pPr>
      <w:r w:rsidRPr="00756DA5">
        <w:t xml:space="preserve">This issue also raises the question of the implementation and effectiveness of the penalties regime that is rarely applied but provided for in Article L2242-4 of the </w:t>
      </w:r>
      <w:r w:rsidRPr="00756DA5">
        <w:rPr>
          <w:i/>
        </w:rPr>
        <w:t>Code des transports</w:t>
      </w:r>
      <w:r w:rsidRPr="00756DA5">
        <w:t xml:space="preserve"> [French Transport Code] </w:t>
      </w:r>
      <w:r w:rsidRPr="00756DA5">
        <w:t>which</w:t>
      </w:r>
      <w:r w:rsidRPr="00756DA5">
        <w:t xml:space="preserve"> states that:</w:t>
      </w:r>
    </w:p>
    <w:p w:rsidR="00A73B72" w:rsidRPr="00756DA5" w:rsidP="00E41E54">
      <w:pPr>
        <w:spacing w:after="0" w:line="280" w:lineRule="exact"/>
        <w:rPr>
          <w:i/>
          <w:szCs w:val="20"/>
        </w:rPr>
      </w:pPr>
      <w:r w:rsidRPr="00756DA5">
        <w:rPr>
          <w:i/>
          <w:szCs w:val="20"/>
        </w:rPr>
        <w:t>The following conduct by any person shall be punishable by 6 month’s imprisonment and a fine of EUR 3 750:</w:t>
      </w:r>
    </w:p>
    <w:p w:rsidR="00A73B72" w:rsidRPr="00756DA5" w:rsidP="00E41E54">
      <w:pPr>
        <w:spacing w:after="0" w:line="280" w:lineRule="exact"/>
        <w:rPr>
          <w:i/>
          <w:szCs w:val="20"/>
        </w:rPr>
      </w:pPr>
      <w:r w:rsidRPr="00756DA5">
        <w:rPr>
          <w:i/>
          <w:szCs w:val="20"/>
        </w:rPr>
        <w:t>1 Modifying or moving without authorisation or defacing or interfering with the railway, embankments, fences, barriers, buildings and structures, production, transport and energy distribution facilities as well as apparatus and equipment of any kind used in operations; …</w:t>
      </w:r>
    </w:p>
    <w:p w:rsidR="00A73B72" w:rsidRPr="00756DA5" w:rsidP="00A73B72">
      <w:pPr>
        <w:spacing w:line="280" w:lineRule="exact"/>
      </w:pPr>
      <w:r w:rsidRPr="00756DA5">
        <w:br/>
        <w:t xml:space="preserve">Regarding equipment, signs </w:t>
      </w:r>
      <w:r w:rsidRPr="00756DA5">
        <w:t>are put up</w:t>
      </w:r>
      <w:r w:rsidRPr="00756DA5">
        <w:t xml:space="preserve"> to inform the public of the boundaries of the premises. These signs warn of both the dangers and the penalties regime.</w:t>
      </w:r>
    </w:p>
    <w:p w:rsidR="00A73B72" w:rsidRPr="00756DA5" w:rsidP="00A73B72">
      <w:pPr>
        <w:spacing w:line="280" w:lineRule="exact"/>
      </w:pPr>
      <w:r w:rsidRPr="00756DA5">
        <w:t>Finally, there are communication activities each year. They take the form of local activities with companies, schools, sports centres and shopping centres. They are also national through poster campaigns like the existing campaigns for the prevention of accidents at level crossings.</w:t>
      </w:r>
    </w:p>
    <w:p w:rsidR="00A73B72" w:rsidRPr="00756DA5" w:rsidP="00A73B72">
      <w:pPr>
        <w:spacing w:line="280" w:lineRule="exact"/>
        <w:rPr>
          <w:b/>
        </w:rPr>
      </w:pPr>
      <w:r w:rsidRPr="00756DA5">
        <w:rPr>
          <w:b/>
          <w:bCs/>
          <w:szCs w:val="20"/>
        </w:rPr>
        <w:t xml:space="preserve">■ </w:t>
      </w:r>
      <w:r w:rsidRPr="00756DA5">
        <w:rPr>
          <w:b/>
        </w:rPr>
        <w:t>Accidents at stations</w:t>
      </w:r>
    </w:p>
    <w:p w:rsidR="00A73B72" w:rsidRPr="00756DA5" w:rsidP="00A73B72">
      <w:pPr>
        <w:spacing w:line="280" w:lineRule="exact"/>
      </w:pPr>
      <w:r w:rsidRPr="00756DA5">
        <w:t xml:space="preserve">Among accidents at stations, a distinction </w:t>
      </w:r>
      <w:r w:rsidRPr="00756DA5">
        <w:t>is made</w:t>
      </w:r>
      <w:r w:rsidRPr="00756DA5">
        <w:t xml:space="preserve"> between accidents that do not take place on level track crossings and those that do take place on level track crossings.</w:t>
      </w:r>
    </w:p>
    <w:p w:rsidR="00A73B72" w:rsidRPr="00756DA5" w:rsidP="00A73B72">
      <w:pPr>
        <w:spacing w:line="280" w:lineRule="exact"/>
      </w:pPr>
      <w:r w:rsidRPr="00756DA5">
        <w:t>Accidents not on level track crossings account for approximately 75 % of accidents at stations. The two main causes of these accidents are deliberate acts (crossing of the tracks despite the existence of footbridges or underground passages, position in the high-risk area on the platform edge) or related to an abnormal state in the victims (drunkenness, loss of consciousness, etc.).</w:t>
      </w:r>
    </w:p>
    <w:p w:rsidR="00A73B72" w:rsidRPr="00756DA5" w:rsidP="00A73B72">
      <w:pPr>
        <w:spacing w:line="280" w:lineRule="exact"/>
      </w:pPr>
      <w:r w:rsidRPr="00756DA5">
        <w:t xml:space="preserve">Accidents on level track crossings account for approximately 25 % of accidents at stations. The majority are due to carelessness on the part of the victims. In the other cases, it is a question of the misunderstanding of the light signals equipping the level track crossing or of deliberate decisions relating </w:t>
      </w:r>
      <w:r w:rsidRPr="00756DA5">
        <w:t>to a lack of awareness of the danger. The level track crossing on which accidents occur are equipped with illuminated pictograms in 90 % of cases.</w:t>
      </w:r>
    </w:p>
    <w:p w:rsidR="00A73B72" w:rsidRPr="00756DA5" w:rsidP="00A73B72">
      <w:pPr>
        <w:spacing w:line="280" w:lineRule="exact"/>
      </w:pPr>
      <w:r w:rsidRPr="00756DA5">
        <w:t xml:space="preserve">In addition to communication campaigns, studies </w:t>
      </w:r>
      <w:r w:rsidRPr="00756DA5">
        <w:t>are being conducted</w:t>
      </w:r>
      <w:r w:rsidRPr="00756DA5">
        <w:t xml:space="preserve"> to set up audio safety announcements in stations that differ from the other customer announcements, in order to attract attention.</w:t>
      </w:r>
    </w:p>
    <w:p w:rsidR="00A73B72" w:rsidRPr="00756DA5" w:rsidP="00E41E54">
      <w:pPr>
        <w:spacing w:after="0" w:line="280" w:lineRule="exact"/>
      </w:pPr>
      <w:r w:rsidRPr="00756DA5">
        <w:t>The measures taken by SNCF Réseau with regard to equipment primarily concern:</w:t>
      </w:r>
    </w:p>
    <w:p w:rsidR="00A73B72" w:rsidRPr="00756DA5" w:rsidP="00E41E54">
      <w:pPr>
        <w:pStyle w:val="ListParagraph"/>
        <w:numPr>
          <w:ilvl w:val="0"/>
          <w:numId w:val="25"/>
        </w:numPr>
        <w:spacing w:after="0" w:line="280" w:lineRule="exact"/>
      </w:pPr>
      <w:r w:rsidRPr="00756DA5">
        <w:t xml:space="preserve">The removal of 4 level track crossings in 2014, 3 in 2015, 5 in 2016 and 11 in 2017. The total number of level track crossings on the RFN is around 900, and this is reducing each year by the number of level track crossings removed because SNCF Réseau has a policy </w:t>
      </w:r>
      <w:r w:rsidRPr="00756DA5">
        <w:t>of no longer building</w:t>
      </w:r>
      <w:r w:rsidRPr="00756DA5">
        <w:t xml:space="preserve"> new ones.</w:t>
      </w:r>
    </w:p>
    <w:p w:rsidR="00A73B72" w:rsidRPr="00756DA5" w:rsidP="00E41E54">
      <w:pPr>
        <w:pStyle w:val="ListParagraph"/>
        <w:numPr>
          <w:ilvl w:val="0"/>
          <w:numId w:val="25"/>
        </w:numPr>
        <w:spacing w:after="0" w:line="280" w:lineRule="exact"/>
      </w:pPr>
      <w:r w:rsidRPr="00756DA5">
        <w:t>The testing of level track crossings equipped with a public address system and with a chicane path to force users to look both ways on the tracks (70 % of accidents with trains travelling in the opposite direction).</w:t>
      </w:r>
    </w:p>
    <w:p w:rsidR="00A73B72" w:rsidRPr="00756DA5" w:rsidP="00031378">
      <w:pPr>
        <w:pStyle w:val="ListParagraph"/>
        <w:numPr>
          <w:ilvl w:val="0"/>
          <w:numId w:val="25"/>
        </w:numPr>
        <w:spacing w:after="0" w:line="280" w:lineRule="exact"/>
      </w:pPr>
      <w:r w:rsidRPr="00756DA5">
        <w:t>The enhancement of the signs in stations and a study to improve those signs.</w:t>
      </w:r>
    </w:p>
    <w:p w:rsidR="00031378" w:rsidRPr="00756DA5" w:rsidP="000D6475">
      <w:pPr>
        <w:pStyle w:val="ListParagraph"/>
        <w:spacing w:after="0" w:line="280" w:lineRule="exact"/>
      </w:pPr>
    </w:p>
    <w:p w:rsidR="00A73B72" w:rsidRPr="00756DA5" w:rsidP="00A73B72">
      <w:pPr>
        <w:spacing w:line="280" w:lineRule="exact"/>
      </w:pPr>
      <w:r w:rsidRPr="00756DA5">
        <w:t xml:space="preserve">Regarding budget, several million euros </w:t>
      </w:r>
      <w:r w:rsidRPr="00756DA5">
        <w:t>are allocated</w:t>
      </w:r>
      <w:r w:rsidRPr="00756DA5">
        <w:t xml:space="preserve"> each year to the management of the risk of unauthorised persons being struck on the open track (expenditure of approximately EUR 5 million for 2017). Concerning investments for risk in stations (building of underground passages/footbridges), the expenditure was approximately EUR 10 million for 2017.</w:t>
      </w:r>
    </w:p>
    <w:p w:rsidR="00635816" w:rsidRPr="00756DA5" w:rsidP="00A73B72">
      <w:pPr>
        <w:spacing w:line="280" w:lineRule="exact"/>
      </w:pPr>
      <w:r w:rsidRPr="00756DA5">
        <w:t xml:space="preserve">Finally, it </w:t>
      </w:r>
      <w:r w:rsidRPr="00756DA5">
        <w:t>should be noted</w:t>
      </w:r>
      <w:r w:rsidRPr="00756DA5">
        <w:t xml:space="preserve"> that the BEA-TT has launched a study on these accidents in the ‘trespassers’ category, which will contribute to supplementing the action plans undertaken.</w:t>
      </w:r>
    </w:p>
    <w:p w:rsidR="00C04344" w:rsidRPr="00756DA5" w:rsidP="00A73B72">
      <w:pPr>
        <w:spacing w:line="280" w:lineRule="exact"/>
      </w:pPr>
    </w:p>
    <w:p w:rsidR="0086189E" w:rsidRPr="00756DA5" w:rsidP="0086189E">
      <w:pPr>
        <w:pStyle w:val="Heading2"/>
        <w:numPr>
          <w:ilvl w:val="1"/>
          <w:numId w:val="12"/>
        </w:numPr>
        <w:rPr>
          <w:rFonts w:cs="Arial"/>
        </w:rPr>
      </w:pPr>
      <w:bookmarkStart w:id="64" w:name="_Toc533153875"/>
      <w:r w:rsidRPr="00756DA5">
        <w:t>The prevention of accidents at level crossings</w:t>
      </w:r>
      <w:bookmarkEnd w:id="64"/>
    </w:p>
    <w:p w:rsidR="00663073" w:rsidRPr="00756DA5" w:rsidP="00663073">
      <w:pPr>
        <w:spacing w:after="0" w:line="280" w:lineRule="exact"/>
        <w:rPr>
          <w:rFonts w:cs="Arial"/>
          <w:szCs w:val="20"/>
        </w:rPr>
      </w:pPr>
      <w:bookmarkStart w:id="65" w:name="_Hlk517275108"/>
      <w:r w:rsidRPr="00756DA5">
        <w:br/>
        <w:t xml:space="preserve">In 2017, the number of people killed in a railway accident in the ‘LC users’ category increased by 35 % compared to 2016 and the downward trend as calculated over 10 years is reversing, becoming fairly stable (cf. Section 2.2). The end of the year, in particular, </w:t>
      </w:r>
      <w:r w:rsidRPr="00756DA5">
        <w:t>was marked</w:t>
      </w:r>
      <w:r w:rsidRPr="00756DA5">
        <w:t xml:space="preserve"> by the collision between a TER regional express train and a school coach on the LC No 25 of the Perpignan-Villefranche-de-Conflent line in Millas (Pyrénées Orientales) on 14 December 2017 in which six secondary school pupils died.</w:t>
      </w:r>
    </w:p>
    <w:p w:rsidR="001C32DC" w:rsidRPr="00756DA5" w:rsidP="00663073">
      <w:pPr>
        <w:spacing w:after="0" w:line="280" w:lineRule="exact"/>
        <w:rPr>
          <w:rFonts w:cs="Arial"/>
          <w:szCs w:val="20"/>
        </w:rPr>
      </w:pPr>
    </w:p>
    <w:p w:rsidR="00663073" w:rsidRPr="00756DA5" w:rsidP="00663073">
      <w:pPr>
        <w:spacing w:after="0" w:line="280" w:lineRule="exact"/>
        <w:rPr>
          <w:rFonts w:cs="Arial"/>
          <w:szCs w:val="20"/>
        </w:rPr>
      </w:pPr>
      <w:r w:rsidRPr="00756DA5">
        <w:t xml:space="preserve">The ‘LC users’ category is the largest category of people killed in a railway accident (44 %). Of the 42 people killed in this category in 2017, just under half (20) were pedestrians, cyclists or motorcyclists. This finding </w:t>
      </w:r>
      <w:r w:rsidRPr="00756DA5">
        <w:t>is being closely examined</w:t>
      </w:r>
      <w:r w:rsidRPr="00756DA5">
        <w:t xml:space="preserve"> in order to monitor any upsurge in this type of accident scenario.</w:t>
      </w:r>
    </w:p>
    <w:p w:rsidR="001C32DC" w:rsidRPr="00756DA5" w:rsidP="00663073">
      <w:pPr>
        <w:spacing w:after="0" w:line="280" w:lineRule="exact"/>
        <w:rPr>
          <w:rFonts w:cs="Arial"/>
          <w:szCs w:val="20"/>
        </w:rPr>
      </w:pPr>
    </w:p>
    <w:p w:rsidR="00663073" w:rsidRPr="00756DA5" w:rsidP="00663073">
      <w:pPr>
        <w:spacing w:after="0" w:line="280" w:lineRule="exact"/>
        <w:rPr>
          <w:rFonts w:cs="Arial"/>
          <w:szCs w:val="20"/>
        </w:rPr>
      </w:pPr>
      <w:r w:rsidRPr="00756DA5">
        <w:t>Although the number of people killed rose significantly, the total number of collisions at LCs, including at road crossings, showed a marked decline from 158 collisions in 2016 to 123 collisions in 2017. Accidents at level crossings in 2017 were less numerous but were on average more serious from the perspective of human consequences.</w:t>
      </w:r>
    </w:p>
    <w:p w:rsidR="00663073" w:rsidRPr="00756DA5" w:rsidP="00663073">
      <w:pPr>
        <w:spacing w:after="0" w:line="280" w:lineRule="exact"/>
        <w:rPr>
          <w:rFonts w:cs="Arial"/>
          <w:szCs w:val="20"/>
        </w:rPr>
      </w:pPr>
      <w:bookmarkEnd w:id="65"/>
    </w:p>
    <w:p w:rsidR="00663073" w:rsidRPr="00756DA5" w:rsidP="00663073">
      <w:pPr>
        <w:spacing w:after="0" w:line="280" w:lineRule="exact"/>
        <w:rPr>
          <w:rFonts w:cs="Arial"/>
          <w:szCs w:val="20"/>
        </w:rPr>
      </w:pPr>
      <w:r w:rsidRPr="00756DA5">
        <w:t xml:space="preserve">By bringing together in the same meeting, on 16 February 2018, the </w:t>
      </w:r>
      <w:r w:rsidRPr="00756DA5">
        <w:rPr>
          <w:i/>
        </w:rPr>
        <w:t>Comité ministériel de suivi de la sécurité ferroviaire</w:t>
      </w:r>
      <w:r w:rsidRPr="00756DA5">
        <w:t xml:space="preserve"> [Ministerial Monitoring Committee on Railway Safety] and the </w:t>
      </w:r>
      <w:r w:rsidRPr="00756DA5">
        <w:rPr>
          <w:i/>
        </w:rPr>
        <w:t>Comité ministériel de la sécurité aux passages à niveau</w:t>
      </w:r>
      <w:r w:rsidRPr="00756DA5">
        <w:t xml:space="preserve"> [Ministerial Committee on Safety at Level Crossings], Ms</w:t>
      </w:r>
      <w:r w:rsidRPr="00756DA5" w:rsidR="00F65E1C">
        <w:t> </w:t>
      </w:r>
      <w:r w:rsidRPr="00756DA5">
        <w:t>Elisabeth</w:t>
      </w:r>
      <w:r w:rsidRPr="00756DA5" w:rsidR="00F65E1C">
        <w:t> </w:t>
      </w:r>
      <w:r w:rsidRPr="00756DA5">
        <w:t>Borne, Minister for Transport, wished to deal with railway safety-related problems in a coordinated manner and in that way involve all of the relevant actors in this major issue.</w:t>
      </w:r>
      <w:r w:rsidRPr="00756DA5">
        <w:t xml:space="preserve"> During that </w:t>
      </w:r>
      <w:r w:rsidRPr="00756DA5">
        <w:t xml:space="preserve">meeting, several priorities </w:t>
      </w:r>
      <w:r w:rsidRPr="00756DA5">
        <w:t>were expressed</w:t>
      </w:r>
      <w:r w:rsidRPr="00756DA5">
        <w:t xml:space="preserve"> by the Minister for Transport in the context of the pursuit of LC safety policies, including in particular:</w:t>
      </w:r>
    </w:p>
    <w:p w:rsidR="00663073" w:rsidRPr="00756DA5" w:rsidP="00054DA8">
      <w:pPr>
        <w:pStyle w:val="ListParagraph"/>
        <w:numPr>
          <w:ilvl w:val="0"/>
          <w:numId w:val="26"/>
        </w:numPr>
        <w:spacing w:after="0" w:line="280" w:lineRule="exact"/>
        <w:rPr>
          <w:rFonts w:cs="Arial"/>
          <w:szCs w:val="20"/>
        </w:rPr>
      </w:pPr>
      <w:r w:rsidRPr="00756DA5">
        <w:t>The need to finalise the safety diagnostics for PN as quickly as possible (93 % completed at the end of 2017) to identify LCs with configurations that increase the risk of accidents and which should therefore be subject to appropriate measures.</w:t>
      </w:r>
    </w:p>
    <w:p w:rsidR="00663073" w:rsidRPr="00756DA5" w:rsidP="00054DA8">
      <w:pPr>
        <w:pStyle w:val="ListParagraph"/>
        <w:numPr>
          <w:ilvl w:val="0"/>
          <w:numId w:val="26"/>
        </w:numPr>
        <w:spacing w:after="0" w:line="280" w:lineRule="exact"/>
        <w:rPr>
          <w:rFonts w:cs="Arial"/>
          <w:szCs w:val="20"/>
        </w:rPr>
      </w:pPr>
      <w:r w:rsidRPr="00756DA5">
        <w:t xml:space="preserve">The continuation of the removal of the LCs included in the national programme (five level crossings removed in 2017), which in total numbered 158 in early 2018. These removals represented an investment of EUR 40 million in 2017. Where there is no feasible solution for removal, these LCs </w:t>
      </w:r>
      <w:r w:rsidRPr="00756DA5">
        <w:t>are upgraded</w:t>
      </w:r>
      <w:r w:rsidRPr="00756DA5">
        <w:t xml:space="preserve">. In 2017, EUR 15 million </w:t>
      </w:r>
      <w:r w:rsidRPr="00756DA5">
        <w:t>were invested</w:t>
      </w:r>
      <w:r w:rsidRPr="00756DA5">
        <w:t xml:space="preserve"> in these upgrades.</w:t>
      </w:r>
    </w:p>
    <w:p w:rsidR="00663073" w:rsidRPr="00756DA5" w:rsidP="00054DA8">
      <w:pPr>
        <w:pStyle w:val="ListParagraph"/>
        <w:numPr>
          <w:ilvl w:val="0"/>
          <w:numId w:val="26"/>
        </w:numPr>
        <w:spacing w:after="0" w:line="280" w:lineRule="exact"/>
        <w:rPr>
          <w:rFonts w:cs="Arial"/>
          <w:szCs w:val="20"/>
        </w:rPr>
      </w:pPr>
      <w:r w:rsidRPr="00756DA5">
        <w:t>The encouragement of the railway sector to invest in research and innovation to improve the safety of LCs in the context of collaborations between railway actors (Railenium, EPSF, SNCF Réseau, IFFSTAR, etc.) illustrated, for example, by the national MoRiPAN project (</w:t>
      </w:r>
      <w:r w:rsidRPr="00756DA5">
        <w:rPr>
          <w:i/>
        </w:rPr>
        <w:t>Modèle de Risque au Passage A Niveau</w:t>
      </w:r>
      <w:r w:rsidRPr="00756DA5">
        <w:t xml:space="preserve"> [Risk Model for Level Crossings]).</w:t>
      </w:r>
    </w:p>
    <w:p w:rsidR="00663073" w:rsidRPr="00756DA5" w:rsidP="00054DA8">
      <w:pPr>
        <w:pStyle w:val="ListParagraph"/>
        <w:numPr>
          <w:ilvl w:val="0"/>
          <w:numId w:val="26"/>
        </w:numPr>
        <w:spacing w:after="0" w:line="280" w:lineRule="exact"/>
        <w:rPr>
          <w:rFonts w:cs="Arial"/>
          <w:szCs w:val="20"/>
        </w:rPr>
      </w:pPr>
      <w:r w:rsidRPr="00756DA5">
        <w:t>The improvement of LC awareness in the mandatory training provided to road transport professionals including for school transport companies.</w:t>
      </w:r>
    </w:p>
    <w:p w:rsidR="00663073" w:rsidRPr="00756DA5" w:rsidP="00054DA8">
      <w:pPr>
        <w:pStyle w:val="ListParagraph"/>
        <w:numPr>
          <w:ilvl w:val="0"/>
          <w:numId w:val="26"/>
        </w:numPr>
        <w:spacing w:after="0" w:line="280" w:lineRule="exact"/>
        <w:rPr>
          <w:rFonts w:cs="Arial"/>
          <w:szCs w:val="20"/>
        </w:rPr>
      </w:pPr>
      <w:r w:rsidRPr="00756DA5">
        <w:t xml:space="preserve">The improvement of awareness of the hazardous nature of LCs and of the existing signalling devices when the </w:t>
      </w:r>
      <w:r w:rsidRPr="00756DA5">
        <w:t>highway code</w:t>
      </w:r>
      <w:r w:rsidRPr="00756DA5">
        <w:t xml:space="preserve"> is taught.</w:t>
      </w:r>
    </w:p>
    <w:p w:rsidR="00663073" w:rsidRPr="00756DA5" w:rsidP="00054DA8">
      <w:pPr>
        <w:pStyle w:val="ListParagraph"/>
        <w:numPr>
          <w:ilvl w:val="0"/>
          <w:numId w:val="26"/>
        </w:numPr>
        <w:spacing w:after="0" w:line="280" w:lineRule="exact"/>
        <w:rPr>
          <w:rFonts w:cs="Arial"/>
          <w:szCs w:val="20"/>
        </w:rPr>
      </w:pPr>
      <w:r w:rsidRPr="00756DA5">
        <w:t>The continuation of the deployment of crossing radar at LCs (41 LCs equipped with 78 radar devices) following the positive outcome of the reduction of accidents at the LCs already equipped.</w:t>
      </w:r>
    </w:p>
    <w:p w:rsidR="00663073" w:rsidRPr="00756DA5" w:rsidP="00054DA8">
      <w:pPr>
        <w:pStyle w:val="ListParagraph"/>
        <w:numPr>
          <w:ilvl w:val="0"/>
          <w:numId w:val="26"/>
        </w:numPr>
        <w:spacing w:after="0" w:line="280" w:lineRule="exact"/>
        <w:rPr>
          <w:rFonts w:cs="Arial"/>
          <w:szCs w:val="20"/>
        </w:rPr>
      </w:pPr>
      <w:r w:rsidRPr="00756DA5">
        <w:t>The consideration of the routes used by coaches and school buses in particular in the issue of LC safety.</w:t>
      </w:r>
    </w:p>
    <w:p w:rsidR="00663073" w:rsidRPr="00756DA5" w:rsidP="00663073">
      <w:pPr>
        <w:spacing w:after="0" w:line="280" w:lineRule="exact"/>
        <w:rPr>
          <w:rFonts w:cs="Arial"/>
          <w:szCs w:val="20"/>
        </w:rPr>
      </w:pPr>
    </w:p>
    <w:p w:rsidR="00663073" w:rsidRPr="00756DA5" w:rsidP="00E41E54">
      <w:pPr>
        <w:autoSpaceDE w:val="0"/>
        <w:spacing w:after="0" w:line="280" w:lineRule="exact"/>
        <w:rPr>
          <w:rFonts w:cs="Arial"/>
          <w:szCs w:val="20"/>
        </w:rPr>
      </w:pPr>
      <w:r w:rsidRPr="00756DA5">
        <w:t xml:space="preserve">At the national level, several other measure </w:t>
      </w:r>
      <w:r w:rsidRPr="00756DA5">
        <w:t>were taken or continued in 2017, including in particular</w:t>
      </w:r>
      <w:r w:rsidRPr="00756DA5">
        <w:t>:</w:t>
      </w:r>
    </w:p>
    <w:p w:rsidR="00663073" w:rsidRPr="00756DA5">
      <w:pPr>
        <w:pStyle w:val="ListParagraph"/>
        <w:numPr>
          <w:ilvl w:val="0"/>
          <w:numId w:val="26"/>
        </w:numPr>
        <w:autoSpaceDE w:val="0"/>
        <w:spacing w:after="0" w:line="280" w:lineRule="exact"/>
        <w:rPr>
          <w:rFonts w:cs="Arial"/>
          <w:szCs w:val="20"/>
        </w:rPr>
      </w:pPr>
      <w:bookmarkStart w:id="66" w:name="_Hlk519685403"/>
      <w:r w:rsidRPr="00756DA5">
        <w:t xml:space="preserve">The publication of the Order of 19 April 2017 amending the Order of 18 March 1991 on the classification, regulation and equipment of LCs. </w:t>
      </w:r>
      <w:r w:rsidRPr="00756DA5">
        <w:t>That amendment, incorporating the recommendations of the BEA-TT and the decisions of the earlier Ministerial Committees on Safety at Level Crossings, in particular specified the cases for equipment of certain LCs with four half-barriers, established a requirement to take into account the time taken by heavy road vehicles to cross LCs and provided for the putting up, for certain level crossings, of instruction notices indicating the presence of alert telephones in case of emergency, or otherwise, signs indicating an alert number to enable the user to warn the railway infrastructure manager of any abnormal situations on LCs.</w:t>
      </w:r>
      <w:r w:rsidRPr="00756DA5">
        <w:t xml:space="preserve"> The provisions entered into force on 1 July 2017.</w:t>
      </w:r>
    </w:p>
    <w:p w:rsidR="00663073" w:rsidRPr="00756DA5">
      <w:pPr>
        <w:pStyle w:val="ListParagraph"/>
        <w:numPr>
          <w:ilvl w:val="0"/>
          <w:numId w:val="26"/>
        </w:numPr>
        <w:autoSpaceDE w:val="0"/>
        <w:spacing w:after="0" w:line="280" w:lineRule="exact"/>
        <w:rPr>
          <w:rFonts w:cs="Arial"/>
          <w:szCs w:val="20"/>
        </w:rPr>
      </w:pPr>
      <w:bookmarkEnd w:id="66"/>
      <w:r w:rsidRPr="00756DA5">
        <w:t xml:space="preserve">The equipment of LCs with traffic lights with diode modules to improve visibility: 2 161 level crossings have already been equipped and an additional 1 330 LCs, of </w:t>
      </w:r>
      <w:r w:rsidRPr="00756DA5">
        <w:t>a total of over</w:t>
      </w:r>
      <w:r w:rsidRPr="00756DA5">
        <w:t xml:space="preserve"> 30 000, will be before 2022.</w:t>
      </w:r>
    </w:p>
    <w:p w:rsidR="00663073" w:rsidRPr="00756DA5">
      <w:pPr>
        <w:pStyle w:val="ListParagraph"/>
        <w:numPr>
          <w:ilvl w:val="0"/>
          <w:numId w:val="26"/>
        </w:numPr>
        <w:autoSpaceDE w:val="0"/>
        <w:spacing w:after="0" w:line="280" w:lineRule="exact"/>
        <w:rPr>
          <w:rFonts w:cs="Arial"/>
          <w:szCs w:val="20"/>
        </w:rPr>
      </w:pPr>
      <w:r w:rsidRPr="00756DA5">
        <w:t xml:space="preserve">The introduction of reflective ‘breakable barrier’ stickers on the exit half-barriers of LCs equipped with four half-barriers (SAL 4). The purpose of these stickers is to encourage a road user who </w:t>
      </w:r>
      <w:r w:rsidRPr="00756DA5">
        <w:t>is stopped</w:t>
      </w:r>
      <w:r w:rsidRPr="00756DA5">
        <w:t xml:space="preserve"> in front of an exit half-barrier to get off the LC without hesitation.</w:t>
      </w:r>
    </w:p>
    <w:p w:rsidR="00663073" w:rsidRPr="00756DA5">
      <w:pPr>
        <w:pStyle w:val="ListParagraph"/>
        <w:numPr>
          <w:ilvl w:val="0"/>
          <w:numId w:val="26"/>
        </w:numPr>
        <w:autoSpaceDE w:val="0"/>
        <w:spacing w:after="0" w:line="280" w:lineRule="exact"/>
        <w:rPr>
          <w:rFonts w:cs="Arial"/>
          <w:szCs w:val="20"/>
        </w:rPr>
      </w:pPr>
      <w:r w:rsidRPr="00756DA5">
        <w:t xml:space="preserve">The conversion of 28 LCs with Saint Andrew’s cross signs to LCs equipped with light signals and two half-barriers, six of which </w:t>
      </w:r>
      <w:r w:rsidRPr="00756DA5">
        <w:t>were converted</w:t>
      </w:r>
      <w:r w:rsidRPr="00756DA5">
        <w:t xml:space="preserve"> in 2017 as part of the action plan initiated in 2014.</w:t>
      </w:r>
    </w:p>
    <w:p w:rsidR="00663073" w:rsidRPr="00756DA5">
      <w:pPr>
        <w:pStyle w:val="ListParagraph"/>
        <w:numPr>
          <w:ilvl w:val="0"/>
          <w:numId w:val="26"/>
        </w:numPr>
        <w:autoSpaceDE w:val="0"/>
        <w:spacing w:after="0" w:line="280" w:lineRule="exact"/>
        <w:rPr>
          <w:rFonts w:cs="Arial"/>
          <w:szCs w:val="20"/>
        </w:rPr>
      </w:pPr>
      <w:r w:rsidRPr="00756DA5">
        <w:t>The updating of GPS road navigators in order for them to display LCs with profiles that are difficult to cross. A collective effort for the qualification and collation of data including the precise GPS location of each LC is ongoing.</w:t>
      </w:r>
    </w:p>
    <w:p w:rsidR="00663073" w:rsidRPr="00756DA5" w:rsidP="00E41E54">
      <w:pPr>
        <w:pStyle w:val="ListParagraph"/>
        <w:numPr>
          <w:ilvl w:val="0"/>
          <w:numId w:val="26"/>
        </w:numPr>
        <w:autoSpaceDE w:val="0"/>
        <w:spacing w:after="0" w:line="280" w:lineRule="exact"/>
        <w:rPr>
          <w:rFonts w:cs="Arial"/>
          <w:color w:val="000000"/>
          <w:szCs w:val="20"/>
        </w:rPr>
      </w:pPr>
      <w:r w:rsidRPr="00756DA5">
        <w:t>The making available by the Ministry of Transport of the ‘Cartelie’ application for the identification of LCs with their key characteristics and the indication of those with a difficult profile.</w:t>
      </w:r>
    </w:p>
    <w:p w:rsidR="00663073" w:rsidRPr="00756DA5" w:rsidP="00680624">
      <w:pPr>
        <w:autoSpaceDE w:val="0"/>
        <w:spacing w:after="0" w:line="280" w:lineRule="exact"/>
        <w:rPr>
          <w:rFonts w:cs="Arial"/>
          <w:szCs w:val="20"/>
        </w:rPr>
      </w:pPr>
    </w:p>
    <w:p w:rsidR="001C32DC" w:rsidRPr="00756DA5" w:rsidP="00680624">
      <w:pPr>
        <w:autoSpaceDE w:val="0"/>
        <w:spacing w:after="0" w:line="280" w:lineRule="exact"/>
        <w:rPr>
          <w:rFonts w:cs="Arial"/>
          <w:szCs w:val="20"/>
        </w:rPr>
      </w:pPr>
    </w:p>
    <w:p w:rsidR="00663073" w:rsidRPr="00756DA5" w:rsidP="00E41E54">
      <w:pPr>
        <w:autoSpaceDE w:val="0"/>
        <w:spacing w:after="0" w:line="280" w:lineRule="exact"/>
        <w:rPr>
          <w:rFonts w:cs="Arial"/>
          <w:szCs w:val="20"/>
        </w:rPr>
      </w:pPr>
      <w:r w:rsidRPr="00756DA5">
        <w:t>Testing in areas that may improve the safety of LCs is also ongoing, including in particular:</w:t>
      </w:r>
    </w:p>
    <w:p w:rsidR="00663073" w:rsidRPr="00756DA5">
      <w:pPr>
        <w:pStyle w:val="ListParagraph"/>
        <w:numPr>
          <w:ilvl w:val="0"/>
          <w:numId w:val="26"/>
        </w:numPr>
        <w:autoSpaceDE w:val="0"/>
        <w:spacing w:after="0" w:line="280" w:lineRule="exact"/>
        <w:rPr>
          <w:rFonts w:cs="Arial"/>
          <w:szCs w:val="20"/>
        </w:rPr>
      </w:pPr>
      <w:r w:rsidRPr="00756DA5">
        <w:t xml:space="preserve">The testing of a new quantitative analysis method to identify the LCs to </w:t>
      </w:r>
      <w:r w:rsidRPr="00756DA5">
        <w:t>be placed</w:t>
      </w:r>
      <w:r w:rsidRPr="00756DA5">
        <w:t xml:space="preserve"> on the list of LCs included in the safety programme, replacing the ‘expert opinion’ criterion used previously. This method </w:t>
      </w:r>
      <w:r w:rsidRPr="00756DA5">
        <w:t>will be presented</w:t>
      </w:r>
      <w:r w:rsidRPr="00756DA5">
        <w:t xml:space="preserve"> in the form of a guide applicable from 2018.</w:t>
      </w:r>
    </w:p>
    <w:p w:rsidR="00663073" w:rsidRPr="00756DA5" w:rsidP="00054DA8">
      <w:pPr>
        <w:pStyle w:val="ListParagraph"/>
        <w:numPr>
          <w:ilvl w:val="0"/>
          <w:numId w:val="26"/>
        </w:numPr>
        <w:autoSpaceDE w:val="0"/>
        <w:spacing w:after="0" w:line="280" w:lineRule="exact"/>
        <w:rPr>
          <w:rFonts w:cs="Arial"/>
          <w:szCs w:val="20"/>
        </w:rPr>
      </w:pPr>
      <w:r w:rsidRPr="00756DA5">
        <w:t xml:space="preserve">The testing of anti-trespassing slabs and skirts under half-barriers to dissuade pedestrians and cyclists from crossing a closed LC. Following a positive outcome of testing, this solution </w:t>
      </w:r>
      <w:r w:rsidRPr="00756DA5">
        <w:t>will be deployed</w:t>
      </w:r>
      <w:r w:rsidRPr="00756DA5">
        <w:t xml:space="preserve"> according to the timeframes established at the local level.</w:t>
      </w:r>
    </w:p>
    <w:p w:rsidR="00663073" w:rsidRPr="00756DA5" w:rsidP="00054DA8">
      <w:pPr>
        <w:pStyle w:val="ListParagraph"/>
        <w:numPr>
          <w:ilvl w:val="0"/>
          <w:numId w:val="26"/>
        </w:numPr>
        <w:autoSpaceDE w:val="0"/>
        <w:spacing w:after="0" w:line="280" w:lineRule="exact"/>
        <w:rPr>
          <w:rFonts w:cs="Arial"/>
          <w:szCs w:val="20"/>
        </w:rPr>
      </w:pPr>
      <w:r w:rsidRPr="00756DA5">
        <w:t>The testing of the equipment of half-barriers with LED lights for better visibility at night.</w:t>
      </w:r>
    </w:p>
    <w:p w:rsidR="00663073" w:rsidRPr="00756DA5" w:rsidP="00054DA8">
      <w:pPr>
        <w:pStyle w:val="ListParagraph"/>
        <w:numPr>
          <w:ilvl w:val="0"/>
          <w:numId w:val="26"/>
        </w:numPr>
        <w:autoSpaceDE w:val="0"/>
        <w:spacing w:after="0" w:line="280" w:lineRule="exact"/>
        <w:rPr>
          <w:rFonts w:cs="Arial"/>
          <w:szCs w:val="20"/>
        </w:rPr>
      </w:pPr>
      <w:r w:rsidRPr="00756DA5">
        <w:t>The testing of obstacle detectors to warn the train driver of the presence of a vehicle stuck on the deck of the LC.</w:t>
      </w:r>
    </w:p>
    <w:p w:rsidR="00663073" w:rsidRPr="00756DA5" w:rsidP="00663073">
      <w:pPr>
        <w:autoSpaceDE w:val="0"/>
        <w:spacing w:after="0" w:line="280" w:lineRule="exact"/>
        <w:rPr>
          <w:rFonts w:cs="Arial"/>
          <w:szCs w:val="20"/>
        </w:rPr>
      </w:pPr>
    </w:p>
    <w:p w:rsidR="00EB4B9A" w:rsidRPr="00756DA5" w:rsidP="00785A0B">
      <w:pPr>
        <w:autoSpaceDE w:val="0"/>
        <w:spacing w:after="0" w:line="280" w:lineRule="exact"/>
        <w:rPr>
          <w:rFonts w:cs="Arial"/>
          <w:szCs w:val="20"/>
        </w:rPr>
      </w:pPr>
      <w:r w:rsidRPr="00756DA5">
        <w:t xml:space="preserve">All of these measures to prevent accidents at level crossings are essential in the light of the significance of these accidents in the overall level of safety, in particular from the perspective of human consequences. </w:t>
      </w:r>
      <w:r w:rsidRPr="00756DA5">
        <w:t>While the number of actions undertaken is indicative of the level of involvement of all of the relevant actors (from the road or railway sector), efforts should be intensified to accelerate the implementation of these measures, while identifying those that reduce risk the most in order to deploy them as a priority, in accordance with a programme that also considers the criticality of each level crossing.</w:t>
      </w:r>
    </w:p>
    <w:p w:rsidR="00C04344" w:rsidRPr="00756DA5" w:rsidP="00785A0B">
      <w:pPr>
        <w:autoSpaceDE w:val="0"/>
        <w:spacing w:after="0" w:line="280" w:lineRule="exact"/>
        <w:rPr>
          <w:rFonts w:cs="Arial"/>
          <w:szCs w:val="20"/>
        </w:rPr>
      </w:pPr>
    </w:p>
    <w:p w:rsidR="00256CBC" w:rsidRPr="00756DA5" w:rsidP="002C1BD6">
      <w:pPr>
        <w:pStyle w:val="Heading2"/>
        <w:numPr>
          <w:ilvl w:val="1"/>
          <w:numId w:val="12"/>
        </w:numPr>
        <w:spacing w:after="200"/>
        <w:rPr>
          <w:rFonts w:cs="Arial"/>
        </w:rPr>
      </w:pPr>
      <w:bookmarkStart w:id="67" w:name="_Hlk482880312"/>
      <w:bookmarkStart w:id="68" w:name="_Toc533153876"/>
      <w:bookmarkEnd w:id="67"/>
      <w:r w:rsidRPr="00756DA5">
        <w:t>The management of de-shunting risk</w:t>
      </w:r>
      <w:bookmarkEnd w:id="68"/>
    </w:p>
    <w:p w:rsidR="006E6BD0" w:rsidRPr="00756DA5" w:rsidP="000F19E0">
      <w:pPr>
        <w:autoSpaceDE w:val="0"/>
        <w:spacing w:after="0" w:line="280" w:lineRule="exact"/>
        <w:rPr>
          <w:rFonts w:cs="Arial"/>
          <w:szCs w:val="20"/>
        </w:rPr>
      </w:pPr>
      <w:bookmarkStart w:id="69" w:name="_Hlk494880506"/>
      <w:r w:rsidRPr="00756DA5">
        <w:t>The previous Annual Report on Railway Traffic Safety published by the EPSF already presented the steps taken with regard to the issue of de-shunting. The signalling systems implemented are based on the ‘shunting’ function to avoid the feared events of collision (sideways-on, head-on, rear-end), members of the public being struck at level crossings and level track crossings, and derailment at a switch. It consists of detecting rolling stock on a length of track so that the trains can be spaced or stopped ahead of specific points (stop signals).</w:t>
      </w:r>
    </w:p>
    <w:p w:rsidR="006E6BD0" w:rsidRPr="00756DA5" w:rsidP="000F19E0">
      <w:pPr>
        <w:autoSpaceDE w:val="0"/>
        <w:spacing w:after="0" w:line="280" w:lineRule="exact"/>
        <w:rPr>
          <w:rFonts w:cs="Arial"/>
          <w:szCs w:val="20"/>
        </w:rPr>
      </w:pPr>
    </w:p>
    <w:p w:rsidR="006E6BD0" w:rsidRPr="00756DA5" w:rsidP="00D50544">
      <w:pPr>
        <w:spacing w:after="0" w:line="280" w:lineRule="exact"/>
        <w:rPr>
          <w:rFonts w:cs="Arial"/>
          <w:szCs w:val="20"/>
        </w:rPr>
      </w:pPr>
      <w:r w:rsidRPr="00756DA5">
        <w:t xml:space="preserve">Track circuits are used on each section of track, i.e. electrical circuits formed by a transmitter, the rails </w:t>
      </w:r>
      <w:r w:rsidRPr="00756DA5">
        <w:t>which</w:t>
      </w:r>
      <w:r w:rsidRPr="00756DA5">
        <w:t xml:space="preserve"> act as the electrical conductors, and a receiver. When moving onto the track circuit, the train axles ‘shunt’ the two rails and deprive the receiver of current. The information on the detection of a vehicle </w:t>
      </w:r>
      <w:r w:rsidRPr="00756DA5">
        <w:t>is processed</w:t>
      </w:r>
      <w:r w:rsidRPr="00756DA5">
        <w:t xml:space="preserve"> by the signalling system, which then acts on the signal controls, LCs, points, etc.</w:t>
      </w:r>
    </w:p>
    <w:p w:rsidR="00D50544" w:rsidRPr="00756DA5" w:rsidP="00E41E54">
      <w:pPr>
        <w:spacing w:after="0" w:line="280" w:lineRule="exact"/>
        <w:rPr>
          <w:rFonts w:cs="Arial"/>
          <w:szCs w:val="20"/>
        </w:rPr>
      </w:pPr>
    </w:p>
    <w:p w:rsidR="006E6BD0" w:rsidRPr="00756DA5" w:rsidP="000F19E0">
      <w:pPr>
        <w:spacing w:after="0" w:line="280" w:lineRule="exact"/>
        <w:rPr>
          <w:rFonts w:cs="Arial"/>
          <w:szCs w:val="20"/>
        </w:rPr>
      </w:pPr>
      <w:r w:rsidRPr="00756DA5">
        <w:t>This function</w:t>
      </w:r>
      <w:bookmarkEnd w:id="69"/>
      <w:r w:rsidRPr="00756DA5">
        <w:t xml:space="preserve"> relies on the quality of the </w:t>
      </w:r>
      <w:r w:rsidRPr="00756DA5">
        <w:rPr>
          <w:color w:val="333333"/>
          <w:szCs w:val="20"/>
        </w:rPr>
        <w:t>wheel/rail</w:t>
      </w:r>
      <w:r w:rsidRPr="00756DA5">
        <w:t xml:space="preserve"> electrical contact, which </w:t>
      </w:r>
      <w:r w:rsidRPr="00756DA5">
        <w:t>can be impaired</w:t>
      </w:r>
      <w:r w:rsidRPr="00756DA5">
        <w:t xml:space="preserve"> by the presence of oxidation or contaminating elements that electrically isolate the wheels from the track circuit and cause ‘de-shunting’.</w:t>
      </w:r>
    </w:p>
    <w:p w:rsidR="00785B7B" w:rsidRPr="00756DA5" w:rsidP="000F19E0">
      <w:pPr>
        <w:spacing w:after="0" w:line="280" w:lineRule="exact"/>
        <w:rPr>
          <w:rFonts w:cs="Arial"/>
          <w:szCs w:val="20"/>
        </w:rPr>
      </w:pPr>
    </w:p>
    <w:p w:rsidR="006E6BD0" w:rsidRPr="00756DA5" w:rsidP="000F19E0">
      <w:pPr>
        <w:spacing w:line="280" w:lineRule="exact"/>
        <w:rPr>
          <w:rFonts w:cs="Arial"/>
          <w:szCs w:val="20"/>
        </w:rPr>
      </w:pPr>
      <w:r w:rsidRPr="00756DA5">
        <w:t xml:space="preserve">Technical and operational measures are in place, acting as mitigating safeguards to prevent the feared events (collision, impact, derailment) that could occur </w:t>
      </w:r>
      <w:r w:rsidRPr="00756DA5">
        <w:t>as a result</w:t>
      </w:r>
      <w:r w:rsidRPr="00756DA5">
        <w:t xml:space="preserve"> of de-shunting in a signal box zone or on the line. In the event of the occurrence of de-shunting that is not covered by at least one of these safeguards (lack of them or their failure), the de-shunting is in that case qualified as ‘critical’.</w:t>
      </w:r>
    </w:p>
    <w:p w:rsidR="001C32DC" w:rsidRPr="00756DA5" w:rsidP="000F19E0">
      <w:pPr>
        <w:spacing w:line="280" w:lineRule="exact"/>
        <w:rPr>
          <w:rFonts w:cs="Arial"/>
          <w:szCs w:val="20"/>
        </w:rPr>
      </w:pPr>
    </w:p>
    <w:p w:rsidR="006E6BD0" w:rsidRPr="00756DA5" w:rsidP="00E41E54">
      <w:pPr>
        <w:spacing w:after="0" w:line="280" w:lineRule="exact"/>
        <w:rPr>
          <w:rFonts w:cs="Arial"/>
          <w:szCs w:val="20"/>
        </w:rPr>
      </w:pPr>
      <w:r w:rsidRPr="00756DA5">
        <w:t xml:space="preserve">Depending on the level of failure of the safeguards, de-shunting incidents </w:t>
      </w:r>
      <w:r w:rsidRPr="00756DA5">
        <w:t>are recorded</w:t>
      </w:r>
      <w:r w:rsidRPr="00756DA5">
        <w:t xml:space="preserve"> as follows:</w:t>
      </w:r>
    </w:p>
    <w:p w:rsidR="007A6E21" w:rsidRPr="00756DA5">
      <w:pPr>
        <w:pStyle w:val="ListParagraph"/>
        <w:numPr>
          <w:ilvl w:val="0"/>
          <w:numId w:val="26"/>
        </w:numPr>
        <w:autoSpaceDE w:val="0"/>
        <w:spacing w:after="0" w:line="280" w:lineRule="exact"/>
      </w:pPr>
      <w:r w:rsidRPr="00756DA5">
        <w:t>level 1 de-shunting incident: when the technical safeguards were effective (e.g.: the delay of a signalling function is greater than the duration of the de-shunting);</w:t>
      </w:r>
    </w:p>
    <w:p w:rsidR="007A6E21" w:rsidRPr="00756DA5" w:rsidP="007A6E21">
      <w:pPr>
        <w:pStyle w:val="ListParagraph"/>
        <w:numPr>
          <w:ilvl w:val="0"/>
          <w:numId w:val="26"/>
        </w:numPr>
        <w:autoSpaceDE w:val="0"/>
        <w:spacing w:after="0" w:line="280" w:lineRule="exact"/>
        <w:rPr>
          <w:rFonts w:cs="Arial"/>
          <w:szCs w:val="20"/>
        </w:rPr>
      </w:pPr>
      <w:r w:rsidRPr="00756DA5">
        <w:t xml:space="preserve">level 2 de-shunting incident: when the technical safeguards failed and the operational safeguards were effective (e.g.: the duration of the de-shunting is greater than the delay of the </w:t>
      </w:r>
      <w:r w:rsidRPr="00756DA5">
        <w:t>signalling function, but the consequences are covered by safety measures taken by the switch person);</w:t>
      </w:r>
    </w:p>
    <w:p w:rsidR="006E6BD0" w:rsidRPr="00756DA5" w:rsidP="000354BB">
      <w:pPr>
        <w:pStyle w:val="ListParagraph"/>
        <w:numPr>
          <w:ilvl w:val="0"/>
          <w:numId w:val="26"/>
        </w:numPr>
        <w:autoSpaceDE w:val="0"/>
        <w:spacing w:after="0" w:line="280" w:lineRule="exact"/>
        <w:rPr>
          <w:rFonts w:cs="Arial"/>
          <w:szCs w:val="20"/>
        </w:rPr>
      </w:pPr>
      <w:r w:rsidRPr="00756DA5">
        <w:t>level</w:t>
      </w:r>
      <w:r w:rsidRPr="00756DA5">
        <w:t xml:space="preserve"> 3 or ‘critical’ de-shunting incident: the safeguards (technical and operational) no longer prevent one of the feared events.</w:t>
      </w:r>
    </w:p>
    <w:p w:rsidR="006E6BD0" w:rsidRPr="00756DA5" w:rsidP="000F19E0">
      <w:pPr>
        <w:spacing w:before="240" w:line="280" w:lineRule="exact"/>
        <w:rPr>
          <w:rFonts w:cs="Arial"/>
          <w:szCs w:val="20"/>
        </w:rPr>
      </w:pPr>
      <w:r w:rsidRPr="00756DA5">
        <w:t>Among the total number of de-shunting incidents recorded, it is therefore important, for the purposes of incident analysis, to identify the critical de-shunting incidents not covered by a safeguard.</w:t>
      </w:r>
    </w:p>
    <w:p w:rsidR="006E6BD0" w:rsidRPr="00756DA5" w:rsidP="000F19E0">
      <w:pPr>
        <w:spacing w:after="0" w:line="280" w:lineRule="exact"/>
        <w:rPr>
          <w:rFonts w:cs="Arial"/>
          <w:szCs w:val="20"/>
        </w:rPr>
      </w:pPr>
      <w:r w:rsidRPr="00756DA5">
        <w:t>The actions undertaken to tackle de-shunting had helped to reduce the total number of de-shunting incidents in 2016. The decline noted did not continue in 2017 and the total number of de-shunting incidents returned to the same level as in 2015. However, that observation should be qualified:</w:t>
      </w:r>
    </w:p>
    <w:p w:rsidR="006E6BD0" w:rsidRPr="00756DA5" w:rsidP="000354BB">
      <w:pPr>
        <w:pStyle w:val="ListParagraph"/>
        <w:numPr>
          <w:ilvl w:val="0"/>
          <w:numId w:val="26"/>
        </w:numPr>
        <w:autoSpaceDE w:val="0"/>
        <w:spacing w:after="0" w:line="280" w:lineRule="exact"/>
        <w:rPr>
          <w:rFonts w:cs="Arial"/>
          <w:szCs w:val="20"/>
        </w:rPr>
      </w:pPr>
      <w:r w:rsidRPr="00756DA5">
        <w:t>the deployment of recorders to continuously monitor the operation of installations results in the detection of de-shunting cases with no consequences which were not previously identified, thus increasing the number of cases observed, in particular as regards cases covered by technical safeguards (level 1 de-shunting);</w:t>
      </w:r>
    </w:p>
    <w:p w:rsidR="006E6BD0" w:rsidRPr="00756DA5" w:rsidP="000354BB">
      <w:pPr>
        <w:pStyle w:val="ListParagraph"/>
        <w:numPr>
          <w:ilvl w:val="0"/>
          <w:numId w:val="26"/>
        </w:numPr>
        <w:autoSpaceDE w:val="0"/>
        <w:spacing w:after="0" w:line="280" w:lineRule="exact"/>
        <w:rPr>
          <w:rFonts w:cs="Arial"/>
          <w:szCs w:val="20"/>
        </w:rPr>
      </w:pPr>
      <w:r w:rsidRPr="00756DA5">
        <w:t>the increase in the number of level 2 de-shunting incidents was affected by the reopening of the Viescamp (Cantal) and Laroquebrou (Cantal) section of line in January 2017 causing 13 de-shunting incidents, the risks of which were covered by a safety protocol, and by 5 de-shunting incidents on lines connecting to the new South Europe Atlantic LGV (de-shunting of a type of locomotive on 2 junctions used for works traffic access) and Brittany-Pays de la Loire LGV (specific running issue of TER rolling stock on the branch sections of Sablé sur Sarthe and Laval Est).</w:t>
      </w:r>
    </w:p>
    <w:p w:rsidR="006E6BD0" w:rsidRPr="00756DA5" w:rsidP="000F19E0">
      <w:pPr>
        <w:spacing w:after="0" w:line="280" w:lineRule="exact"/>
        <w:rPr>
          <w:rFonts w:cs="Arial"/>
          <w:szCs w:val="20"/>
        </w:rPr>
      </w:pPr>
      <w:r w:rsidRPr="00756DA5">
        <w:t>On the other hand, the lack of level 3 or ‘critical’ de-shunting incidents in 2017 continue the downward trend that began in the previous 2 years.</w:t>
      </w:r>
    </w:p>
    <w:p w:rsidR="00B44712" w:rsidRPr="00756DA5" w:rsidP="000F19E0">
      <w:pPr>
        <w:spacing w:after="0" w:line="280" w:lineRule="exact"/>
        <w:rPr>
          <w:rFonts w:cs="Arial"/>
          <w:szCs w:val="20"/>
        </w:rPr>
      </w:pPr>
    </w:p>
    <w:p w:rsidR="006E6BD0" w:rsidRPr="00756DA5" w:rsidP="006E6BD0">
      <w:r w:rsidRPr="00756DA5">
        <w:rPr>
          <w:noProof/>
          <w:lang w:val="fr-FR" w:eastAsia="fr-FR"/>
        </w:rPr>
        <w:drawing>
          <wp:inline distT="0" distB="0" distL="0" distR="0">
            <wp:extent cx="5391150" cy="2400300"/>
            <wp:effectExtent l="0" t="0" r="0" b="0"/>
            <wp:docPr id="484" name="Graphique 484">
              <a:extLst xmlns:a="http://schemas.openxmlformats.org/drawingml/2006/main">
                <a:ext xmlns:a="http://schemas.openxmlformats.org/drawingml/2006/main" uri="{FF2B5EF4-FFF2-40B4-BE49-F238E27FC236}">
                  <a16:creationId xmlns:a16="http://schemas.microsoft.com/office/drawing/2014/main" id="{AD25A976-8646-4014-94F5-F32B464B7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9062" w:type="dxa"/>
        <w:tblLook w:val="04A0"/>
      </w:tblPr>
      <w:tblGrid>
        <w:gridCol w:w="4531"/>
        <w:gridCol w:w="4531"/>
      </w:tblGrid>
      <w:tr w:rsidTr="00E07FCF">
        <w:tblPrEx>
          <w:tblW w:w="9062" w:type="dxa"/>
          <w:tblLook w:val="04A0"/>
        </w:tblPrEx>
        <w:tc>
          <w:tcPr>
            <w:tcW w:w="4531" w:type="dxa"/>
          </w:tcPr>
          <w:p w:rsidR="00E07FCF" w:rsidRPr="00756DA5" w:rsidP="00E07FCF">
            <w:pPr>
              <w:jc w:val="left"/>
              <w:rPr>
                <w:rFonts w:cs="Arial"/>
                <w:sz w:val="18"/>
                <w:szCs w:val="18"/>
                <w:shd w:val="clear" w:color="auto" w:fill="FFFFFF"/>
              </w:rPr>
            </w:pPr>
            <w:r w:rsidRPr="00756DA5">
              <w:rPr>
                <w:sz w:val="18"/>
                <w:szCs w:val="18"/>
                <w:shd w:val="clear" w:color="auto" w:fill="FFFFFF"/>
              </w:rPr>
              <w:t>Nombre total de déshuntages</w:t>
            </w:r>
          </w:p>
        </w:tc>
        <w:tc>
          <w:tcPr>
            <w:tcW w:w="4531" w:type="dxa"/>
          </w:tcPr>
          <w:p w:rsidR="00E07FCF" w:rsidRPr="00756DA5" w:rsidP="00E07FCF">
            <w:pPr>
              <w:jc w:val="left"/>
              <w:rPr>
                <w:rFonts w:cs="Arial"/>
                <w:sz w:val="18"/>
                <w:szCs w:val="18"/>
                <w:shd w:val="clear" w:color="auto" w:fill="FFFFFF"/>
              </w:rPr>
            </w:pPr>
            <w:r w:rsidRPr="00756DA5">
              <w:rPr>
                <w:sz w:val="18"/>
                <w:szCs w:val="18"/>
                <w:shd w:val="clear" w:color="auto" w:fill="FFFFFF"/>
              </w:rPr>
              <w:t>Total number of de-shunting incidents</w:t>
            </w:r>
          </w:p>
        </w:tc>
      </w:tr>
    </w:tbl>
    <w:p w:rsidR="00E07FCF" w:rsidRPr="00756DA5" w:rsidP="006E6BD0"/>
    <w:p w:rsidR="006E6BD0" w:rsidRPr="00756DA5" w:rsidP="006E6BD0">
      <w:r w:rsidRPr="00756DA5">
        <w:rPr>
          <w:noProof/>
          <w:lang w:val="fr-FR" w:eastAsia="fr-FR"/>
        </w:rPr>
        <w:drawing>
          <wp:inline distT="0" distB="0" distL="0" distR="0">
            <wp:extent cx="5760720" cy="2824221"/>
            <wp:effectExtent l="0" t="0" r="0" b="0"/>
            <wp:docPr id="5" name="Image 5" descr="cid:image004.png@01D43DF9.9A317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0995" name="Picture 1" descr="cid:image004.png@01D43DF9.9A3172F0"/>
                    <pic:cNvPicPr>
                      <a:picLocks noChangeAspect="1" noChangeArrowheads="1"/>
                    </pic:cNvPicPr>
                  </pic:nvPicPr>
                  <pic:blipFill>
                    <a:blip xmlns:r="http://schemas.openxmlformats.org/officeDocument/2006/relationships" r:embed="rId47" r:link="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824221"/>
                    </a:xfrm>
                    <a:prstGeom prst="rect">
                      <a:avLst/>
                    </a:prstGeom>
                    <a:noFill/>
                    <a:ln>
                      <a:noFill/>
                    </a:ln>
                  </pic:spPr>
                </pic:pic>
              </a:graphicData>
            </a:graphic>
          </wp:inline>
        </w:drawing>
      </w:r>
    </w:p>
    <w:tbl>
      <w:tblPr>
        <w:tblStyle w:val="TableGrid"/>
        <w:tblW w:w="9062" w:type="dxa"/>
        <w:tblLook w:val="04A0"/>
      </w:tblPr>
      <w:tblGrid>
        <w:gridCol w:w="4531"/>
        <w:gridCol w:w="4531"/>
      </w:tblGrid>
      <w:tr w:rsidTr="008C4907">
        <w:tblPrEx>
          <w:tblW w:w="9062" w:type="dxa"/>
          <w:tblLook w:val="04A0"/>
        </w:tblPrEx>
        <w:tc>
          <w:tcPr>
            <w:tcW w:w="4531" w:type="dxa"/>
          </w:tcPr>
          <w:p w:rsidR="008C4907" w:rsidRPr="00756DA5" w:rsidP="008C4907">
            <w:pPr>
              <w:jc w:val="left"/>
              <w:rPr>
                <w:rFonts w:cs="Arial"/>
                <w:sz w:val="18"/>
                <w:szCs w:val="18"/>
                <w:shd w:val="clear" w:color="auto" w:fill="FFFFFF"/>
              </w:rPr>
            </w:pPr>
            <w:r w:rsidRPr="00756DA5">
              <w:rPr>
                <w:sz w:val="18"/>
                <w:szCs w:val="18"/>
                <w:shd w:val="clear" w:color="auto" w:fill="FFFFFF"/>
              </w:rPr>
              <w:t>Nombre de déshuntages par niveau de défaillance des barrières de sécurité</w:t>
            </w:r>
          </w:p>
        </w:tc>
        <w:tc>
          <w:tcPr>
            <w:tcW w:w="4531" w:type="dxa"/>
          </w:tcPr>
          <w:p w:rsidR="008C4907" w:rsidRPr="00756DA5" w:rsidP="008C4907">
            <w:pPr>
              <w:jc w:val="left"/>
              <w:rPr>
                <w:rFonts w:cs="Arial"/>
                <w:sz w:val="18"/>
                <w:szCs w:val="18"/>
                <w:shd w:val="clear" w:color="auto" w:fill="FFFFFF"/>
              </w:rPr>
            </w:pPr>
            <w:r w:rsidRPr="00756DA5">
              <w:rPr>
                <w:sz w:val="18"/>
                <w:szCs w:val="18"/>
                <w:shd w:val="clear" w:color="auto" w:fill="FFFFFF"/>
              </w:rPr>
              <w:t>Number of de-shunting incidents by level of safeguard failure</w:t>
            </w:r>
          </w:p>
        </w:tc>
      </w:tr>
      <w:tr w:rsidTr="008C4907">
        <w:tblPrEx>
          <w:tblW w:w="9062" w:type="dxa"/>
          <w:tblLook w:val="04A0"/>
        </w:tblPrEx>
        <w:tc>
          <w:tcPr>
            <w:tcW w:w="4531" w:type="dxa"/>
          </w:tcPr>
          <w:p w:rsidR="008C4907" w:rsidRPr="00756DA5" w:rsidP="008C4907">
            <w:pPr>
              <w:jc w:val="left"/>
              <w:rPr>
                <w:rFonts w:cs="Arial"/>
                <w:sz w:val="18"/>
                <w:szCs w:val="18"/>
                <w:shd w:val="clear" w:color="auto" w:fill="FFFFFF"/>
              </w:rPr>
            </w:pPr>
            <w:r w:rsidRPr="00756DA5">
              <w:rPr>
                <w:sz w:val="18"/>
                <w:szCs w:val="18"/>
                <w:shd w:val="clear" w:color="auto" w:fill="FFFFFF"/>
              </w:rPr>
              <w:t>Déshuntage de niveau 1 (barrière technique de sécurité opérante)</w:t>
            </w:r>
          </w:p>
        </w:tc>
        <w:tc>
          <w:tcPr>
            <w:tcW w:w="4531" w:type="dxa"/>
          </w:tcPr>
          <w:p w:rsidR="008C4907" w:rsidRPr="00756DA5" w:rsidP="008C4907">
            <w:pPr>
              <w:jc w:val="left"/>
              <w:rPr>
                <w:rFonts w:cs="Arial"/>
                <w:sz w:val="18"/>
                <w:szCs w:val="18"/>
                <w:shd w:val="clear" w:color="auto" w:fill="FFFFFF"/>
              </w:rPr>
            </w:pPr>
            <w:r w:rsidRPr="00756DA5">
              <w:rPr>
                <w:sz w:val="18"/>
                <w:szCs w:val="18"/>
                <w:shd w:val="clear" w:color="auto" w:fill="FFFFFF"/>
              </w:rPr>
              <w:t>Level 1 de-shunting incident (effective technical safeguard)</w:t>
            </w:r>
          </w:p>
        </w:tc>
      </w:tr>
      <w:tr w:rsidTr="008C4907">
        <w:tblPrEx>
          <w:tblW w:w="9062" w:type="dxa"/>
          <w:tblLook w:val="04A0"/>
        </w:tblPrEx>
        <w:tc>
          <w:tcPr>
            <w:tcW w:w="4531" w:type="dxa"/>
          </w:tcPr>
          <w:p w:rsidR="008C4907" w:rsidRPr="00756DA5" w:rsidP="008C4907">
            <w:pPr>
              <w:jc w:val="left"/>
              <w:rPr>
                <w:rFonts w:cs="Arial"/>
                <w:sz w:val="18"/>
                <w:szCs w:val="18"/>
                <w:shd w:val="clear" w:color="auto" w:fill="FFFFFF"/>
              </w:rPr>
            </w:pPr>
            <w:r w:rsidRPr="00756DA5">
              <w:rPr>
                <w:sz w:val="18"/>
                <w:szCs w:val="18"/>
                <w:shd w:val="clear" w:color="auto" w:fill="FFFFFF"/>
              </w:rPr>
              <w:t>Déshuntage de niveau 2 (barrière technique de sécurité défaillante et barrière exploitation de sécurité opérante)</w:t>
            </w:r>
          </w:p>
        </w:tc>
        <w:tc>
          <w:tcPr>
            <w:tcW w:w="4531" w:type="dxa"/>
          </w:tcPr>
          <w:p w:rsidR="008C4907" w:rsidRPr="00756DA5" w:rsidP="008C4907">
            <w:pPr>
              <w:jc w:val="left"/>
              <w:rPr>
                <w:rFonts w:cs="Arial"/>
                <w:sz w:val="18"/>
                <w:szCs w:val="18"/>
                <w:shd w:val="clear" w:color="auto" w:fill="FFFFFF"/>
              </w:rPr>
            </w:pPr>
            <w:r w:rsidRPr="00756DA5">
              <w:rPr>
                <w:sz w:val="18"/>
                <w:szCs w:val="18"/>
                <w:shd w:val="clear" w:color="auto" w:fill="FFFFFF"/>
              </w:rPr>
              <w:t>Level 2 de-shunting incident (failure of technical safeguard and effective operational safeguard)</w:t>
            </w:r>
          </w:p>
        </w:tc>
      </w:tr>
      <w:tr w:rsidTr="008C4907">
        <w:tblPrEx>
          <w:tblW w:w="9062" w:type="dxa"/>
          <w:tblLook w:val="04A0"/>
        </w:tblPrEx>
        <w:tc>
          <w:tcPr>
            <w:tcW w:w="4531" w:type="dxa"/>
          </w:tcPr>
          <w:p w:rsidR="008C4907" w:rsidRPr="00756DA5" w:rsidP="003B731C">
            <w:pPr>
              <w:jc w:val="left"/>
              <w:rPr>
                <w:rFonts w:cs="Arial"/>
                <w:sz w:val="18"/>
                <w:szCs w:val="18"/>
                <w:shd w:val="clear" w:color="auto" w:fill="FFFFFF"/>
              </w:rPr>
            </w:pPr>
            <w:r w:rsidRPr="00756DA5">
              <w:rPr>
                <w:sz w:val="18"/>
                <w:szCs w:val="18"/>
                <w:shd w:val="clear" w:color="auto" w:fill="FFFFFF"/>
              </w:rPr>
              <w:t>Déshuntage de niveau 3 (les barrières de sécurité, techniques et d’exploitation, ne s’opposent plus à l’un des événements redoutés)</w:t>
            </w:r>
          </w:p>
        </w:tc>
        <w:tc>
          <w:tcPr>
            <w:tcW w:w="4531" w:type="dxa"/>
          </w:tcPr>
          <w:p w:rsidR="008C4907" w:rsidRPr="00756DA5" w:rsidP="008C4907">
            <w:pPr>
              <w:jc w:val="left"/>
              <w:rPr>
                <w:rFonts w:cs="Arial"/>
                <w:sz w:val="18"/>
                <w:szCs w:val="18"/>
                <w:shd w:val="clear" w:color="auto" w:fill="FFFFFF"/>
              </w:rPr>
            </w:pPr>
            <w:r w:rsidRPr="00756DA5">
              <w:rPr>
                <w:sz w:val="18"/>
                <w:szCs w:val="18"/>
                <w:shd w:val="clear" w:color="auto" w:fill="FFFFFF"/>
              </w:rPr>
              <w:t>Level 3 or ‘critical’ de-shunting incident (the technical and operational safeguards no longer prevent one of the feared events).</w:t>
            </w:r>
          </w:p>
        </w:tc>
      </w:tr>
    </w:tbl>
    <w:p w:rsidR="008C4907" w:rsidRPr="00756DA5" w:rsidP="006E6BD0">
      <w:pPr>
        <w:spacing w:line="280" w:lineRule="exact"/>
        <w:rPr>
          <w:rFonts w:cs="Arial"/>
          <w:szCs w:val="20"/>
        </w:rPr>
      </w:pPr>
    </w:p>
    <w:p w:rsidR="006E6BD0" w:rsidRPr="00756DA5" w:rsidP="006E6BD0">
      <w:pPr>
        <w:spacing w:line="280" w:lineRule="exact"/>
        <w:rPr>
          <w:rFonts w:cs="Arial"/>
          <w:szCs w:val="20"/>
        </w:rPr>
      </w:pPr>
      <w:r w:rsidRPr="00756DA5">
        <w:t>In 2017, the breakdown of identified causes of de-shunting incidents was very similar to the previous year.</w:t>
      </w:r>
    </w:p>
    <w:p w:rsidR="006E6BD0" w:rsidRPr="00756DA5" w:rsidP="006E6BD0">
      <w:pPr>
        <w:spacing w:line="280" w:lineRule="exact"/>
        <w:rPr>
          <w:rFonts w:cs="Arial"/>
          <w:szCs w:val="20"/>
        </w:rPr>
      </w:pPr>
      <w:r w:rsidRPr="00756DA5">
        <w:t>The primary cause of de-shunting is contamination of the rail with a black amalgam (carbon from plants, silica present in the environment or resulting from sanding, rust and/or greasy products) most commonly formed by the crushing of dead leaves on the rail by train wheels. This cause relates to 74 % of de-shunting incidents as in 2016.</w:t>
      </w:r>
    </w:p>
    <w:p w:rsidR="006E6BD0" w:rsidRPr="00756DA5" w:rsidP="006E6BD0">
      <w:pPr>
        <w:spacing w:line="280" w:lineRule="exact"/>
        <w:rPr>
          <w:rFonts w:cs="Arial"/>
          <w:szCs w:val="20"/>
        </w:rPr>
      </w:pPr>
      <w:r w:rsidRPr="00756DA5">
        <w:t xml:space="preserve">Incidents caused by sanding are situations caused by the inappropriate use of sand boxes or their failure; excessive sand causes electrical isolation between the wheel and the rail.  They caused 5 % of de-shunting incidents in 2017 compared to 10 % in 2016, which may be the result of the lessons learned processes undertaken to educate users to ensure the proper functioning of equipment, and to organise the testing and filling of sand boxes </w:t>
      </w:r>
      <w:r w:rsidRPr="00756DA5">
        <w:t>so as to</w:t>
      </w:r>
      <w:r w:rsidRPr="00756DA5">
        <w:t xml:space="preserve"> avoid impairment of </w:t>
      </w:r>
      <w:r w:rsidRPr="00756DA5">
        <w:rPr>
          <w:color w:val="333333"/>
          <w:szCs w:val="20"/>
        </w:rPr>
        <w:t>wheel/rail</w:t>
      </w:r>
      <w:r w:rsidRPr="00756DA5">
        <w:t xml:space="preserve"> contact.</w:t>
      </w:r>
    </w:p>
    <w:p w:rsidR="006E6BD0" w:rsidRPr="00756DA5" w:rsidP="006E6BD0">
      <w:pPr>
        <w:spacing w:line="280" w:lineRule="exact"/>
        <w:rPr>
          <w:rFonts w:cs="Arial"/>
          <w:szCs w:val="20"/>
        </w:rPr>
      </w:pPr>
    </w:p>
    <w:p w:rsidR="00885EF4" w:rsidRPr="00756DA5" w:rsidP="006E6BD0">
      <w:pPr>
        <w:jc w:val="center"/>
        <w:rPr>
          <w:rFonts w:cs="Arial"/>
          <w:b/>
          <w:szCs w:val="20"/>
        </w:rPr>
      </w:pPr>
      <w:r w:rsidRPr="00756DA5">
        <w:rPr>
          <w:noProof/>
          <w:lang w:val="fr-FR" w:eastAsia="fr-FR"/>
        </w:rPr>
        <w:drawing>
          <wp:inline distT="0" distB="0" distL="0" distR="0">
            <wp:extent cx="5760720" cy="2795270"/>
            <wp:effectExtent l="0" t="0" r="0" b="5080"/>
            <wp:docPr id="10" name="Graphique 10">
              <a:extLst xmlns:a="http://schemas.openxmlformats.org/drawingml/2006/main">
                <a:ext xmlns:a="http://schemas.openxmlformats.org/drawingml/2006/main" uri="{FF2B5EF4-FFF2-40B4-BE49-F238E27FC236}">
                  <a16:creationId xmlns:a16="http://schemas.microsoft.com/office/drawing/2014/main" id="{C39C1A75-147F-4FEA-A489-E3D1E888C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9062" w:type="dxa"/>
        <w:tblLook w:val="04A0"/>
      </w:tblPr>
      <w:tblGrid>
        <w:gridCol w:w="4531"/>
        <w:gridCol w:w="4531"/>
      </w:tblGrid>
      <w:tr w:rsidTr="00692F1A">
        <w:tblPrEx>
          <w:tblW w:w="9062" w:type="dxa"/>
          <w:tblLook w:val="04A0"/>
        </w:tblPrEx>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Classement par causes</w:t>
            </w:r>
          </w:p>
        </w:tc>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Classification by cause</w:t>
            </w:r>
          </w:p>
        </w:tc>
      </w:tr>
      <w:tr w:rsidTr="00692F1A">
        <w:tblPrEx>
          <w:tblW w:w="9062" w:type="dxa"/>
          <w:tblLook w:val="04A0"/>
        </w:tblPrEx>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Oxydation du rail</w:t>
            </w:r>
          </w:p>
        </w:tc>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Rail oxidation</w:t>
            </w:r>
          </w:p>
        </w:tc>
      </w:tr>
      <w:tr w:rsidTr="00692F1A">
        <w:tblPrEx>
          <w:tblW w:w="9062" w:type="dxa"/>
          <w:tblLook w:val="04A0"/>
        </w:tblPrEx>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Indéterminée</w:t>
            </w:r>
          </w:p>
        </w:tc>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Undetermined</w:t>
            </w:r>
          </w:p>
        </w:tc>
      </w:tr>
      <w:tr w:rsidTr="00692F1A">
        <w:tblPrEx>
          <w:tblW w:w="9062" w:type="dxa"/>
          <w:tblLook w:val="04A0"/>
        </w:tblPrEx>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Sablage</w:t>
            </w:r>
          </w:p>
        </w:tc>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Sanding</w:t>
            </w:r>
          </w:p>
        </w:tc>
      </w:tr>
      <w:tr w:rsidTr="00692F1A">
        <w:tblPrEx>
          <w:tblW w:w="9062" w:type="dxa"/>
          <w:tblLook w:val="04A0"/>
        </w:tblPrEx>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Réglage du circuit de voie</w:t>
            </w:r>
          </w:p>
        </w:tc>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Adjustment of the track circuit</w:t>
            </w:r>
          </w:p>
        </w:tc>
      </w:tr>
      <w:tr w:rsidTr="00692F1A">
        <w:tblPrEx>
          <w:tblW w:w="9062" w:type="dxa"/>
          <w:tblLook w:val="04A0"/>
        </w:tblPrEx>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Pollution des roues</w:t>
            </w:r>
          </w:p>
        </w:tc>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Wheel contamination</w:t>
            </w:r>
          </w:p>
        </w:tc>
      </w:tr>
      <w:tr w:rsidTr="00692F1A">
        <w:tblPrEx>
          <w:tblW w:w="9062" w:type="dxa"/>
          <w:tblLook w:val="04A0"/>
        </w:tblPrEx>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Pollution du rail</w:t>
            </w:r>
          </w:p>
        </w:tc>
        <w:tc>
          <w:tcPr>
            <w:tcW w:w="4531" w:type="dxa"/>
          </w:tcPr>
          <w:p w:rsidR="00692F1A" w:rsidRPr="00756DA5" w:rsidP="00692F1A">
            <w:pPr>
              <w:jc w:val="left"/>
              <w:rPr>
                <w:rFonts w:cs="Arial"/>
                <w:sz w:val="18"/>
                <w:szCs w:val="18"/>
                <w:shd w:val="clear" w:color="auto" w:fill="FFFFFF"/>
              </w:rPr>
            </w:pPr>
            <w:r w:rsidRPr="00756DA5">
              <w:rPr>
                <w:sz w:val="18"/>
                <w:szCs w:val="18"/>
                <w:shd w:val="clear" w:color="auto" w:fill="FFFFFF"/>
              </w:rPr>
              <w:t>Rail contamination</w:t>
            </w:r>
          </w:p>
        </w:tc>
      </w:tr>
    </w:tbl>
    <w:p w:rsidR="00692F1A" w:rsidRPr="00756DA5" w:rsidP="00692F1A">
      <w:pPr>
        <w:rPr>
          <w:rFonts w:cs="Arial"/>
          <w:b/>
          <w:szCs w:val="20"/>
        </w:rPr>
      </w:pPr>
    </w:p>
    <w:p w:rsidR="006E6BD0" w:rsidRPr="00756DA5" w:rsidP="006E6BD0">
      <w:pPr>
        <w:jc w:val="left"/>
        <w:rPr>
          <w:rFonts w:cs="Arial"/>
          <w:b/>
          <w:szCs w:val="20"/>
        </w:rPr>
      </w:pPr>
      <w:r w:rsidRPr="00756DA5">
        <w:rPr>
          <w:b/>
          <w:bCs/>
          <w:szCs w:val="20"/>
        </w:rPr>
        <w:t xml:space="preserve">■ </w:t>
      </w:r>
      <w:r w:rsidRPr="00756DA5">
        <w:rPr>
          <w:b/>
          <w:szCs w:val="20"/>
        </w:rPr>
        <w:t>Technical shunting assistance equipment</w:t>
      </w:r>
    </w:p>
    <w:p w:rsidR="006E6BD0" w:rsidRPr="00756DA5" w:rsidP="000F19E0">
      <w:pPr>
        <w:spacing w:after="0" w:line="280" w:lineRule="exact"/>
        <w:rPr>
          <w:rFonts w:cs="Arial"/>
          <w:szCs w:val="20"/>
        </w:rPr>
      </w:pPr>
      <w:r w:rsidRPr="00756DA5">
        <w:rPr>
          <w:b/>
          <w:szCs w:val="20"/>
        </w:rPr>
        <w:t>Safeguards</w:t>
      </w:r>
      <w:r w:rsidRPr="00756DA5">
        <w:t xml:space="preserve"> contribute to avoiding de-shunting incidents (preventive barriers) or their consequences (protective barriers).</w:t>
      </w:r>
    </w:p>
    <w:p w:rsidR="006E6BD0" w:rsidRPr="00756DA5" w:rsidP="000F19E0">
      <w:pPr>
        <w:spacing w:after="0" w:line="280" w:lineRule="exact"/>
        <w:rPr>
          <w:rFonts w:cs="Arial"/>
          <w:szCs w:val="20"/>
        </w:rPr>
      </w:pPr>
      <w:r w:rsidRPr="00756DA5">
        <w:rPr>
          <w:b/>
          <w:szCs w:val="20"/>
        </w:rPr>
        <w:t>Preventive barriers</w:t>
      </w:r>
      <w:r w:rsidRPr="00756DA5">
        <w:t xml:space="preserve"> provide for measures in the design, maintenance and operation of infrastructure and rolling stock in order to manage de-shunting risks due to wheel and rail contamination, oxidation and the ability of rolling stock to shunt.</w:t>
      </w:r>
    </w:p>
    <w:p w:rsidR="006E6BD0" w:rsidRPr="00756DA5" w:rsidP="000F19E0">
      <w:pPr>
        <w:spacing w:line="280" w:lineRule="exact"/>
        <w:rPr>
          <w:rFonts w:cs="Arial"/>
          <w:szCs w:val="20"/>
        </w:rPr>
      </w:pPr>
      <w:r w:rsidRPr="00756DA5">
        <w:rPr>
          <w:b/>
          <w:szCs w:val="20"/>
        </w:rPr>
        <w:t>Protective barriers</w:t>
      </w:r>
      <w:r w:rsidRPr="00756DA5">
        <w:t xml:space="preserve"> provide for measures in the design, maintenance and operation of infrastructure such that a feared event </w:t>
      </w:r>
      <w:r w:rsidRPr="00756DA5">
        <w:t>is avoided</w:t>
      </w:r>
      <w:r w:rsidRPr="00756DA5">
        <w:t xml:space="preserve"> in the event of de-shunting.</w:t>
      </w:r>
    </w:p>
    <w:p w:rsidR="006E6BD0" w:rsidRPr="00756DA5" w:rsidP="000F19E0">
      <w:pPr>
        <w:spacing w:line="280" w:lineRule="exact"/>
        <w:rPr>
          <w:rFonts w:cs="Arial"/>
          <w:szCs w:val="20"/>
        </w:rPr>
      </w:pPr>
      <w:r w:rsidRPr="00756DA5">
        <w:t xml:space="preserve">Among the technical equipment that contributes to avoiding de-shunting incidents is a new generation shunting assistance inductive loop (BIAS NG) fitted for testing purposes on 10 trains in the Auvergne-Nivernais region. The special characteristics of the BIAS NG are the creation of a stronger electrical field in the axle and the reduction of the sensitivity of the rolling stock to situations of electrical isolation of </w:t>
      </w:r>
      <w:r w:rsidRPr="00756DA5">
        <w:rPr>
          <w:color w:val="333333"/>
          <w:szCs w:val="20"/>
        </w:rPr>
        <w:t>wheel/rail</w:t>
      </w:r>
      <w:r w:rsidRPr="00756DA5">
        <w:t xml:space="preserve"> contact. It is mostly effective with respect to oxidation phenomena, and it </w:t>
      </w:r>
      <w:r w:rsidRPr="00756DA5">
        <w:t>is not envisaged</w:t>
      </w:r>
      <w:r w:rsidRPr="00756DA5">
        <w:t xml:space="preserve"> that this equipment will alone overcome all of the types of </w:t>
      </w:r>
      <w:r w:rsidRPr="00756DA5">
        <w:rPr>
          <w:color w:val="333333"/>
          <w:szCs w:val="20"/>
        </w:rPr>
        <w:t>wheel/rai</w:t>
      </w:r>
      <w:r w:rsidRPr="00756DA5">
        <w:t>l contact isolation (ineffective, for example, for significant plant contamination).</w:t>
      </w:r>
    </w:p>
    <w:p w:rsidR="006E6BD0" w:rsidRPr="00756DA5" w:rsidP="00423F21">
      <w:pPr>
        <w:spacing w:line="280" w:lineRule="exact"/>
        <w:rPr>
          <w:rFonts w:cs="Arial"/>
          <w:szCs w:val="20"/>
        </w:rPr>
      </w:pPr>
      <w:r w:rsidRPr="00756DA5">
        <w:t xml:space="preserve">The detection of a gradual deterioration in shunting performance (oxidation, pollution, etc.) is a safeguard that acts to prevent a de-shunting incident. It </w:t>
      </w:r>
      <w:r w:rsidRPr="00756DA5">
        <w:t>is addressed</w:t>
      </w:r>
      <w:r w:rsidRPr="00756DA5">
        <w:t xml:space="preserve"> by the rolling out of the installation of devices for testing in areas identified as sensitive, started in 2016 by SNCF Réseau. These devices should make it possible to monitor this deterioration remotely and plan the rail cleaning operations necessary for the quality of the </w:t>
      </w:r>
      <w:r w:rsidRPr="00756DA5">
        <w:rPr>
          <w:color w:val="333333"/>
          <w:szCs w:val="20"/>
        </w:rPr>
        <w:t>wheel/rail</w:t>
      </w:r>
      <w:r w:rsidRPr="00756DA5">
        <w:t xml:space="preserve"> electrical contact.</w:t>
      </w:r>
    </w:p>
    <w:p w:rsidR="006E6BD0" w:rsidRPr="00756DA5" w:rsidP="000F19E0">
      <w:pPr>
        <w:spacing w:line="280" w:lineRule="exact"/>
        <w:rPr>
          <w:rFonts w:cs="Arial"/>
          <w:szCs w:val="20"/>
        </w:rPr>
      </w:pPr>
      <w:r w:rsidRPr="00756DA5">
        <w:t xml:space="preserve">New shunting assistance approaches appear to be starting with the installation of ‘shunt accelerator’ devices on the branch sections of the BPL and SEA HSLs affected by de-shunting. </w:t>
      </w:r>
      <w:r w:rsidRPr="00756DA5">
        <w:t xml:space="preserve">It is a device created from a prototype developed by the UIC that makes it possible to increase significantly the sensitivity of </w:t>
      </w:r>
      <w:r w:rsidRPr="00756DA5">
        <w:t xml:space="preserve">track circuits when the state of </w:t>
      </w:r>
      <w:r w:rsidRPr="00756DA5">
        <w:rPr>
          <w:color w:val="333333"/>
          <w:szCs w:val="20"/>
        </w:rPr>
        <w:t>wheel/rail</w:t>
      </w:r>
      <w:r w:rsidRPr="00756DA5">
        <w:t xml:space="preserve"> contact is unsatisfactory.</w:t>
      </w:r>
      <w:r w:rsidRPr="00756DA5">
        <w:t xml:space="preserve"> This device virtually continuously (100 ms) records and analyses electrical voltages and triggers the protection of the area affected as soon as the electrical behaviour of the track circuit indicates a de-shunting risk. Shunt accelerator devices should be operational in 2018 in branch areas where de-shunting incidents have taken place.</w:t>
      </w:r>
    </w:p>
    <w:p w:rsidR="006E6BD0" w:rsidRPr="00756DA5" w:rsidP="000F19E0">
      <w:pPr>
        <w:spacing w:line="280" w:lineRule="exact"/>
        <w:rPr>
          <w:rFonts w:cs="Arial"/>
          <w:szCs w:val="20"/>
        </w:rPr>
      </w:pPr>
      <w:r w:rsidRPr="00756DA5">
        <w:t xml:space="preserve">The strengthening of technical protective barriers has also continued. The first phase of the supplementary equipment of LCs most exposed to the risk of collision with road traffic due to de-shunting, planned by SNCF Réseau, </w:t>
      </w:r>
      <w:r w:rsidRPr="00756DA5">
        <w:t>was completed</w:t>
      </w:r>
      <w:r w:rsidRPr="00756DA5">
        <w:t xml:space="preserve"> in February 2017. It involved mitigating the risk of an LC failing to close as a train approaches by supplementing the warning system with the installation of electromagnetic or electronic train detection treadles to control the closure of the barriers. The second phase concerning the 1 210 other LCs at risk has begun and </w:t>
      </w:r>
      <w:r w:rsidRPr="00756DA5">
        <w:t>should be completed</w:t>
      </w:r>
      <w:r w:rsidRPr="00756DA5">
        <w:t xml:space="preserve"> by the end of 2020.</w:t>
      </w:r>
    </w:p>
    <w:p w:rsidR="006E6BD0" w:rsidRPr="00756DA5" w:rsidP="000F19E0">
      <w:pPr>
        <w:spacing w:line="280" w:lineRule="exact"/>
        <w:rPr>
          <w:rFonts w:cs="Arial"/>
          <w:szCs w:val="20"/>
        </w:rPr>
      </w:pPr>
      <w:r w:rsidRPr="00756DA5">
        <w:t xml:space="preserve">Upgrades </w:t>
      </w:r>
      <w:r w:rsidRPr="00756DA5">
        <w:t>have also been undertaken</w:t>
      </w:r>
      <w:r w:rsidRPr="00756DA5">
        <w:t xml:space="preserve"> to reduce the risk of a collision between two opposing trains due to de-shunting on the line. They consist of delaying the release of the signalling function allowing the movement of an opposing train. A delay blocks the operation of the installations after information of release of the track circuit and covers the duration of a potential de-shunting incident. The 2017 programme for the timing of directional interlocking concerned 34 of the 46 intervals that SNCF Réseau planned to equip. The last 12 intervals will be equipped in 2018.</w:t>
      </w:r>
    </w:p>
    <w:p w:rsidR="006E6BD0" w:rsidRPr="00756DA5" w:rsidP="00423F21">
      <w:pPr>
        <w:keepNext/>
        <w:spacing w:line="280" w:lineRule="exact"/>
        <w:rPr>
          <w:rFonts w:cs="Arial"/>
          <w:b/>
          <w:szCs w:val="20"/>
        </w:rPr>
      </w:pPr>
      <w:r w:rsidRPr="00756DA5">
        <w:rPr>
          <w:b/>
          <w:bCs/>
          <w:szCs w:val="20"/>
        </w:rPr>
        <w:t xml:space="preserve">■ </w:t>
      </w:r>
      <w:r w:rsidRPr="00756DA5">
        <w:rPr>
          <w:b/>
          <w:szCs w:val="20"/>
        </w:rPr>
        <w:t>The</w:t>
      </w:r>
      <w:r w:rsidRPr="00756DA5">
        <w:rPr>
          <w:b/>
          <w:szCs w:val="20"/>
        </w:rPr>
        <w:t xml:space="preserve"> use of infrastructure</w:t>
      </w:r>
    </w:p>
    <w:p w:rsidR="006E6BD0" w:rsidRPr="00756DA5" w:rsidP="00423F21">
      <w:pPr>
        <w:keepNext/>
        <w:spacing w:line="280" w:lineRule="exact"/>
        <w:rPr>
          <w:rFonts w:cs="Arial"/>
          <w:szCs w:val="20"/>
        </w:rPr>
      </w:pPr>
      <w:r w:rsidRPr="00756DA5">
        <w:t xml:space="preserve">The derailment that occurred at Sainte-Pazanne station in October 2015 due to a de-shunting incident was the subject of a ‘shunting safety protocol’ developed by SNCF Réseau for precautionary measures. That protocol </w:t>
      </w:r>
      <w:r w:rsidRPr="00756DA5">
        <w:t>is expected to be extended</w:t>
      </w:r>
      <w:r w:rsidRPr="00756DA5">
        <w:t xml:space="preserve"> through longer-term measures that will help to improve the management of de-shunting risks in the design of installations and during their use.</w:t>
      </w:r>
    </w:p>
    <w:p w:rsidR="006E6BD0" w:rsidRPr="00756DA5" w:rsidP="000F19E0">
      <w:pPr>
        <w:spacing w:line="280" w:lineRule="exact"/>
        <w:rPr>
          <w:rFonts w:cs="Arial"/>
          <w:szCs w:val="20"/>
        </w:rPr>
      </w:pPr>
      <w:r w:rsidRPr="00756DA5">
        <w:t xml:space="preserve">The precautionary measures applied in signal box zones and on the line have, on the one hand, focused on strengthening the monitoring of </w:t>
      </w:r>
      <w:r w:rsidRPr="00756DA5">
        <w:rPr>
          <w:color w:val="333333"/>
          <w:szCs w:val="20"/>
        </w:rPr>
        <w:t>wheel/rail</w:t>
      </w:r>
      <w:r w:rsidRPr="00756DA5">
        <w:t xml:space="preserve"> contact isolation factors (oxidation and rail and wheel contamination), and, on the other, have constrained the conditions for the running of rolling stock for which brief and intermittent de-shunting incidents are predictable (train twinning, specific monitoring in signal boxes, etc.).</w:t>
      </w:r>
    </w:p>
    <w:p w:rsidR="006E6BD0" w:rsidRPr="00756DA5" w:rsidP="000F19E0">
      <w:pPr>
        <w:spacing w:line="280" w:lineRule="exact"/>
        <w:rPr>
          <w:rFonts w:cs="Arial"/>
          <w:szCs w:val="20"/>
        </w:rPr>
      </w:pPr>
      <w:r w:rsidRPr="00756DA5">
        <w:t>The uniform implementation of these measures on the RFN shows that they cover de-shunting risk due to oxidation in signal box zones.</w:t>
      </w:r>
    </w:p>
    <w:p w:rsidR="006E6BD0" w:rsidRPr="00756DA5" w:rsidP="000F19E0">
      <w:pPr>
        <w:spacing w:line="280" w:lineRule="exact"/>
        <w:rPr>
          <w:rFonts w:cs="Arial"/>
          <w:szCs w:val="20"/>
        </w:rPr>
      </w:pPr>
      <w:r w:rsidRPr="00756DA5">
        <w:t>The risk of plant contamination or excessive sanding, in particular owing to their spontaneous nature, requires identification of the operating context (infrastructure, tonnage moved, rolling stock, etc.), the causes (dependent on the context or on a specific event) and the environment (industrial, plant, agricultural, climate, etc.) of the de-shunting incidents observed.</w:t>
      </w:r>
    </w:p>
    <w:p w:rsidR="006E6BD0" w:rsidRPr="00756DA5" w:rsidP="000F19E0">
      <w:pPr>
        <w:spacing w:after="0" w:line="280" w:lineRule="exact"/>
        <w:rPr>
          <w:rFonts w:cs="Arial"/>
          <w:szCs w:val="20"/>
        </w:rPr>
      </w:pPr>
      <w:r w:rsidRPr="00756DA5">
        <w:t xml:space="preserve">SNCF Réseau has therefore undertaken a risk analysis on four pilot sites proposing a more detailed definition of the measures to </w:t>
      </w:r>
      <w:r w:rsidRPr="00756DA5">
        <w:t>be taken</w:t>
      </w:r>
      <w:r w:rsidRPr="00756DA5">
        <w:t>. This method makes it possible to characterise lines with respect to de-shunting by taking into account the design characteristics, local factors (environment, rolling stock, traffic) and the assessment of the effectiveness of the safeguards (preventive and protective) in this context.</w:t>
      </w:r>
    </w:p>
    <w:p w:rsidR="006E6BD0" w:rsidRPr="00756DA5" w:rsidP="000F19E0">
      <w:pPr>
        <w:spacing w:line="280" w:lineRule="exact"/>
        <w:rPr>
          <w:rFonts w:cs="Arial"/>
          <w:szCs w:val="20"/>
        </w:rPr>
      </w:pPr>
      <w:r w:rsidRPr="00756DA5">
        <w:t>The developments envisaged and the optimisation of precautionary safety measures should help to ensure a high level of safety while making the transport plan more robust and flexible.</w:t>
      </w:r>
    </w:p>
    <w:p w:rsidR="006E6BD0" w:rsidRPr="00756DA5" w:rsidP="000F19E0">
      <w:pPr>
        <w:spacing w:line="280" w:lineRule="exact"/>
        <w:rPr>
          <w:rFonts w:cs="Arial"/>
          <w:b/>
          <w:szCs w:val="20"/>
        </w:rPr>
      </w:pPr>
      <w:r w:rsidRPr="00756DA5">
        <w:rPr>
          <w:b/>
          <w:bCs/>
          <w:szCs w:val="20"/>
        </w:rPr>
        <w:t xml:space="preserve">■ </w:t>
      </w:r>
      <w:r w:rsidRPr="00756DA5">
        <w:rPr>
          <w:b/>
          <w:szCs w:val="20"/>
        </w:rPr>
        <w:t>Prospective work</w:t>
      </w:r>
    </w:p>
    <w:p w:rsidR="006E6BD0" w:rsidRPr="00756DA5" w:rsidP="000F19E0">
      <w:pPr>
        <w:spacing w:line="280" w:lineRule="exact"/>
        <w:rPr>
          <w:rFonts w:cs="Arial"/>
          <w:szCs w:val="20"/>
        </w:rPr>
      </w:pPr>
      <w:r w:rsidRPr="00756DA5">
        <w:t xml:space="preserve">An agreement between the EPSF, SNCF Réseau, the manufacturers Alstom, Bombardier and Vossloh Locomotives, and the Railenium Technical Research Institute aims at implementing innovative solutions </w:t>
      </w:r>
      <w:r w:rsidRPr="00756DA5">
        <w:t>for reliable train detection by developing new methods of safety assessment, high-performance test facilities and physical models for the analysis of shunting.</w:t>
      </w:r>
    </w:p>
    <w:p w:rsidR="006E6BD0" w:rsidRPr="00756DA5" w:rsidP="000F19E0">
      <w:pPr>
        <w:spacing w:line="280" w:lineRule="exact"/>
        <w:rPr>
          <w:rFonts w:cs="Arial"/>
          <w:szCs w:val="20"/>
        </w:rPr>
      </w:pPr>
      <w:r w:rsidRPr="00756DA5">
        <w:t>In the context of this work, the shunting testing base within the Bar-le-Duc railway testing centre makes it possible to test de-shunting situations in different configurations (e.g. wheel contamination by plants) and the EVAST (vector assessment of the aptitude of trains for shunting) research project, the aim of which is more specifically to develop a method for quantifying the aptitude for shunting, is ongoing.</w:t>
      </w:r>
    </w:p>
    <w:p w:rsidR="006E6BD0" w:rsidRPr="00756DA5" w:rsidP="000F19E0">
      <w:pPr>
        <w:spacing w:line="280" w:lineRule="exact"/>
        <w:rPr>
          <w:rFonts w:cs="Arial"/>
          <w:szCs w:val="20"/>
        </w:rPr>
      </w:pPr>
      <w:bookmarkStart w:id="70" w:name="_Hlk522896886"/>
      <w:r w:rsidRPr="00756DA5">
        <w:t>SNCF Réseau is also developing a study to simplify the recognition of the aptitude for shunting of rolling stock. It is based on the characterisation and demonstration of the effectiveness of the significant components of shunting: the electrical continuity of axles, the shunting assistance devices in response to low oxidation (inductive loop, etc.) or to wheel contamination (scrubbers, etc.), and sanding control. This approach could make it possible to deliver rolling stock fitted with this equipment and to validate its aptitude for shunting with testing in service, as is current practice.</w:t>
      </w:r>
    </w:p>
    <w:p w:rsidR="00256CBC" w:rsidRPr="00756DA5" w:rsidP="00C55570">
      <w:pPr>
        <w:pStyle w:val="Heading2"/>
        <w:numPr>
          <w:ilvl w:val="1"/>
          <w:numId w:val="12"/>
        </w:numPr>
        <w:rPr>
          <w:rFonts w:cs="Arial"/>
          <w:szCs w:val="20"/>
        </w:rPr>
      </w:pPr>
      <w:bookmarkStart w:id="71" w:name="_Toc494469629"/>
      <w:bookmarkStart w:id="72" w:name="_Toc533153877"/>
      <w:bookmarkEnd w:id="70"/>
      <w:r w:rsidRPr="00756DA5">
        <w:t>The recommendations of the BEA-TT</w:t>
      </w:r>
      <w:bookmarkEnd w:id="71"/>
      <w:bookmarkEnd w:id="72"/>
    </w:p>
    <w:p w:rsidR="00CD62BB" w:rsidRPr="00756DA5" w:rsidP="00CD62BB">
      <w:pPr>
        <w:spacing w:after="2400" w:afterLines="1000" w:line="280" w:lineRule="exact"/>
        <w:contextualSpacing/>
        <w:rPr>
          <w:rFonts w:cs="Arial"/>
          <w:b/>
          <w:szCs w:val="20"/>
        </w:rPr>
      </w:pPr>
      <w:bookmarkStart w:id="73" w:name="_Hlk486524554"/>
      <w:r w:rsidRPr="00756DA5">
        <w:br/>
      </w:r>
      <w:r w:rsidRPr="00756DA5">
        <w:rPr>
          <w:b/>
          <w:bCs/>
          <w:szCs w:val="20"/>
        </w:rPr>
        <w:t xml:space="preserve">■ </w:t>
      </w:r>
      <w:r w:rsidRPr="00756DA5">
        <w:rPr>
          <w:b/>
          <w:szCs w:val="20"/>
        </w:rPr>
        <w:t>The</w:t>
      </w:r>
      <w:r w:rsidRPr="00756DA5">
        <w:rPr>
          <w:b/>
          <w:szCs w:val="20"/>
        </w:rPr>
        <w:t xml:space="preserve"> regulatory context</w:t>
      </w:r>
    </w:p>
    <w:p w:rsidR="00CD62BB" w:rsidRPr="00756DA5" w:rsidP="00CD62BB">
      <w:pPr>
        <w:spacing w:after="2400" w:afterLines="1000" w:line="280" w:lineRule="exact"/>
        <w:contextualSpacing/>
        <w:rPr>
          <w:rFonts w:cs="Arial"/>
          <w:szCs w:val="20"/>
        </w:rPr>
      </w:pPr>
      <w:bookmarkEnd w:id="73"/>
      <w:r w:rsidRPr="00756DA5">
        <w:t>In accordance with Article 2 of Decree No 2006-369</w:t>
      </w:r>
      <w:r>
        <w:rPr>
          <w:rStyle w:val="FootnoteReference"/>
          <w:rFonts w:cs="Arial"/>
          <w:szCs w:val="20"/>
        </w:rPr>
        <w:footnoteReference w:id="7"/>
      </w:r>
      <w:r w:rsidRPr="00756DA5">
        <w:t xml:space="preserve">, the measures taken by railway actors in response to the recommendations issued to them by the BEA-TT </w:t>
      </w:r>
      <w:r w:rsidRPr="00756DA5">
        <w:t>are monitored</w:t>
      </w:r>
      <w:r w:rsidRPr="00756DA5">
        <w:t xml:space="preserve"> by the EPSF. The implementation of these measures contributes to the maintenance and improvement of </w:t>
      </w:r>
      <w:r w:rsidRPr="00756DA5">
        <w:t>railway traffic safety levels</w:t>
      </w:r>
      <w:r w:rsidRPr="00756DA5">
        <w:t xml:space="preserve"> on the RFN and the networks with comparable operating characteristics. In this context, </w:t>
      </w:r>
      <w:bookmarkStart w:id="74" w:name="_Hlk494881445"/>
      <w:r w:rsidRPr="00756DA5">
        <w:t>the EPSF includes in its annual monitoring programme regular dedicated progress meetings with these actors, and targeted checks to check on the effectiveness of the actions that they have undertaken to implement.</w:t>
      </w:r>
      <w:bookmarkEnd w:id="74"/>
    </w:p>
    <w:p w:rsidR="005B2C50" w:rsidRPr="00756DA5" w:rsidP="00CD62BB">
      <w:pPr>
        <w:spacing w:after="2400" w:afterLines="1000" w:line="280" w:lineRule="exact"/>
        <w:contextualSpacing/>
        <w:rPr>
          <w:rFonts w:cs="Arial"/>
          <w:szCs w:val="20"/>
        </w:rPr>
      </w:pPr>
    </w:p>
    <w:p w:rsidR="00CD62BB" w:rsidRPr="00756DA5" w:rsidP="00CD62BB">
      <w:pPr>
        <w:spacing w:after="2400" w:afterLines="1000" w:line="280" w:lineRule="exact"/>
        <w:contextualSpacing/>
        <w:rPr>
          <w:rFonts w:cs="Arial"/>
          <w:b/>
          <w:szCs w:val="20"/>
        </w:rPr>
      </w:pPr>
      <w:r w:rsidRPr="00756DA5">
        <w:rPr>
          <w:b/>
          <w:bCs/>
          <w:szCs w:val="20"/>
        </w:rPr>
        <w:t xml:space="preserve">■ </w:t>
      </w:r>
      <w:r w:rsidRPr="00756DA5">
        <w:rPr>
          <w:b/>
          <w:szCs w:val="20"/>
        </w:rPr>
        <w:t>Investigations launched in 2017</w:t>
      </w:r>
    </w:p>
    <w:p w:rsidR="00CD62BB" w:rsidRPr="00756DA5" w:rsidP="00CD62BB">
      <w:pPr>
        <w:spacing w:after="0" w:line="280" w:lineRule="exact"/>
        <w:rPr>
          <w:rFonts w:cs="Arial"/>
          <w:szCs w:val="20"/>
        </w:rPr>
      </w:pPr>
      <w:r w:rsidRPr="00756DA5">
        <w:t>In 2017, the BEA-TT launched four investigations that concern:</w:t>
      </w:r>
    </w:p>
    <w:p w:rsidR="00CD62BB" w:rsidRPr="00756DA5" w:rsidP="00054DA8">
      <w:pPr>
        <w:pStyle w:val="ListParagraph"/>
        <w:numPr>
          <w:ilvl w:val="0"/>
          <w:numId w:val="15"/>
        </w:numPr>
        <w:spacing w:after="2400" w:afterLines="1000" w:line="280" w:lineRule="exact"/>
        <w:rPr>
          <w:rFonts w:cs="Arial"/>
          <w:szCs w:val="20"/>
        </w:rPr>
      </w:pPr>
      <w:r w:rsidRPr="00756DA5">
        <w:t>the derailment of three wagons loaded with ethanol at the entrance of the marshalling yard in Sibelin (Rhône) on 13 March 2017;</w:t>
      </w:r>
    </w:p>
    <w:p w:rsidR="00CD62BB" w:rsidRPr="00756DA5" w:rsidP="00054DA8">
      <w:pPr>
        <w:pStyle w:val="ListParagraph"/>
        <w:numPr>
          <w:ilvl w:val="0"/>
          <w:numId w:val="15"/>
        </w:numPr>
        <w:spacing w:after="2400" w:afterLines="1000" w:line="280" w:lineRule="exact"/>
        <w:rPr>
          <w:rFonts w:cs="Arial"/>
          <w:szCs w:val="20"/>
        </w:rPr>
      </w:pPr>
      <w:r w:rsidRPr="00756DA5">
        <w:t>the near-rear-end collision between two TER regional express trains in Sausset-les-Pins (Bouches-du-Rhône) on 18 August 2017;</w:t>
      </w:r>
    </w:p>
    <w:p w:rsidR="000354BB" w:rsidRPr="00756DA5" w:rsidP="000354BB">
      <w:pPr>
        <w:pStyle w:val="ListParagraph"/>
        <w:numPr>
          <w:ilvl w:val="0"/>
          <w:numId w:val="15"/>
        </w:numPr>
        <w:spacing w:after="2400" w:afterLines="1000" w:line="280" w:lineRule="exact"/>
        <w:rPr>
          <w:rFonts w:cs="Arial"/>
          <w:szCs w:val="20"/>
        </w:rPr>
      </w:pPr>
      <w:r w:rsidRPr="00756DA5">
        <w:t>the collision between a TER regional express train and a car on LC No 8 in Bonneville-sur-Touques (Calvados) on 2 November 2017;</w:t>
      </w:r>
    </w:p>
    <w:p w:rsidR="000354BB" w:rsidRPr="00756DA5" w:rsidP="00CD62BB">
      <w:pPr>
        <w:pStyle w:val="ListParagraph"/>
        <w:numPr>
          <w:ilvl w:val="0"/>
          <w:numId w:val="15"/>
        </w:numPr>
        <w:spacing w:after="2400" w:afterLines="1000" w:line="280" w:lineRule="exact"/>
        <w:rPr>
          <w:rFonts w:cs="Arial"/>
          <w:b/>
          <w:szCs w:val="20"/>
        </w:rPr>
      </w:pPr>
      <w:r w:rsidRPr="00756DA5">
        <w:t>the</w:t>
      </w:r>
      <w:r w:rsidRPr="00756DA5">
        <w:t xml:space="preserve"> collision between a TER regional express train and school coach on LC No 25 in Millas (Pyrénées Orientales) on 14 December 2017.</w:t>
      </w:r>
    </w:p>
    <w:p w:rsidR="000354BB" w:rsidRPr="00756DA5" w:rsidP="000354BB">
      <w:pPr>
        <w:pStyle w:val="ListParagraph"/>
        <w:spacing w:after="2400" w:afterLines="1000" w:line="280" w:lineRule="exact"/>
        <w:rPr>
          <w:rFonts w:cs="Arial"/>
          <w:b/>
          <w:szCs w:val="20"/>
        </w:rPr>
      </w:pPr>
    </w:p>
    <w:p w:rsidR="000354BB" w:rsidRPr="00756DA5" w:rsidP="000354BB">
      <w:pPr>
        <w:pStyle w:val="ListParagraph"/>
        <w:spacing w:after="2400" w:afterLines="1000" w:line="280" w:lineRule="exact"/>
        <w:ind w:left="142" w:hanging="142"/>
        <w:rPr>
          <w:rFonts w:cs="Arial"/>
          <w:b/>
          <w:szCs w:val="20"/>
        </w:rPr>
      </w:pPr>
      <w:r w:rsidRPr="00756DA5">
        <w:rPr>
          <w:b/>
          <w:bCs/>
          <w:szCs w:val="20"/>
        </w:rPr>
        <w:t xml:space="preserve">■ </w:t>
      </w:r>
      <w:r w:rsidRPr="00756DA5">
        <w:rPr>
          <w:b/>
          <w:szCs w:val="20"/>
        </w:rPr>
        <w:t>Reports published in 2017</w:t>
      </w:r>
    </w:p>
    <w:p w:rsidR="00CD62BB" w:rsidRPr="00756DA5" w:rsidP="000354BB">
      <w:pPr>
        <w:pStyle w:val="ListParagraph"/>
        <w:spacing w:after="2400" w:afterLines="1000" w:line="280" w:lineRule="exact"/>
        <w:ind w:left="142" w:hanging="142"/>
        <w:rPr>
          <w:rFonts w:cs="Arial"/>
          <w:b/>
          <w:szCs w:val="20"/>
        </w:rPr>
      </w:pPr>
      <w:r w:rsidRPr="00756DA5">
        <w:t xml:space="preserve">Three investigation reports </w:t>
      </w:r>
      <w:r w:rsidRPr="00756DA5">
        <w:t>were published</w:t>
      </w:r>
      <w:r w:rsidRPr="00756DA5">
        <w:t xml:space="preserve"> in 2017. They relate </w:t>
      </w:r>
      <w:r w:rsidRPr="00756DA5">
        <w:t>to</w:t>
      </w:r>
      <w:r w:rsidRPr="00756DA5">
        <w:t>:</w:t>
      </w:r>
    </w:p>
    <w:p w:rsidR="00CD62BB" w:rsidRPr="00756DA5" w:rsidP="00054DA8">
      <w:pPr>
        <w:pStyle w:val="ListParagraph"/>
        <w:numPr>
          <w:ilvl w:val="0"/>
          <w:numId w:val="15"/>
        </w:numPr>
        <w:spacing w:after="2400" w:afterLines="1000" w:line="280" w:lineRule="exact"/>
        <w:rPr>
          <w:rFonts w:cs="Arial"/>
          <w:szCs w:val="20"/>
        </w:rPr>
      </w:pPr>
      <w:r w:rsidRPr="00756DA5">
        <w:t>Sainte-Pazanne: on 12 October 2015, a TER regional express train running between Saint Gilles Croix de Vie and Nantes derailed, at low speed, at a switch located at the entrance to the station. There were no victims and there was limited material damage.</w:t>
      </w:r>
    </w:p>
    <w:p w:rsidR="00CD62BB" w:rsidRPr="00756DA5" w:rsidP="00054DA8">
      <w:pPr>
        <w:pStyle w:val="ListParagraph"/>
        <w:numPr>
          <w:ilvl w:val="0"/>
          <w:numId w:val="15"/>
        </w:numPr>
        <w:spacing w:after="2400" w:afterLines="1000" w:line="280" w:lineRule="exact"/>
        <w:rPr>
          <w:rFonts w:cs="Arial"/>
          <w:szCs w:val="20"/>
        </w:rPr>
      </w:pPr>
      <w:r w:rsidRPr="00756DA5">
        <w:t>Eckwersheim: on 14 November 2015, a train performing approval testing of the East European high-speed line derailed. Of the 53 people on board, 11 died and 21 were seriously injured.</w:t>
      </w:r>
    </w:p>
    <w:p w:rsidR="00CD62BB" w:rsidRPr="00756DA5" w:rsidP="00054DA8">
      <w:pPr>
        <w:pStyle w:val="ListParagraph"/>
        <w:numPr>
          <w:ilvl w:val="0"/>
          <w:numId w:val="15"/>
        </w:numPr>
        <w:spacing w:after="2400" w:afterLines="1000" w:line="280" w:lineRule="exact"/>
        <w:rPr>
          <w:rFonts w:cs="Arial"/>
          <w:szCs w:val="20"/>
        </w:rPr>
      </w:pPr>
      <w:r w:rsidRPr="00756DA5">
        <w:t>Jonzac: on 13 December 2016 and the following days, 13 rail fractures were found following the passage of a train with large flats on two wheels of a wagon axle.</w:t>
      </w:r>
    </w:p>
    <w:p w:rsidR="00CD62BB" w:rsidRPr="00756DA5" w:rsidP="00CD62BB">
      <w:pPr>
        <w:pStyle w:val="ListParagraph"/>
        <w:spacing w:after="0" w:line="280" w:lineRule="exact"/>
        <w:ind w:left="0"/>
        <w:contextualSpacing w:val="0"/>
        <w:rPr>
          <w:rFonts w:cs="Arial"/>
          <w:szCs w:val="20"/>
        </w:rPr>
      </w:pPr>
    </w:p>
    <w:p w:rsidR="00CD62BB" w:rsidRPr="00756DA5" w:rsidP="00CD62BB">
      <w:pPr>
        <w:spacing w:after="2400" w:afterLines="1000" w:line="280" w:lineRule="exact"/>
        <w:contextualSpacing/>
        <w:rPr>
          <w:rFonts w:cs="Arial"/>
          <w:szCs w:val="20"/>
        </w:rPr>
      </w:pPr>
      <w:r w:rsidRPr="00756DA5">
        <w:t xml:space="preserve">These three investigations prompted the BEA-TT to make </w:t>
      </w:r>
      <w:r w:rsidRPr="00756DA5">
        <w:t>a total of 14</w:t>
      </w:r>
      <w:r w:rsidRPr="00756DA5">
        <w:t xml:space="preserve"> recommendations. The recommendations primarily concern the organisation of testing, the improvement of employee training, </w:t>
      </w:r>
      <w:r w:rsidRPr="00756DA5">
        <w:t>infrastructure and rolling stock with, among other things, the installation of equipment to record conversations on board test trains.</w:t>
      </w:r>
    </w:p>
    <w:p w:rsidR="008D1647" w:rsidRPr="00756DA5" w:rsidP="00CD62BB">
      <w:pPr>
        <w:spacing w:after="2400" w:afterLines="1000" w:line="280" w:lineRule="exact"/>
        <w:contextualSpacing/>
        <w:rPr>
          <w:rFonts w:cs="Arial"/>
          <w:szCs w:val="20"/>
        </w:rPr>
      </w:pPr>
    </w:p>
    <w:p w:rsidR="00CD62BB" w:rsidRPr="00756DA5" w:rsidP="00CD62BB">
      <w:pPr>
        <w:spacing w:after="2400" w:afterLines="1000" w:line="280" w:lineRule="exact"/>
        <w:contextualSpacing/>
        <w:rPr>
          <w:rFonts w:cs="Arial"/>
          <w:b/>
          <w:szCs w:val="20"/>
        </w:rPr>
      </w:pPr>
      <w:r w:rsidRPr="00756DA5">
        <w:rPr>
          <w:b/>
          <w:bCs/>
          <w:szCs w:val="20"/>
        </w:rPr>
        <w:t xml:space="preserve">■ </w:t>
      </w:r>
      <w:r w:rsidRPr="00756DA5">
        <w:rPr>
          <w:b/>
          <w:szCs w:val="20"/>
        </w:rPr>
        <w:t>Follow-up status of recommendations</w:t>
      </w:r>
    </w:p>
    <w:p w:rsidR="00CD62BB" w:rsidRPr="00756DA5" w:rsidP="00CD62BB">
      <w:pPr>
        <w:spacing w:after="2400" w:afterLines="1000" w:line="280" w:lineRule="exact"/>
        <w:contextualSpacing/>
        <w:rPr>
          <w:rFonts w:cs="Arial"/>
          <w:b/>
          <w:szCs w:val="20"/>
        </w:rPr>
      </w:pPr>
    </w:p>
    <w:p w:rsidR="00CD62BB" w:rsidRPr="00756DA5" w:rsidP="00CD62BB">
      <w:pPr>
        <w:spacing w:after="2400" w:afterLines="1000" w:line="280" w:lineRule="exact"/>
        <w:contextualSpacing/>
        <w:rPr>
          <w:rFonts w:cs="Arial"/>
          <w:szCs w:val="20"/>
        </w:rPr>
      </w:pPr>
      <w:r w:rsidRPr="00756DA5">
        <w:t>The graph below shows the status of the 169 recommendations issued to railway sector actors by the BEA-TT since 2006. Annex 3 to this annual safety report shows the progress made in 2017 in the implementation of these recommendations.</w:t>
      </w:r>
    </w:p>
    <w:p w:rsidR="00CD62BB" w:rsidRPr="00756DA5" w:rsidP="00CD62BB">
      <w:pPr>
        <w:spacing w:after="2400" w:afterLines="1000" w:line="280" w:lineRule="exact"/>
        <w:contextualSpacing/>
        <w:rPr>
          <w:rFonts w:cs="Arial"/>
          <w:szCs w:val="20"/>
        </w:rPr>
      </w:pPr>
    </w:p>
    <w:p w:rsidR="00CD62BB" w:rsidRPr="00756DA5" w:rsidP="00CD62BB">
      <w:pPr>
        <w:spacing w:before="120" w:after="120" w:line="240" w:lineRule="atLeast"/>
        <w:jc w:val="center"/>
        <w:rPr>
          <w:rFonts w:cs="Arial"/>
          <w:szCs w:val="20"/>
        </w:rPr>
      </w:pPr>
      <w:r w:rsidRPr="00756DA5">
        <w:rPr>
          <w:noProof/>
          <w:lang w:val="fr-FR" w:eastAsia="fr-FR"/>
        </w:rPr>
        <w:drawing>
          <wp:inline distT="0" distB="0" distL="0" distR="0">
            <wp:extent cx="3352800" cy="2600326"/>
            <wp:effectExtent l="0" t="0" r="0" b="0"/>
            <wp:docPr id="23" name="Graphique 23">
              <a:extLst xmlns:a="http://schemas.openxmlformats.org/drawingml/2006/main">
                <a:ext xmlns:a="http://schemas.openxmlformats.org/drawingml/2006/main" uri="{FF2B5EF4-FFF2-40B4-BE49-F238E27FC236}">
                  <a16:creationId xmlns:a16="http://schemas.microsoft.com/office/drawing/2014/main" id="{537516D2-114B-43AC-9937-FA6D6E019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9062" w:type="dxa"/>
        <w:tblLook w:val="04A0"/>
      </w:tblPr>
      <w:tblGrid>
        <w:gridCol w:w="4531"/>
        <w:gridCol w:w="4531"/>
      </w:tblGrid>
      <w:tr w:rsidTr="00350E1F">
        <w:tblPrEx>
          <w:tblW w:w="9062" w:type="dxa"/>
          <w:tblLook w:val="04A0"/>
        </w:tblPrEx>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État des recommandations adressées aux acteurs ferroviaires depuis 2006 au 31/12/2017</w:t>
            </w:r>
          </w:p>
        </w:tc>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Status of recommendations issued to railway actors since 2006 as at 31/12/2017</w:t>
            </w:r>
          </w:p>
        </w:tc>
      </w:tr>
      <w:tr w:rsidTr="00350E1F">
        <w:tblPrEx>
          <w:tblW w:w="9062" w:type="dxa"/>
          <w:tblLook w:val="04A0"/>
        </w:tblPrEx>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Ouvertes</w:t>
            </w:r>
          </w:p>
        </w:tc>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Open</w:t>
            </w:r>
          </w:p>
        </w:tc>
      </w:tr>
      <w:tr w:rsidTr="00350E1F">
        <w:tblPrEx>
          <w:tblW w:w="9062" w:type="dxa"/>
          <w:tblLook w:val="04A0"/>
        </w:tblPrEx>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Closes</w:t>
            </w:r>
          </w:p>
        </w:tc>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Closed</w:t>
            </w:r>
          </w:p>
        </w:tc>
      </w:tr>
    </w:tbl>
    <w:p w:rsidR="00350E1F" w:rsidRPr="00756DA5" w:rsidP="00350E1F">
      <w:pPr>
        <w:spacing w:after="0" w:line="240" w:lineRule="atLeast"/>
        <w:jc w:val="center"/>
        <w:rPr>
          <w:rFonts w:cs="Arial"/>
          <w:szCs w:val="20"/>
        </w:rPr>
      </w:pPr>
    </w:p>
    <w:p w:rsidR="00CD62BB" w:rsidRPr="00756DA5" w:rsidP="00CD62BB">
      <w:pPr>
        <w:spacing w:line="280" w:lineRule="exact"/>
        <w:rPr>
          <w:rFonts w:cs="Arial"/>
          <w:szCs w:val="20"/>
        </w:rPr>
      </w:pPr>
      <w:r w:rsidRPr="00756DA5">
        <w:t>At the end of 2017, 42 recommendations remained open, i.e. just under 28 % of the recommendations issued. This result is an improvement compared to previous years with 32 % and 33 % of recommendations being open at the end of 2016 and 2015 respectively.</w:t>
      </w:r>
    </w:p>
    <w:p w:rsidR="00CD62BB" w:rsidRPr="00756DA5" w:rsidP="00CD62BB">
      <w:pPr>
        <w:spacing w:line="280" w:lineRule="exact"/>
        <w:rPr>
          <w:rFonts w:cs="Arial"/>
          <w:szCs w:val="20"/>
        </w:rPr>
      </w:pPr>
      <w:r w:rsidRPr="00756DA5">
        <w:t xml:space="preserve">The efforts made by all actors to accelerate the implementation of the recommendations of the BEA-TT are therefore gradually bearing fruit. This </w:t>
      </w:r>
      <w:r w:rsidRPr="00756DA5">
        <w:t>is also reflected</w:t>
      </w:r>
      <w:r w:rsidRPr="00756DA5">
        <w:t xml:space="preserve"> by actors’ more specific commitments regarding the timeframes for implementing their actions. Thus, at the end of 2017, 70 % of the actions undertaken had a timetable for implementation compared to less than 60 % at the end of 2016. This leaves 16 actions out of 52 without a timeframe for implementation (see graph below).</w:t>
      </w:r>
    </w:p>
    <w:p w:rsidR="00CD62BB" w:rsidRPr="00756DA5" w:rsidP="00CD62BB">
      <w:pPr>
        <w:spacing w:before="120" w:after="120" w:line="280" w:lineRule="atLeast"/>
        <w:rPr>
          <w:rFonts w:cs="Arial"/>
          <w:szCs w:val="20"/>
        </w:rPr>
      </w:pPr>
    </w:p>
    <w:p w:rsidR="008D1647" w:rsidRPr="00756DA5" w:rsidP="00CD62BB">
      <w:pPr>
        <w:spacing w:before="120" w:after="120" w:line="280" w:lineRule="atLeast"/>
        <w:jc w:val="center"/>
        <w:rPr>
          <w:rFonts w:cs="Arial"/>
          <w:szCs w:val="20"/>
        </w:rPr>
      </w:pPr>
      <w:r w:rsidRPr="00756DA5">
        <w:rPr>
          <w:noProof/>
          <w:lang w:val="fr-FR" w:eastAsia="fr-FR"/>
        </w:rPr>
        <w:drawing>
          <wp:inline distT="0" distB="0" distL="0" distR="0">
            <wp:extent cx="3352800" cy="3009901"/>
            <wp:effectExtent l="0" t="0" r="0" b="0"/>
            <wp:docPr id="27" name="Graphique 27">
              <a:extLst xmlns:a="http://schemas.openxmlformats.org/drawingml/2006/main">
                <a:ext xmlns:a="http://schemas.openxmlformats.org/drawingml/2006/main"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9062" w:type="dxa"/>
        <w:tblLook w:val="04A0"/>
      </w:tblPr>
      <w:tblGrid>
        <w:gridCol w:w="4531"/>
        <w:gridCol w:w="4531"/>
      </w:tblGrid>
      <w:tr w:rsidTr="00350E1F">
        <w:tblPrEx>
          <w:tblW w:w="9062" w:type="dxa"/>
          <w:tblLook w:val="04A0"/>
        </w:tblPrEx>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Nombre d’actions avec ou sans date cible au 31/12/2017</w:t>
            </w:r>
          </w:p>
        </w:tc>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Number of actions with or without a target date as at 31/12/2017</w:t>
            </w:r>
          </w:p>
        </w:tc>
      </w:tr>
      <w:tr w:rsidTr="00350E1F">
        <w:tblPrEx>
          <w:tblW w:w="9062" w:type="dxa"/>
          <w:tblLook w:val="04A0"/>
        </w:tblPrEx>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Actions avec dates cibles</w:t>
            </w:r>
          </w:p>
        </w:tc>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Actions with target dates</w:t>
            </w:r>
          </w:p>
        </w:tc>
      </w:tr>
      <w:tr w:rsidTr="00350E1F">
        <w:tblPrEx>
          <w:tblW w:w="9062" w:type="dxa"/>
          <w:tblLook w:val="04A0"/>
        </w:tblPrEx>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Actions sans dates cibles</w:t>
            </w:r>
          </w:p>
        </w:tc>
        <w:tc>
          <w:tcPr>
            <w:tcW w:w="4531" w:type="dxa"/>
          </w:tcPr>
          <w:p w:rsidR="00350E1F" w:rsidRPr="00756DA5" w:rsidP="00350E1F">
            <w:pPr>
              <w:jc w:val="left"/>
              <w:rPr>
                <w:rFonts w:cs="Arial"/>
                <w:sz w:val="18"/>
                <w:szCs w:val="18"/>
                <w:shd w:val="clear" w:color="auto" w:fill="FFFFFF"/>
              </w:rPr>
            </w:pPr>
            <w:r w:rsidRPr="00756DA5">
              <w:rPr>
                <w:sz w:val="18"/>
                <w:szCs w:val="18"/>
                <w:shd w:val="clear" w:color="auto" w:fill="FFFFFF"/>
              </w:rPr>
              <w:t>Actions without target dates</w:t>
            </w:r>
          </w:p>
        </w:tc>
      </w:tr>
    </w:tbl>
    <w:p w:rsidR="00350E1F" w:rsidRPr="00756DA5" w:rsidP="00350E1F">
      <w:pPr>
        <w:spacing w:after="0" w:line="280" w:lineRule="atLeast"/>
        <w:jc w:val="center"/>
        <w:rPr>
          <w:rFonts w:cs="Arial"/>
          <w:szCs w:val="20"/>
        </w:rPr>
      </w:pPr>
    </w:p>
    <w:p w:rsidR="00CD62BB" w:rsidRPr="00756DA5" w:rsidP="00FC2EBB">
      <w:pPr>
        <w:spacing w:after="0" w:line="280" w:lineRule="exact"/>
        <w:rPr>
          <w:rFonts w:cs="Arial"/>
          <w:b/>
          <w:szCs w:val="20"/>
        </w:rPr>
      </w:pPr>
      <w:r w:rsidRPr="00756DA5">
        <w:rPr>
          <w:b/>
          <w:bCs/>
          <w:szCs w:val="20"/>
        </w:rPr>
        <w:t xml:space="preserve">■ </w:t>
      </w:r>
      <w:r w:rsidRPr="00756DA5">
        <w:rPr>
          <w:b/>
          <w:szCs w:val="20"/>
        </w:rPr>
        <w:t>Key progress resulting from the implementation of recommendations</w:t>
      </w:r>
    </w:p>
    <w:p w:rsidR="00CD62BB" w:rsidRPr="00756DA5" w:rsidP="00FC2EBB">
      <w:pPr>
        <w:spacing w:before="200" w:after="0" w:line="280" w:lineRule="exact"/>
        <w:rPr>
          <w:rFonts w:cs="Arial"/>
          <w:szCs w:val="20"/>
        </w:rPr>
      </w:pPr>
      <w:r w:rsidRPr="00756DA5">
        <w:t>The significant progress achieved during the year through the implementation of BEA-TT recommendations include, in qualitative terms:</w:t>
      </w:r>
    </w:p>
    <w:p w:rsidR="00CD62BB" w:rsidRPr="00756DA5" w:rsidP="00054DA8">
      <w:pPr>
        <w:pStyle w:val="ListParagraph"/>
        <w:numPr>
          <w:ilvl w:val="0"/>
          <w:numId w:val="15"/>
        </w:numPr>
        <w:spacing w:after="480" w:afterLines="200" w:line="280" w:lineRule="exact"/>
        <w:rPr>
          <w:rFonts w:cs="Arial"/>
          <w:szCs w:val="20"/>
        </w:rPr>
      </w:pPr>
      <w:r w:rsidRPr="00756DA5">
        <w:t xml:space="preserve">The implementation of actions in response to the six recommendations issued following the derailment of a train performing approval testing of the East European high-speed line on 14 November 2015 in the municipality of Eckwersheim. These actions concerned standards, organisation, </w:t>
      </w:r>
      <w:r w:rsidRPr="00756DA5">
        <w:t>the</w:t>
      </w:r>
      <w:r w:rsidRPr="00756DA5">
        <w:t xml:space="preserve"> competence of employees, tools and the recording of exchanges.</w:t>
      </w:r>
    </w:p>
    <w:p w:rsidR="00CD62BB" w:rsidRPr="00756DA5" w:rsidP="00054DA8">
      <w:pPr>
        <w:pStyle w:val="ListParagraph"/>
        <w:numPr>
          <w:ilvl w:val="0"/>
          <w:numId w:val="15"/>
        </w:numPr>
        <w:spacing w:after="480" w:afterLines="200" w:line="280" w:lineRule="exact"/>
        <w:rPr>
          <w:rFonts w:cs="Arial"/>
          <w:szCs w:val="20"/>
        </w:rPr>
      </w:pPr>
      <w:r w:rsidRPr="00756DA5">
        <w:t>The revision of the procedure for the cleaning of rails to remove contaminants of any kind that could accumulate on the tread, to limit the risks of slipping/locking and de-shunting. This action is a response to BEA-TT recommendation R2 following the derailment, on 12 October 2015, of a TER regional express train at low speed at a switch located at the entrance to Sainte-Pazanne station.</w:t>
      </w:r>
    </w:p>
    <w:p w:rsidR="00CD62BB" w:rsidRPr="00756DA5" w:rsidP="00533AA1">
      <w:pPr>
        <w:pStyle w:val="ListParagraph"/>
        <w:numPr>
          <w:ilvl w:val="0"/>
          <w:numId w:val="15"/>
        </w:numPr>
        <w:spacing w:after="0" w:line="280" w:lineRule="exact"/>
        <w:rPr>
          <w:rFonts w:cs="Arial"/>
          <w:szCs w:val="20"/>
        </w:rPr>
      </w:pPr>
      <w:r w:rsidRPr="00756DA5">
        <w:t xml:space="preserve">In terms of infrastructure maintenance, SNCF Réseau’s internal instructions relating to the principle of the deployment of new models of bolted assemblies throughout the network </w:t>
      </w:r>
      <w:r w:rsidRPr="00756DA5">
        <w:t>have been published</w:t>
      </w:r>
      <w:r w:rsidRPr="00756DA5">
        <w:t xml:space="preserve">. This action is a response to recommendation No 1 of the BEA-TT investigation report following the Brétigny-sur-Orge derailment that occurred on 12 July 2013. The three recommendations in the progress report relating to bolted assemblies and the monitoring of switches and crossings are therefore closed. Significant progress </w:t>
      </w:r>
      <w:r w:rsidRPr="00756DA5">
        <w:t>has also been noted</w:t>
      </w:r>
      <w:r w:rsidRPr="00756DA5">
        <w:t xml:space="preserve"> on the three additional recommendations in the final report, concerning the management of the average age of the network, the supervision of maintenance teams and the monitoring of the actual condition of equipment.</w:t>
      </w:r>
    </w:p>
    <w:p w:rsidR="00C04344" w:rsidRPr="00756DA5" w:rsidP="00C04344">
      <w:pPr>
        <w:pStyle w:val="ListParagraph"/>
        <w:spacing w:after="0" w:line="280" w:lineRule="exact"/>
        <w:rPr>
          <w:rFonts w:cs="Arial"/>
          <w:szCs w:val="20"/>
        </w:rPr>
      </w:pPr>
    </w:p>
    <w:p w:rsidR="00256CBC" w:rsidRPr="00756DA5" w:rsidP="00224AE9">
      <w:pPr>
        <w:pStyle w:val="Heading2"/>
        <w:numPr>
          <w:ilvl w:val="1"/>
          <w:numId w:val="12"/>
        </w:numPr>
        <w:spacing w:after="200"/>
        <w:rPr>
          <w:rFonts w:cs="Arial"/>
        </w:rPr>
      </w:pPr>
      <w:bookmarkStart w:id="75" w:name="_Toc494469630"/>
      <w:bookmarkStart w:id="76" w:name="_Toc533153878"/>
      <w:r w:rsidRPr="00756DA5">
        <w:t>Feedback in 201</w:t>
      </w:r>
      <w:bookmarkEnd w:id="75"/>
      <w:r w:rsidRPr="00756DA5">
        <w:t>7</w:t>
      </w:r>
      <w:bookmarkEnd w:id="76"/>
    </w:p>
    <w:p w:rsidR="00F339A2" w:rsidRPr="00756DA5" w:rsidP="009455CD">
      <w:pPr>
        <w:spacing w:line="280" w:lineRule="exact"/>
        <w:rPr>
          <w:rFonts w:cs="Arial"/>
          <w:szCs w:val="20"/>
        </w:rPr>
      </w:pPr>
      <w:bookmarkStart w:id="77" w:name="_Hlk490823116"/>
      <w:r w:rsidRPr="00756DA5">
        <w:t>Feedback is one of the pillars of mechanisms for continuous improvement contributing to maintaining and even improving safety levels. This applies to both the railway system and to other fields in which safety issues exist.</w:t>
      </w:r>
    </w:p>
    <w:p w:rsidR="00F339A2" w:rsidRPr="00756DA5" w:rsidP="009455CD">
      <w:pPr>
        <w:spacing w:line="280" w:lineRule="exact"/>
        <w:rPr>
          <w:rFonts w:cs="Arial"/>
          <w:szCs w:val="20"/>
        </w:rPr>
      </w:pPr>
      <w:r w:rsidRPr="00756DA5">
        <w:t>Thus, Article 9 (Safety management systems) of Directive (EU) 2016/798 of the European Parliament and of the Council of 11 May 2016 on railway safety provides that these systems established by railway undertakings and infrastructure managers should include, in terms of feedback, procedures to ensure that safety events are reported, investigated and analysed with a view to preventive measures being taken to prevent them from reoccurring.</w:t>
      </w:r>
    </w:p>
    <w:p w:rsidR="00F339A2" w:rsidRPr="00756DA5" w:rsidP="00E41E54">
      <w:pPr>
        <w:spacing w:after="0" w:line="280" w:lineRule="exact"/>
        <w:rPr>
          <w:rFonts w:cs="Arial"/>
          <w:szCs w:val="20"/>
        </w:rPr>
      </w:pPr>
      <w:r w:rsidRPr="00756DA5">
        <w:t>In addition to the monitoring of the implementation of these provisions by railway operators and of their effectiveness, the EPSF has the task, pursuant to Article 2(k) of amended Decree No 2006-369 on its missions and statutes, to organise joint feedback for the railway system. The aim of this joint feedback is to:</w:t>
      </w:r>
    </w:p>
    <w:p w:rsidR="00F339A2" w:rsidRPr="00756DA5" w:rsidP="00E41E54">
      <w:pPr>
        <w:pStyle w:val="ListParagraph"/>
        <w:numPr>
          <w:ilvl w:val="0"/>
          <w:numId w:val="15"/>
        </w:numPr>
        <w:spacing w:after="0" w:line="280" w:lineRule="exact"/>
        <w:rPr>
          <w:rFonts w:cs="Arial"/>
          <w:szCs w:val="20"/>
        </w:rPr>
      </w:pPr>
      <w:r w:rsidRPr="00756DA5">
        <w:t>organise sharing between all actors of the lessons that were able to be learned by one of them following an event;</w:t>
      </w:r>
    </w:p>
    <w:p w:rsidR="00F339A2" w:rsidRPr="00756DA5" w:rsidP="00E41E54">
      <w:pPr>
        <w:pStyle w:val="ListParagraph"/>
        <w:numPr>
          <w:ilvl w:val="0"/>
          <w:numId w:val="15"/>
        </w:numPr>
        <w:spacing w:after="0" w:line="280" w:lineRule="exact"/>
        <w:rPr>
          <w:rFonts w:cs="Arial"/>
          <w:szCs w:val="20"/>
        </w:rPr>
      </w:pPr>
      <w:r w:rsidRPr="00756DA5">
        <w:t>deepen the analysis of these events through such sharing and by exchanging views;</w:t>
      </w:r>
    </w:p>
    <w:p w:rsidR="00F339A2" w:rsidRPr="00756DA5">
      <w:pPr>
        <w:pStyle w:val="ListParagraph"/>
        <w:numPr>
          <w:ilvl w:val="0"/>
          <w:numId w:val="15"/>
        </w:numPr>
        <w:spacing w:after="0" w:line="280" w:lineRule="exact"/>
        <w:rPr>
          <w:rFonts w:cs="Arial"/>
          <w:szCs w:val="20"/>
        </w:rPr>
      </w:pPr>
      <w:r w:rsidRPr="00756DA5">
        <w:t>identify</w:t>
      </w:r>
      <w:r w:rsidRPr="00756DA5">
        <w:t>, through the analysis of the events reported by all operators, the weaknesses and key risk factors in the national railway system and promote collective reflection in order to provide solutions to them.</w:t>
      </w:r>
    </w:p>
    <w:p w:rsidR="00F339A2" w:rsidRPr="00756DA5" w:rsidP="00A95F60">
      <w:pPr>
        <w:spacing w:before="200" w:line="280" w:lineRule="exact"/>
        <w:rPr>
          <w:rFonts w:cs="Arial"/>
          <w:szCs w:val="20"/>
        </w:rPr>
      </w:pPr>
      <w:r w:rsidRPr="00756DA5">
        <w:t>Joint feedback does not replace the feedback implemented by operators but it enables each one of them to perform preventive tests on the robustness of its safety management system with respect to the data, information and reflections shared and to improve it as necessary.</w:t>
      </w:r>
    </w:p>
    <w:p w:rsidR="00F339A2" w:rsidRPr="00756DA5" w:rsidP="009455CD">
      <w:pPr>
        <w:spacing w:line="280" w:lineRule="exact"/>
        <w:rPr>
          <w:rFonts w:cs="Arial"/>
          <w:szCs w:val="20"/>
        </w:rPr>
      </w:pPr>
      <w:r w:rsidRPr="00756DA5">
        <w:t>In very practical terms, joint feedback involves four approaches.</w:t>
      </w:r>
    </w:p>
    <w:p w:rsidR="00F339A2" w:rsidRPr="00756DA5" w:rsidP="009455CD">
      <w:pPr>
        <w:spacing w:line="280" w:lineRule="exact"/>
        <w:rPr>
          <w:rFonts w:cs="Arial"/>
          <w:b/>
          <w:szCs w:val="20"/>
        </w:rPr>
      </w:pPr>
      <w:r w:rsidRPr="00756DA5">
        <w:rPr>
          <w:b/>
          <w:bCs/>
          <w:szCs w:val="20"/>
        </w:rPr>
        <w:t xml:space="preserve">■ </w:t>
      </w:r>
      <w:r w:rsidRPr="00756DA5">
        <w:rPr>
          <w:b/>
          <w:szCs w:val="20"/>
        </w:rPr>
        <w:t>The</w:t>
      </w:r>
      <w:r w:rsidRPr="00756DA5">
        <w:rPr>
          <w:b/>
          <w:szCs w:val="20"/>
        </w:rPr>
        <w:t xml:space="preserve"> monthly information bulletin</w:t>
      </w:r>
    </w:p>
    <w:p w:rsidR="00F339A2" w:rsidRPr="00756DA5" w:rsidP="009455CD">
      <w:pPr>
        <w:spacing w:line="280" w:lineRule="exact"/>
        <w:rPr>
          <w:rFonts w:cs="Arial"/>
          <w:b/>
          <w:szCs w:val="20"/>
        </w:rPr>
      </w:pPr>
      <w:r w:rsidRPr="00756DA5">
        <w:t xml:space="preserve">This approach consists of producing and disseminating to all railway operators, the </w:t>
      </w:r>
      <w:r w:rsidRPr="00756DA5">
        <w:rPr>
          <w:i/>
        </w:rPr>
        <w:t>Direction générale des infrastructures, des transports et de la mer</w:t>
      </w:r>
      <w:r w:rsidRPr="00756DA5">
        <w:t xml:space="preserve"> (DGITM) [Directorate-General for Infrastructure, Transport and the Sea] and the BEA-TT, around 10 information bulletins per year providing a quantitative overview of the accidents and incidents that have taken place on the RFN in a format combining the occurrence and the severity of the events. These bulletins furthermore qualitatively describe some of these events, selected due to their nature or the issues that they raise. In 2017, 10 bulletins dealing with 86 events </w:t>
      </w:r>
      <w:r w:rsidRPr="00756DA5">
        <w:t>were published</w:t>
      </w:r>
      <w:r w:rsidRPr="00756DA5">
        <w:t>, taking the total number of bulletins published since the approach began to 116. The 86 events presented primarily concerned the categories of ‘collision’ accidents or of incidents concerning traffic management and conduct.</w:t>
      </w:r>
    </w:p>
    <w:p w:rsidR="00F339A2" w:rsidRPr="00756DA5" w:rsidP="009455CD">
      <w:pPr>
        <w:spacing w:line="280" w:lineRule="exact"/>
        <w:rPr>
          <w:rFonts w:cs="Arial"/>
          <w:b/>
          <w:szCs w:val="20"/>
        </w:rPr>
      </w:pPr>
      <w:r w:rsidRPr="00756DA5">
        <w:rPr>
          <w:b/>
          <w:bCs/>
          <w:szCs w:val="20"/>
        </w:rPr>
        <w:t xml:space="preserve">■ </w:t>
      </w:r>
      <w:r w:rsidRPr="00756DA5">
        <w:rPr>
          <w:b/>
          <w:szCs w:val="20"/>
        </w:rPr>
        <w:t>Local feedback</w:t>
      </w:r>
    </w:p>
    <w:p w:rsidR="00F339A2" w:rsidRPr="00756DA5" w:rsidP="009455CD">
      <w:pPr>
        <w:spacing w:line="280" w:lineRule="exact"/>
        <w:rPr>
          <w:rFonts w:cs="Arial"/>
          <w:szCs w:val="20"/>
        </w:rPr>
      </w:pPr>
      <w:r w:rsidRPr="00756DA5">
        <w:t xml:space="preserve">For the purpose of collective a posteriori analysis of an event that has occurred involving several operators and presenting specific complexities or points of interest specific to the interfaces between them, feedback meetings at the local level, known as ‘local feedback meetings’, are called. These meetings </w:t>
      </w:r>
      <w:r w:rsidRPr="00756DA5">
        <w:t>can be called</w:t>
      </w:r>
      <w:r w:rsidRPr="00756DA5">
        <w:t xml:space="preserve"> on the initiative of the operators themselves or the EPSF. Two meetings of this type </w:t>
      </w:r>
      <w:r w:rsidRPr="00756DA5">
        <w:t>were held</w:t>
      </w:r>
      <w:r w:rsidRPr="00756DA5">
        <w:t xml:space="preserve"> in 2017.</w:t>
      </w:r>
    </w:p>
    <w:p w:rsidR="00F339A2" w:rsidRPr="00756DA5" w:rsidP="00756DA5">
      <w:pPr>
        <w:keepNext/>
        <w:spacing w:line="280" w:lineRule="exact"/>
        <w:rPr>
          <w:rFonts w:cs="Arial"/>
          <w:b/>
          <w:szCs w:val="20"/>
        </w:rPr>
      </w:pPr>
      <w:r w:rsidRPr="00756DA5">
        <w:rPr>
          <w:b/>
          <w:bCs/>
          <w:szCs w:val="20"/>
        </w:rPr>
        <w:t xml:space="preserve">■ </w:t>
      </w:r>
      <w:r w:rsidRPr="00756DA5">
        <w:rPr>
          <w:b/>
          <w:szCs w:val="20"/>
        </w:rPr>
        <w:t>Territorial feedback</w:t>
      </w:r>
    </w:p>
    <w:p w:rsidR="00F339A2" w:rsidRPr="00756DA5" w:rsidP="009455CD">
      <w:pPr>
        <w:spacing w:line="280" w:lineRule="exact"/>
        <w:rPr>
          <w:rFonts w:cs="Arial"/>
          <w:szCs w:val="20"/>
        </w:rPr>
      </w:pPr>
      <w:r w:rsidRPr="00756DA5">
        <w:t xml:space="preserve">Territorial feedback takes the form of the holding of periodic meetings during which locally encountered safety issues </w:t>
      </w:r>
      <w:r w:rsidRPr="00756DA5">
        <w:t>are brought up</w:t>
      </w:r>
      <w:r w:rsidRPr="00756DA5">
        <w:t xml:space="preserve"> with all the operators working in the same geographic area. This approach differs from ‘local feedback’ in particular owing to the fact that the issues brought up have not necessarily given rise to a safety event. In this way, they </w:t>
      </w:r>
      <w:r w:rsidRPr="00756DA5">
        <w:t>are very much intended</w:t>
      </w:r>
      <w:r w:rsidRPr="00756DA5">
        <w:t xml:space="preserve"> to be preventive. After a longer period of appropriation by actors than for other types of joint feedback, interest in this type of meeting </w:t>
      </w:r>
      <w:r w:rsidRPr="00756DA5">
        <w:t>was reflected</w:t>
      </w:r>
      <w:r w:rsidRPr="00756DA5">
        <w:t xml:space="preserve"> in 2017 by the significantly more regular attendance of operators at the 23 meetings (bringing the number to 43 since the launch in July 2015) that were held throughout the territory and by much more lively exchanges.</w:t>
      </w:r>
    </w:p>
    <w:p w:rsidR="00F339A2" w:rsidRPr="00756DA5" w:rsidP="009455CD">
      <w:pPr>
        <w:spacing w:line="280" w:lineRule="exact"/>
        <w:rPr>
          <w:rFonts w:cs="Arial"/>
          <w:b/>
          <w:szCs w:val="20"/>
        </w:rPr>
      </w:pPr>
      <w:r w:rsidRPr="00756DA5">
        <w:rPr>
          <w:b/>
          <w:bCs/>
          <w:szCs w:val="20"/>
        </w:rPr>
        <w:t xml:space="preserve">■ </w:t>
      </w:r>
      <w:r w:rsidRPr="00756DA5">
        <w:rPr>
          <w:b/>
          <w:szCs w:val="20"/>
        </w:rPr>
        <w:t>National feedback</w:t>
      </w:r>
    </w:p>
    <w:p w:rsidR="00F339A2" w:rsidRPr="00756DA5" w:rsidP="009455CD">
      <w:pPr>
        <w:spacing w:line="280" w:lineRule="exact"/>
        <w:rPr>
          <w:rFonts w:cs="Arial"/>
          <w:szCs w:val="20"/>
        </w:rPr>
      </w:pPr>
      <w:r w:rsidRPr="00756DA5">
        <w:t xml:space="preserve">This mechanism aims to share experience between actors at the national level. It consists of the feedback seminar called ‘Partager pour progresser’ [Sharing for Progress] that is organised at the start of each year, and is intended to assess the joint feedback process for the previous year. Historically, this process comprised three meetings only for railway undertakings and the infrastructure manager SNCF Réseau. </w:t>
      </w:r>
      <w:r w:rsidRPr="00756DA5">
        <w:t>It was strengthened from 2016 through expansion to all infrastructure managers, to training, evaluation and examination bodies, to industrial companies and to rolling stock manufacturers or maintainers, who participate directly or via their representative associations in the six annual meetings that are now held: two meetings dedicated to railway undertakings, two meetings dedicated to infrastructure managers and two ‘system’ meetings bringing together all the actors in the sector.</w:t>
      </w:r>
    </w:p>
    <w:p w:rsidR="00F339A2" w:rsidRPr="00756DA5" w:rsidP="00E41E54">
      <w:pPr>
        <w:spacing w:after="0" w:line="280" w:lineRule="exact"/>
        <w:rPr>
          <w:rFonts w:cs="Arial"/>
          <w:szCs w:val="20"/>
        </w:rPr>
      </w:pPr>
      <w:r w:rsidRPr="00756DA5">
        <w:t xml:space="preserve">After 2016, when this reinforcement started, </w:t>
      </w:r>
      <w:r w:rsidRPr="00756DA5">
        <w:t>the process was built upon in 2017 by more than 300 people</w:t>
      </w:r>
      <w:r w:rsidRPr="00756DA5">
        <w:t xml:space="preserve"> from 85 companies taking part in this national feedback. The selection of subjects shared and the related issues result from analysis conducted by the EPSF on the safety events notified to it, that can highlight issues that are emerging or of common interest for the sector. The subjects can also stem from the outcomes of inspections by the EPSF of from the participants themselves. The following themes </w:t>
      </w:r>
      <w:r w:rsidRPr="00756DA5">
        <w:t>were dealt with</w:t>
      </w:r>
      <w:r w:rsidRPr="00756DA5">
        <w:t xml:space="preserve"> in 2017:</w:t>
      </w:r>
    </w:p>
    <w:p w:rsidR="00C01AF2" w:rsidRPr="00756DA5" w:rsidP="00E41E54">
      <w:pPr>
        <w:spacing w:after="0" w:line="280" w:lineRule="exact"/>
        <w:rPr>
          <w:rFonts w:cs="Arial"/>
          <w:szCs w:val="20"/>
        </w:rPr>
      </w:pPr>
    </w:p>
    <w:p w:rsidR="00F339A2" w:rsidRPr="00756DA5" w:rsidP="00482815">
      <w:pPr>
        <w:pStyle w:val="ListParagraph"/>
        <w:numPr>
          <w:ilvl w:val="0"/>
          <w:numId w:val="15"/>
        </w:numPr>
        <w:spacing w:after="120" w:line="280" w:lineRule="exact"/>
        <w:ind w:left="714" w:hanging="357"/>
        <w:contextualSpacing w:val="0"/>
        <w:rPr>
          <w:rFonts w:cs="Arial"/>
          <w:szCs w:val="20"/>
        </w:rPr>
      </w:pPr>
      <w:r w:rsidRPr="00756DA5">
        <w:t>Developments in the safety level of traffic with a specific focus on significant events, in sessions during which, on several occasions, the BEA-TT had the opportunity to draw participants’ attention to the lessons learned from its investigations.</w:t>
      </w:r>
    </w:p>
    <w:p w:rsidR="00C01AF2" w:rsidRPr="00756DA5" w:rsidP="00482815">
      <w:pPr>
        <w:pStyle w:val="ListParagraph"/>
        <w:numPr>
          <w:ilvl w:val="0"/>
          <w:numId w:val="15"/>
        </w:numPr>
        <w:spacing w:after="120" w:line="280" w:lineRule="exact"/>
        <w:ind w:left="714" w:hanging="357"/>
        <w:contextualSpacing w:val="0"/>
        <w:rPr>
          <w:rFonts w:cs="Arial"/>
          <w:szCs w:val="20"/>
        </w:rPr>
      </w:pPr>
      <w:r w:rsidRPr="00756DA5">
        <w:t xml:space="preserve">The undertaking of essential safety tasks and non-essential safety tasks. The exchanges, contributed to by presentations from Eiffage Rail Express (ERE), SNCF Réseau and the EPSF made it possible to share experiences on initial training, the monitoring of </w:t>
      </w:r>
      <w:r w:rsidRPr="00756DA5">
        <w:t>skills’ maintenance and how to define non-essential safety tasks</w:t>
      </w:r>
      <w:r w:rsidRPr="00756DA5">
        <w:t>.</w:t>
      </w:r>
    </w:p>
    <w:p w:rsidR="00F339A2" w:rsidRPr="00756DA5" w:rsidP="00482815">
      <w:pPr>
        <w:pStyle w:val="ListParagraph"/>
        <w:numPr>
          <w:ilvl w:val="0"/>
          <w:numId w:val="15"/>
        </w:numPr>
        <w:spacing w:after="120" w:line="280" w:lineRule="exact"/>
        <w:contextualSpacing w:val="0"/>
        <w:rPr>
          <w:rFonts w:cs="Arial"/>
          <w:szCs w:val="20"/>
        </w:rPr>
      </w:pPr>
      <w:r w:rsidRPr="00756DA5">
        <w:t xml:space="preserve">The organisation of monitoring, whether in relation to new regulatory provisions or development plans, to feedback relating to technical components or to technological innovation. In addition to the sharing of practices, the different means and mechanisms that exist to respond to the difficulties expressed by the sector </w:t>
      </w:r>
      <w:r w:rsidRPr="00756DA5">
        <w:t>were recalled</w:t>
      </w:r>
      <w:r w:rsidRPr="00756DA5">
        <w:t>.</w:t>
      </w:r>
    </w:p>
    <w:p w:rsidR="00F339A2" w:rsidRPr="00756DA5" w:rsidP="00482815">
      <w:pPr>
        <w:pStyle w:val="ListParagraph"/>
        <w:numPr>
          <w:ilvl w:val="0"/>
          <w:numId w:val="15"/>
        </w:numPr>
        <w:spacing w:after="120" w:line="280" w:lineRule="exact"/>
        <w:ind w:left="714" w:hanging="357"/>
        <w:contextualSpacing w:val="0"/>
        <w:rPr>
          <w:rFonts w:cs="Arial"/>
          <w:szCs w:val="20"/>
        </w:rPr>
      </w:pPr>
      <w:r w:rsidRPr="00756DA5">
        <w:t>The outsourcing of infrastructure maintenance. Through this theme, which was the subject of presentations by SNCF Réseau and the Grand Port Maritime du Havre, infrastructure managers were able to discuss the organisational structures developed to improve the management of outsourcing from the perspective of railway safety.</w:t>
      </w:r>
    </w:p>
    <w:p w:rsidR="00F339A2" w:rsidRPr="00756DA5" w:rsidP="00482815">
      <w:pPr>
        <w:pStyle w:val="ListParagraph"/>
        <w:numPr>
          <w:ilvl w:val="0"/>
          <w:numId w:val="15"/>
        </w:numPr>
        <w:spacing w:after="120" w:line="280" w:lineRule="exact"/>
        <w:ind w:left="714" w:hanging="357"/>
        <w:contextualSpacing w:val="0"/>
        <w:rPr>
          <w:rFonts w:cs="Arial"/>
          <w:szCs w:val="20"/>
        </w:rPr>
      </w:pPr>
      <w:r w:rsidRPr="00756DA5">
        <w:t>The passing of signals. The aim was to share the outcome of the working group run by the EPSF, involving railway operators, in a ’system’ meeting in order to bring out possibilities for improvement in all of the areas represented in this body (employee training, infrastructure and rolling stock design, safety management, etc.).</w:t>
      </w:r>
    </w:p>
    <w:p w:rsidR="00F339A2" w:rsidRPr="00756DA5" w:rsidP="00482815">
      <w:pPr>
        <w:pStyle w:val="ListParagraph"/>
        <w:numPr>
          <w:ilvl w:val="0"/>
          <w:numId w:val="15"/>
        </w:numPr>
        <w:spacing w:after="120" w:line="280" w:lineRule="exact"/>
        <w:ind w:left="714" w:hanging="357"/>
        <w:contextualSpacing w:val="0"/>
        <w:rPr>
          <w:rFonts w:cs="Arial"/>
          <w:szCs w:val="20"/>
        </w:rPr>
      </w:pPr>
      <w:r w:rsidRPr="00756DA5">
        <w:t xml:space="preserve">Events relating to catenaries and to the rolling stock-catenary interface. This was in recognition of the fact that approximately 30 % of incidents have a cause relating </w:t>
      </w:r>
      <w:r w:rsidRPr="00756DA5">
        <w:t>to rolling stock or to conduct</w:t>
      </w:r>
      <w:r w:rsidRPr="00756DA5">
        <w:t xml:space="preserve">. This subject </w:t>
      </w:r>
      <w:r w:rsidRPr="00756DA5">
        <w:t>was addressed</w:t>
      </w:r>
      <w:r w:rsidRPr="00756DA5">
        <w:t xml:space="preserve"> within a feedback meeting dedicated to railway undertakings, during which SNCF Mobilités and THI Factory presented their initiatives for improving the level of safety of this interface, complementing the contribution of SNCF Réseau.</w:t>
      </w:r>
    </w:p>
    <w:p w:rsidR="00F339A2" w:rsidRPr="00756DA5" w:rsidP="00482815">
      <w:pPr>
        <w:pStyle w:val="ListParagraph"/>
        <w:numPr>
          <w:ilvl w:val="0"/>
          <w:numId w:val="15"/>
        </w:numPr>
        <w:spacing w:after="120" w:line="280" w:lineRule="exact"/>
        <w:ind w:left="714" w:hanging="357"/>
        <w:contextualSpacing w:val="0"/>
        <w:rPr>
          <w:rFonts w:cs="Arial"/>
          <w:szCs w:val="20"/>
        </w:rPr>
      </w:pPr>
      <w:r w:rsidRPr="00756DA5">
        <w:t xml:space="preserve">Compatibility certifications. In the light of the feedback presented by the EPSF concerning the running of unauthorised vehicles on the RFN, the compatibility certification process and the planned developments concerning the use of the infrastructure register by railway undertakings </w:t>
      </w:r>
      <w:r w:rsidRPr="00756DA5">
        <w:t>were discussed</w:t>
      </w:r>
      <w:r w:rsidRPr="00756DA5">
        <w:t>.</w:t>
      </w:r>
    </w:p>
    <w:p w:rsidR="00F339A2" w:rsidRPr="00756DA5" w:rsidP="00482815">
      <w:pPr>
        <w:pStyle w:val="ListParagraph"/>
        <w:numPr>
          <w:ilvl w:val="0"/>
          <w:numId w:val="15"/>
        </w:numPr>
        <w:spacing w:after="120" w:line="280" w:lineRule="exact"/>
        <w:ind w:left="714" w:hanging="357"/>
        <w:contextualSpacing w:val="0"/>
        <w:rPr>
          <w:rFonts w:cs="Arial"/>
          <w:szCs w:val="20"/>
        </w:rPr>
      </w:pPr>
      <w:r w:rsidRPr="00756DA5">
        <w:t>Initiatives regarding the development of the ‘safety culture’, in particular to achieve a reduction in the number of safety events in certain categories such as departures without a command or rolling stock immobilisation omissions. CFL cargo and SNCF Mobilités shared their experience in this area by presenting the progress of their action programmes.</w:t>
      </w:r>
    </w:p>
    <w:p w:rsidR="00C01AF2" w:rsidRPr="00756DA5" w:rsidP="00482815">
      <w:pPr>
        <w:pStyle w:val="ListParagraph"/>
        <w:numPr>
          <w:ilvl w:val="0"/>
          <w:numId w:val="15"/>
        </w:numPr>
        <w:spacing w:after="120" w:line="280" w:lineRule="exact"/>
        <w:ind w:left="714" w:hanging="357"/>
        <w:contextualSpacing w:val="0"/>
        <w:rPr>
          <w:rFonts w:cs="Arial"/>
          <w:szCs w:val="20"/>
        </w:rPr>
      </w:pPr>
      <w:r w:rsidRPr="00756DA5">
        <w:t>De-shunting incidents on lines connecting to HSLs was a subject that arose in 2017 and which warranted LISEA, Oc’Via and ERE each being able to explain their issues and benefit from each other’s experience.</w:t>
      </w:r>
    </w:p>
    <w:p w:rsidR="00F339A2" w:rsidRPr="00756DA5" w:rsidP="00482815">
      <w:pPr>
        <w:pStyle w:val="ListParagraph"/>
        <w:numPr>
          <w:ilvl w:val="0"/>
          <w:numId w:val="15"/>
        </w:numPr>
        <w:spacing w:after="120" w:line="280" w:lineRule="exact"/>
        <w:ind w:left="714" w:hanging="357"/>
        <w:contextualSpacing w:val="0"/>
        <w:rPr>
          <w:rFonts w:cs="Arial"/>
          <w:szCs w:val="20"/>
        </w:rPr>
      </w:pPr>
      <w:r w:rsidRPr="00756DA5">
        <w:t>The movement of hazardous goods on service lines, when SNCF Réseau presented the recent developments in its policy on the subject, based on its feedback.</w:t>
      </w:r>
    </w:p>
    <w:p w:rsidR="00F339A2" w:rsidRPr="00756DA5" w:rsidP="00482815">
      <w:pPr>
        <w:pStyle w:val="ListParagraph"/>
        <w:numPr>
          <w:ilvl w:val="0"/>
          <w:numId w:val="15"/>
        </w:numPr>
        <w:spacing w:after="120" w:line="280" w:lineRule="exact"/>
        <w:ind w:left="714" w:hanging="357"/>
        <w:contextualSpacing w:val="0"/>
        <w:rPr>
          <w:rFonts w:cs="Arial"/>
          <w:szCs w:val="20"/>
        </w:rPr>
      </w:pPr>
      <w:r w:rsidRPr="00756DA5">
        <w:t>National feedback in 2017 also specifically addressed fires on passenger rolling stock and failures of rolling stock safety devices.</w:t>
      </w:r>
    </w:p>
    <w:p w:rsidR="00F339A2" w:rsidRPr="00756DA5" w:rsidP="00E41E54">
      <w:pPr>
        <w:spacing w:after="0" w:line="280" w:lineRule="exact"/>
        <w:rPr>
          <w:rFonts w:cs="Arial"/>
          <w:szCs w:val="20"/>
        </w:rPr>
      </w:pPr>
      <w:r w:rsidRPr="00756DA5">
        <w:t xml:space="preserve">A working group made up of sector representatives in ‘system’ meetings was therefore set up to consider possible improvements regarding the evacuation of passenger trains following a fire. After completion of the work, recommendations </w:t>
      </w:r>
      <w:r w:rsidRPr="00756DA5">
        <w:t>were proposed</w:t>
      </w:r>
      <w:r w:rsidRPr="00756DA5">
        <w:t xml:space="preserve"> to:</w:t>
      </w:r>
    </w:p>
    <w:p w:rsidR="000354BB" w:rsidRPr="00756DA5" w:rsidP="00E41E54">
      <w:pPr>
        <w:pStyle w:val="ListParagraph"/>
        <w:numPr>
          <w:ilvl w:val="0"/>
          <w:numId w:val="15"/>
        </w:numPr>
        <w:spacing w:after="0" w:line="280" w:lineRule="exact"/>
        <w:rPr>
          <w:rFonts w:cs="Arial"/>
          <w:szCs w:val="20"/>
        </w:rPr>
      </w:pPr>
      <w:r w:rsidRPr="00756DA5">
        <w:t>improve knowledge of the factors for passenger care from the detection of fire until their evacuation;</w:t>
      </w:r>
    </w:p>
    <w:p w:rsidR="0030150B" w:rsidRPr="00756DA5" w:rsidP="0030150B">
      <w:pPr>
        <w:pStyle w:val="ListParagraph"/>
        <w:numPr>
          <w:ilvl w:val="0"/>
          <w:numId w:val="15"/>
        </w:numPr>
        <w:spacing w:after="0" w:line="280" w:lineRule="exact"/>
        <w:rPr>
          <w:rFonts w:cs="Arial"/>
          <w:szCs w:val="20"/>
        </w:rPr>
      </w:pPr>
      <w:r w:rsidRPr="00756DA5">
        <w:t>in</w:t>
      </w:r>
      <w:r w:rsidRPr="00756DA5">
        <w:t xml:space="preserve"> the event of fire, facilitate the selection of an appropriate train stop point for the emergency services and passenger evacuation.</w:t>
      </w:r>
    </w:p>
    <w:p w:rsidR="00F339A2" w:rsidRPr="00756DA5" w:rsidP="000D6475">
      <w:pPr>
        <w:pStyle w:val="ListParagraph"/>
        <w:spacing w:after="0" w:line="280" w:lineRule="exact"/>
        <w:rPr>
          <w:rFonts w:cs="Arial"/>
          <w:szCs w:val="20"/>
        </w:rPr>
      </w:pPr>
    </w:p>
    <w:p w:rsidR="00F339A2" w:rsidRPr="00756DA5" w:rsidP="009455CD">
      <w:pPr>
        <w:spacing w:line="280" w:lineRule="exact"/>
        <w:rPr>
          <w:rFonts w:cs="Arial"/>
          <w:szCs w:val="20"/>
        </w:rPr>
      </w:pPr>
      <w:r w:rsidRPr="00756DA5">
        <w:t>On the initiative of the group, its work will continue in 2018 on other aspects of risks relating to fires on rolling stock.</w:t>
      </w:r>
    </w:p>
    <w:p w:rsidR="00F339A2" w:rsidRPr="00756DA5" w:rsidP="009455CD">
      <w:pPr>
        <w:spacing w:line="280" w:lineRule="exact"/>
        <w:rPr>
          <w:rFonts w:cs="Arial"/>
          <w:szCs w:val="20"/>
        </w:rPr>
      </w:pPr>
      <w:r w:rsidRPr="00756DA5">
        <w:t xml:space="preserve">The issue of failures of rolling stock safety devices was the subject of several work sessions in feedback meetings dedicated to railway undertakings and ‘system’ feedback. They facilitated, based on the presentation of analysis of events notified to the EPSF, lively exchanges on the allocation of responsibilities between the different actors involved in managing rolling stock safety (manufacturers, maintainers, railway undertakings and infrastructure managers). Each of the actors is responsible for one or more safeguards, whether it be the railway undertaking through achievement of recognition of the train’s suitability for transport, the infrastructure manager monitoring the train in operation or the ECM that performs the maintenance operations. To ensure safety, each actor must comply with the requirements relating to the tasks for which it is responsible </w:t>
      </w:r>
      <w:r w:rsidRPr="00756DA5">
        <w:t>and also</w:t>
      </w:r>
      <w:r w:rsidRPr="00756DA5">
        <w:t xml:space="preserve"> consider the interfaces in particular concerning exchanges of information or in a degraded mode scenario. Furthermore, the discussions showed the need to learn any lessons from the precursors in a field in which accidents are particularly rare but present very significant potential consequences.</w:t>
      </w:r>
    </w:p>
    <w:p w:rsidR="00F339A2" w:rsidRPr="00756DA5" w:rsidP="00756DA5">
      <w:pPr>
        <w:keepNext/>
        <w:spacing w:line="280" w:lineRule="exact"/>
        <w:rPr>
          <w:rFonts w:cs="Arial"/>
          <w:b/>
          <w:szCs w:val="20"/>
        </w:rPr>
      </w:pPr>
      <w:r w:rsidRPr="00756DA5">
        <w:rPr>
          <w:b/>
          <w:bCs/>
          <w:szCs w:val="20"/>
        </w:rPr>
        <w:t xml:space="preserve">■ </w:t>
      </w:r>
      <w:r w:rsidRPr="00756DA5">
        <w:rPr>
          <w:b/>
          <w:szCs w:val="20"/>
        </w:rPr>
        <w:t>Prospects for 2018 and beyond</w:t>
      </w:r>
    </w:p>
    <w:p w:rsidR="00F339A2" w:rsidRPr="00756DA5" w:rsidP="009455CD">
      <w:pPr>
        <w:spacing w:line="280" w:lineRule="exact"/>
        <w:rPr>
          <w:rFonts w:cs="Arial"/>
          <w:szCs w:val="20"/>
        </w:rPr>
      </w:pPr>
      <w:r w:rsidRPr="00756DA5">
        <w:t>The deployment of the SCOTES</w:t>
      </w:r>
      <w:r>
        <w:rPr>
          <w:rStyle w:val="FootnoteReference"/>
          <w:rFonts w:cs="Arial"/>
          <w:szCs w:val="20"/>
        </w:rPr>
        <w:footnoteReference w:id="8"/>
      </w:r>
      <w:r w:rsidRPr="00756DA5">
        <w:t xml:space="preserve"> national database of safety events at the end of 2017 should enable even more relevance and more specificity as regards the subjects to </w:t>
      </w:r>
      <w:r w:rsidRPr="00756DA5">
        <w:t>be shared</w:t>
      </w:r>
      <w:r w:rsidRPr="00756DA5">
        <w:t xml:space="preserve"> in joint feedback due in particular to the identification of accident precursors. This will be made possible </w:t>
      </w:r>
      <w:r w:rsidRPr="00756DA5">
        <w:t>through the use of</w:t>
      </w:r>
      <w:r w:rsidRPr="00756DA5">
        <w:t xml:space="preserve"> the elements of analysis to be passed on by railway undertakings for the events that they report. These should include the identified causes of events, which </w:t>
      </w:r>
      <w:r w:rsidRPr="00756DA5">
        <w:t>are not yet well developed</w:t>
      </w:r>
      <w:r w:rsidRPr="00756DA5">
        <w:t xml:space="preserve"> in the database but essential with regard to the identification of precursors.</w:t>
      </w:r>
    </w:p>
    <w:p w:rsidR="00F339A2" w:rsidRPr="00756DA5" w:rsidP="009455CD">
      <w:pPr>
        <w:spacing w:line="280" w:lineRule="exact"/>
        <w:rPr>
          <w:rFonts w:cs="Arial"/>
          <w:szCs w:val="20"/>
        </w:rPr>
      </w:pPr>
      <w:r w:rsidRPr="00756DA5">
        <w:t>As part of the deployment of SCOTES, the EPSF, supported by INERIS (</w:t>
      </w:r>
      <w:r w:rsidRPr="00756DA5">
        <w:rPr>
          <w:i/>
        </w:rPr>
        <w:t>Institut national de l’environnement industriel et des risques</w:t>
      </w:r>
      <w:r w:rsidRPr="00756DA5">
        <w:t>) [French National Institute for Industrial Environment and Risks] and Concept Risk, have embarked on a risk model design project, aiming, through the use of the events occurring in these models, to identify ‘system’ weaknesses and to be able to provide input to the feedback process.</w:t>
      </w:r>
      <w:r w:rsidRPr="00756DA5">
        <w:t xml:space="preserve"> The completeness and the quality of the data collected is a key success factor for this project.</w:t>
      </w:r>
    </w:p>
    <w:p w:rsidR="00F339A2" w:rsidRPr="00756DA5" w:rsidP="009455CD">
      <w:pPr>
        <w:spacing w:line="280" w:lineRule="exact"/>
        <w:rPr>
          <w:rFonts w:cs="Arial"/>
          <w:szCs w:val="20"/>
        </w:rPr>
      </w:pPr>
      <w:r w:rsidRPr="00756DA5">
        <w:t>The use of the SCOTES database also involves giving willing operators the opportunity to share their safety events with each other, in order for each of them to benefit from the lessons learned from each event. To implement this sharing, in 2017 the EPSF devised and proposed to operators different options for forums for sharing corresponding to the more or less extensive nature of the data shared (event type, place, description, operator, causes, measures taken, etc.) and in order to respect different wishes regarding confidentiality. The aim is to start this sharing in 2018 after having defined the conditions for the functioning of this sharing through the establishment of agreements and a data use charter for the railway operators involved and their relevant employees.</w:t>
      </w:r>
    </w:p>
    <w:p w:rsidR="00F339A2" w:rsidRPr="00756DA5" w:rsidP="009455CD">
      <w:pPr>
        <w:spacing w:line="280" w:lineRule="exact"/>
        <w:rPr>
          <w:rFonts w:cs="Arial"/>
          <w:szCs w:val="20"/>
        </w:rPr>
      </w:pPr>
      <w:r w:rsidRPr="00756DA5">
        <w:t>After 2 years of experience of national feedback in its new expanded format, it should be slightly adjusted in 2018 to take account of the feedback expressed by the participants, namely the wish to focus on deepening some themes rather than increasing the number of themes dealt with and to adjust the range of meeting participants based on the themes selected, while maintaining the current balance of exchanges between participants, which is especially appreciated by the undertakings.</w:t>
      </w:r>
      <w:r w:rsidRPr="00756DA5">
        <w:t xml:space="preserve"> It is in this spirit that national feedback should address safety management and skills management in 2018.</w:t>
      </w:r>
    </w:p>
    <w:p w:rsidR="006C12C2" w:rsidRPr="00756DA5" w:rsidP="00423F21">
      <w:pPr>
        <w:pStyle w:val="Heading1"/>
        <w:pageBreakBefore/>
        <w:numPr>
          <w:ilvl w:val="0"/>
          <w:numId w:val="12"/>
        </w:numPr>
        <w:rPr>
          <w:rFonts w:cs="Arial"/>
        </w:rPr>
      </w:pPr>
      <w:bookmarkStart w:id="78" w:name="_Toc494469632"/>
      <w:bookmarkStart w:id="79" w:name="_Hlk490819710"/>
      <w:bookmarkStart w:id="80" w:name="_Toc533153879"/>
      <w:r w:rsidRPr="00756DA5">
        <w:t>Adoption of regulatory changes by actors</w:t>
      </w:r>
      <w:bookmarkEnd w:id="78"/>
      <w:bookmarkEnd w:id="80"/>
    </w:p>
    <w:p w:rsidR="000F1E79" w:rsidRPr="00756DA5" w:rsidP="000F1E79">
      <w:pPr>
        <w:pBdr>
          <w:top w:val="single" w:sz="4" w:space="1" w:color="auto"/>
          <w:bottom w:val="single" w:sz="4" w:space="1" w:color="auto"/>
        </w:pBdr>
        <w:spacing w:after="0" w:line="320" w:lineRule="exact"/>
        <w:rPr>
          <w:rFonts w:cs="Arial"/>
          <w:color w:val="808080" w:themeColor="background1" w:themeShade="80"/>
          <w:sz w:val="24"/>
          <w:szCs w:val="24"/>
        </w:rPr>
      </w:pPr>
    </w:p>
    <w:p w:rsidR="00044566" w:rsidRPr="00756DA5" w:rsidP="000F1E79">
      <w:pPr>
        <w:pBdr>
          <w:top w:val="single" w:sz="4" w:space="1" w:color="auto"/>
          <w:bottom w:val="single" w:sz="4" w:space="1" w:color="auto"/>
        </w:pBdr>
        <w:spacing w:after="0" w:line="320" w:lineRule="exact"/>
        <w:rPr>
          <w:rFonts w:cs="Arial"/>
          <w:color w:val="808080" w:themeColor="background1" w:themeShade="80"/>
          <w:sz w:val="24"/>
          <w:szCs w:val="24"/>
        </w:rPr>
      </w:pPr>
      <w:r w:rsidRPr="00756DA5">
        <w:rPr>
          <w:color w:val="808080" w:themeColor="background1" w:themeShade="80"/>
          <w:sz w:val="24"/>
          <w:szCs w:val="24"/>
        </w:rPr>
        <w:t>Railway safety and interoperability regulations change regularly over time. The essential adoption by railway system actors (railway operators, training bodies, entities in charge of maintenance, applicants for authorisation to put infrastructure, vehicles, etc. into commercial service) of new regulatory requirements may require more or less time depending on the instruments and the significance of the changes that they introduce.</w:t>
      </w:r>
    </w:p>
    <w:p w:rsidR="000F1E79" w:rsidRPr="00756DA5" w:rsidP="000F1E79">
      <w:pPr>
        <w:pBdr>
          <w:top w:val="single" w:sz="4" w:space="1" w:color="auto"/>
          <w:bottom w:val="single" w:sz="4" w:space="1" w:color="auto"/>
        </w:pBdr>
        <w:spacing w:line="320" w:lineRule="exact"/>
        <w:rPr>
          <w:rFonts w:cs="Arial"/>
          <w:color w:val="808080" w:themeColor="background1" w:themeShade="80"/>
          <w:sz w:val="24"/>
          <w:szCs w:val="24"/>
        </w:rPr>
      </w:pPr>
    </w:p>
    <w:p w:rsidR="005F0F5A" w:rsidRPr="00756DA5" w:rsidP="00F70720">
      <w:pPr>
        <w:spacing w:after="0" w:line="280" w:lineRule="exact"/>
        <w:rPr>
          <w:rFonts w:cs="Arial"/>
        </w:rPr>
      </w:pPr>
    </w:p>
    <w:p w:rsidR="006D6EEB" w:rsidRPr="00756DA5" w:rsidP="006D6EEB">
      <w:pPr>
        <w:spacing w:after="0" w:line="280" w:lineRule="exact"/>
        <w:rPr>
          <w:rFonts w:cs="Arial"/>
          <w:b/>
        </w:rPr>
      </w:pPr>
      <w:bookmarkEnd w:id="77"/>
      <w:bookmarkEnd w:id="79"/>
      <w:r w:rsidRPr="00756DA5">
        <w:rPr>
          <w:b/>
          <w:bCs/>
          <w:szCs w:val="20"/>
        </w:rPr>
        <w:t xml:space="preserve">■ </w:t>
      </w:r>
      <w:r w:rsidRPr="00756DA5">
        <w:rPr>
          <w:b/>
        </w:rPr>
        <w:t>Order of 4 January 2016 relating to the nomenclature for classifying railway safety events</w:t>
      </w:r>
    </w:p>
    <w:p w:rsidR="006D6EEB" w:rsidRPr="00756DA5" w:rsidP="006D6EEB">
      <w:pPr>
        <w:spacing w:after="0" w:line="280" w:lineRule="exact"/>
        <w:rPr>
          <w:rFonts w:cs="Arial"/>
        </w:rPr>
      </w:pPr>
    </w:p>
    <w:p w:rsidR="006D6EEB" w:rsidRPr="00756DA5" w:rsidP="006D6EEB">
      <w:pPr>
        <w:spacing w:line="280" w:lineRule="exact"/>
      </w:pPr>
      <w:r w:rsidRPr="00756DA5">
        <w:t xml:space="preserve">This Order establishes the nomenclature for classifying events that may have or have had impacts on railway safety and the arrangements for the reporting of information, accompanied by elements of analysis, to the EPSF that is required from railway operators. This collection of information facilitates the EPSF’s organising of feedback </w:t>
      </w:r>
      <w:r w:rsidRPr="00756DA5">
        <w:t>for the purpose of</w:t>
      </w:r>
      <w:r w:rsidRPr="00756DA5">
        <w:t xml:space="preserve"> improving the safety performance of the railway system. It </w:t>
      </w:r>
      <w:r w:rsidRPr="00756DA5">
        <w:t>was implemented</w:t>
      </w:r>
      <w:r w:rsidRPr="00756DA5">
        <w:t xml:space="preserve"> in two phases: an initial phase with the notification of safety events to the EPSF electronically using a notification form or table and then a second phase with the deployment, on 13 December 2017 by the EPSF, of the SCOTES database for the processing of safety events, accessible to railway operators for them to notify their events.</w:t>
      </w:r>
    </w:p>
    <w:p w:rsidR="006D6EEB" w:rsidRPr="00756DA5" w:rsidP="006D6EEB">
      <w:pPr>
        <w:spacing w:line="280" w:lineRule="exact"/>
      </w:pPr>
      <w:r w:rsidRPr="00756DA5">
        <w:t xml:space="preserve">Railway undertakings and infrastructure managers authorised by the EPSF have arranged to use the SCOTES database in which they see several benefits, such as the provision of an intuitive and ergonomic computerised tool enabling extractions that </w:t>
      </w:r>
      <w:r w:rsidRPr="00756DA5">
        <w:t>can be easily used</w:t>
      </w:r>
      <w:r w:rsidRPr="00756DA5">
        <w:t xml:space="preserve"> for their feedback meetings, and ensuring greater traceability of their events. Some of them also participated in the various working groups when the software solution was being configured and in several </w:t>
      </w:r>
      <w:r w:rsidRPr="00756DA5">
        <w:t>tests</w:t>
      </w:r>
      <w:r w:rsidRPr="00756DA5">
        <w:t xml:space="preserve"> that followed, thereby facilitating the adoption of this tool.</w:t>
      </w:r>
    </w:p>
    <w:p w:rsidR="006D6EEB" w:rsidRPr="00756DA5" w:rsidP="006D6EEB">
      <w:pPr>
        <w:spacing w:line="280" w:lineRule="exact"/>
      </w:pPr>
      <w:r w:rsidRPr="00756DA5">
        <w:t xml:space="preserve">However, even though the majority of them are not experiencing any problems in implementing the order, difficulties of two kinds </w:t>
      </w:r>
      <w:r w:rsidRPr="00756DA5">
        <w:t>are being encountered</w:t>
      </w:r>
      <w:r w:rsidRPr="00756DA5">
        <w:t>. For large undertakings with multiple internal databases, the collection and the adaptation to the SCOTES format of the information required by the order has involved a fairly significant amount of work that, for some of them, has not yet been completed. This results in incomplete notifications from them with respect to the requirements of the order.  Some smaller undertakings are experiencing difficulties in providing the analytical elements expected within the one-month period allowed for the events notified.</w:t>
      </w:r>
    </w:p>
    <w:p w:rsidR="006D6EEB" w:rsidRPr="00756DA5" w:rsidP="00423F21">
      <w:pPr>
        <w:keepNext/>
        <w:spacing w:line="280" w:lineRule="exact"/>
        <w:rPr>
          <w:b/>
        </w:rPr>
      </w:pPr>
      <w:r w:rsidRPr="00756DA5">
        <w:rPr>
          <w:b/>
          <w:bCs/>
          <w:szCs w:val="20"/>
        </w:rPr>
        <w:t xml:space="preserve">■ </w:t>
      </w:r>
      <w:r w:rsidRPr="00756DA5">
        <w:rPr>
          <w:b/>
        </w:rPr>
        <w:t>Order of 7 May 2015 relating to essential safety tasks other than train operation</w:t>
      </w:r>
    </w:p>
    <w:p w:rsidR="006D6EEB" w:rsidRPr="00756DA5" w:rsidP="00423F21">
      <w:pPr>
        <w:keepNext/>
        <w:spacing w:line="280" w:lineRule="exact"/>
      </w:pPr>
      <w:r w:rsidRPr="00756DA5">
        <w:t xml:space="preserve">This Order, which entered into force on 20 May 2016, </w:t>
      </w:r>
      <w:r w:rsidRPr="00756DA5">
        <w:t>was amended</w:t>
      </w:r>
      <w:r w:rsidRPr="00756DA5">
        <w:t xml:space="preserve"> on 13 July 2017 by incorporating into it the minimum physical and psychological fitness requirements to be met by staff cleared for essential safety tasks.</w:t>
      </w:r>
    </w:p>
    <w:p w:rsidR="006D6EEB" w:rsidRPr="00756DA5" w:rsidP="006D6EEB">
      <w:pPr>
        <w:spacing w:line="280" w:lineRule="exact"/>
      </w:pPr>
      <w:r w:rsidRPr="00756DA5">
        <w:t>After more than 1 year of implementation, the EPSF notes that railway operators and training bodies have taken proper ownership of these rules, even though they may have encountered difficulties in incorporating certain articles into their internal procedures.</w:t>
      </w:r>
    </w:p>
    <w:p w:rsidR="006D6EEB" w:rsidRPr="00756DA5" w:rsidP="006D6EEB">
      <w:pPr>
        <w:spacing w:line="280" w:lineRule="exact"/>
      </w:pPr>
      <w:r w:rsidRPr="00756DA5">
        <w:t xml:space="preserve">These undertakings are mostly satisfied with the flexibility offered to them to define the scope of the clearance to perform an essential safety task and the specific related knowledge. This allows them to adapt training only to the geographic and/or technical scope that </w:t>
      </w:r>
      <w:r w:rsidRPr="00756DA5">
        <w:t>will be implemented</w:t>
      </w:r>
      <w:r w:rsidRPr="00756DA5">
        <w:t xml:space="preserve"> by operators in the context of the performance of their missions.</w:t>
      </w:r>
    </w:p>
    <w:p w:rsidR="006D6EEB" w:rsidRPr="00756DA5" w:rsidP="006D6EEB">
      <w:pPr>
        <w:spacing w:line="280" w:lineRule="exact"/>
      </w:pPr>
      <w:r w:rsidRPr="00756DA5">
        <w:t>The introduction for each essential safety task of minimum physical and psychological fitness requirements in the Order of 7 May 2015 is also one of the facilitating points that are very widely appreciated.</w:t>
      </w:r>
    </w:p>
    <w:p w:rsidR="006D6EEB" w:rsidRPr="00756DA5" w:rsidP="006D6EEB">
      <w:pPr>
        <w:spacing w:line="280" w:lineRule="exact"/>
      </w:pPr>
      <w:r w:rsidRPr="00756DA5">
        <w:t xml:space="preserve">However, some difficulties in implementing the order </w:t>
      </w:r>
      <w:r w:rsidRPr="00756DA5">
        <w:t>have been encountered</w:t>
      </w:r>
      <w:r w:rsidRPr="00756DA5">
        <w:t xml:space="preserve">. This is the case, for example, for the operation of LCs, a task that </w:t>
      </w:r>
      <w:r w:rsidRPr="00756DA5">
        <w:t>could be considered</w:t>
      </w:r>
      <w:r w:rsidRPr="00756DA5">
        <w:t xml:space="preserve"> to fall within the scope of TES F ‘Ensuring the protection of railway traffic from road traffic and vice versa at level crossings’ or of TES F ‘Use of basic safety installations’. When the sector questioned whether clearance for both essential safety requirements was required for operation of a level crossing, this point was clarified for it with the explanation that during operation in nominal mode of an LC classified as a basic installation, clearance for either of the essential safety tasks was sufficient. However, to operate an LC in degraded mode, and/or a level crossing not classified as a basic installation, clearance for TES F is required.</w:t>
      </w:r>
    </w:p>
    <w:p w:rsidR="006D6EEB" w:rsidRPr="00756DA5" w:rsidP="00E41E54">
      <w:pPr>
        <w:spacing w:after="0" w:line="280" w:lineRule="exact"/>
      </w:pPr>
      <w:r w:rsidRPr="00756DA5">
        <w:t>The process for the skill evaluation process defined in Article 18 of the order has also raised some interpretation and implementation issues:</w:t>
      </w:r>
    </w:p>
    <w:p w:rsidR="006D6EEB" w:rsidRPr="00756DA5" w:rsidP="00E41E54">
      <w:pPr>
        <w:pStyle w:val="ListParagraph"/>
        <w:numPr>
          <w:ilvl w:val="0"/>
          <w:numId w:val="29"/>
        </w:numPr>
        <w:spacing w:after="0" w:line="280" w:lineRule="exact"/>
      </w:pPr>
      <w:r w:rsidRPr="00756DA5">
        <w:t>First of all</w:t>
      </w:r>
      <w:r w:rsidRPr="00756DA5">
        <w:t xml:space="preserve">, this Article establishes the criteria to be met by the assessors, which include the criterion of ‘be responsible for technical supervision in terms of safety of the staff members performing the essential safety task at the work station in question’. Since the concept of ‘supervision’ </w:t>
      </w:r>
      <w:r w:rsidRPr="00756DA5">
        <w:t>is</w:t>
      </w:r>
      <w:r w:rsidRPr="00756DA5">
        <w:t xml:space="preserve"> quite general, different interpretations can be found among the operators, some of which are questionable, particularly in cases of indirect supervision (support functions, several management levels separating the supervisor from the staff member, etc.).</w:t>
      </w:r>
    </w:p>
    <w:p w:rsidR="006D6EEB" w:rsidRPr="00756DA5" w:rsidP="00054DA8">
      <w:pPr>
        <w:pStyle w:val="ListParagraph"/>
        <w:numPr>
          <w:ilvl w:val="0"/>
          <w:numId w:val="29"/>
        </w:numPr>
        <w:spacing w:line="280" w:lineRule="exact"/>
      </w:pPr>
      <w:r w:rsidRPr="00756DA5">
        <w:t>Next, operators have a responsibility to define in their safety management system the ‘evaluation procedures intended to verify that employees meet the professional knowledge requirements in normal, degraded and emergency situations’. This openness offered by the order must not lead to the implementation of assessments whose lack of exhaustiveness would hinder the fulfilment of the stated performance obligation.  Operators should pay particular attention this to point.</w:t>
      </w:r>
    </w:p>
    <w:p w:rsidR="006D6EEB" w:rsidRPr="00756DA5" w:rsidP="006D6EEB">
      <w:pPr>
        <w:spacing w:line="280" w:lineRule="exact"/>
      </w:pPr>
      <w:r w:rsidRPr="00756DA5">
        <w:t xml:space="preserve">In addition to these observations relating to the implementation of the Order of 7 May 2015, there are still difficulties in the adoption by the sector of the roles and responsibilities at the interfaces between the various participants in the training of employees assigned to essential safety tasks. Work has been undertaken by the sector, with the EPSF through its various authorisation, monitoring, </w:t>
      </w:r>
      <w:r w:rsidRPr="00756DA5">
        <w:t>regulatory</w:t>
      </w:r>
      <w:r w:rsidRPr="00756DA5">
        <w:t xml:space="preserve"> coordination and feedback missions, in order, in particular, to improve the effectiveness of this training process.</w:t>
      </w:r>
    </w:p>
    <w:p w:rsidR="006D6EEB" w:rsidRPr="00756DA5" w:rsidP="006D6EEB">
      <w:pPr>
        <w:spacing w:line="280" w:lineRule="exact"/>
        <w:rPr>
          <w:b/>
        </w:rPr>
      </w:pPr>
      <w:r w:rsidRPr="00756DA5">
        <w:rPr>
          <w:b/>
          <w:bCs/>
          <w:szCs w:val="20"/>
        </w:rPr>
        <w:t xml:space="preserve">■ </w:t>
      </w:r>
      <w:r w:rsidRPr="00756DA5">
        <w:rPr>
          <w:b/>
        </w:rPr>
        <w:t>Implementation of the system of certification of entities in charge of maintenance – Allocation of roles and responsibilities</w:t>
      </w:r>
    </w:p>
    <w:p w:rsidR="006D6EEB" w:rsidRPr="00756DA5" w:rsidP="006D6EEB">
      <w:pPr>
        <w:spacing w:line="280" w:lineRule="exact"/>
      </w:pPr>
      <w:r w:rsidRPr="00756DA5">
        <w:t>Through the publication of Regulation (EU) No 445/2011</w:t>
      </w:r>
      <w:r>
        <w:rPr>
          <w:rStyle w:val="FootnoteReference"/>
        </w:rPr>
        <w:footnoteReference w:id="9"/>
      </w:r>
      <w:r w:rsidRPr="00756DA5">
        <w:t>, the European Commission established a system to guarantee a level of maintenance of freight wagons that will ensure the safety of the train traffic and convoys in which they are included.</w:t>
      </w:r>
    </w:p>
    <w:p w:rsidR="006D6EEB" w:rsidRPr="00756DA5" w:rsidP="006D6EEB">
      <w:pPr>
        <w:spacing w:line="280" w:lineRule="exact"/>
      </w:pPr>
      <w:r w:rsidRPr="00756DA5">
        <w:t>It also defined an allocation of roles and responsibilities between the main actors involved namely the wagon keepers, ECMs and the railway operators that will use the wagons in the context of the transport services that they provide.</w:t>
      </w:r>
    </w:p>
    <w:p w:rsidR="006D6EEB" w:rsidRPr="00756DA5" w:rsidP="006D6EEB">
      <w:pPr>
        <w:spacing w:line="280" w:lineRule="exact"/>
        <w:rPr>
          <w:rFonts w:ascii="Calibri" w:hAnsi="Calibri"/>
          <w:iCs/>
        </w:rPr>
      </w:pPr>
      <w:r w:rsidRPr="00756DA5">
        <w:t>This allocation of roles and responsibilities differs significantly from past practices, in a context in which, particularly within traditional railway undertakings, all the roles were concentrated within the same company.</w:t>
      </w:r>
    </w:p>
    <w:p w:rsidR="006D6EEB" w:rsidRPr="00756DA5" w:rsidP="006D6EEB">
      <w:pPr>
        <w:spacing w:line="280" w:lineRule="exact"/>
      </w:pPr>
      <w:r w:rsidRPr="00756DA5">
        <w:t xml:space="preserve">The ‘weight of history’ means that certain practices persist. An illustration of this is the example of the technical inspection. Some railway undertakings continue to perform it on the trains that they operate, without </w:t>
      </w:r>
      <w:r w:rsidRPr="00756DA5">
        <w:t>being tasked</w:t>
      </w:r>
      <w:r w:rsidRPr="00756DA5">
        <w:t xml:space="preserve"> with doing so by the ECM for the wagons making up these trains, even though technical inspection is a maintenance operation. </w:t>
      </w:r>
      <w:r w:rsidRPr="00756DA5">
        <w:t>In addition, some entities in charge of maintenance interpret Article 12 of the General Contract of Use (GCU) of wagons, which states ‘Each railway undertaking shall handle the wagons with care and with due diligence, and perform the inspection operations prescribed in accordance with Annex 9’, as an obligation on the railway undertakings who are parties to the GCU systematically to perform the technical inspection even though it is not a requirement of the European regulation.</w:t>
      </w:r>
    </w:p>
    <w:p w:rsidR="006D6EEB" w:rsidRPr="00756DA5" w:rsidP="006D6EEB">
      <w:pPr>
        <w:spacing w:line="280" w:lineRule="exact"/>
      </w:pPr>
      <w:r w:rsidRPr="00756DA5">
        <w:t>It should also be noted that, besides the understanding of this new allocation of responsibilities, the forwarding of technical operational information (tonne-km, total mileage, incidents, etc.) by railway undertakings to ECMs is proving to be particularly problematic despite the setting up of tools promoted by wagon keepers in Europe: such as the RSRD2 (Rolling Stock Reference Database: an electronic platform for the exchanging of data between keepers and railway undertakings).</w:t>
      </w:r>
      <w:r w:rsidRPr="00756DA5">
        <w:t xml:space="preserve"> In the same way, the forwarding of information relating to the use of rolling stock by railway undertakings and ECMs to the manufacturers of rolling stock appears insufficient from the perspective of feedback and </w:t>
      </w:r>
      <w:r w:rsidRPr="00756DA5">
        <w:t>should be expanded</w:t>
      </w:r>
      <w:r w:rsidRPr="00756DA5">
        <w:t xml:space="preserve"> to increase the level of safety.</w:t>
      </w:r>
    </w:p>
    <w:p w:rsidR="006D6EEB" w:rsidRPr="00756DA5" w:rsidP="000D6475">
      <w:pPr>
        <w:spacing w:after="0" w:line="280" w:lineRule="exact"/>
      </w:pPr>
      <w:r w:rsidRPr="00756DA5">
        <w:t>Although this instrument has been applicable for several years, it is nevertheless still raising numerous implementation issues, making it necessary to go back to the provisions that it introduced:</w:t>
      </w:r>
    </w:p>
    <w:p w:rsidR="006D6EEB" w:rsidRPr="00756DA5" w:rsidP="000D6475">
      <w:pPr>
        <w:pStyle w:val="ListParagraph"/>
        <w:numPr>
          <w:ilvl w:val="0"/>
          <w:numId w:val="29"/>
        </w:numPr>
        <w:spacing w:after="0" w:line="280" w:lineRule="exact"/>
      </w:pPr>
      <w:r w:rsidRPr="00756DA5">
        <w:t>during the audits that are conducted by the Inspections Directorate of the EPSF;</w:t>
      </w:r>
    </w:p>
    <w:p w:rsidR="006D6EEB" w:rsidRPr="00756DA5" w:rsidP="000354BB">
      <w:pPr>
        <w:pStyle w:val="ListParagraph"/>
        <w:numPr>
          <w:ilvl w:val="0"/>
          <w:numId w:val="29"/>
        </w:numPr>
        <w:spacing w:line="280" w:lineRule="exact"/>
      </w:pPr>
      <w:r w:rsidRPr="00756DA5">
        <w:t>during meetings of the ‘Interfaces and Regulations’ Committee, managed by the EPSF;</w:t>
      </w:r>
    </w:p>
    <w:p w:rsidR="006D6EEB" w:rsidRPr="00756DA5" w:rsidP="000354BB">
      <w:pPr>
        <w:pStyle w:val="ListParagraph"/>
        <w:numPr>
          <w:ilvl w:val="0"/>
          <w:numId w:val="29"/>
        </w:numPr>
        <w:spacing w:line="280" w:lineRule="exact"/>
      </w:pPr>
      <w:r w:rsidRPr="00756DA5">
        <w:t>during regulatory workshops;</w:t>
      </w:r>
    </w:p>
    <w:p w:rsidR="006D6EEB" w:rsidRPr="00756DA5" w:rsidP="000354BB">
      <w:pPr>
        <w:pStyle w:val="ListParagraph"/>
        <w:numPr>
          <w:ilvl w:val="0"/>
          <w:numId w:val="29"/>
        </w:numPr>
        <w:spacing w:line="280" w:lineRule="exact"/>
      </w:pPr>
      <w:r w:rsidRPr="00756DA5">
        <w:t>in</w:t>
      </w:r>
      <w:r w:rsidRPr="00756DA5">
        <w:t xml:space="preserve"> response to questions that are asked, in particular, through the information request form available on the EPSF website.</w:t>
      </w:r>
    </w:p>
    <w:p w:rsidR="00980CF0" w:rsidRPr="00756DA5" w:rsidP="00423F21">
      <w:pPr>
        <w:keepNext/>
        <w:spacing w:line="280" w:lineRule="exact"/>
        <w:rPr>
          <w:b/>
        </w:rPr>
      </w:pPr>
      <w:r w:rsidRPr="00756DA5">
        <w:rPr>
          <w:b/>
          <w:bCs/>
          <w:szCs w:val="20"/>
        </w:rPr>
        <w:t xml:space="preserve">■ </w:t>
      </w:r>
      <w:r w:rsidRPr="00756DA5">
        <w:rPr>
          <w:b/>
        </w:rPr>
        <w:t>Implementation of the common safety method for evaluating and assessing risk</w:t>
      </w:r>
    </w:p>
    <w:p w:rsidR="006D6EEB" w:rsidRPr="00756DA5" w:rsidP="00423F21">
      <w:pPr>
        <w:keepNext/>
        <w:spacing w:line="280" w:lineRule="exact"/>
      </w:pPr>
      <w:r w:rsidRPr="00756DA5">
        <w:t>Since 2009, the year of the publication of Regulation (EC) No 352/2009</w:t>
      </w:r>
      <w:r>
        <w:rPr>
          <w:rStyle w:val="FootnoteReference"/>
        </w:rPr>
        <w:footnoteReference w:id="10"/>
      </w:r>
      <w:r w:rsidRPr="00756DA5">
        <w:t>, since replaced by Regulation (EU) No 402/2013</w:t>
      </w:r>
      <w:r>
        <w:rPr>
          <w:rStyle w:val="FootnoteReference"/>
        </w:rPr>
        <w:footnoteReference w:id="11"/>
      </w:r>
      <w:r w:rsidRPr="00756DA5">
        <w:t>, any change made by an operator within the railway system of a Member State, whether it be organisational (likely to have an impact on operational or maintenance processes) or technical in nature, must be subject to prior analysis in accordance with a process described in that regulation.</w:t>
      </w:r>
    </w:p>
    <w:p w:rsidR="006D6EEB" w:rsidRPr="00756DA5" w:rsidP="00E41E54">
      <w:pPr>
        <w:spacing w:after="0" w:line="280" w:lineRule="exact"/>
      </w:pPr>
      <w:r w:rsidRPr="00756DA5">
        <w:t>The entities concerned (referred to as ‘proposers’ in the regulation) are:</w:t>
      </w:r>
    </w:p>
    <w:p w:rsidR="006D6EEB" w:rsidRPr="00756DA5" w:rsidP="00E41E54">
      <w:pPr>
        <w:pStyle w:val="ListParagraph"/>
        <w:numPr>
          <w:ilvl w:val="0"/>
          <w:numId w:val="29"/>
        </w:numPr>
        <w:spacing w:after="0" w:line="280" w:lineRule="exact"/>
      </w:pPr>
      <w:r w:rsidRPr="00756DA5">
        <w:t>railway operators;</w:t>
      </w:r>
    </w:p>
    <w:p w:rsidR="006D6EEB" w:rsidRPr="00756DA5" w:rsidP="000354BB">
      <w:pPr>
        <w:pStyle w:val="ListParagraph"/>
        <w:numPr>
          <w:ilvl w:val="0"/>
          <w:numId w:val="29"/>
        </w:numPr>
        <w:spacing w:line="280" w:lineRule="exact"/>
      </w:pPr>
      <w:r w:rsidRPr="00756DA5">
        <w:t>ECMs;</w:t>
      </w:r>
    </w:p>
    <w:p w:rsidR="006D6EEB" w:rsidRPr="00756DA5" w:rsidP="000354BB">
      <w:pPr>
        <w:pStyle w:val="ListParagraph"/>
        <w:numPr>
          <w:ilvl w:val="0"/>
          <w:numId w:val="29"/>
        </w:numPr>
        <w:spacing w:line="280" w:lineRule="exact"/>
      </w:pPr>
      <w:r w:rsidRPr="00756DA5">
        <w:t>contracting entities or manufacturers that invite a notified body or a designated body to apply the ‘EC’ verification procedure;</w:t>
      </w:r>
    </w:p>
    <w:p w:rsidR="006D6EEB" w:rsidRPr="00756DA5" w:rsidP="000354BB">
      <w:pPr>
        <w:pStyle w:val="ListParagraph"/>
        <w:numPr>
          <w:ilvl w:val="0"/>
          <w:numId w:val="29"/>
        </w:numPr>
        <w:spacing w:line="280" w:lineRule="exact"/>
      </w:pPr>
      <w:r w:rsidRPr="00756DA5">
        <w:t>applicants</w:t>
      </w:r>
      <w:r w:rsidRPr="00756DA5">
        <w:t xml:space="preserve"> for an authorisation for the placing in service of infrastructure or vehicles.</w:t>
      </w:r>
    </w:p>
    <w:p w:rsidR="006D6EEB" w:rsidRPr="00756DA5" w:rsidP="00E41E54">
      <w:pPr>
        <w:spacing w:after="0" w:line="280" w:lineRule="exact"/>
      </w:pPr>
      <w:r w:rsidRPr="00756DA5">
        <w:t>The process described in this Regulation makes it possible to define:</w:t>
      </w:r>
    </w:p>
    <w:p w:rsidR="006D6EEB" w:rsidRPr="00756DA5" w:rsidP="00E41E54">
      <w:pPr>
        <w:pStyle w:val="ListParagraph"/>
        <w:numPr>
          <w:ilvl w:val="0"/>
          <w:numId w:val="29"/>
        </w:numPr>
        <w:spacing w:after="0" w:line="280" w:lineRule="exact"/>
      </w:pPr>
      <w:r w:rsidRPr="00756DA5">
        <w:t>whether the change has an impact on safety;</w:t>
      </w:r>
    </w:p>
    <w:p w:rsidR="006D6EEB" w:rsidRPr="00756DA5" w:rsidP="000354BB">
      <w:pPr>
        <w:pStyle w:val="ListParagraph"/>
        <w:numPr>
          <w:ilvl w:val="0"/>
          <w:numId w:val="29"/>
        </w:numPr>
        <w:spacing w:line="280" w:lineRule="exact"/>
      </w:pPr>
      <w:r w:rsidRPr="00756DA5">
        <w:t>if so, to assess whether the change is significant, which will require the intervention of an independent assessment body that will, with complete independence, consider the suitability of both the application of the risk management process described in the regulation and of the results of that process;</w:t>
      </w:r>
    </w:p>
    <w:p w:rsidR="006D6EEB" w:rsidRPr="00756DA5" w:rsidP="000354BB">
      <w:pPr>
        <w:pStyle w:val="ListParagraph"/>
        <w:numPr>
          <w:ilvl w:val="0"/>
          <w:numId w:val="29"/>
        </w:numPr>
        <w:spacing w:line="280" w:lineRule="exact"/>
      </w:pPr>
      <w:r w:rsidRPr="00756DA5">
        <w:t>if</w:t>
      </w:r>
      <w:r w:rsidRPr="00756DA5">
        <w:t xml:space="preserve"> the change will require the issuing of a new authorisation (e.g. new type of vehicle) or the modification of an existing authorisation by the relevant national safety authority (or the ECM certification body).</w:t>
      </w:r>
    </w:p>
    <w:p w:rsidR="006D6EEB" w:rsidRPr="00756DA5" w:rsidP="00E41E54">
      <w:pPr>
        <w:spacing w:after="0" w:line="280" w:lineRule="exact"/>
      </w:pPr>
      <w:r w:rsidRPr="00756DA5">
        <w:t>The main difficulties encountered by railway operators and applicants for an authorisation for placing in service (only entities falling within the competence of the EPSF) are the following:</w:t>
      </w:r>
    </w:p>
    <w:p w:rsidR="006D6EEB" w:rsidRPr="00756DA5" w:rsidP="00E41E54">
      <w:pPr>
        <w:pStyle w:val="ListParagraph"/>
        <w:numPr>
          <w:ilvl w:val="0"/>
          <w:numId w:val="29"/>
        </w:numPr>
        <w:spacing w:after="0" w:line="280" w:lineRule="exact"/>
      </w:pPr>
      <w:r w:rsidRPr="00756DA5">
        <w:t>the systematic application of the method to all changes, even minor ones;</w:t>
      </w:r>
    </w:p>
    <w:p w:rsidR="006D6EEB" w:rsidRPr="00756DA5" w:rsidP="00E41E54">
      <w:pPr>
        <w:pStyle w:val="ListParagraph"/>
        <w:numPr>
          <w:ilvl w:val="0"/>
          <w:numId w:val="29"/>
        </w:numPr>
        <w:spacing w:after="0" w:line="280" w:lineRule="exact"/>
      </w:pPr>
      <w:r w:rsidRPr="00756DA5">
        <w:t>the establishment of a decision matrix based on the criteria set out in Article 4 of the regulation in order to assess the significance of a change;</w:t>
      </w:r>
    </w:p>
    <w:p w:rsidR="006D6EEB" w:rsidRPr="00756DA5" w:rsidP="000354BB">
      <w:pPr>
        <w:pStyle w:val="ListParagraph"/>
        <w:numPr>
          <w:ilvl w:val="0"/>
          <w:numId w:val="29"/>
        </w:numPr>
        <w:spacing w:line="280" w:lineRule="exact"/>
      </w:pPr>
      <w:r w:rsidRPr="00756DA5">
        <w:t>the availability internally of the skills required to conduct assessments (especially for small structures);</w:t>
      </w:r>
    </w:p>
    <w:p w:rsidR="006D6EEB" w:rsidRPr="00756DA5" w:rsidP="000354BB">
      <w:pPr>
        <w:pStyle w:val="ListParagraph"/>
        <w:numPr>
          <w:ilvl w:val="0"/>
          <w:numId w:val="29"/>
        </w:numPr>
        <w:spacing w:line="280" w:lineRule="exact"/>
      </w:pPr>
      <w:r w:rsidRPr="00756DA5">
        <w:t>the assessment of organisational changes, which is also a difficulty for independent assessment bodies;</w:t>
      </w:r>
    </w:p>
    <w:p w:rsidR="006D6EEB" w:rsidRPr="00756DA5" w:rsidP="000354BB">
      <w:pPr>
        <w:pStyle w:val="ListParagraph"/>
        <w:numPr>
          <w:ilvl w:val="0"/>
          <w:numId w:val="29"/>
        </w:numPr>
        <w:spacing w:line="280" w:lineRule="exact"/>
      </w:pPr>
      <w:r w:rsidRPr="00756DA5">
        <w:t>the cost of the intervention of an independent assessment body (again especially for small structures);</w:t>
      </w:r>
    </w:p>
    <w:p w:rsidR="006D6EEB" w:rsidRPr="00756DA5" w:rsidP="000354BB">
      <w:pPr>
        <w:pStyle w:val="ListParagraph"/>
        <w:numPr>
          <w:ilvl w:val="0"/>
          <w:numId w:val="29"/>
        </w:numPr>
        <w:spacing w:line="280" w:lineRule="exact"/>
      </w:pPr>
      <w:r w:rsidRPr="00756DA5">
        <w:t>the creation and updating of the hazard record;</w:t>
      </w:r>
    </w:p>
    <w:p w:rsidR="006D6EEB" w:rsidRPr="00756DA5" w:rsidP="000354BB">
      <w:pPr>
        <w:pStyle w:val="ListParagraph"/>
        <w:numPr>
          <w:ilvl w:val="0"/>
          <w:numId w:val="29"/>
        </w:numPr>
        <w:spacing w:line="280" w:lineRule="exact"/>
      </w:pPr>
      <w:r w:rsidRPr="00756DA5">
        <w:t>the selection of the ‘method’ for confirming the coverage of the risks identified;</w:t>
      </w:r>
    </w:p>
    <w:p w:rsidR="006D6EEB" w:rsidRPr="00756DA5" w:rsidP="000354BB">
      <w:pPr>
        <w:pStyle w:val="ListParagraph"/>
        <w:numPr>
          <w:ilvl w:val="0"/>
          <w:numId w:val="29"/>
        </w:numPr>
        <w:spacing w:line="280" w:lineRule="exact"/>
      </w:pPr>
      <w:r w:rsidRPr="00756DA5">
        <w:t>the</w:t>
      </w:r>
      <w:r w:rsidRPr="00756DA5">
        <w:t xml:space="preserve"> monitoring of and provision of feedback on the solutions implemented.</w:t>
      </w:r>
    </w:p>
    <w:p w:rsidR="00D20FC4" w:rsidRPr="00756DA5" w:rsidP="006D6EEB">
      <w:pPr>
        <w:spacing w:line="280" w:lineRule="exact"/>
      </w:pPr>
      <w:r w:rsidRPr="00756DA5">
        <w:t xml:space="preserve">These difficulties mean that the EPSF </w:t>
      </w:r>
      <w:r w:rsidRPr="00756DA5">
        <w:t>will again, in 2018, present</w:t>
      </w:r>
      <w:r w:rsidRPr="00756DA5">
        <w:t xml:space="preserve"> the overall process as defined by the European regulation during the regulatory coordination day organised annually. The EPSF’s annual conference will also address these issues through the more general theme of risk identification, analysis and management.</w:t>
      </w:r>
    </w:p>
    <w:p w:rsidR="00020074" w:rsidRPr="00756DA5" w:rsidP="009941AD">
      <w:pPr>
        <w:pStyle w:val="Heading1"/>
        <w:numPr>
          <w:ilvl w:val="0"/>
          <w:numId w:val="12"/>
        </w:numPr>
        <w:rPr>
          <w:rFonts w:cs="Arial"/>
        </w:rPr>
      </w:pPr>
      <w:bookmarkStart w:id="81" w:name="_Toc494469633"/>
      <w:bookmarkStart w:id="82" w:name="_Toc533153880"/>
      <w:r w:rsidRPr="00756DA5">
        <w:t>Lessons learned from authorisations and inspections</w:t>
      </w:r>
      <w:bookmarkEnd w:id="81"/>
      <w:bookmarkEnd w:id="82"/>
    </w:p>
    <w:p w:rsidR="004D499B" w:rsidRPr="00756DA5" w:rsidP="004D499B">
      <w:pPr>
        <w:pBdr>
          <w:top w:val="single" w:sz="4" w:space="1" w:color="auto"/>
          <w:bottom w:val="single" w:sz="4" w:space="0" w:color="auto"/>
        </w:pBdr>
        <w:spacing w:after="0" w:line="320" w:lineRule="exact"/>
        <w:rPr>
          <w:rFonts w:cs="Arial"/>
          <w:color w:val="808080" w:themeColor="background1" w:themeShade="80"/>
          <w:sz w:val="24"/>
          <w:szCs w:val="24"/>
        </w:rPr>
      </w:pPr>
    </w:p>
    <w:p w:rsidR="0086189E" w:rsidRPr="00756DA5" w:rsidP="004D499B">
      <w:pPr>
        <w:pBdr>
          <w:top w:val="single" w:sz="4" w:space="1" w:color="auto"/>
          <w:bottom w:val="single" w:sz="4" w:space="0" w:color="auto"/>
        </w:pBdr>
        <w:spacing w:after="0" w:line="320" w:lineRule="exact"/>
        <w:rPr>
          <w:rFonts w:cs="Arial"/>
          <w:color w:val="808080" w:themeColor="background1" w:themeShade="80"/>
          <w:sz w:val="24"/>
          <w:szCs w:val="24"/>
        </w:rPr>
      </w:pPr>
      <w:r w:rsidRPr="00756DA5">
        <w:rPr>
          <w:color w:val="808080" w:themeColor="background1" w:themeShade="80"/>
          <w:sz w:val="24"/>
          <w:szCs w:val="24"/>
        </w:rPr>
        <w:t>In addition to the activity report that the EPSF publishes on its website and which assesses its authorisation and inspection activities, the safety report focuses on highlighting significant facts, weaknesses or significant developments observed during those activities. For 2017, the EPSF wanted, in this section, to report its observations on developments in infrastructure maintenance on the RFN and, in a completely different area, the development of the ‘safety culture’ of railway operators.</w:t>
      </w:r>
    </w:p>
    <w:p w:rsidR="004D499B" w:rsidRPr="00756DA5" w:rsidP="004D499B">
      <w:pPr>
        <w:pBdr>
          <w:top w:val="single" w:sz="4" w:space="1" w:color="auto"/>
          <w:bottom w:val="single" w:sz="4" w:space="0" w:color="auto"/>
        </w:pBdr>
        <w:spacing w:after="0" w:line="320" w:lineRule="exact"/>
        <w:rPr>
          <w:rFonts w:cs="Arial"/>
          <w:color w:val="808080" w:themeColor="background1" w:themeShade="80"/>
          <w:sz w:val="24"/>
          <w:szCs w:val="24"/>
        </w:rPr>
      </w:pPr>
    </w:p>
    <w:p w:rsidR="009769C0" w:rsidRPr="00756DA5" w:rsidP="00BE5B92">
      <w:pPr>
        <w:spacing w:line="280" w:lineRule="exact"/>
        <w:rPr>
          <w:rFonts w:cs="Arial"/>
        </w:rPr>
      </w:pPr>
      <w:bookmarkStart w:id="83" w:name="_Toc423668211"/>
      <w:bookmarkStart w:id="84" w:name="_Ref462909358"/>
      <w:bookmarkStart w:id="85" w:name="_Ref462909371"/>
    </w:p>
    <w:p w:rsidR="00F70720" w:rsidRPr="00756DA5" w:rsidP="00054DA8">
      <w:pPr>
        <w:pStyle w:val="Heading2"/>
        <w:numPr>
          <w:ilvl w:val="1"/>
          <w:numId w:val="16"/>
        </w:numPr>
        <w:rPr>
          <w:rFonts w:cs="Arial"/>
        </w:rPr>
      </w:pPr>
      <w:bookmarkStart w:id="86" w:name="_Toc494469634"/>
      <w:bookmarkStart w:id="87" w:name="_Toc533153881"/>
      <w:r w:rsidRPr="00756DA5">
        <w:t>Infrastructure</w:t>
      </w:r>
      <w:bookmarkEnd w:id="86"/>
      <w:bookmarkEnd w:id="87"/>
    </w:p>
    <w:p w:rsidR="00682440" w:rsidRPr="00756DA5" w:rsidP="00186CB6">
      <w:pPr>
        <w:spacing w:line="280" w:lineRule="exact"/>
      </w:pPr>
      <w:r w:rsidRPr="00756DA5">
        <w:br/>
        <w:t xml:space="preserve">The condition and maintenance of the railway infrastructure of the RFN, from the perspective of ensuring the safety of traffic, </w:t>
      </w:r>
      <w:r w:rsidRPr="00756DA5">
        <w:t>have in recent years been</w:t>
      </w:r>
      <w:r w:rsidRPr="00756DA5">
        <w:t xml:space="preserve"> a major issue in political, economic, technical and societal terms, owing to the overall effects on all aspects of mobility.</w:t>
      </w:r>
    </w:p>
    <w:p w:rsidR="00682440" w:rsidRPr="00756DA5" w:rsidP="00186CB6">
      <w:pPr>
        <w:spacing w:line="280" w:lineRule="exact"/>
      </w:pPr>
      <w:r w:rsidRPr="00756DA5">
        <w:t>In view of this, the various actors have made great efforts to improve significantly the level of infrastructure performance, which has been below expectations for several years.</w:t>
      </w:r>
    </w:p>
    <w:p w:rsidR="00032DFA" w:rsidRPr="00756DA5" w:rsidP="00032DFA">
      <w:pPr>
        <w:spacing w:line="280" w:lineRule="exact"/>
      </w:pPr>
      <w:r w:rsidRPr="00756DA5">
        <w:t xml:space="preserve">In that respect, it is possible to mention the significant increase in investment made in 2017 in the improvement of network safety (EUR 108 M compared to EUR 35 M in 2010) or the amount of the multiannual contract between the State and SNCF Réseau signed on 20 April 2017 of which </w:t>
      </w:r>
      <w:r w:rsidRPr="00756DA5">
        <w:rPr>
          <w:b/>
          <w:bCs/>
        </w:rPr>
        <w:t>EUR 28 billion of the EUR 46 billion total</w:t>
      </w:r>
      <w:r w:rsidRPr="00756DA5">
        <w:t xml:space="preserve"> that it provides for will be dedicated to the renewal of the core network (corresponding to the lines with the most traffic) over the next 10 years.</w:t>
      </w:r>
    </w:p>
    <w:p w:rsidR="00682440" w:rsidRPr="00756DA5" w:rsidP="00186CB6">
      <w:pPr>
        <w:spacing w:line="280" w:lineRule="exact"/>
      </w:pPr>
      <w:r w:rsidRPr="00756DA5">
        <w:t xml:space="preserve">Railway infrastructure is an inertial field in which the results of the efforts undertaken </w:t>
      </w:r>
      <w:r w:rsidRPr="00756DA5">
        <w:t>can only be conclusively measured</w:t>
      </w:r>
      <w:r w:rsidRPr="00756DA5">
        <w:t xml:space="preserve"> in the medium or even long term. However, early signs make it possible to observe today the first encouraging manifestations of this expected improvement.</w:t>
      </w:r>
    </w:p>
    <w:p w:rsidR="00682440" w:rsidRPr="00756DA5" w:rsidP="00186CB6">
      <w:pPr>
        <w:spacing w:line="280" w:lineRule="exact"/>
      </w:pPr>
      <w:r w:rsidRPr="00756DA5">
        <w:t>By way of example, the number of broken rails that occurred in 2017 on the main lines of the RFN was historically low (172 in 2017 compared to 379 in 2010) and the number of buckles</w:t>
      </w:r>
      <w:r>
        <w:rPr>
          <w:rStyle w:val="FootnoteReference"/>
        </w:rPr>
        <w:footnoteReference w:id="12"/>
      </w:r>
      <w:r w:rsidRPr="00756DA5">
        <w:t xml:space="preserve"> requiring the implementation of a temporary speed limit achieved its lowest level for several years (76 in 2017 compared to 217 in 2012).</w:t>
      </w:r>
    </w:p>
    <w:p w:rsidR="00682440" w:rsidRPr="00756DA5" w:rsidP="00186CB6">
      <w:pPr>
        <w:spacing w:line="280" w:lineRule="exact"/>
      </w:pPr>
      <w:r w:rsidRPr="00756DA5">
        <w:t xml:space="preserve">In addition to the undeniable benefits that the increased investment in infrastructure provides, the improvements and favourable trends observed in 2017 on the main lines of the RFN are also, and perhaps so far primarily, the consequence </w:t>
      </w:r>
      <w:r w:rsidRPr="00756DA5">
        <w:t>of</w:t>
      </w:r>
      <w:r w:rsidRPr="00756DA5">
        <w:t>:</w:t>
      </w:r>
    </w:p>
    <w:p w:rsidR="00682440" w:rsidRPr="00756DA5" w:rsidP="000354BB">
      <w:pPr>
        <w:pStyle w:val="ListParagraph"/>
        <w:numPr>
          <w:ilvl w:val="0"/>
          <w:numId w:val="29"/>
        </w:numPr>
        <w:spacing w:line="280" w:lineRule="exact"/>
      </w:pPr>
      <w:r w:rsidRPr="00756DA5">
        <w:t>an overall improvement in the level of control of maintenance processes within SNCF Réseau as evidenced by the results of the ‘ASNO</w:t>
      </w:r>
      <w:r>
        <w:footnoteReference w:id="13"/>
      </w:r>
      <w:r w:rsidRPr="00756DA5">
        <w:t>’ audits and the operational inspections conducted by the EPSF in the area of the track;</w:t>
      </w:r>
    </w:p>
    <w:p w:rsidR="00682440" w:rsidRPr="00756DA5" w:rsidP="000354BB">
      <w:pPr>
        <w:pStyle w:val="ListParagraph"/>
        <w:numPr>
          <w:ilvl w:val="0"/>
          <w:numId w:val="29"/>
        </w:numPr>
        <w:spacing w:line="280" w:lineRule="exact"/>
      </w:pPr>
      <w:r w:rsidRPr="00756DA5">
        <w:t>A policy on rigorous maintenance aimed at ensuring strict compliance with established maintenance intervals, the implementation of precautionary measures in the event of lapses and the traceability of the actions and measures undertaken.</w:t>
      </w:r>
    </w:p>
    <w:p w:rsidR="00682440" w:rsidRPr="00756DA5" w:rsidP="00186CB6">
      <w:pPr>
        <w:spacing w:line="280" w:lineRule="exact"/>
      </w:pPr>
      <w:r w:rsidRPr="00756DA5">
        <w:t>Regarding the last point, it is interesting to note that genuine change is taking place in the field of infrastructure maintenance in which an outcome-based approach is gradually replacing an approach historically based on resources.</w:t>
      </w:r>
    </w:p>
    <w:p w:rsidR="00682440" w:rsidRPr="00756DA5" w:rsidP="00186CB6">
      <w:pPr>
        <w:spacing w:line="280" w:lineRule="exact"/>
      </w:pPr>
      <w:r w:rsidRPr="00756DA5">
        <w:t xml:space="preserve">In fact, where there is a return </w:t>
      </w:r>
      <w:r w:rsidRPr="00756DA5">
        <w:t>to strict requirements in compliance with the fundamentals such as compliance with maintenance plans, work</w:t>
      </w:r>
      <w:r w:rsidRPr="00756DA5">
        <w:t xml:space="preserve"> is simultaneously being done to enable operational actors to have the freedom required for the fulfilment of their mission. This is in particular characterised by the granting of greater room for manoeuvre permitted by better local knowledge of the architecture and a better ability to analyse risks.</w:t>
      </w:r>
    </w:p>
    <w:p w:rsidR="00682440" w:rsidRPr="00756DA5" w:rsidP="00186CB6">
      <w:pPr>
        <w:spacing w:line="280" w:lineRule="exact"/>
      </w:pPr>
      <w:r w:rsidRPr="00756DA5">
        <w:t xml:space="preserve">Conversely, while improvements and favourable trends were observed in terms of infrastructure maintenance on the main lines of the RFN, a rise in the number of significant incidents (to be seen in </w:t>
      </w:r>
      <w:r w:rsidRPr="00756DA5">
        <w:t>the context of the increase in the number of sites), resulting from the carrying out of work on infrastructure could be seen in 2017.</w:t>
      </w:r>
    </w:p>
    <w:p w:rsidR="00682440" w:rsidRPr="00756DA5" w:rsidP="00186CB6">
      <w:pPr>
        <w:spacing w:line="280" w:lineRule="exact"/>
      </w:pPr>
      <w:r w:rsidRPr="00756DA5">
        <w:t>These incidents mainly concern the area of electric signalling and, to a lesser extent, the areas of telecommunications and the track.</w:t>
      </w:r>
    </w:p>
    <w:p w:rsidR="00682440" w:rsidRPr="00756DA5" w:rsidP="00186CB6">
      <w:pPr>
        <w:spacing w:line="280" w:lineRule="exact"/>
      </w:pPr>
      <w:r w:rsidRPr="00756DA5">
        <w:t>The two recurrent causes of the main events that occurred in 2017 are the errors made in studies and the errors made in the performance of work. In addition, it is desirable for the robustness of the key safeguard, which is the process for testing and checks prior to return to service, to be improved.</w:t>
      </w:r>
    </w:p>
    <w:p w:rsidR="00682440" w:rsidRPr="00756DA5" w:rsidP="00186CB6">
      <w:pPr>
        <w:spacing w:line="280" w:lineRule="exact"/>
      </w:pPr>
      <w:r w:rsidRPr="00756DA5">
        <w:t xml:space="preserve">Finally, the incident analysis and the inspections conducted on the network’s secondary lines or on comparable networks reveal a </w:t>
      </w:r>
      <w:r w:rsidRPr="00756DA5">
        <w:t>wholly insufficient</w:t>
      </w:r>
      <w:r w:rsidRPr="00756DA5">
        <w:t xml:space="preserve"> level of safety performance.</w:t>
      </w:r>
    </w:p>
    <w:p w:rsidR="00682440" w:rsidRPr="00756DA5" w:rsidP="00186CB6">
      <w:pPr>
        <w:spacing w:line="280" w:lineRule="exact"/>
      </w:pPr>
      <w:r w:rsidRPr="00756DA5">
        <w:t>Thus, an analysis conducted in 2017 by the EPSF shows an increase in the number of derailments caused by a failure of the infrastructure on the main marshalling sites travelled by hazardous goods convoys.</w:t>
      </w:r>
    </w:p>
    <w:p w:rsidR="00682440" w:rsidRPr="00756DA5" w:rsidP="00186CB6">
      <w:pPr>
        <w:spacing w:line="280" w:lineRule="exact"/>
      </w:pPr>
      <w:r w:rsidRPr="00756DA5">
        <w:t>Consequently, the derailment on 13 March 2007 of a goods train travelling at 24 km/h on the service tracks in the set of sidings of the North/South relay of Sibelin station caused a significant leak of hazardous material, leading SNCF Réseau to strengthen its policy for the monitoring of certain service tracks travelled upon by hazardous goods convoys, without waiting for the findings of the technical investigation launched by the BEA-TT.</w:t>
      </w:r>
    </w:p>
    <w:p w:rsidR="00682440" w:rsidRPr="00756DA5" w:rsidP="00186CB6">
      <w:pPr>
        <w:spacing w:line="280" w:lineRule="exact"/>
      </w:pPr>
      <w:r w:rsidRPr="00756DA5">
        <w:t>Finally, operational inspections conducted by the EPSF on comparable networks revealed infrastructure maintenance shortcomings, such as non-compliance with maintenance patterns for safety installations or the lack of implementation of appropriate measures despite limit values being exceeded for certain parameters.</w:t>
      </w:r>
    </w:p>
    <w:p w:rsidR="00682440" w:rsidRPr="00756DA5" w:rsidP="00186CB6">
      <w:pPr>
        <w:spacing w:line="280" w:lineRule="exact"/>
      </w:pPr>
      <w:r w:rsidRPr="00756DA5">
        <w:t>These shortcomings have in particular led the managers of these networks to increase the resources allocated to the identification of such lapses.</w:t>
      </w:r>
    </w:p>
    <w:p w:rsidR="00C04344" w:rsidRPr="00756DA5" w:rsidP="00186CB6">
      <w:pPr>
        <w:spacing w:line="280" w:lineRule="exact"/>
      </w:pPr>
    </w:p>
    <w:p w:rsidR="0086189E" w:rsidRPr="00756DA5" w:rsidP="00054DA8">
      <w:pPr>
        <w:pStyle w:val="Heading2"/>
        <w:numPr>
          <w:ilvl w:val="1"/>
          <w:numId w:val="16"/>
        </w:numPr>
        <w:rPr>
          <w:rFonts w:cs="Arial"/>
        </w:rPr>
      </w:pPr>
      <w:bookmarkStart w:id="88" w:name="_Toc533153882"/>
      <w:r w:rsidRPr="00756DA5">
        <w:t>Safety culture</w:t>
      </w:r>
      <w:bookmarkEnd w:id="88"/>
    </w:p>
    <w:p w:rsidR="00682440" w:rsidRPr="00756DA5" w:rsidP="00186CB6">
      <w:pPr>
        <w:spacing w:line="280" w:lineRule="exact"/>
        <w:rPr>
          <w:rStyle w:val="Emphasis"/>
          <w:bCs/>
          <w:i w:val="0"/>
        </w:rPr>
      </w:pPr>
      <w:r w:rsidRPr="00756DA5">
        <w:br/>
        <w:t xml:space="preserve">Safety culture can be defined as ‘a set of ways of doing and thinking that is widely shared by the actors of an organisation in the context of managing the most significant risks associated with its activities’ (definition developed by the </w:t>
      </w:r>
      <w:r w:rsidRPr="00756DA5">
        <w:rPr>
          <w:i/>
        </w:rPr>
        <w:t>Institut pour une culture de sécurité industrielle</w:t>
      </w:r>
      <w:r w:rsidRPr="00756DA5">
        <w:t xml:space="preserve"> – ICSI</w:t>
      </w:r>
      <w:r>
        <w:rPr>
          <w:vertAlign w:val="superscript"/>
        </w:rPr>
        <w:footnoteReference w:id="14"/>
      </w:r>
      <w:r w:rsidRPr="00756DA5">
        <w:t xml:space="preserve"> [Institute for an Industrial Safety Culture]).</w:t>
      </w:r>
    </w:p>
    <w:p w:rsidR="00682440" w:rsidRPr="00756DA5" w:rsidP="00186CB6">
      <w:pPr>
        <w:spacing w:line="280" w:lineRule="exact"/>
      </w:pPr>
      <w:r w:rsidRPr="00756DA5">
        <w:t>Consequently, behind this idea lies the one that ‘safety culture’ concerns all the actors in an organisation, both its managers who, through their decisions, have a strong influence on safety policy and the resources made available to implement it, and its operational actors.</w:t>
      </w:r>
    </w:p>
    <w:p w:rsidR="00682440" w:rsidRPr="00756DA5" w:rsidP="00E41E54">
      <w:pPr>
        <w:spacing w:after="0" w:line="280" w:lineRule="exact"/>
      </w:pPr>
      <w:r w:rsidRPr="00756DA5">
        <w:t xml:space="preserve">From this perspective, 2017 was a turning point within the railway sector in the sense that the development of ‘safety culture’ </w:t>
      </w:r>
      <w:r w:rsidRPr="00756DA5">
        <w:t>was considerably strengthened</w:t>
      </w:r>
      <w:r w:rsidRPr="00756DA5">
        <w:t xml:space="preserve">. In this way, many initiatives </w:t>
      </w:r>
      <w:r w:rsidRPr="00756DA5">
        <w:t>were implemented or consolidated within railway undertakings including</w:t>
      </w:r>
      <w:r w:rsidRPr="00756DA5">
        <w:t>:</w:t>
      </w:r>
    </w:p>
    <w:p w:rsidR="00682440" w:rsidRPr="00756DA5" w:rsidP="00E41E54">
      <w:pPr>
        <w:pStyle w:val="ListParagraph"/>
        <w:numPr>
          <w:ilvl w:val="0"/>
          <w:numId w:val="29"/>
        </w:numPr>
        <w:spacing w:after="0" w:line="280" w:lineRule="exact"/>
      </w:pPr>
      <w:r w:rsidRPr="00756DA5">
        <w:t xml:space="preserve">‘Fair and equitable culture’ approaches and the consideration of human and organisational factors (HOFs) in the understanding of the causes of a safety event, which are being deployed </w:t>
      </w:r>
      <w:r w:rsidRPr="00756DA5">
        <w:t>increasingly widely within railway undertakings. In the same way, the principle of ‘safety discussions’ prior to operational activity is widespread today.</w:t>
      </w:r>
    </w:p>
    <w:p w:rsidR="00682440" w:rsidRPr="00756DA5" w:rsidP="000354BB">
      <w:pPr>
        <w:pStyle w:val="ListParagraph"/>
        <w:numPr>
          <w:ilvl w:val="0"/>
          <w:numId w:val="29"/>
        </w:numPr>
        <w:spacing w:line="280" w:lineRule="exact"/>
      </w:pPr>
      <w:r w:rsidRPr="00756DA5">
        <w:t xml:space="preserve">The development of close ties between actors in the French railway sector, including the EPSF, with the </w:t>
      </w:r>
      <w:r w:rsidRPr="00756DA5">
        <w:rPr>
          <w:i/>
        </w:rPr>
        <w:t>Fondation pour une culture de sécurité</w:t>
      </w:r>
      <w:r w:rsidRPr="00756DA5">
        <w:t xml:space="preserve"> </w:t>
      </w:r>
      <w:r w:rsidRPr="00756DA5">
        <w:rPr>
          <w:i/>
        </w:rPr>
        <w:t>industrielle</w:t>
      </w:r>
      <w:r w:rsidRPr="00756DA5">
        <w:t xml:space="preserve"> (Foncsi) [Foundation for an Industrial Safety Culture], which aims in particular to make progress on themes such as organisational and human factors or the relationship between inspectors and inspected.</w:t>
      </w:r>
    </w:p>
    <w:p w:rsidR="00682440" w:rsidRPr="00756DA5" w:rsidP="000354BB">
      <w:pPr>
        <w:pStyle w:val="ListParagraph"/>
        <w:numPr>
          <w:ilvl w:val="0"/>
          <w:numId w:val="29"/>
        </w:numPr>
        <w:spacing w:line="280" w:lineRule="exact"/>
      </w:pPr>
      <w:r w:rsidRPr="00756DA5">
        <w:t>The continuation of the ‘PRISME’ process within SNCF Réseau and SNCF Mobilités incorporating themes such as a fair and equitable culture, a risk-based approach and the consideration of HOFs, which constitute key elements. In order to promote and accelerate the dissemination of the values conveyed by these changes, these operators introduced the ‘safety train’, the success of which means they will repeat the experience in 2018;</w:t>
      </w:r>
    </w:p>
    <w:p w:rsidR="00682440" w:rsidRPr="00756DA5" w:rsidP="000354BB">
      <w:pPr>
        <w:pStyle w:val="ListParagraph"/>
        <w:numPr>
          <w:ilvl w:val="0"/>
          <w:numId w:val="29"/>
        </w:numPr>
        <w:spacing w:line="280" w:lineRule="exact"/>
      </w:pPr>
      <w:r w:rsidRPr="00756DA5">
        <w:t>‘Safety Week’ within Europorte France during which all the members of the company’s management committee go out to meet the operational actors on all the production sites over one week. This process contributes in particular to the dissemination of the golden rules of safety to these actors and promotes the reporting of any safety-related issues to the highest level of the company.</w:t>
      </w:r>
    </w:p>
    <w:p w:rsidR="00682440" w:rsidRPr="00756DA5" w:rsidP="000354BB">
      <w:pPr>
        <w:pStyle w:val="ListParagraph"/>
        <w:numPr>
          <w:ilvl w:val="0"/>
          <w:numId w:val="29"/>
        </w:numPr>
        <w:spacing w:line="280" w:lineRule="exact"/>
      </w:pPr>
      <w:r w:rsidRPr="00756DA5">
        <w:t>The preparation of the first European summit organised by the European Union Agency for Railways on the theme of ’safety culture’ bringing together actors in the European railway sector in Dubrovnik in April 2018.</w:t>
      </w:r>
    </w:p>
    <w:p w:rsidR="00682440" w:rsidRPr="00756DA5" w:rsidP="00186CB6">
      <w:pPr>
        <w:spacing w:line="280" w:lineRule="exact"/>
      </w:pPr>
      <w:r w:rsidRPr="00756DA5">
        <w:t>All of the actors in the railway sector agree that the safety benefits contributed by these different initiatives bolster the view that ‘safety culture’ is a fundamental part of a safety management system, even though many aspects are unquantifiable and the outcomes are difficult to measure.</w:t>
      </w:r>
    </w:p>
    <w:p w:rsidR="00682440" w:rsidRPr="00756DA5" w:rsidP="00E41E54">
      <w:pPr>
        <w:spacing w:after="0" w:line="280" w:lineRule="exact"/>
      </w:pPr>
      <w:r w:rsidRPr="00756DA5">
        <w:t xml:space="preserve">In this context, one of the challenges for the sector is being able to assess the relevance and effectiveness of the actions undertaken. That assessment </w:t>
      </w:r>
      <w:r w:rsidRPr="00756DA5">
        <w:t>may, in particular, be based</w:t>
      </w:r>
      <w:r w:rsidRPr="00756DA5">
        <w:t xml:space="preserve"> on compliance with safety fundamentals at all levels of an organisation, but also on tangible signs of the presence at the different levels of the organisation of elements such as:</w:t>
      </w:r>
    </w:p>
    <w:p w:rsidR="00682440" w:rsidRPr="00756DA5" w:rsidP="00E41E54">
      <w:pPr>
        <w:pStyle w:val="ListParagraph"/>
        <w:numPr>
          <w:ilvl w:val="0"/>
          <w:numId w:val="29"/>
        </w:numPr>
        <w:spacing w:after="0" w:line="280" w:lineRule="exact"/>
      </w:pPr>
      <w:r w:rsidRPr="00756DA5">
        <w:t>the fair, equitable and transparent handling of errors;</w:t>
      </w:r>
    </w:p>
    <w:p w:rsidR="00682440" w:rsidRPr="00756DA5" w:rsidP="000354BB">
      <w:pPr>
        <w:pStyle w:val="ListParagraph"/>
        <w:numPr>
          <w:ilvl w:val="0"/>
          <w:numId w:val="29"/>
        </w:numPr>
        <w:spacing w:line="280" w:lineRule="exact"/>
      </w:pPr>
      <w:r w:rsidRPr="00756DA5">
        <w:t>a culture of uncertainty;</w:t>
      </w:r>
    </w:p>
    <w:p w:rsidR="00682440" w:rsidRPr="00756DA5" w:rsidP="000354BB">
      <w:pPr>
        <w:pStyle w:val="ListParagraph"/>
        <w:numPr>
          <w:ilvl w:val="0"/>
          <w:numId w:val="29"/>
        </w:numPr>
        <w:spacing w:line="280" w:lineRule="exact"/>
      </w:pPr>
      <w:r w:rsidRPr="00756DA5">
        <w:t>the example and commitment from management;</w:t>
      </w:r>
    </w:p>
    <w:p w:rsidR="00682440" w:rsidRPr="00756DA5" w:rsidP="000354BB">
      <w:pPr>
        <w:pStyle w:val="ListParagraph"/>
        <w:numPr>
          <w:ilvl w:val="0"/>
          <w:numId w:val="29"/>
        </w:numPr>
        <w:spacing w:line="280" w:lineRule="exact"/>
      </w:pPr>
      <w:r w:rsidRPr="00756DA5">
        <w:t>a culture of alerts;</w:t>
      </w:r>
    </w:p>
    <w:p w:rsidR="00682440" w:rsidRPr="00756DA5" w:rsidP="000354BB">
      <w:pPr>
        <w:pStyle w:val="ListParagraph"/>
        <w:numPr>
          <w:ilvl w:val="0"/>
          <w:numId w:val="29"/>
        </w:numPr>
        <w:spacing w:line="280" w:lineRule="exact"/>
      </w:pPr>
      <w:r w:rsidRPr="00756DA5">
        <w:t>knowledge of business risks;</w:t>
      </w:r>
    </w:p>
    <w:p w:rsidR="00682440" w:rsidRPr="00756DA5" w:rsidP="000354BB">
      <w:pPr>
        <w:pStyle w:val="ListParagraph"/>
        <w:numPr>
          <w:ilvl w:val="0"/>
          <w:numId w:val="29"/>
        </w:numPr>
        <w:spacing w:line="280" w:lineRule="exact"/>
      </w:pPr>
      <w:r w:rsidRPr="00756DA5">
        <w:t>the existence of safety targets set at all levels of the organisation (the promotion of the achievement of personal targets should, however, be handled with great care, given the effect that it may have on transparency);</w:t>
      </w:r>
    </w:p>
    <w:p w:rsidR="00682440" w:rsidRPr="00756DA5" w:rsidP="000354BB">
      <w:pPr>
        <w:pStyle w:val="ListParagraph"/>
        <w:numPr>
          <w:ilvl w:val="0"/>
          <w:numId w:val="29"/>
        </w:numPr>
        <w:spacing w:line="280" w:lineRule="exact"/>
      </w:pPr>
      <w:r w:rsidRPr="00756DA5">
        <w:t>the</w:t>
      </w:r>
      <w:r w:rsidRPr="00756DA5">
        <w:t xml:space="preserve"> ability of an organisation and the people within it to be fully involved and proactive with regard to safety, beyond simply complying with the basic rules.</w:t>
      </w:r>
    </w:p>
    <w:p w:rsidR="00186CB6" w:rsidRPr="00756DA5" w:rsidP="00186CB6">
      <w:pPr>
        <w:spacing w:line="280" w:lineRule="exact"/>
      </w:pPr>
      <w:r w:rsidRPr="00756DA5">
        <w:t>Finally, another of the significant challenges for all actors in the sector, from the largest group to the smallest undertaking and from the most senior manager to the largest operational actor and the various subcontractors, is ensuring that the initiatives for the development of a ‘safety culture’ are not limited to statements of intent but that they are given expression in the operational reality, in an approach that is first and foremost pragmatic, understandable and applicable.</w:t>
      </w:r>
    </w:p>
    <w:p w:rsidR="004E453C" w:rsidRPr="00756DA5" w:rsidP="00423F21">
      <w:pPr>
        <w:pStyle w:val="Heading1"/>
        <w:pageBreakBefore/>
        <w:rPr>
          <w:rFonts w:cs="Arial"/>
          <w:szCs w:val="44"/>
        </w:rPr>
      </w:pPr>
      <w:bookmarkStart w:id="89" w:name="_Toc494469636"/>
      <w:bookmarkStart w:id="90" w:name="_Toc533153883"/>
      <w:r w:rsidRPr="00756DA5">
        <w:t>Annex 1 – Definitions: common safety objectives and</w:t>
      </w:r>
      <w:bookmarkEnd w:id="83"/>
      <w:r w:rsidRPr="00756DA5">
        <w:t xml:space="preserve"> indicators</w:t>
      </w:r>
      <w:bookmarkEnd w:id="84"/>
      <w:bookmarkEnd w:id="85"/>
      <w:bookmarkEnd w:id="89"/>
      <w:bookmarkEnd w:id="90"/>
    </w:p>
    <w:p w:rsidR="00057A2B" w:rsidRPr="00756DA5" w:rsidP="00057A2B">
      <w:pPr>
        <w:pBdr>
          <w:top w:val="single" w:sz="4" w:space="1" w:color="auto"/>
          <w:bottom w:val="single" w:sz="4" w:space="0" w:color="auto"/>
        </w:pBdr>
        <w:spacing w:after="0" w:line="320" w:lineRule="exact"/>
        <w:rPr>
          <w:rFonts w:cs="Arial"/>
          <w:color w:val="808080" w:themeColor="background1" w:themeShade="80"/>
          <w:sz w:val="24"/>
          <w:szCs w:val="24"/>
        </w:rPr>
      </w:pPr>
    </w:p>
    <w:p w:rsidR="00CD672D" w:rsidRPr="00756DA5" w:rsidP="00057A2B">
      <w:pPr>
        <w:pBdr>
          <w:top w:val="single" w:sz="4" w:space="1" w:color="auto"/>
          <w:bottom w:val="single" w:sz="4" w:space="0" w:color="auto"/>
        </w:pBdr>
        <w:spacing w:after="0" w:line="320" w:lineRule="exact"/>
        <w:rPr>
          <w:rFonts w:cs="Arial"/>
          <w:color w:val="808080" w:themeColor="background1" w:themeShade="80"/>
          <w:sz w:val="24"/>
          <w:szCs w:val="24"/>
        </w:rPr>
      </w:pPr>
      <w:r w:rsidRPr="00756DA5">
        <w:rPr>
          <w:color w:val="808080" w:themeColor="background1" w:themeShade="80"/>
          <w:sz w:val="24"/>
          <w:szCs w:val="24"/>
        </w:rPr>
        <w:t>Directive (EU) 2016/798 of the European Parliament and of the Council of 11 May 2016 on railway safety renews the safety objectives and indicators enabling the harmonised evaluation of the safety level of railway traffic and the performance of operators at the Community level as well as in the Member States.</w:t>
      </w:r>
    </w:p>
    <w:p w:rsidR="00057A2B" w:rsidRPr="00756DA5" w:rsidP="00057A2B">
      <w:pPr>
        <w:pBdr>
          <w:top w:val="single" w:sz="4" w:space="1" w:color="auto"/>
          <w:bottom w:val="single" w:sz="4" w:space="0" w:color="auto"/>
        </w:pBdr>
        <w:spacing w:after="0" w:line="320" w:lineRule="exact"/>
        <w:rPr>
          <w:rFonts w:cs="Arial"/>
          <w:color w:val="808080" w:themeColor="background1" w:themeShade="80"/>
          <w:sz w:val="24"/>
          <w:szCs w:val="24"/>
        </w:rPr>
      </w:pPr>
    </w:p>
    <w:p w:rsidR="00CD16F7" w:rsidRPr="00756DA5" w:rsidP="001C1E0C">
      <w:pPr>
        <w:spacing w:line="280" w:lineRule="exact"/>
        <w:rPr>
          <w:b/>
          <w:bCs/>
        </w:rPr>
      </w:pPr>
      <w:r w:rsidRPr="00756DA5">
        <w:rPr>
          <w:b/>
          <w:bCs/>
        </w:rPr>
        <w:t xml:space="preserve">■ </w:t>
      </w:r>
      <w:r w:rsidRPr="00756DA5">
        <w:rPr>
          <w:b/>
          <w:bCs/>
        </w:rPr>
        <w:t>The</w:t>
      </w:r>
      <w:r w:rsidRPr="00756DA5">
        <w:rPr>
          <w:b/>
          <w:bCs/>
        </w:rPr>
        <w:t xml:space="preserve"> common safety indicators (CSIs)</w:t>
      </w:r>
    </w:p>
    <w:p w:rsidR="00CD16F7" w:rsidRPr="00756DA5" w:rsidP="00023A1F">
      <w:pPr>
        <w:spacing w:after="0" w:line="280" w:lineRule="exact"/>
      </w:pPr>
      <w:r w:rsidRPr="00756DA5">
        <w:t xml:space="preserve">The CSIs are calculated for each country </w:t>
      </w:r>
      <w:r w:rsidRPr="00756DA5">
        <w:t>on the basis of</w:t>
      </w:r>
      <w:r w:rsidRPr="00756DA5">
        <w:t xml:space="preserve"> observable data. Annex I of the Directive and its appendix establish these </w:t>
      </w:r>
      <w:r w:rsidRPr="00756DA5">
        <w:t>indicators which</w:t>
      </w:r>
      <w:r w:rsidRPr="00756DA5">
        <w:t xml:space="preserve"> are defined on a common basis. In particular, it indicates the number of people killed and seriously injured in railway accidents broken down by the following five types of people:</w:t>
      </w:r>
    </w:p>
    <w:p w:rsidR="00CD16F7" w:rsidRPr="00756DA5" w:rsidP="000354BB">
      <w:pPr>
        <w:pStyle w:val="ListParagraph"/>
        <w:numPr>
          <w:ilvl w:val="0"/>
          <w:numId w:val="29"/>
        </w:numPr>
        <w:spacing w:line="280" w:lineRule="exact"/>
      </w:pPr>
      <w:r w:rsidRPr="00756DA5">
        <w:t>‘passengers’;</w:t>
      </w:r>
    </w:p>
    <w:p w:rsidR="00CD16F7" w:rsidRPr="00756DA5" w:rsidP="000354BB">
      <w:pPr>
        <w:pStyle w:val="ListParagraph"/>
        <w:numPr>
          <w:ilvl w:val="0"/>
          <w:numId w:val="29"/>
        </w:numPr>
        <w:spacing w:line="280" w:lineRule="exact"/>
      </w:pPr>
      <w:r w:rsidRPr="00756DA5">
        <w:t>‘employees’ (including staff members and contractors);</w:t>
      </w:r>
    </w:p>
    <w:p w:rsidR="00CD16F7" w:rsidRPr="00756DA5" w:rsidP="000354BB">
      <w:pPr>
        <w:pStyle w:val="ListParagraph"/>
        <w:numPr>
          <w:ilvl w:val="0"/>
          <w:numId w:val="29"/>
        </w:numPr>
        <w:spacing w:line="280" w:lineRule="exact"/>
      </w:pPr>
      <w:r w:rsidRPr="00756DA5">
        <w:t>‘level crossing users’;</w:t>
      </w:r>
    </w:p>
    <w:p w:rsidR="00CD16F7" w:rsidRPr="00756DA5" w:rsidP="000354BB">
      <w:pPr>
        <w:pStyle w:val="ListParagraph"/>
        <w:numPr>
          <w:ilvl w:val="0"/>
          <w:numId w:val="29"/>
        </w:numPr>
        <w:spacing w:line="280" w:lineRule="exact"/>
      </w:pPr>
      <w:r w:rsidRPr="00756DA5">
        <w:t>‘trespassers’ on railway premises;</w:t>
      </w:r>
    </w:p>
    <w:p w:rsidR="00CD16F7" w:rsidRPr="00756DA5" w:rsidP="000354BB">
      <w:pPr>
        <w:pStyle w:val="ListParagraph"/>
        <w:numPr>
          <w:ilvl w:val="0"/>
          <w:numId w:val="29"/>
        </w:numPr>
        <w:spacing w:line="280" w:lineRule="exact"/>
      </w:pPr>
      <w:r w:rsidRPr="00756DA5">
        <w:t>‘</w:t>
      </w:r>
      <w:r w:rsidRPr="00756DA5">
        <w:t>other</w:t>
      </w:r>
      <w:r w:rsidRPr="00756DA5">
        <w:t>’ people.</w:t>
      </w:r>
    </w:p>
    <w:p w:rsidR="00CD16F7" w:rsidRPr="00756DA5" w:rsidP="00023A1F">
      <w:pPr>
        <w:spacing w:line="280" w:lineRule="exact"/>
      </w:pPr>
      <w:r w:rsidRPr="00756DA5">
        <w:t>For each type of person, it is possible to determine the FWSI (fatalities and weighted serious injuries) indicator corresponding to the sum of the number of people killed and 0.1 times the number of people seriously injured.</w:t>
      </w:r>
    </w:p>
    <w:p w:rsidR="00CD16F7" w:rsidRPr="00756DA5" w:rsidP="00023A1F">
      <w:pPr>
        <w:spacing w:line="280" w:lineRule="exact"/>
        <w:rPr>
          <w:b/>
          <w:bCs/>
        </w:rPr>
      </w:pPr>
      <w:bookmarkStart w:id="91" w:name="_Hlk490216742"/>
      <w:r w:rsidRPr="00756DA5">
        <w:rPr>
          <w:b/>
          <w:bCs/>
        </w:rPr>
        <w:t xml:space="preserve">■ </w:t>
      </w:r>
      <w:r w:rsidRPr="00756DA5">
        <w:rPr>
          <w:b/>
          <w:bCs/>
        </w:rPr>
        <w:t>The</w:t>
      </w:r>
      <w:r w:rsidRPr="00756DA5">
        <w:rPr>
          <w:b/>
          <w:bCs/>
        </w:rPr>
        <w:t xml:space="preserve"> common safety targets (CSTs)</w:t>
      </w:r>
    </w:p>
    <w:p w:rsidR="00CD16F7" w:rsidRPr="00756DA5" w:rsidP="00023A1F">
      <w:pPr>
        <w:spacing w:line="280" w:lineRule="exact"/>
        <w:rPr>
          <w:rFonts w:cs="Arial"/>
          <w:noProof/>
          <w:color w:val="000000" w:themeColor="text1"/>
          <w:szCs w:val="20"/>
        </w:rPr>
      </w:pPr>
      <w:r w:rsidRPr="00756DA5">
        <w:rPr>
          <w:color w:val="000000" w:themeColor="text1"/>
          <w:szCs w:val="20"/>
        </w:rPr>
        <w:t xml:space="preserve">Eight risk categories have been defined and calculated </w:t>
      </w:r>
      <w:r w:rsidRPr="00756DA5">
        <w:rPr>
          <w:color w:val="000000" w:themeColor="text1"/>
          <w:szCs w:val="20"/>
        </w:rPr>
        <w:t>on the basis of</w:t>
      </w:r>
      <w:r w:rsidRPr="00756DA5">
        <w:rPr>
          <w:color w:val="000000" w:themeColor="text1"/>
          <w:szCs w:val="20"/>
        </w:rPr>
        <w:t xml:space="preserve"> the FWSIs in the five categories of persons in the context of volumes of activities (train-km, passenger train-km and passenger-km) or indicators describing the infrastructure (number of LCs and number of kilometres of track).</w:t>
      </w:r>
    </w:p>
    <w:tbl>
      <w:tblPr>
        <w:tblStyle w:val="LightShading"/>
        <w:tblW w:w="0" w:type="auto"/>
        <w:tblLayout w:type="fixed"/>
        <w:tblLook w:val="0420"/>
      </w:tblPr>
      <w:tblGrid>
        <w:gridCol w:w="3022"/>
        <w:gridCol w:w="6021"/>
      </w:tblGrid>
      <w:tr w:rsidTr="005203CD">
        <w:tblPrEx>
          <w:tblW w:w="0" w:type="auto"/>
          <w:tblLayout w:type="fixed"/>
          <w:tblLook w:val="0420"/>
        </w:tblPrEx>
        <w:trPr>
          <w:trHeight w:val="345"/>
        </w:trPr>
        <w:tc>
          <w:tcPr>
            <w:tcW w:w="3022" w:type="dxa"/>
          </w:tcPr>
          <w:p w:rsidR="00CD16F7" w:rsidRPr="00756DA5" w:rsidP="00023A1F">
            <w:pPr>
              <w:spacing w:line="280" w:lineRule="exact"/>
              <w:rPr>
                <w:rFonts w:cs="Arial"/>
                <w:szCs w:val="20"/>
              </w:rPr>
            </w:pPr>
            <w:r w:rsidRPr="00756DA5">
              <w:t>Risk categories</w:t>
            </w:r>
          </w:p>
        </w:tc>
        <w:tc>
          <w:tcPr>
            <w:tcW w:w="6021" w:type="dxa"/>
          </w:tcPr>
          <w:p w:rsidR="00CD16F7" w:rsidRPr="00756DA5" w:rsidP="00023A1F">
            <w:pPr>
              <w:spacing w:line="280" w:lineRule="exact"/>
              <w:rPr>
                <w:rFonts w:cs="Arial"/>
                <w:szCs w:val="20"/>
              </w:rPr>
            </w:pPr>
            <w:r w:rsidRPr="00756DA5">
              <w:t>Measurement unit</w:t>
            </w:r>
          </w:p>
        </w:tc>
      </w:tr>
      <w:tr w:rsidTr="005203CD">
        <w:tblPrEx>
          <w:tblW w:w="0" w:type="auto"/>
          <w:tblLayout w:type="fixed"/>
          <w:tblLook w:val="0420"/>
        </w:tblPrEx>
        <w:trPr>
          <w:trHeight w:val="283"/>
        </w:trPr>
        <w:tc>
          <w:tcPr>
            <w:tcW w:w="3022" w:type="dxa"/>
          </w:tcPr>
          <w:p w:rsidR="00CD16F7" w:rsidRPr="00756DA5" w:rsidP="00023A1F">
            <w:pPr>
              <w:spacing w:line="280" w:lineRule="exact"/>
              <w:rPr>
                <w:rFonts w:cs="Arial"/>
                <w:b/>
                <w:szCs w:val="20"/>
              </w:rPr>
            </w:pPr>
            <w:r w:rsidRPr="00756DA5">
              <w:rPr>
                <w:b/>
                <w:szCs w:val="20"/>
              </w:rPr>
              <w:t>1.1 Passengers</w:t>
            </w:r>
          </w:p>
        </w:tc>
        <w:tc>
          <w:tcPr>
            <w:tcW w:w="6021" w:type="dxa"/>
          </w:tcPr>
          <w:p w:rsidR="00CD16F7" w:rsidRPr="00756DA5" w:rsidP="00023A1F">
            <w:pPr>
              <w:spacing w:line="280" w:lineRule="exact"/>
              <w:rPr>
                <w:rFonts w:cs="Arial"/>
                <w:szCs w:val="20"/>
              </w:rPr>
            </w:pPr>
            <w:r w:rsidRPr="00756DA5">
              <w:t>Passenger FWSIs/passenger train-km</w:t>
            </w:r>
          </w:p>
        </w:tc>
      </w:tr>
      <w:tr w:rsidTr="005203CD">
        <w:tblPrEx>
          <w:tblW w:w="0" w:type="auto"/>
          <w:tblLayout w:type="fixed"/>
          <w:tblLook w:val="0420"/>
        </w:tblPrEx>
        <w:trPr>
          <w:trHeight w:val="283"/>
        </w:trPr>
        <w:tc>
          <w:tcPr>
            <w:tcW w:w="3022" w:type="dxa"/>
          </w:tcPr>
          <w:p w:rsidR="00CD16F7" w:rsidRPr="00756DA5" w:rsidP="00023A1F">
            <w:pPr>
              <w:spacing w:line="280" w:lineRule="exact"/>
              <w:rPr>
                <w:rFonts w:cs="Arial"/>
                <w:b/>
                <w:szCs w:val="20"/>
              </w:rPr>
            </w:pPr>
            <w:r w:rsidRPr="00756DA5">
              <w:rPr>
                <w:b/>
                <w:szCs w:val="20"/>
              </w:rPr>
              <w:t>1.2 Passengers</w:t>
            </w:r>
          </w:p>
        </w:tc>
        <w:tc>
          <w:tcPr>
            <w:tcW w:w="6021" w:type="dxa"/>
          </w:tcPr>
          <w:p w:rsidR="00CD16F7" w:rsidRPr="00756DA5" w:rsidP="00023A1F">
            <w:pPr>
              <w:spacing w:line="280" w:lineRule="exact"/>
              <w:rPr>
                <w:rFonts w:cs="Arial"/>
                <w:szCs w:val="20"/>
              </w:rPr>
            </w:pPr>
            <w:r w:rsidRPr="00756DA5">
              <w:t>Passenger FWSIs/passenger-km</w:t>
            </w:r>
          </w:p>
        </w:tc>
      </w:tr>
      <w:tr w:rsidTr="005203CD">
        <w:tblPrEx>
          <w:tblW w:w="0" w:type="auto"/>
          <w:tblLayout w:type="fixed"/>
          <w:tblLook w:val="0420"/>
        </w:tblPrEx>
        <w:trPr>
          <w:trHeight w:val="283"/>
        </w:trPr>
        <w:tc>
          <w:tcPr>
            <w:tcW w:w="3022" w:type="dxa"/>
          </w:tcPr>
          <w:p w:rsidR="00CD16F7" w:rsidRPr="00756DA5" w:rsidP="00023A1F">
            <w:pPr>
              <w:spacing w:line="280" w:lineRule="exact"/>
              <w:rPr>
                <w:rFonts w:cs="Arial"/>
                <w:b/>
                <w:szCs w:val="20"/>
              </w:rPr>
            </w:pPr>
            <w:r w:rsidRPr="00756DA5">
              <w:rPr>
                <w:b/>
                <w:szCs w:val="20"/>
              </w:rPr>
              <w:t>2. Employees</w:t>
            </w:r>
          </w:p>
        </w:tc>
        <w:tc>
          <w:tcPr>
            <w:tcW w:w="6021" w:type="dxa"/>
          </w:tcPr>
          <w:p w:rsidR="00CD16F7" w:rsidRPr="00756DA5" w:rsidP="00023A1F">
            <w:pPr>
              <w:spacing w:line="280" w:lineRule="exact"/>
              <w:rPr>
                <w:rFonts w:cs="Arial"/>
                <w:szCs w:val="20"/>
              </w:rPr>
            </w:pPr>
            <w:r w:rsidRPr="00756DA5">
              <w:t>Employee FWSIs/train-km</w:t>
            </w:r>
          </w:p>
        </w:tc>
      </w:tr>
      <w:tr w:rsidTr="005203CD">
        <w:tblPrEx>
          <w:tblW w:w="0" w:type="auto"/>
          <w:tblLayout w:type="fixed"/>
          <w:tblLook w:val="0420"/>
        </w:tblPrEx>
        <w:trPr>
          <w:trHeight w:val="283"/>
        </w:trPr>
        <w:tc>
          <w:tcPr>
            <w:tcW w:w="3022" w:type="dxa"/>
          </w:tcPr>
          <w:p w:rsidR="00CD16F7" w:rsidRPr="00756DA5" w:rsidP="00023A1F">
            <w:pPr>
              <w:spacing w:line="280" w:lineRule="exact"/>
              <w:rPr>
                <w:rFonts w:cs="Arial"/>
                <w:b/>
                <w:szCs w:val="20"/>
              </w:rPr>
            </w:pPr>
            <w:r w:rsidRPr="00756DA5">
              <w:rPr>
                <w:b/>
                <w:szCs w:val="20"/>
              </w:rPr>
              <w:t>3.1 LC users</w:t>
            </w:r>
          </w:p>
        </w:tc>
        <w:tc>
          <w:tcPr>
            <w:tcW w:w="6021" w:type="dxa"/>
          </w:tcPr>
          <w:p w:rsidR="00CD16F7" w:rsidRPr="00756DA5" w:rsidP="00023A1F">
            <w:pPr>
              <w:spacing w:line="280" w:lineRule="exact"/>
              <w:rPr>
                <w:rFonts w:cs="Arial"/>
                <w:szCs w:val="20"/>
              </w:rPr>
            </w:pPr>
            <w:r w:rsidRPr="00756DA5">
              <w:t>LC user FWSIs/train-km</w:t>
            </w:r>
          </w:p>
        </w:tc>
      </w:tr>
      <w:tr w:rsidTr="005203CD">
        <w:tblPrEx>
          <w:tblW w:w="0" w:type="auto"/>
          <w:tblLayout w:type="fixed"/>
          <w:tblLook w:val="0420"/>
        </w:tblPrEx>
        <w:trPr>
          <w:trHeight w:val="283"/>
        </w:trPr>
        <w:tc>
          <w:tcPr>
            <w:tcW w:w="3022" w:type="dxa"/>
          </w:tcPr>
          <w:p w:rsidR="00CD16F7" w:rsidRPr="00756DA5" w:rsidP="00023A1F">
            <w:pPr>
              <w:spacing w:line="280" w:lineRule="exact"/>
              <w:rPr>
                <w:rFonts w:cs="Arial"/>
                <w:b/>
                <w:szCs w:val="20"/>
              </w:rPr>
            </w:pPr>
            <w:r w:rsidRPr="00756DA5">
              <w:rPr>
                <w:b/>
                <w:szCs w:val="20"/>
              </w:rPr>
              <w:t>3.2 LC users</w:t>
            </w:r>
          </w:p>
        </w:tc>
        <w:tc>
          <w:tcPr>
            <w:tcW w:w="6021" w:type="dxa"/>
          </w:tcPr>
          <w:p w:rsidR="00CD16F7" w:rsidRPr="00756DA5" w:rsidP="00023A1F">
            <w:pPr>
              <w:spacing w:line="280" w:lineRule="exact"/>
              <w:rPr>
                <w:rFonts w:cs="Arial"/>
                <w:szCs w:val="20"/>
              </w:rPr>
            </w:pPr>
            <w:r w:rsidRPr="00756DA5">
              <w:t>LC user FWSIs/[(train-km * number of LCs)/track-km)]</w:t>
            </w:r>
          </w:p>
        </w:tc>
      </w:tr>
      <w:tr w:rsidTr="005203CD">
        <w:tblPrEx>
          <w:tblW w:w="0" w:type="auto"/>
          <w:tblLayout w:type="fixed"/>
          <w:tblLook w:val="0420"/>
        </w:tblPrEx>
        <w:trPr>
          <w:trHeight w:val="283"/>
        </w:trPr>
        <w:tc>
          <w:tcPr>
            <w:tcW w:w="3022" w:type="dxa"/>
          </w:tcPr>
          <w:p w:rsidR="00CD16F7" w:rsidRPr="00756DA5" w:rsidP="00023A1F">
            <w:pPr>
              <w:spacing w:line="280" w:lineRule="exact"/>
              <w:rPr>
                <w:rFonts w:cs="Arial"/>
                <w:b/>
                <w:szCs w:val="20"/>
              </w:rPr>
            </w:pPr>
            <w:r w:rsidRPr="00756DA5">
              <w:rPr>
                <w:b/>
                <w:szCs w:val="20"/>
              </w:rPr>
              <w:t>4. Others</w:t>
            </w:r>
          </w:p>
        </w:tc>
        <w:tc>
          <w:tcPr>
            <w:tcW w:w="6021" w:type="dxa"/>
          </w:tcPr>
          <w:p w:rsidR="00CD16F7" w:rsidRPr="00756DA5" w:rsidP="00023A1F">
            <w:pPr>
              <w:spacing w:line="280" w:lineRule="exact"/>
              <w:rPr>
                <w:rFonts w:cs="Arial"/>
                <w:szCs w:val="20"/>
              </w:rPr>
            </w:pPr>
            <w:r w:rsidRPr="00756DA5">
              <w:t>‘Others’ FWSIs/train-km</w:t>
            </w:r>
          </w:p>
        </w:tc>
      </w:tr>
      <w:tr w:rsidTr="005203CD">
        <w:tblPrEx>
          <w:tblW w:w="0" w:type="auto"/>
          <w:tblLayout w:type="fixed"/>
          <w:tblLook w:val="0420"/>
        </w:tblPrEx>
        <w:trPr>
          <w:trHeight w:val="283"/>
        </w:trPr>
        <w:tc>
          <w:tcPr>
            <w:tcW w:w="3022" w:type="dxa"/>
          </w:tcPr>
          <w:p w:rsidR="00CD16F7" w:rsidRPr="00756DA5" w:rsidP="00023A1F">
            <w:pPr>
              <w:spacing w:line="280" w:lineRule="exact"/>
              <w:rPr>
                <w:rFonts w:cs="Arial"/>
                <w:b/>
                <w:szCs w:val="20"/>
              </w:rPr>
            </w:pPr>
            <w:r w:rsidRPr="00756DA5">
              <w:rPr>
                <w:b/>
                <w:szCs w:val="20"/>
              </w:rPr>
              <w:t>5. Trespassers</w:t>
            </w:r>
          </w:p>
        </w:tc>
        <w:tc>
          <w:tcPr>
            <w:tcW w:w="6021" w:type="dxa"/>
          </w:tcPr>
          <w:p w:rsidR="00CD16F7" w:rsidRPr="00756DA5" w:rsidP="00023A1F">
            <w:pPr>
              <w:spacing w:line="280" w:lineRule="exact"/>
              <w:rPr>
                <w:rFonts w:cs="Arial"/>
                <w:szCs w:val="20"/>
              </w:rPr>
            </w:pPr>
            <w:r w:rsidRPr="00756DA5">
              <w:t>Trespasser FWSIs/train-km</w:t>
            </w:r>
          </w:p>
        </w:tc>
      </w:tr>
      <w:tr w:rsidTr="005203CD">
        <w:tblPrEx>
          <w:tblW w:w="0" w:type="auto"/>
          <w:tblLayout w:type="fixed"/>
          <w:tblLook w:val="0420"/>
        </w:tblPrEx>
        <w:trPr>
          <w:trHeight w:val="284"/>
        </w:trPr>
        <w:tc>
          <w:tcPr>
            <w:tcW w:w="3022" w:type="dxa"/>
          </w:tcPr>
          <w:p w:rsidR="00CD16F7" w:rsidRPr="00756DA5" w:rsidP="00023A1F">
            <w:pPr>
              <w:spacing w:line="280" w:lineRule="exact"/>
              <w:rPr>
                <w:rFonts w:cs="Arial"/>
                <w:b/>
                <w:szCs w:val="20"/>
              </w:rPr>
            </w:pPr>
            <w:r w:rsidRPr="00756DA5">
              <w:rPr>
                <w:b/>
                <w:szCs w:val="20"/>
              </w:rPr>
              <w:t>6. Societal</w:t>
            </w:r>
          </w:p>
        </w:tc>
        <w:tc>
          <w:tcPr>
            <w:tcW w:w="6021" w:type="dxa"/>
          </w:tcPr>
          <w:p w:rsidR="00CD16F7" w:rsidRPr="00756DA5" w:rsidP="00023A1F">
            <w:pPr>
              <w:spacing w:line="280" w:lineRule="exact"/>
              <w:rPr>
                <w:rFonts w:cs="Arial"/>
                <w:szCs w:val="20"/>
              </w:rPr>
            </w:pPr>
            <w:r w:rsidRPr="00756DA5">
              <w:t>Total number of FWSIs/train-km</w:t>
            </w:r>
          </w:p>
        </w:tc>
      </w:tr>
    </w:tbl>
    <w:p w:rsidR="00CD16F7" w:rsidRPr="00756DA5" w:rsidP="006202EF">
      <w:pPr>
        <w:spacing w:before="200" w:line="280" w:lineRule="exact"/>
        <w:rPr>
          <w:rFonts w:cs="Arial"/>
          <w:noProof/>
          <w:color w:val="000000" w:themeColor="text1"/>
          <w:szCs w:val="20"/>
        </w:rPr>
      </w:pPr>
      <w:bookmarkEnd w:id="91"/>
      <w:r w:rsidRPr="00756DA5">
        <w:rPr>
          <w:color w:val="000000" w:themeColor="text1"/>
          <w:szCs w:val="20"/>
        </w:rPr>
        <w:t xml:space="preserve">The eight CSTs are therefore ‘target’ values corresponding to the risk categories. These ‘target’ values </w:t>
      </w:r>
      <w:r w:rsidRPr="00756DA5">
        <w:rPr>
          <w:color w:val="000000" w:themeColor="text1"/>
          <w:szCs w:val="20"/>
        </w:rPr>
        <w:t>are calculated</w:t>
      </w:r>
      <w:r w:rsidRPr="00756DA5">
        <w:rPr>
          <w:color w:val="000000" w:themeColor="text1"/>
          <w:szCs w:val="20"/>
        </w:rPr>
        <w:t xml:space="preserve"> in accordance with the CSMs described in Commission Decision 2009/460/EC of 5 June 2009. This Decision provides in particular for the introduction of NRVs for each risk category, constituting ‘target’ values making it possible to quantify the current safety performance of railway systems for each Member State.</w:t>
      </w:r>
    </w:p>
    <w:p w:rsidR="00CD16F7" w:rsidRPr="00756DA5" w:rsidP="00756DA5">
      <w:pPr>
        <w:keepNext/>
        <w:rPr>
          <w:b/>
          <w:bCs/>
          <w:szCs w:val="20"/>
        </w:rPr>
      </w:pPr>
      <w:r w:rsidRPr="00756DA5">
        <w:rPr>
          <w:b/>
          <w:bCs/>
          <w:szCs w:val="20"/>
        </w:rPr>
        <w:t>■ Assessment of NRV and CST achievement</w:t>
      </w:r>
    </w:p>
    <w:p w:rsidR="00CD16F7" w:rsidRPr="00756DA5" w:rsidP="00023A1F">
      <w:pPr>
        <w:spacing w:line="280" w:lineRule="exact"/>
        <w:rPr>
          <w:rFonts w:cs="Arial"/>
          <w:noProof/>
          <w:color w:val="000000" w:themeColor="text1"/>
          <w:szCs w:val="20"/>
        </w:rPr>
      </w:pPr>
      <w:r w:rsidRPr="00756DA5">
        <w:rPr>
          <w:color w:val="000000" w:themeColor="text1"/>
          <w:szCs w:val="20"/>
        </w:rPr>
        <w:t xml:space="preserve">The principles for assessing the achievement of NRVs and CSTs </w:t>
      </w:r>
      <w:r w:rsidRPr="00756DA5">
        <w:rPr>
          <w:color w:val="000000" w:themeColor="text1"/>
          <w:szCs w:val="20"/>
        </w:rPr>
        <w:t>are also described</w:t>
      </w:r>
      <w:r w:rsidRPr="00756DA5">
        <w:rPr>
          <w:color w:val="000000" w:themeColor="text1"/>
          <w:szCs w:val="20"/>
        </w:rPr>
        <w:t xml:space="preserve"> in Decision 2009/460/EC and in particular in Annex 2 thereof. The flowchart below </w:t>
      </w:r>
      <w:r w:rsidRPr="00756DA5">
        <w:rPr>
          <w:color w:val="000000" w:themeColor="text1"/>
          <w:szCs w:val="20"/>
        </w:rPr>
        <w:t>can be used</w:t>
      </w:r>
      <w:r w:rsidRPr="00756DA5">
        <w:rPr>
          <w:color w:val="000000" w:themeColor="text1"/>
          <w:szCs w:val="20"/>
        </w:rPr>
        <w:t xml:space="preserve"> to assess the safety performance for each ‘target’ value relating to a risk category (NRV or CST): ‘Acceptable’, ‘Possible deterioration’ or ‘Probable deterioration’.</w:t>
      </w:r>
    </w:p>
    <w:p w:rsidR="00CD16F7" w:rsidRPr="00756DA5" w:rsidP="00423F21">
      <w:pPr>
        <w:pageBreakBefore/>
        <w:rPr>
          <w:rFonts w:cs="Arial"/>
          <w:noProof/>
          <w:szCs w:val="20"/>
        </w:rPr>
      </w:pPr>
      <w:r w:rsidRPr="00756DA5">
        <w:rPr>
          <w:noProof/>
          <w:lang w:val="fr-FR" w:eastAsia="fr-FR"/>
        </w:rPr>
        <w:drawing>
          <wp:inline distT="0" distB="0" distL="0" distR="0">
            <wp:extent cx="5760720" cy="7783268"/>
            <wp:effectExtent l="0" t="0" r="0" b="8255"/>
            <wp:docPr id="8" name="Image 8" descr="cid:image001.png@01D43FAB.5D265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52123" name="Image 1" descr="cid:image001.png@01D43FAB.5D265DE0"/>
                    <pic:cNvPicPr>
                      <a:picLocks noChangeAspect="1" noChangeArrowheads="1"/>
                    </pic:cNvPicPr>
                  </pic:nvPicPr>
                  <pic:blipFill>
                    <a:blip xmlns:r="http://schemas.openxmlformats.org/officeDocument/2006/relationships" r:embed="rId52" r:link="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7783268"/>
                    </a:xfrm>
                    <a:prstGeom prst="rect">
                      <a:avLst/>
                    </a:prstGeom>
                    <a:noFill/>
                    <a:ln>
                      <a:noFill/>
                    </a:ln>
                  </pic:spPr>
                </pic:pic>
              </a:graphicData>
            </a:graphic>
          </wp:inline>
        </w:drawing>
      </w:r>
    </w:p>
    <w:tbl>
      <w:tblPr>
        <w:tblStyle w:val="TableGrid"/>
        <w:tblW w:w="9062" w:type="dxa"/>
        <w:tblLook w:val="04A0"/>
      </w:tblPr>
      <w:tblGrid>
        <w:gridCol w:w="4531"/>
        <w:gridCol w:w="4531"/>
      </w:tblGrid>
      <w:tr w:rsidTr="007D77E0">
        <w:tblPrEx>
          <w:tblW w:w="9062" w:type="dxa"/>
          <w:tblLook w:val="04A0"/>
        </w:tblPrEx>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Logigramme décisionnel</w:t>
            </w:r>
          </w:p>
        </w:tc>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Decision flowchart</w:t>
            </w:r>
          </w:p>
        </w:tc>
      </w:tr>
      <w:tr w:rsidTr="007D77E0">
        <w:tblPrEx>
          <w:tblW w:w="9062" w:type="dxa"/>
          <w:tblLook w:val="04A0"/>
        </w:tblPrEx>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Première étape: Les performances en matière de sécurité observées sont-elles conformes à la VNR?</w:t>
            </w:r>
          </w:p>
        </w:tc>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 xml:space="preserve">First step: </w:t>
            </w:r>
            <w:r w:rsidRPr="00756DA5">
              <w:rPr>
                <w:sz w:val="18"/>
                <w:szCs w:val="18"/>
                <w:shd w:val="clear" w:color="auto" w:fill="FFFFFF"/>
              </w:rPr>
              <w:t>Is the safety performance observed</w:t>
            </w:r>
            <w:r w:rsidRPr="00756DA5">
              <w:rPr>
                <w:sz w:val="18"/>
                <w:szCs w:val="18"/>
                <w:shd w:val="clear" w:color="auto" w:fill="FFFFFF"/>
              </w:rPr>
              <w:t xml:space="preserve"> in line with the NRV?</w:t>
            </w:r>
          </w:p>
        </w:tc>
      </w:tr>
      <w:tr w:rsidTr="007D77E0">
        <w:tblPrEx>
          <w:tblW w:w="9062" w:type="dxa"/>
          <w:tblLook w:val="04A0"/>
        </w:tblPrEx>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Deuxième dérape: MWA &lt; NVR x 1</w:t>
            </w:r>
            <w:r w:rsidRPr="00756DA5">
              <w:rPr>
                <w:sz w:val="18"/>
                <w:szCs w:val="18"/>
                <w:shd w:val="clear" w:color="auto" w:fill="FFFFFF"/>
              </w:rPr>
              <w:t>,2</w:t>
            </w:r>
            <w:r w:rsidRPr="00756DA5">
              <w:rPr>
                <w:sz w:val="18"/>
                <w:szCs w:val="18"/>
                <w:shd w:val="clear" w:color="auto" w:fill="FFFFFF"/>
              </w:rPr>
              <w:t>?</w:t>
            </w:r>
          </w:p>
        </w:tc>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Second step: Moving weighted average (MWA) &lt; NRV x 1.2?</w:t>
            </w:r>
          </w:p>
        </w:tc>
      </w:tr>
      <w:tr w:rsidTr="007D77E0">
        <w:tblPrEx>
          <w:tblW w:w="9062" w:type="dxa"/>
          <w:tblLook w:val="04A0"/>
        </w:tblPrEx>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Troisième étape: Est-ce la première fois au cours des trois dernières années que la deuxième étape renvoie un résultat négatif?</w:t>
            </w:r>
          </w:p>
        </w:tc>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Third step: Is this the first time in the last 3 years that the second step has returned a negative result?</w:t>
            </w:r>
          </w:p>
        </w:tc>
      </w:tr>
      <w:tr w:rsidTr="007D77E0">
        <w:tblPrEx>
          <w:tblW w:w="9062" w:type="dxa"/>
          <w:tblLook w:val="04A0"/>
        </w:tblPrEx>
        <w:tc>
          <w:tcPr>
            <w:tcW w:w="4531" w:type="dxa"/>
          </w:tcPr>
          <w:p w:rsidR="007D77E0" w:rsidRPr="00756DA5" w:rsidP="007D77E0">
            <w:pPr>
              <w:keepNext/>
              <w:jc w:val="left"/>
              <w:rPr>
                <w:rFonts w:cs="Arial"/>
                <w:b/>
                <w:bCs/>
                <w:sz w:val="18"/>
                <w:szCs w:val="18"/>
                <w:shd w:val="clear" w:color="auto" w:fill="FFFFFF"/>
              </w:rPr>
            </w:pPr>
            <w:r w:rsidRPr="00756DA5">
              <w:rPr>
                <w:b/>
                <w:bCs/>
                <w:sz w:val="18"/>
                <w:szCs w:val="18"/>
                <w:shd w:val="clear" w:color="auto" w:fill="FFFFFF"/>
              </w:rPr>
              <w:t>Performances acceptables en matière de sécurité</w:t>
            </w:r>
          </w:p>
          <w:p w:rsidR="007D77E0" w:rsidRPr="00756DA5" w:rsidP="007D77E0">
            <w:pPr>
              <w:keepNext/>
              <w:jc w:val="left"/>
              <w:rPr>
                <w:rFonts w:cs="Arial"/>
                <w:sz w:val="18"/>
                <w:szCs w:val="18"/>
                <w:shd w:val="clear" w:color="auto" w:fill="FFFFFF"/>
              </w:rPr>
            </w:pPr>
            <w:r w:rsidRPr="00756DA5">
              <w:rPr>
                <w:sz w:val="18"/>
                <w:szCs w:val="18"/>
                <w:shd w:val="clear" w:color="auto" w:fill="FFFFFF"/>
              </w:rPr>
              <w:t>L’État membre est informé des résultats et ne doit pas prendre de mesure spécifique.</w:t>
            </w:r>
          </w:p>
        </w:tc>
        <w:tc>
          <w:tcPr>
            <w:tcW w:w="4531" w:type="dxa"/>
          </w:tcPr>
          <w:p w:rsidR="007D77E0" w:rsidRPr="00756DA5" w:rsidP="007D77E0">
            <w:pPr>
              <w:keepNext/>
              <w:jc w:val="left"/>
              <w:rPr>
                <w:rFonts w:cs="Arial"/>
                <w:b/>
                <w:bCs/>
                <w:sz w:val="18"/>
                <w:szCs w:val="18"/>
                <w:shd w:val="clear" w:color="auto" w:fill="FFFFFF"/>
              </w:rPr>
            </w:pPr>
            <w:r w:rsidRPr="00756DA5">
              <w:rPr>
                <w:b/>
                <w:bCs/>
                <w:sz w:val="18"/>
                <w:szCs w:val="18"/>
                <w:shd w:val="clear" w:color="auto" w:fill="FFFFFF"/>
              </w:rPr>
              <w:t>Acceptable safety performance</w:t>
            </w:r>
          </w:p>
          <w:p w:rsidR="007D77E0" w:rsidRPr="00756DA5" w:rsidP="007D77E0">
            <w:pPr>
              <w:keepNext/>
              <w:jc w:val="left"/>
              <w:rPr>
                <w:rFonts w:cs="Arial"/>
                <w:sz w:val="18"/>
                <w:szCs w:val="18"/>
                <w:shd w:val="clear" w:color="auto" w:fill="FFFFFF"/>
              </w:rPr>
            </w:pPr>
            <w:r w:rsidRPr="00756DA5">
              <w:rPr>
                <w:sz w:val="18"/>
                <w:szCs w:val="18"/>
                <w:shd w:val="clear" w:color="auto" w:fill="FFFFFF"/>
              </w:rPr>
              <w:t xml:space="preserve">The Member State </w:t>
            </w:r>
            <w:r w:rsidRPr="00756DA5">
              <w:rPr>
                <w:sz w:val="18"/>
                <w:szCs w:val="18"/>
                <w:shd w:val="clear" w:color="auto" w:fill="FFFFFF"/>
              </w:rPr>
              <w:t>is informed</w:t>
            </w:r>
            <w:r w:rsidRPr="00756DA5">
              <w:rPr>
                <w:sz w:val="18"/>
                <w:szCs w:val="18"/>
                <w:shd w:val="clear" w:color="auto" w:fill="FFFFFF"/>
              </w:rPr>
              <w:t xml:space="preserve"> of the results and is not required to take any specific action.</w:t>
            </w:r>
          </w:p>
        </w:tc>
      </w:tr>
      <w:tr w:rsidTr="007D77E0">
        <w:tblPrEx>
          <w:tblW w:w="9062" w:type="dxa"/>
          <w:tblLook w:val="04A0"/>
        </w:tblPrEx>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Quatrième étape: Le nombre d’accidents significatifs est-il resté stable ou a-t-il diminué?</w:t>
            </w:r>
          </w:p>
        </w:tc>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Fourth step: Did the number of significant accidents remain stable or fall?</w:t>
            </w:r>
          </w:p>
        </w:tc>
      </w:tr>
      <w:tr w:rsidTr="007D77E0">
        <w:tblPrEx>
          <w:tblW w:w="9062" w:type="dxa"/>
          <w:tblLook w:val="04A0"/>
        </w:tblPrEx>
        <w:tc>
          <w:tcPr>
            <w:tcW w:w="4531" w:type="dxa"/>
          </w:tcPr>
          <w:p w:rsidR="007D77E0" w:rsidRPr="00756DA5" w:rsidP="007D77E0">
            <w:pPr>
              <w:keepNext/>
              <w:jc w:val="left"/>
              <w:rPr>
                <w:rFonts w:cs="Arial"/>
                <w:b/>
                <w:bCs/>
                <w:sz w:val="18"/>
                <w:szCs w:val="18"/>
                <w:shd w:val="clear" w:color="auto" w:fill="FFFFFF"/>
              </w:rPr>
            </w:pPr>
            <w:r w:rsidRPr="00756DA5">
              <w:rPr>
                <w:b/>
                <w:bCs/>
                <w:sz w:val="18"/>
                <w:szCs w:val="18"/>
                <w:shd w:val="clear" w:color="auto" w:fill="FFFFFF"/>
              </w:rPr>
              <w:t>Performances acceptables en matière de sécurité</w:t>
            </w:r>
          </w:p>
          <w:p w:rsidR="007D77E0" w:rsidRPr="00756DA5" w:rsidP="007D77E0">
            <w:pPr>
              <w:keepNext/>
              <w:jc w:val="left"/>
              <w:rPr>
                <w:rFonts w:cs="Arial"/>
                <w:sz w:val="18"/>
                <w:szCs w:val="18"/>
                <w:shd w:val="clear" w:color="auto" w:fill="FFFFFF"/>
              </w:rPr>
            </w:pPr>
            <w:r w:rsidRPr="00756DA5">
              <w:rPr>
                <w:sz w:val="18"/>
                <w:szCs w:val="18"/>
                <w:shd w:val="clear" w:color="auto" w:fill="FFFFFF"/>
              </w:rPr>
              <w:t>L’État membre est informé des résultats et ne doit pas prendre de mesure spécifique.</w:t>
            </w:r>
          </w:p>
        </w:tc>
        <w:tc>
          <w:tcPr>
            <w:tcW w:w="4531" w:type="dxa"/>
          </w:tcPr>
          <w:p w:rsidR="007D77E0" w:rsidRPr="00756DA5" w:rsidP="007D77E0">
            <w:pPr>
              <w:keepNext/>
              <w:jc w:val="left"/>
              <w:rPr>
                <w:rFonts w:cs="Arial"/>
                <w:b/>
                <w:bCs/>
                <w:sz w:val="18"/>
                <w:szCs w:val="18"/>
                <w:shd w:val="clear" w:color="auto" w:fill="FFFFFF"/>
              </w:rPr>
            </w:pPr>
            <w:r w:rsidRPr="00756DA5">
              <w:rPr>
                <w:b/>
                <w:bCs/>
                <w:sz w:val="18"/>
                <w:szCs w:val="18"/>
                <w:shd w:val="clear" w:color="auto" w:fill="FFFFFF"/>
              </w:rPr>
              <w:t>Acceptable safety performance</w:t>
            </w:r>
          </w:p>
          <w:p w:rsidR="007D77E0" w:rsidRPr="00756DA5" w:rsidP="007D77E0">
            <w:pPr>
              <w:keepNext/>
              <w:jc w:val="left"/>
              <w:rPr>
                <w:rFonts w:cs="Arial"/>
                <w:sz w:val="18"/>
                <w:szCs w:val="18"/>
                <w:shd w:val="clear" w:color="auto" w:fill="FFFFFF"/>
              </w:rPr>
            </w:pPr>
            <w:r w:rsidRPr="00756DA5">
              <w:rPr>
                <w:sz w:val="18"/>
                <w:szCs w:val="18"/>
                <w:shd w:val="clear" w:color="auto" w:fill="FFFFFF"/>
              </w:rPr>
              <w:t xml:space="preserve">The Member State </w:t>
            </w:r>
            <w:r w:rsidRPr="00756DA5">
              <w:rPr>
                <w:sz w:val="18"/>
                <w:szCs w:val="18"/>
                <w:shd w:val="clear" w:color="auto" w:fill="FFFFFF"/>
              </w:rPr>
              <w:t>is informed</w:t>
            </w:r>
            <w:r w:rsidRPr="00756DA5">
              <w:rPr>
                <w:sz w:val="18"/>
                <w:szCs w:val="18"/>
                <w:shd w:val="clear" w:color="auto" w:fill="FFFFFF"/>
              </w:rPr>
              <w:t xml:space="preserve"> of the results and is not required to take any specific action.</w:t>
            </w:r>
          </w:p>
        </w:tc>
      </w:tr>
      <w:tr w:rsidTr="007D77E0">
        <w:tblPrEx>
          <w:tblW w:w="9062" w:type="dxa"/>
          <w:tblLook w:val="04A0"/>
        </w:tblPrEx>
        <w:tc>
          <w:tcPr>
            <w:tcW w:w="4531" w:type="dxa"/>
          </w:tcPr>
          <w:p w:rsidR="007D77E0" w:rsidRPr="00756DA5" w:rsidP="007D77E0">
            <w:pPr>
              <w:keepNext/>
              <w:jc w:val="left"/>
              <w:rPr>
                <w:rFonts w:cs="Arial"/>
                <w:b/>
                <w:bCs/>
                <w:sz w:val="18"/>
                <w:szCs w:val="18"/>
                <w:shd w:val="clear" w:color="auto" w:fill="FFFFFF"/>
              </w:rPr>
            </w:pPr>
            <w:r w:rsidRPr="00756DA5">
              <w:rPr>
                <w:b/>
                <w:bCs/>
                <w:sz w:val="18"/>
                <w:szCs w:val="18"/>
                <w:shd w:val="clear" w:color="auto" w:fill="FFFFFF"/>
              </w:rPr>
              <w:t>Détérioration possible des performances en matière de sécurité</w:t>
            </w:r>
          </w:p>
          <w:p w:rsidR="007D77E0" w:rsidRPr="00756DA5" w:rsidP="007D77E0">
            <w:pPr>
              <w:keepNext/>
              <w:jc w:val="left"/>
              <w:rPr>
                <w:rFonts w:cs="Arial"/>
                <w:sz w:val="18"/>
                <w:szCs w:val="18"/>
                <w:shd w:val="clear" w:color="auto" w:fill="FFFFFF"/>
              </w:rPr>
            </w:pPr>
            <w:r w:rsidRPr="00756DA5">
              <w:rPr>
                <w:sz w:val="18"/>
                <w:szCs w:val="18"/>
                <w:shd w:val="clear" w:color="auto" w:fill="FFFFFF"/>
              </w:rPr>
              <w:t>L’État membre est informé des résultats et tenu d’analyser et de commenter les performances.</w:t>
            </w:r>
          </w:p>
          <w:p w:rsidR="007D77E0" w:rsidRPr="00756DA5" w:rsidP="007D77E0">
            <w:pPr>
              <w:keepNext/>
              <w:jc w:val="left"/>
              <w:rPr>
                <w:rFonts w:cs="Arial"/>
                <w:sz w:val="18"/>
                <w:szCs w:val="18"/>
                <w:shd w:val="clear" w:color="auto" w:fill="FFFFFF"/>
              </w:rPr>
            </w:pPr>
            <w:r w:rsidRPr="00756DA5">
              <w:rPr>
                <w:sz w:val="18"/>
                <w:szCs w:val="18"/>
                <w:shd w:val="clear" w:color="auto" w:fill="FFFFFF"/>
              </w:rPr>
              <w:t>La</w:t>
            </w:r>
            <w:r w:rsidRPr="00756DA5">
              <w:rPr>
                <w:sz w:val="18"/>
                <w:szCs w:val="18"/>
                <w:shd w:val="clear" w:color="auto" w:fill="FFFFFF"/>
              </w:rPr>
              <w:t xml:space="preserve"> Commission demande à l’Agence de donner une opinion technique sur les informations communiquées par l’État membre.</w:t>
            </w:r>
          </w:p>
        </w:tc>
        <w:tc>
          <w:tcPr>
            <w:tcW w:w="4531" w:type="dxa"/>
          </w:tcPr>
          <w:p w:rsidR="007D77E0" w:rsidRPr="00756DA5" w:rsidP="007D77E0">
            <w:pPr>
              <w:keepNext/>
              <w:jc w:val="left"/>
              <w:rPr>
                <w:rFonts w:cs="Arial"/>
                <w:b/>
                <w:bCs/>
                <w:sz w:val="18"/>
                <w:szCs w:val="18"/>
                <w:shd w:val="clear" w:color="auto" w:fill="FFFFFF"/>
              </w:rPr>
            </w:pPr>
            <w:r w:rsidRPr="00756DA5">
              <w:rPr>
                <w:b/>
                <w:bCs/>
                <w:sz w:val="18"/>
                <w:szCs w:val="18"/>
                <w:shd w:val="clear" w:color="auto" w:fill="FFFFFF"/>
              </w:rPr>
              <w:t>Possible deterioration of safety performance</w:t>
            </w:r>
          </w:p>
          <w:p w:rsidR="007D77E0" w:rsidRPr="00756DA5" w:rsidP="007D77E0">
            <w:pPr>
              <w:keepNext/>
              <w:jc w:val="left"/>
              <w:rPr>
                <w:rFonts w:cs="Arial"/>
                <w:sz w:val="18"/>
                <w:szCs w:val="18"/>
                <w:shd w:val="clear" w:color="auto" w:fill="FFFFFF"/>
              </w:rPr>
            </w:pPr>
            <w:r w:rsidRPr="00756DA5">
              <w:rPr>
                <w:sz w:val="18"/>
                <w:szCs w:val="18"/>
                <w:shd w:val="clear" w:color="auto" w:fill="FFFFFF"/>
              </w:rPr>
              <w:t xml:space="preserve">The Member State </w:t>
            </w:r>
            <w:r w:rsidRPr="00756DA5">
              <w:rPr>
                <w:sz w:val="18"/>
                <w:szCs w:val="18"/>
                <w:shd w:val="clear" w:color="auto" w:fill="FFFFFF"/>
              </w:rPr>
              <w:t>is informed of the results and required to analyse and comment on the performance</w:t>
            </w:r>
            <w:r w:rsidRPr="00756DA5">
              <w:rPr>
                <w:sz w:val="18"/>
                <w:szCs w:val="18"/>
                <w:shd w:val="clear" w:color="auto" w:fill="FFFFFF"/>
              </w:rPr>
              <w:t>.</w:t>
            </w:r>
          </w:p>
          <w:p w:rsidR="007D77E0" w:rsidRPr="00756DA5" w:rsidP="007D77E0">
            <w:pPr>
              <w:keepNext/>
              <w:jc w:val="left"/>
              <w:rPr>
                <w:rFonts w:cs="Arial"/>
                <w:sz w:val="18"/>
                <w:szCs w:val="18"/>
                <w:shd w:val="clear" w:color="auto" w:fill="FFFFFF"/>
              </w:rPr>
            </w:pPr>
            <w:r w:rsidRPr="00756DA5">
              <w:rPr>
                <w:sz w:val="18"/>
                <w:szCs w:val="18"/>
                <w:shd w:val="clear" w:color="auto" w:fill="FFFFFF"/>
              </w:rPr>
              <w:t>The Commission may require the Agency to give a technical opinion on the information provided by the Member State.</w:t>
            </w:r>
          </w:p>
        </w:tc>
      </w:tr>
      <w:tr w:rsidTr="007D77E0">
        <w:tblPrEx>
          <w:tblW w:w="9062" w:type="dxa"/>
          <w:tblLook w:val="04A0"/>
        </w:tblPrEx>
        <w:tc>
          <w:tcPr>
            <w:tcW w:w="4531" w:type="dxa"/>
          </w:tcPr>
          <w:p w:rsidR="007D77E0" w:rsidRPr="00756DA5" w:rsidP="007D77E0">
            <w:pPr>
              <w:keepNext/>
              <w:jc w:val="left"/>
              <w:rPr>
                <w:rFonts w:cs="Arial"/>
                <w:b/>
                <w:bCs/>
                <w:sz w:val="18"/>
                <w:szCs w:val="18"/>
                <w:shd w:val="clear" w:color="auto" w:fill="FFFFFF"/>
              </w:rPr>
            </w:pPr>
            <w:r w:rsidRPr="00756DA5">
              <w:rPr>
                <w:b/>
                <w:bCs/>
                <w:sz w:val="18"/>
                <w:szCs w:val="18"/>
                <w:shd w:val="clear" w:color="auto" w:fill="FFFFFF"/>
              </w:rPr>
              <w:t>Détérioration probable des performances en matière de sécurité</w:t>
            </w:r>
          </w:p>
          <w:p w:rsidR="007D77E0" w:rsidRPr="00756DA5" w:rsidP="007D77E0">
            <w:pPr>
              <w:keepNext/>
              <w:jc w:val="left"/>
              <w:rPr>
                <w:rFonts w:cs="Arial"/>
                <w:sz w:val="18"/>
                <w:szCs w:val="18"/>
                <w:shd w:val="clear" w:color="auto" w:fill="FFFFFF"/>
              </w:rPr>
            </w:pPr>
            <w:r w:rsidRPr="00756DA5">
              <w:rPr>
                <w:sz w:val="18"/>
                <w:szCs w:val="18"/>
                <w:shd w:val="clear" w:color="auto" w:fill="FFFFFF"/>
              </w:rPr>
              <w:t xml:space="preserve">L’État membre est informé des résultats et tenu d’analyser et de commenter les performances. </w:t>
            </w:r>
            <w:r w:rsidRPr="00756DA5">
              <w:rPr>
                <w:sz w:val="18"/>
                <w:szCs w:val="18"/>
                <w:shd w:val="clear" w:color="auto" w:fill="FFFFFF"/>
              </w:rPr>
              <w:t>Dans</w:t>
            </w:r>
            <w:r w:rsidRPr="00756DA5">
              <w:rPr>
                <w:sz w:val="18"/>
                <w:szCs w:val="18"/>
                <w:shd w:val="clear" w:color="auto" w:fill="FFFFFF"/>
              </w:rPr>
              <w:t xml:space="preserve"> les cas nécessaires, l’État membre doit soumettre un plan d’amélioration de la sécurité (PAS) à la Commission. La Commission peut demander à l’Agence de donner une opinion technique sur le PAS.</w:t>
            </w:r>
          </w:p>
        </w:tc>
        <w:tc>
          <w:tcPr>
            <w:tcW w:w="4531" w:type="dxa"/>
          </w:tcPr>
          <w:p w:rsidR="007D77E0" w:rsidRPr="00756DA5" w:rsidP="007D77E0">
            <w:pPr>
              <w:keepNext/>
              <w:jc w:val="left"/>
              <w:rPr>
                <w:rFonts w:cs="Arial"/>
                <w:b/>
                <w:bCs/>
                <w:sz w:val="18"/>
                <w:szCs w:val="18"/>
                <w:shd w:val="clear" w:color="auto" w:fill="FFFFFF"/>
              </w:rPr>
            </w:pPr>
            <w:r w:rsidRPr="00756DA5">
              <w:rPr>
                <w:b/>
                <w:bCs/>
                <w:sz w:val="18"/>
                <w:szCs w:val="18"/>
                <w:shd w:val="clear" w:color="auto" w:fill="FFFFFF"/>
              </w:rPr>
              <w:t>Probable deterioration of safety performance</w:t>
            </w:r>
          </w:p>
          <w:p w:rsidR="007D77E0" w:rsidRPr="00756DA5" w:rsidP="007D77E0">
            <w:pPr>
              <w:keepNext/>
              <w:jc w:val="left"/>
              <w:rPr>
                <w:rFonts w:cs="Arial"/>
                <w:sz w:val="18"/>
                <w:szCs w:val="18"/>
                <w:shd w:val="clear" w:color="auto" w:fill="FFFFFF"/>
              </w:rPr>
            </w:pPr>
            <w:r w:rsidRPr="00756DA5">
              <w:rPr>
                <w:sz w:val="18"/>
                <w:szCs w:val="18"/>
                <w:shd w:val="clear" w:color="auto" w:fill="FFFFFF"/>
              </w:rPr>
              <w:t xml:space="preserve">The Member State </w:t>
            </w:r>
            <w:r w:rsidRPr="00756DA5">
              <w:rPr>
                <w:sz w:val="18"/>
                <w:szCs w:val="18"/>
                <w:shd w:val="clear" w:color="auto" w:fill="FFFFFF"/>
              </w:rPr>
              <w:t>is informed of the results and required to analyse and comment on the performance</w:t>
            </w:r>
            <w:r w:rsidRPr="00756DA5">
              <w:rPr>
                <w:sz w:val="18"/>
                <w:szCs w:val="18"/>
                <w:shd w:val="clear" w:color="auto" w:fill="FFFFFF"/>
              </w:rPr>
              <w:t>. Where necessary, the Member State has to submit a safety enhancement plan (SEP) to the Commission. The Agency may be asked by the Commission to give a technical opinion on the SEP.</w:t>
            </w:r>
          </w:p>
        </w:tc>
      </w:tr>
      <w:tr w:rsidTr="007D77E0">
        <w:tblPrEx>
          <w:tblW w:w="9062" w:type="dxa"/>
          <w:tblLook w:val="04A0"/>
        </w:tblPrEx>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OUI</w:t>
            </w:r>
          </w:p>
        </w:tc>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YES</w:t>
            </w:r>
          </w:p>
        </w:tc>
      </w:tr>
      <w:tr w:rsidTr="007D77E0">
        <w:tblPrEx>
          <w:tblW w:w="9062" w:type="dxa"/>
          <w:tblLook w:val="04A0"/>
        </w:tblPrEx>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NON</w:t>
            </w:r>
          </w:p>
        </w:tc>
        <w:tc>
          <w:tcPr>
            <w:tcW w:w="4531" w:type="dxa"/>
          </w:tcPr>
          <w:p w:rsidR="007D77E0" w:rsidRPr="00756DA5" w:rsidP="007D77E0">
            <w:pPr>
              <w:keepNext/>
              <w:jc w:val="left"/>
              <w:rPr>
                <w:rFonts w:cs="Arial"/>
                <w:sz w:val="18"/>
                <w:szCs w:val="18"/>
                <w:shd w:val="clear" w:color="auto" w:fill="FFFFFF"/>
              </w:rPr>
            </w:pPr>
            <w:r w:rsidRPr="00756DA5">
              <w:rPr>
                <w:sz w:val="18"/>
                <w:szCs w:val="18"/>
                <w:shd w:val="clear" w:color="auto" w:fill="FFFFFF"/>
              </w:rPr>
              <w:t>NO</w:t>
            </w:r>
          </w:p>
        </w:tc>
      </w:tr>
    </w:tbl>
    <w:p w:rsidR="004625FD" w:rsidRPr="00756DA5" w:rsidP="00423F21">
      <w:pPr>
        <w:pStyle w:val="Heading1"/>
        <w:pageBreakBefore/>
        <w:rPr>
          <w:rFonts w:cs="Arial"/>
        </w:rPr>
      </w:pPr>
      <w:bookmarkStart w:id="92" w:name="_Toc494469637"/>
      <w:bookmarkStart w:id="93" w:name="_Toc423668212"/>
      <w:bookmarkStart w:id="94" w:name="_Toc533153884"/>
      <w:r w:rsidRPr="00756DA5">
        <w:t>Annex 2 – Common safety indicators</w:t>
      </w:r>
      <w:bookmarkEnd w:id="92"/>
      <w:bookmarkEnd w:id="93"/>
      <w:bookmarkEnd w:id="94"/>
    </w:p>
    <w:p w:rsidR="00B4299F" w:rsidRPr="00756DA5" w:rsidP="00B4299F">
      <w:pPr>
        <w:pBdr>
          <w:top w:val="single" w:sz="4" w:space="1" w:color="auto"/>
          <w:bottom w:val="single" w:sz="4" w:space="1" w:color="auto"/>
        </w:pBdr>
        <w:spacing w:after="0" w:line="320" w:lineRule="exact"/>
        <w:rPr>
          <w:rFonts w:cs="Arial"/>
          <w:color w:val="7F7F7F" w:themeColor="text1" w:themeTint="80"/>
          <w:sz w:val="24"/>
          <w:szCs w:val="24"/>
        </w:rPr>
      </w:pPr>
    </w:p>
    <w:p w:rsidR="00442B87" w:rsidRPr="00756DA5" w:rsidP="00B4299F">
      <w:pPr>
        <w:pBdr>
          <w:top w:val="single" w:sz="4" w:space="1" w:color="auto"/>
          <w:bottom w:val="single" w:sz="4" w:space="1" w:color="auto"/>
        </w:pBdr>
        <w:spacing w:after="0" w:line="320" w:lineRule="exact"/>
        <w:rPr>
          <w:rFonts w:cs="Arial"/>
          <w:color w:val="7F7F7F" w:themeColor="text1" w:themeTint="80"/>
          <w:sz w:val="24"/>
          <w:szCs w:val="24"/>
        </w:rPr>
      </w:pPr>
      <w:r w:rsidRPr="00756DA5">
        <w:rPr>
          <w:color w:val="7F7F7F" w:themeColor="text1" w:themeTint="80"/>
          <w:sz w:val="24"/>
          <w:szCs w:val="24"/>
        </w:rPr>
        <w:t>This annex presents the common safety indicators (CSIs) defined by Directive 2004/2016/EC. These are the annual changes calculated as 5-year moving averages. In this way, the value for 2017 corresponds to the average of the values for 2013 to 2017. In comparison, the data presented in the graphs in Section ‘2.2 Safety indicators’ are not the result of moving averages.</w:t>
      </w:r>
    </w:p>
    <w:p w:rsidR="00B4299F" w:rsidRPr="00756DA5" w:rsidP="00B4299F">
      <w:pPr>
        <w:pBdr>
          <w:top w:val="single" w:sz="4" w:space="1" w:color="auto"/>
          <w:bottom w:val="single" w:sz="4" w:space="1" w:color="auto"/>
        </w:pBdr>
        <w:spacing w:after="0" w:line="320" w:lineRule="exact"/>
        <w:rPr>
          <w:rFonts w:cs="Arial"/>
          <w:color w:val="7F7F7F" w:themeColor="text1" w:themeTint="80"/>
          <w:sz w:val="24"/>
          <w:szCs w:val="24"/>
        </w:rPr>
      </w:pPr>
    </w:p>
    <w:p w:rsidR="00442B87" w:rsidRPr="00756DA5" w:rsidP="00442B87">
      <w:pPr>
        <w:rPr>
          <w:rFonts w:cs="Arial"/>
          <w:b/>
          <w:color w:val="7F7F7F" w:themeColor="text1" w:themeTint="80"/>
        </w:rPr>
      </w:pPr>
      <w:bookmarkStart w:id="95" w:name="_Toc428891354"/>
    </w:p>
    <w:tbl>
      <w:tblPr>
        <w:tblW w:w="0" w:type="auto"/>
        <w:tblLayout w:type="fixed"/>
        <w:tblLook w:val="04A0"/>
      </w:tblPr>
      <w:tblGrid>
        <w:gridCol w:w="4536"/>
        <w:gridCol w:w="4536"/>
      </w:tblGrid>
      <w:tr w:rsidTr="000F513F">
        <w:tblPrEx>
          <w:tblW w:w="0" w:type="auto"/>
          <w:tblLayout w:type="fixed"/>
          <w:tblLook w:val="04A0"/>
        </w:tblPrEx>
        <w:tc>
          <w:tcPr>
            <w:tcW w:w="4536" w:type="dxa"/>
            <w:hideMark/>
          </w:tcPr>
          <w:p w:rsidR="00442B87" w:rsidRPr="00756DA5" w:rsidP="000F513F">
            <w:pPr>
              <w:jc w:val="left"/>
            </w:pPr>
            <w:r w:rsidRPr="00756DA5">
              <w:rPr>
                <w:noProof/>
                <w:lang w:val="fr-FR" w:eastAsia="fr-FR"/>
              </w:rPr>
              <w:drawing>
                <wp:inline distT="0" distB="0" distL="0" distR="0">
                  <wp:extent cx="2785692" cy="2075290"/>
                  <wp:effectExtent l="0" t="0" r="0" b="127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1062" name="Picture 2"/>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6408" cy="2090723"/>
                          </a:xfrm>
                          <a:prstGeom prst="rect">
                            <a:avLst/>
                          </a:prstGeom>
                          <a:noFill/>
                          <a:ln>
                            <a:noFill/>
                          </a:ln>
                        </pic:spPr>
                      </pic:pic>
                    </a:graphicData>
                  </a:graphic>
                </wp:inline>
              </w:drawing>
            </w:r>
          </w:p>
        </w:tc>
        <w:tc>
          <w:tcPr>
            <w:tcW w:w="4536" w:type="dxa"/>
            <w:hideMark/>
          </w:tcPr>
          <w:p w:rsidR="00442B87" w:rsidRPr="00756DA5" w:rsidP="000F513F">
            <w:pPr>
              <w:jc w:val="left"/>
            </w:pPr>
            <w:r w:rsidRPr="00756DA5">
              <w:rPr>
                <w:noProof/>
                <w:lang w:val="fr-FR" w:eastAsia="fr-FR"/>
              </w:rPr>
              <w:drawing>
                <wp:inline distT="0" distB="0" distL="0" distR="0">
                  <wp:extent cx="2772190" cy="211758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59991" name="Picture 3"/>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8035" cy="2152599"/>
                          </a:xfrm>
                          <a:prstGeom prst="rect">
                            <a:avLst/>
                          </a:prstGeom>
                          <a:noFill/>
                          <a:ln>
                            <a:noFill/>
                          </a:ln>
                        </pic:spPr>
                      </pic:pic>
                    </a:graphicData>
                  </a:graphic>
                </wp:inline>
              </w:drawing>
            </w:r>
          </w:p>
        </w:tc>
      </w:tr>
    </w:tbl>
    <w:tbl>
      <w:tblPr>
        <w:tblStyle w:val="TableGrid"/>
        <w:tblW w:w="9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66"/>
      </w:tblGrid>
      <w:tr w:rsidTr="000F513F">
        <w:tblPrEx>
          <w:tblW w:w="9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C21E23" w:rsidRPr="00756DA5" w:rsidP="009B3B56">
            <w:pPr>
              <w:jc w:val="left"/>
              <w:rPr>
                <w:sz w:val="16"/>
                <w:szCs w:val="16"/>
              </w:rPr>
            </w:pPr>
            <w:r w:rsidRPr="00756DA5">
              <w:rPr>
                <w:sz w:val="16"/>
                <w:szCs w:val="16"/>
              </w:rPr>
              <w:t>N10 : Nombre relatif d’accidents par million de train km</w:t>
            </w:r>
          </w:p>
        </w:tc>
        <w:tc>
          <w:tcPr>
            <w:tcW w:w="2271" w:type="dxa"/>
          </w:tcPr>
          <w:p w:rsidR="00C21E23" w:rsidRPr="00756DA5" w:rsidP="009B3B56">
            <w:pPr>
              <w:jc w:val="left"/>
              <w:rPr>
                <w:sz w:val="16"/>
                <w:szCs w:val="16"/>
              </w:rPr>
            </w:pPr>
            <w:r w:rsidRPr="00756DA5">
              <w:rPr>
                <w:sz w:val="16"/>
                <w:szCs w:val="16"/>
              </w:rPr>
              <w:t>N10: Number of accidents per million train-km</w:t>
            </w:r>
          </w:p>
        </w:tc>
        <w:tc>
          <w:tcPr>
            <w:tcW w:w="2259" w:type="dxa"/>
          </w:tcPr>
          <w:p w:rsidR="00C21E23" w:rsidRPr="00756DA5" w:rsidP="000F513F">
            <w:pPr>
              <w:jc w:val="left"/>
              <w:rPr>
                <w:sz w:val="16"/>
                <w:szCs w:val="16"/>
              </w:rPr>
            </w:pPr>
            <w:r w:rsidRPr="00756DA5">
              <w:rPr>
                <w:sz w:val="16"/>
                <w:szCs w:val="16"/>
              </w:rPr>
              <w:t>TK10 : Nombre relatif de personnes tuées par million de train-km</w:t>
            </w:r>
          </w:p>
        </w:tc>
        <w:tc>
          <w:tcPr>
            <w:tcW w:w="2266" w:type="dxa"/>
          </w:tcPr>
          <w:p w:rsidR="00C21E23" w:rsidRPr="00756DA5" w:rsidP="000F513F">
            <w:pPr>
              <w:jc w:val="left"/>
              <w:rPr>
                <w:sz w:val="16"/>
                <w:szCs w:val="16"/>
              </w:rPr>
            </w:pPr>
            <w:r w:rsidRPr="00756DA5">
              <w:rPr>
                <w:sz w:val="16"/>
                <w:szCs w:val="16"/>
              </w:rPr>
              <w:t>TK10: Number of people killed per million train-km</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Moyenne calculée sur 5 ans</w:t>
            </w:r>
          </w:p>
        </w:tc>
        <w:tc>
          <w:tcPr>
            <w:tcW w:w="2271" w:type="dxa"/>
          </w:tcPr>
          <w:p w:rsidR="00C21E23" w:rsidRPr="00756DA5" w:rsidP="000F513F">
            <w:pPr>
              <w:jc w:val="left"/>
              <w:rPr>
                <w:sz w:val="16"/>
                <w:szCs w:val="16"/>
              </w:rPr>
            </w:pPr>
            <w:r w:rsidRPr="00756DA5">
              <w:rPr>
                <w:sz w:val="16"/>
                <w:szCs w:val="16"/>
              </w:rPr>
              <w:t>Average calculated over 5 years</w:t>
            </w:r>
          </w:p>
        </w:tc>
        <w:tc>
          <w:tcPr>
            <w:tcW w:w="2259" w:type="dxa"/>
          </w:tcPr>
          <w:p w:rsidR="00C21E23" w:rsidRPr="00756DA5" w:rsidP="000F513F">
            <w:pPr>
              <w:jc w:val="left"/>
              <w:rPr>
                <w:sz w:val="16"/>
                <w:szCs w:val="16"/>
              </w:rPr>
            </w:pPr>
            <w:r w:rsidRPr="00756DA5">
              <w:rPr>
                <w:sz w:val="16"/>
                <w:szCs w:val="16"/>
              </w:rPr>
              <w:t>Moyenne calculée sur 5 ans</w:t>
            </w:r>
          </w:p>
        </w:tc>
        <w:tc>
          <w:tcPr>
            <w:tcW w:w="2266" w:type="dxa"/>
          </w:tcPr>
          <w:p w:rsidR="00C21E23" w:rsidRPr="00756DA5" w:rsidP="000F513F">
            <w:pPr>
              <w:jc w:val="left"/>
              <w:rPr>
                <w:sz w:val="16"/>
                <w:szCs w:val="16"/>
              </w:rPr>
            </w:pPr>
            <w:r w:rsidRPr="00756DA5">
              <w:rPr>
                <w:sz w:val="16"/>
                <w:szCs w:val="16"/>
              </w:rPr>
              <w:t>Average calculated over 5 years</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0,35</w:t>
            </w:r>
          </w:p>
        </w:tc>
        <w:tc>
          <w:tcPr>
            <w:tcW w:w="2271" w:type="dxa"/>
          </w:tcPr>
          <w:p w:rsidR="00C21E23" w:rsidRPr="00756DA5" w:rsidP="000F513F">
            <w:pPr>
              <w:jc w:val="left"/>
              <w:rPr>
                <w:sz w:val="16"/>
                <w:szCs w:val="16"/>
              </w:rPr>
            </w:pPr>
            <w:r w:rsidRPr="00756DA5">
              <w:rPr>
                <w:sz w:val="16"/>
                <w:szCs w:val="16"/>
              </w:rPr>
              <w:t>0.35</w:t>
            </w:r>
          </w:p>
        </w:tc>
        <w:tc>
          <w:tcPr>
            <w:tcW w:w="2259" w:type="dxa"/>
          </w:tcPr>
          <w:p w:rsidR="00C21E23" w:rsidRPr="00756DA5" w:rsidP="000F513F">
            <w:pPr>
              <w:jc w:val="left"/>
              <w:rPr>
                <w:sz w:val="16"/>
                <w:szCs w:val="16"/>
              </w:rPr>
            </w:pPr>
            <w:r w:rsidRPr="00756DA5">
              <w:rPr>
                <w:sz w:val="16"/>
                <w:szCs w:val="16"/>
              </w:rPr>
              <w:t>0,20</w:t>
            </w:r>
          </w:p>
        </w:tc>
        <w:tc>
          <w:tcPr>
            <w:tcW w:w="2266" w:type="dxa"/>
          </w:tcPr>
          <w:p w:rsidR="00C21E23" w:rsidRPr="00756DA5" w:rsidP="000F513F">
            <w:pPr>
              <w:jc w:val="left"/>
              <w:rPr>
                <w:sz w:val="16"/>
                <w:szCs w:val="16"/>
              </w:rPr>
            </w:pPr>
            <w:r w:rsidRPr="00756DA5">
              <w:rPr>
                <w:sz w:val="16"/>
                <w:szCs w:val="16"/>
              </w:rPr>
              <w:t>0.20</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0,30</w:t>
            </w:r>
          </w:p>
        </w:tc>
        <w:tc>
          <w:tcPr>
            <w:tcW w:w="2271" w:type="dxa"/>
          </w:tcPr>
          <w:p w:rsidR="00C21E23" w:rsidRPr="00756DA5" w:rsidP="000F513F">
            <w:pPr>
              <w:jc w:val="left"/>
              <w:rPr>
                <w:sz w:val="16"/>
                <w:szCs w:val="16"/>
              </w:rPr>
            </w:pPr>
            <w:r w:rsidRPr="00756DA5">
              <w:rPr>
                <w:sz w:val="16"/>
                <w:szCs w:val="16"/>
              </w:rPr>
              <w:t>0.30</w:t>
            </w:r>
          </w:p>
        </w:tc>
        <w:tc>
          <w:tcPr>
            <w:tcW w:w="2259" w:type="dxa"/>
          </w:tcPr>
          <w:p w:rsidR="00C21E23" w:rsidRPr="00756DA5" w:rsidP="000F513F">
            <w:pPr>
              <w:jc w:val="left"/>
              <w:rPr>
                <w:sz w:val="16"/>
                <w:szCs w:val="16"/>
              </w:rPr>
            </w:pPr>
            <w:r w:rsidRPr="00756DA5">
              <w:rPr>
                <w:sz w:val="16"/>
                <w:szCs w:val="16"/>
              </w:rPr>
              <w:t>0,15</w:t>
            </w:r>
          </w:p>
        </w:tc>
        <w:tc>
          <w:tcPr>
            <w:tcW w:w="2266" w:type="dxa"/>
          </w:tcPr>
          <w:p w:rsidR="00C21E23" w:rsidRPr="00756DA5" w:rsidP="000F513F">
            <w:pPr>
              <w:jc w:val="left"/>
              <w:rPr>
                <w:sz w:val="16"/>
                <w:szCs w:val="16"/>
              </w:rPr>
            </w:pPr>
            <w:r w:rsidRPr="00756DA5">
              <w:rPr>
                <w:sz w:val="16"/>
                <w:szCs w:val="16"/>
              </w:rPr>
              <w:t>0.15</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0,25</w:t>
            </w:r>
          </w:p>
        </w:tc>
        <w:tc>
          <w:tcPr>
            <w:tcW w:w="2271" w:type="dxa"/>
          </w:tcPr>
          <w:p w:rsidR="00C21E23" w:rsidRPr="00756DA5" w:rsidP="000F513F">
            <w:pPr>
              <w:jc w:val="left"/>
              <w:rPr>
                <w:sz w:val="16"/>
                <w:szCs w:val="16"/>
              </w:rPr>
            </w:pPr>
            <w:r w:rsidRPr="00756DA5">
              <w:rPr>
                <w:sz w:val="16"/>
                <w:szCs w:val="16"/>
              </w:rPr>
              <w:t>0.25</w:t>
            </w:r>
          </w:p>
        </w:tc>
        <w:tc>
          <w:tcPr>
            <w:tcW w:w="2259" w:type="dxa"/>
          </w:tcPr>
          <w:p w:rsidR="00C21E23" w:rsidRPr="00756DA5" w:rsidP="000F513F">
            <w:pPr>
              <w:jc w:val="left"/>
              <w:rPr>
                <w:sz w:val="16"/>
                <w:szCs w:val="16"/>
              </w:rPr>
            </w:pPr>
            <w:r w:rsidRPr="00756DA5">
              <w:rPr>
                <w:sz w:val="16"/>
                <w:szCs w:val="16"/>
              </w:rPr>
              <w:t>0,10</w:t>
            </w:r>
          </w:p>
        </w:tc>
        <w:tc>
          <w:tcPr>
            <w:tcW w:w="2266" w:type="dxa"/>
          </w:tcPr>
          <w:p w:rsidR="00C21E23" w:rsidRPr="00756DA5" w:rsidP="000F513F">
            <w:pPr>
              <w:jc w:val="left"/>
              <w:rPr>
                <w:sz w:val="16"/>
                <w:szCs w:val="16"/>
              </w:rPr>
            </w:pPr>
            <w:r w:rsidRPr="00756DA5">
              <w:rPr>
                <w:sz w:val="16"/>
                <w:szCs w:val="16"/>
              </w:rPr>
              <w:t>0.10</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0,20</w:t>
            </w:r>
          </w:p>
        </w:tc>
        <w:tc>
          <w:tcPr>
            <w:tcW w:w="2271" w:type="dxa"/>
          </w:tcPr>
          <w:p w:rsidR="00C21E23" w:rsidRPr="00756DA5" w:rsidP="000F513F">
            <w:pPr>
              <w:jc w:val="left"/>
              <w:rPr>
                <w:sz w:val="16"/>
                <w:szCs w:val="16"/>
              </w:rPr>
            </w:pPr>
            <w:r w:rsidRPr="00756DA5">
              <w:rPr>
                <w:sz w:val="16"/>
                <w:szCs w:val="16"/>
              </w:rPr>
              <w:t>0.20</w:t>
            </w:r>
          </w:p>
        </w:tc>
        <w:tc>
          <w:tcPr>
            <w:tcW w:w="2259" w:type="dxa"/>
          </w:tcPr>
          <w:p w:rsidR="00C21E23" w:rsidRPr="00756DA5" w:rsidP="000F513F">
            <w:pPr>
              <w:jc w:val="left"/>
              <w:rPr>
                <w:sz w:val="16"/>
                <w:szCs w:val="16"/>
              </w:rPr>
            </w:pPr>
            <w:r w:rsidRPr="00756DA5">
              <w:rPr>
                <w:sz w:val="16"/>
                <w:szCs w:val="16"/>
              </w:rPr>
              <w:t>0,00</w:t>
            </w:r>
          </w:p>
        </w:tc>
        <w:tc>
          <w:tcPr>
            <w:tcW w:w="2266" w:type="dxa"/>
          </w:tcPr>
          <w:p w:rsidR="00C21E23" w:rsidRPr="00756DA5" w:rsidP="000F513F">
            <w:pPr>
              <w:jc w:val="left"/>
              <w:rPr>
                <w:sz w:val="16"/>
                <w:szCs w:val="16"/>
              </w:rPr>
            </w:pPr>
            <w:r w:rsidRPr="00756DA5">
              <w:rPr>
                <w:sz w:val="16"/>
                <w:szCs w:val="16"/>
              </w:rPr>
              <w:t>0.00</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0,15</w:t>
            </w:r>
          </w:p>
        </w:tc>
        <w:tc>
          <w:tcPr>
            <w:tcW w:w="2271" w:type="dxa"/>
          </w:tcPr>
          <w:p w:rsidR="00C21E23" w:rsidRPr="00756DA5" w:rsidP="000F513F">
            <w:pPr>
              <w:jc w:val="left"/>
              <w:rPr>
                <w:sz w:val="16"/>
                <w:szCs w:val="16"/>
              </w:rPr>
            </w:pPr>
            <w:r w:rsidRPr="00756DA5">
              <w:rPr>
                <w:sz w:val="16"/>
                <w:szCs w:val="16"/>
              </w:rPr>
              <w:t>0.15</w:t>
            </w:r>
          </w:p>
        </w:tc>
        <w:tc>
          <w:tcPr>
            <w:tcW w:w="2259" w:type="dxa"/>
          </w:tcPr>
          <w:p w:rsidR="00C21E23" w:rsidRPr="00756DA5" w:rsidP="000F513F">
            <w:pPr>
              <w:jc w:val="left"/>
              <w:rPr>
                <w:sz w:val="16"/>
                <w:szCs w:val="16"/>
              </w:rPr>
            </w:pPr>
            <w:r w:rsidRPr="00756DA5">
              <w:rPr>
                <w:sz w:val="16"/>
                <w:szCs w:val="16"/>
              </w:rPr>
              <w:t>0,155</w:t>
            </w:r>
          </w:p>
        </w:tc>
        <w:tc>
          <w:tcPr>
            <w:tcW w:w="2266" w:type="dxa"/>
          </w:tcPr>
          <w:p w:rsidR="00C21E23" w:rsidRPr="00756DA5" w:rsidP="000F513F">
            <w:pPr>
              <w:jc w:val="left"/>
              <w:rPr>
                <w:sz w:val="16"/>
                <w:szCs w:val="16"/>
              </w:rPr>
            </w:pPr>
            <w:r w:rsidRPr="00756DA5">
              <w:rPr>
                <w:sz w:val="16"/>
                <w:szCs w:val="16"/>
              </w:rPr>
              <w:t>0.155</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0,10</w:t>
            </w:r>
          </w:p>
        </w:tc>
        <w:tc>
          <w:tcPr>
            <w:tcW w:w="2271" w:type="dxa"/>
          </w:tcPr>
          <w:p w:rsidR="00C21E23" w:rsidRPr="00756DA5" w:rsidP="000F513F">
            <w:pPr>
              <w:jc w:val="left"/>
              <w:rPr>
                <w:sz w:val="16"/>
                <w:szCs w:val="16"/>
              </w:rPr>
            </w:pPr>
            <w:r w:rsidRPr="00756DA5">
              <w:rPr>
                <w:sz w:val="16"/>
                <w:szCs w:val="16"/>
              </w:rPr>
              <w:t>0.10</w:t>
            </w:r>
          </w:p>
        </w:tc>
        <w:tc>
          <w:tcPr>
            <w:tcW w:w="2259" w:type="dxa"/>
          </w:tcPr>
          <w:p w:rsidR="00C21E23" w:rsidRPr="00756DA5" w:rsidP="000F513F">
            <w:pPr>
              <w:jc w:val="left"/>
              <w:rPr>
                <w:sz w:val="16"/>
                <w:szCs w:val="16"/>
              </w:rPr>
            </w:pPr>
            <w:r w:rsidRPr="00756DA5">
              <w:rPr>
                <w:sz w:val="16"/>
                <w:szCs w:val="16"/>
              </w:rPr>
              <w:t>0,152</w:t>
            </w:r>
          </w:p>
        </w:tc>
        <w:tc>
          <w:tcPr>
            <w:tcW w:w="2266" w:type="dxa"/>
          </w:tcPr>
          <w:p w:rsidR="00C21E23" w:rsidRPr="00756DA5" w:rsidP="000F513F">
            <w:pPr>
              <w:jc w:val="left"/>
              <w:rPr>
                <w:sz w:val="16"/>
                <w:szCs w:val="16"/>
              </w:rPr>
            </w:pPr>
            <w:r w:rsidRPr="00756DA5">
              <w:rPr>
                <w:sz w:val="16"/>
                <w:szCs w:val="16"/>
              </w:rPr>
              <w:t>0.152</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0,05</w:t>
            </w:r>
          </w:p>
        </w:tc>
        <w:tc>
          <w:tcPr>
            <w:tcW w:w="2271" w:type="dxa"/>
          </w:tcPr>
          <w:p w:rsidR="00C21E23" w:rsidRPr="00756DA5" w:rsidP="000F513F">
            <w:pPr>
              <w:jc w:val="left"/>
              <w:rPr>
                <w:sz w:val="16"/>
                <w:szCs w:val="16"/>
              </w:rPr>
            </w:pPr>
            <w:r w:rsidRPr="00756DA5">
              <w:rPr>
                <w:sz w:val="16"/>
                <w:szCs w:val="16"/>
              </w:rPr>
              <w:t>0.05</w:t>
            </w:r>
          </w:p>
        </w:tc>
        <w:tc>
          <w:tcPr>
            <w:tcW w:w="2259" w:type="dxa"/>
          </w:tcPr>
          <w:p w:rsidR="00C21E23" w:rsidRPr="00756DA5" w:rsidP="000F513F">
            <w:pPr>
              <w:jc w:val="left"/>
              <w:rPr>
                <w:sz w:val="16"/>
                <w:szCs w:val="16"/>
              </w:rPr>
            </w:pPr>
            <w:r w:rsidRPr="00756DA5">
              <w:rPr>
                <w:sz w:val="16"/>
                <w:szCs w:val="16"/>
              </w:rPr>
              <w:t>0,147</w:t>
            </w:r>
          </w:p>
        </w:tc>
        <w:tc>
          <w:tcPr>
            <w:tcW w:w="2266" w:type="dxa"/>
          </w:tcPr>
          <w:p w:rsidR="00C21E23" w:rsidRPr="00756DA5" w:rsidP="000F513F">
            <w:pPr>
              <w:jc w:val="left"/>
              <w:rPr>
                <w:sz w:val="16"/>
                <w:szCs w:val="16"/>
              </w:rPr>
            </w:pPr>
            <w:r w:rsidRPr="00756DA5">
              <w:rPr>
                <w:sz w:val="16"/>
                <w:szCs w:val="16"/>
              </w:rPr>
              <w:t>0.147</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0,00</w:t>
            </w:r>
          </w:p>
        </w:tc>
        <w:tc>
          <w:tcPr>
            <w:tcW w:w="2271" w:type="dxa"/>
          </w:tcPr>
          <w:p w:rsidR="00C21E23" w:rsidRPr="00756DA5" w:rsidP="000F513F">
            <w:pPr>
              <w:jc w:val="left"/>
              <w:rPr>
                <w:sz w:val="16"/>
                <w:szCs w:val="16"/>
              </w:rPr>
            </w:pPr>
            <w:r w:rsidRPr="00756DA5">
              <w:rPr>
                <w:sz w:val="16"/>
                <w:szCs w:val="16"/>
              </w:rPr>
              <w:t>0.00</w:t>
            </w:r>
          </w:p>
        </w:tc>
        <w:tc>
          <w:tcPr>
            <w:tcW w:w="2259" w:type="dxa"/>
          </w:tcPr>
          <w:p w:rsidR="00C21E23" w:rsidRPr="00756DA5" w:rsidP="000F513F">
            <w:pPr>
              <w:jc w:val="left"/>
              <w:rPr>
                <w:sz w:val="16"/>
                <w:szCs w:val="16"/>
              </w:rPr>
            </w:pPr>
            <w:r w:rsidRPr="00756DA5">
              <w:rPr>
                <w:sz w:val="16"/>
                <w:szCs w:val="16"/>
              </w:rPr>
              <w:t>0,146</w:t>
            </w:r>
          </w:p>
        </w:tc>
        <w:tc>
          <w:tcPr>
            <w:tcW w:w="2266" w:type="dxa"/>
          </w:tcPr>
          <w:p w:rsidR="00C21E23" w:rsidRPr="00756DA5" w:rsidP="000F513F">
            <w:pPr>
              <w:jc w:val="left"/>
              <w:rPr>
                <w:sz w:val="16"/>
                <w:szCs w:val="16"/>
              </w:rPr>
            </w:pPr>
            <w:r w:rsidRPr="00756DA5">
              <w:rPr>
                <w:sz w:val="16"/>
                <w:szCs w:val="16"/>
              </w:rPr>
              <w:t>0.146</w:t>
            </w:r>
          </w:p>
        </w:tc>
      </w:tr>
      <w:tr w:rsidTr="000F513F">
        <w:tblPrEx>
          <w:tblW w:w="9061" w:type="dxa"/>
          <w:tblLook w:val="04A0"/>
        </w:tblPrEx>
        <w:tc>
          <w:tcPr>
            <w:tcW w:w="2265" w:type="dxa"/>
          </w:tcPr>
          <w:p w:rsidR="00C21E23" w:rsidRPr="00756DA5" w:rsidP="000F513F">
            <w:pPr>
              <w:jc w:val="left"/>
              <w:rPr>
                <w:sz w:val="16"/>
                <w:szCs w:val="16"/>
              </w:rPr>
            </w:pPr>
            <w:r w:rsidRPr="00756DA5">
              <w:rPr>
                <w:sz w:val="16"/>
                <w:szCs w:val="16"/>
              </w:rPr>
              <w:t>0,304</w:t>
            </w:r>
          </w:p>
        </w:tc>
        <w:tc>
          <w:tcPr>
            <w:tcW w:w="2271" w:type="dxa"/>
          </w:tcPr>
          <w:p w:rsidR="00C21E23" w:rsidRPr="00756DA5" w:rsidP="000F513F">
            <w:pPr>
              <w:jc w:val="left"/>
              <w:rPr>
                <w:sz w:val="16"/>
                <w:szCs w:val="16"/>
              </w:rPr>
            </w:pPr>
            <w:r w:rsidRPr="00756DA5">
              <w:rPr>
                <w:sz w:val="16"/>
                <w:szCs w:val="16"/>
              </w:rPr>
              <w:t>0.304</w:t>
            </w:r>
          </w:p>
        </w:tc>
        <w:tc>
          <w:tcPr>
            <w:tcW w:w="2259" w:type="dxa"/>
          </w:tcPr>
          <w:p w:rsidR="00C21E23" w:rsidRPr="00756DA5" w:rsidP="000F513F">
            <w:pPr>
              <w:jc w:val="left"/>
              <w:rPr>
                <w:sz w:val="16"/>
                <w:szCs w:val="16"/>
              </w:rPr>
            </w:pPr>
            <w:r w:rsidRPr="00756DA5">
              <w:rPr>
                <w:sz w:val="16"/>
                <w:szCs w:val="16"/>
              </w:rPr>
              <w:t>0,155</w:t>
            </w:r>
          </w:p>
        </w:tc>
        <w:tc>
          <w:tcPr>
            <w:tcW w:w="2266" w:type="dxa"/>
          </w:tcPr>
          <w:p w:rsidR="00C21E23" w:rsidRPr="00756DA5" w:rsidP="000F513F">
            <w:pPr>
              <w:jc w:val="left"/>
              <w:rPr>
                <w:sz w:val="16"/>
                <w:szCs w:val="16"/>
              </w:rPr>
            </w:pPr>
            <w:r w:rsidRPr="00756DA5">
              <w:rPr>
                <w:sz w:val="16"/>
                <w:szCs w:val="16"/>
              </w:rPr>
              <w:t>0.155</w:t>
            </w:r>
          </w:p>
        </w:tc>
      </w:tr>
      <w:tr w:rsidTr="000F513F">
        <w:tblPrEx>
          <w:tblW w:w="9061" w:type="dxa"/>
          <w:tblLook w:val="04A0"/>
        </w:tblPrEx>
        <w:tc>
          <w:tcPr>
            <w:tcW w:w="2265" w:type="dxa"/>
          </w:tcPr>
          <w:p w:rsidR="00370EAD" w:rsidRPr="00756DA5" w:rsidP="000F513F">
            <w:pPr>
              <w:jc w:val="left"/>
              <w:rPr>
                <w:sz w:val="16"/>
                <w:szCs w:val="16"/>
              </w:rPr>
            </w:pPr>
            <w:r w:rsidRPr="00756DA5">
              <w:rPr>
                <w:sz w:val="16"/>
                <w:szCs w:val="16"/>
              </w:rPr>
              <w:t>0,310</w:t>
            </w:r>
          </w:p>
        </w:tc>
        <w:tc>
          <w:tcPr>
            <w:tcW w:w="2271" w:type="dxa"/>
          </w:tcPr>
          <w:p w:rsidR="00370EAD" w:rsidRPr="00756DA5" w:rsidP="000F513F">
            <w:pPr>
              <w:jc w:val="left"/>
              <w:rPr>
                <w:sz w:val="16"/>
                <w:szCs w:val="16"/>
              </w:rPr>
            </w:pPr>
            <w:r w:rsidRPr="00756DA5">
              <w:rPr>
                <w:sz w:val="16"/>
                <w:szCs w:val="16"/>
              </w:rPr>
              <w:t>0.310</w:t>
            </w:r>
          </w:p>
        </w:tc>
        <w:tc>
          <w:tcPr>
            <w:tcW w:w="2259" w:type="dxa"/>
          </w:tcPr>
          <w:p w:rsidR="00370EAD" w:rsidRPr="00756DA5" w:rsidP="000F513F">
            <w:pPr>
              <w:jc w:val="left"/>
              <w:rPr>
                <w:sz w:val="16"/>
                <w:szCs w:val="16"/>
              </w:rPr>
            </w:pPr>
          </w:p>
        </w:tc>
        <w:tc>
          <w:tcPr>
            <w:tcW w:w="2266" w:type="dxa"/>
          </w:tcPr>
          <w:p w:rsidR="00370EAD" w:rsidRPr="00756DA5" w:rsidP="000F513F">
            <w:pPr>
              <w:jc w:val="left"/>
              <w:rPr>
                <w:sz w:val="16"/>
                <w:szCs w:val="16"/>
              </w:rPr>
            </w:pPr>
          </w:p>
        </w:tc>
      </w:tr>
      <w:tr w:rsidTr="000F513F">
        <w:tblPrEx>
          <w:tblW w:w="9061" w:type="dxa"/>
          <w:tblLook w:val="04A0"/>
        </w:tblPrEx>
        <w:tc>
          <w:tcPr>
            <w:tcW w:w="2265" w:type="dxa"/>
          </w:tcPr>
          <w:p w:rsidR="00370EAD" w:rsidRPr="00756DA5" w:rsidP="000F513F">
            <w:pPr>
              <w:jc w:val="left"/>
              <w:rPr>
                <w:sz w:val="16"/>
                <w:szCs w:val="16"/>
              </w:rPr>
            </w:pPr>
            <w:r w:rsidRPr="00756DA5">
              <w:rPr>
                <w:sz w:val="16"/>
                <w:szCs w:val="16"/>
              </w:rPr>
              <w:t>0,307</w:t>
            </w:r>
          </w:p>
        </w:tc>
        <w:tc>
          <w:tcPr>
            <w:tcW w:w="2271" w:type="dxa"/>
          </w:tcPr>
          <w:p w:rsidR="00370EAD" w:rsidRPr="00756DA5" w:rsidP="000F513F">
            <w:pPr>
              <w:jc w:val="left"/>
              <w:rPr>
                <w:sz w:val="16"/>
                <w:szCs w:val="16"/>
              </w:rPr>
            </w:pPr>
            <w:r w:rsidRPr="00756DA5">
              <w:rPr>
                <w:sz w:val="16"/>
                <w:szCs w:val="16"/>
              </w:rPr>
              <w:t>0.307</w:t>
            </w:r>
          </w:p>
        </w:tc>
        <w:tc>
          <w:tcPr>
            <w:tcW w:w="2259" w:type="dxa"/>
          </w:tcPr>
          <w:p w:rsidR="00370EAD" w:rsidRPr="00756DA5" w:rsidP="000F513F">
            <w:pPr>
              <w:jc w:val="left"/>
              <w:rPr>
                <w:sz w:val="16"/>
                <w:szCs w:val="16"/>
              </w:rPr>
            </w:pPr>
          </w:p>
        </w:tc>
        <w:tc>
          <w:tcPr>
            <w:tcW w:w="2266" w:type="dxa"/>
          </w:tcPr>
          <w:p w:rsidR="00370EAD" w:rsidRPr="00756DA5" w:rsidP="000F513F">
            <w:pPr>
              <w:jc w:val="left"/>
              <w:rPr>
                <w:sz w:val="16"/>
                <w:szCs w:val="16"/>
              </w:rPr>
            </w:pPr>
          </w:p>
        </w:tc>
      </w:tr>
      <w:tr w:rsidTr="000F513F">
        <w:tblPrEx>
          <w:tblW w:w="9061" w:type="dxa"/>
          <w:tblLook w:val="04A0"/>
        </w:tblPrEx>
        <w:tc>
          <w:tcPr>
            <w:tcW w:w="2265" w:type="dxa"/>
          </w:tcPr>
          <w:p w:rsidR="00370EAD" w:rsidRPr="00756DA5" w:rsidP="000F513F">
            <w:pPr>
              <w:jc w:val="left"/>
              <w:rPr>
                <w:sz w:val="16"/>
                <w:szCs w:val="16"/>
              </w:rPr>
            </w:pPr>
            <w:r w:rsidRPr="00756DA5">
              <w:rPr>
                <w:sz w:val="16"/>
                <w:szCs w:val="16"/>
              </w:rPr>
              <w:t>0,316</w:t>
            </w:r>
          </w:p>
        </w:tc>
        <w:tc>
          <w:tcPr>
            <w:tcW w:w="2271" w:type="dxa"/>
          </w:tcPr>
          <w:p w:rsidR="00370EAD" w:rsidRPr="00756DA5" w:rsidP="000F513F">
            <w:pPr>
              <w:jc w:val="left"/>
              <w:rPr>
                <w:sz w:val="16"/>
                <w:szCs w:val="16"/>
              </w:rPr>
            </w:pPr>
            <w:r w:rsidRPr="00756DA5">
              <w:rPr>
                <w:sz w:val="16"/>
                <w:szCs w:val="16"/>
              </w:rPr>
              <w:t>0.316</w:t>
            </w:r>
          </w:p>
        </w:tc>
        <w:tc>
          <w:tcPr>
            <w:tcW w:w="2259" w:type="dxa"/>
          </w:tcPr>
          <w:p w:rsidR="00370EAD" w:rsidRPr="00756DA5" w:rsidP="000F513F">
            <w:pPr>
              <w:jc w:val="left"/>
              <w:rPr>
                <w:sz w:val="16"/>
                <w:szCs w:val="16"/>
              </w:rPr>
            </w:pPr>
          </w:p>
        </w:tc>
        <w:tc>
          <w:tcPr>
            <w:tcW w:w="2266" w:type="dxa"/>
          </w:tcPr>
          <w:p w:rsidR="00370EAD" w:rsidRPr="00756DA5" w:rsidP="000F513F">
            <w:pPr>
              <w:jc w:val="left"/>
              <w:rPr>
                <w:sz w:val="16"/>
                <w:szCs w:val="16"/>
              </w:rPr>
            </w:pPr>
          </w:p>
        </w:tc>
      </w:tr>
    </w:tbl>
    <w:tbl>
      <w:tblPr>
        <w:tblW w:w="0" w:type="auto"/>
        <w:tblLook w:val="04A0"/>
      </w:tblPr>
      <w:tblGrid>
        <w:gridCol w:w="4554"/>
        <w:gridCol w:w="4518"/>
      </w:tblGrid>
      <w:tr w:rsidTr="00380326">
        <w:tblPrEx>
          <w:tblW w:w="0" w:type="auto"/>
          <w:tblLook w:val="04A0"/>
        </w:tblPrEx>
        <w:tc>
          <w:tcPr>
            <w:tcW w:w="4554" w:type="dxa"/>
            <w:hideMark/>
          </w:tcPr>
          <w:p w:rsidR="00442B87" w:rsidRPr="00756DA5" w:rsidP="00380326">
            <w:pPr>
              <w:keepNext/>
              <w:jc w:val="left"/>
            </w:pPr>
            <w:r w:rsidRPr="00756DA5">
              <w:rPr>
                <w:noProof/>
                <w:lang w:val="fr-FR" w:eastAsia="fr-FR"/>
              </w:rPr>
              <w:drawing>
                <wp:inline distT="0" distB="0" distL="0" distR="0">
                  <wp:extent cx="2785110" cy="2098905"/>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81350" name="Picture 4"/>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8949" cy="2124407"/>
                          </a:xfrm>
                          <a:prstGeom prst="rect">
                            <a:avLst/>
                          </a:prstGeom>
                          <a:noFill/>
                          <a:ln>
                            <a:noFill/>
                          </a:ln>
                        </pic:spPr>
                      </pic:pic>
                    </a:graphicData>
                  </a:graphic>
                </wp:inline>
              </w:drawing>
            </w:r>
          </w:p>
        </w:tc>
        <w:tc>
          <w:tcPr>
            <w:tcW w:w="4518" w:type="dxa"/>
          </w:tcPr>
          <w:p w:rsidR="00442B87" w:rsidRPr="00756DA5" w:rsidP="00380326">
            <w:pPr>
              <w:keepNext/>
              <w:jc w:val="left"/>
            </w:pPr>
            <w:r w:rsidRPr="00756DA5">
              <w:rPr>
                <w:noProof/>
                <w:lang w:val="fr-FR" w:eastAsia="fr-FR"/>
              </w:rPr>
              <w:drawing>
                <wp:inline distT="0" distB="0" distL="0" distR="0">
                  <wp:extent cx="2758599" cy="2098675"/>
                  <wp:effectExtent l="0" t="0" r="381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64362" name="Picture 5"/>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4540" cy="2110802"/>
                          </a:xfrm>
                          <a:prstGeom prst="rect">
                            <a:avLst/>
                          </a:prstGeom>
                          <a:noFill/>
                          <a:ln>
                            <a:noFill/>
                          </a:ln>
                        </pic:spPr>
                      </pic:pic>
                    </a:graphicData>
                  </a:graphic>
                </wp:inline>
              </w:drawing>
            </w:r>
          </w:p>
        </w:tc>
      </w:tr>
    </w:tbl>
    <w:tbl>
      <w:tblPr>
        <w:tblStyle w:val="TableGrid"/>
        <w:tblW w:w="9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65"/>
        <w:gridCol w:w="2265"/>
        <w:gridCol w:w="2266"/>
      </w:tblGrid>
      <w:tr w:rsidTr="002E7FC7">
        <w:tblPrEx>
          <w:tblW w:w="9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9250AC" w:rsidRPr="00756DA5" w:rsidP="009250AC">
            <w:pPr>
              <w:jc w:val="left"/>
              <w:rPr>
                <w:sz w:val="16"/>
                <w:szCs w:val="16"/>
              </w:rPr>
            </w:pPr>
            <w:r w:rsidRPr="00756DA5">
              <w:rPr>
                <w:sz w:val="16"/>
                <w:szCs w:val="16"/>
              </w:rPr>
              <w:t>TS10 : Nombre relatif de personnes grièvement blessées par million de train-km</w:t>
            </w:r>
          </w:p>
        </w:tc>
        <w:tc>
          <w:tcPr>
            <w:tcW w:w="2265" w:type="dxa"/>
          </w:tcPr>
          <w:p w:rsidR="009250AC" w:rsidRPr="00756DA5" w:rsidP="009250AC">
            <w:pPr>
              <w:jc w:val="left"/>
              <w:rPr>
                <w:sz w:val="16"/>
                <w:szCs w:val="16"/>
              </w:rPr>
            </w:pPr>
            <w:r w:rsidRPr="00756DA5">
              <w:rPr>
                <w:sz w:val="16"/>
                <w:szCs w:val="16"/>
              </w:rPr>
              <w:t>TS10: Number of people seriously injured per million train-km</w:t>
            </w:r>
          </w:p>
        </w:tc>
        <w:tc>
          <w:tcPr>
            <w:tcW w:w="2265" w:type="dxa"/>
          </w:tcPr>
          <w:p w:rsidR="009250AC" w:rsidRPr="00756DA5" w:rsidP="009250AC">
            <w:pPr>
              <w:jc w:val="left"/>
              <w:rPr>
                <w:sz w:val="16"/>
                <w:szCs w:val="16"/>
              </w:rPr>
            </w:pPr>
            <w:r w:rsidRPr="00756DA5">
              <w:rPr>
                <w:sz w:val="16"/>
                <w:szCs w:val="16"/>
              </w:rPr>
              <w:t>I10 : Nombre relatif de précurseurs par million de train-km</w:t>
            </w:r>
          </w:p>
        </w:tc>
        <w:tc>
          <w:tcPr>
            <w:tcW w:w="2266" w:type="dxa"/>
          </w:tcPr>
          <w:p w:rsidR="009250AC" w:rsidRPr="00756DA5" w:rsidP="009250AC">
            <w:pPr>
              <w:jc w:val="left"/>
              <w:rPr>
                <w:sz w:val="16"/>
                <w:szCs w:val="16"/>
              </w:rPr>
            </w:pPr>
            <w:r w:rsidRPr="00756DA5">
              <w:rPr>
                <w:sz w:val="16"/>
                <w:szCs w:val="16"/>
              </w:rPr>
              <w:t>I10: Number of precursor events per million train-km</w:t>
            </w:r>
          </w:p>
        </w:tc>
      </w:tr>
      <w:tr w:rsidTr="002E7FC7">
        <w:tblPrEx>
          <w:tblW w:w="9061" w:type="dxa"/>
          <w:tblLook w:val="04A0"/>
        </w:tblPrEx>
        <w:tc>
          <w:tcPr>
            <w:tcW w:w="2265" w:type="dxa"/>
          </w:tcPr>
          <w:p w:rsidR="009250AC" w:rsidRPr="00756DA5" w:rsidP="009250AC">
            <w:pPr>
              <w:jc w:val="left"/>
              <w:rPr>
                <w:sz w:val="16"/>
                <w:szCs w:val="16"/>
              </w:rPr>
            </w:pPr>
            <w:r w:rsidRPr="00756DA5">
              <w:rPr>
                <w:sz w:val="16"/>
                <w:szCs w:val="16"/>
              </w:rPr>
              <w:t>Moyenne calculée sur 5 ans</w:t>
            </w:r>
          </w:p>
        </w:tc>
        <w:tc>
          <w:tcPr>
            <w:tcW w:w="2265" w:type="dxa"/>
          </w:tcPr>
          <w:p w:rsidR="009250AC" w:rsidRPr="00756DA5" w:rsidP="009250AC">
            <w:pPr>
              <w:jc w:val="left"/>
              <w:rPr>
                <w:sz w:val="16"/>
                <w:szCs w:val="16"/>
              </w:rPr>
            </w:pPr>
            <w:r w:rsidRPr="00756DA5">
              <w:rPr>
                <w:sz w:val="16"/>
                <w:szCs w:val="16"/>
              </w:rPr>
              <w:t>Average calculated over 5 years</w:t>
            </w:r>
          </w:p>
        </w:tc>
        <w:tc>
          <w:tcPr>
            <w:tcW w:w="2265" w:type="dxa"/>
          </w:tcPr>
          <w:p w:rsidR="009250AC" w:rsidRPr="00756DA5" w:rsidP="009250AC">
            <w:pPr>
              <w:jc w:val="left"/>
              <w:rPr>
                <w:sz w:val="16"/>
                <w:szCs w:val="16"/>
              </w:rPr>
            </w:pPr>
            <w:r w:rsidRPr="00756DA5">
              <w:rPr>
                <w:sz w:val="16"/>
                <w:szCs w:val="16"/>
              </w:rPr>
              <w:t>Moyenne calculée sur 5 ans</w:t>
            </w:r>
          </w:p>
        </w:tc>
        <w:tc>
          <w:tcPr>
            <w:tcW w:w="2266" w:type="dxa"/>
          </w:tcPr>
          <w:p w:rsidR="009250AC" w:rsidRPr="00756DA5" w:rsidP="009250AC">
            <w:pPr>
              <w:jc w:val="left"/>
              <w:rPr>
                <w:sz w:val="16"/>
                <w:szCs w:val="16"/>
              </w:rPr>
            </w:pPr>
            <w:r w:rsidRPr="00756DA5">
              <w:rPr>
                <w:sz w:val="16"/>
                <w:szCs w:val="16"/>
              </w:rPr>
              <w:t>Average calculated over 5 years</w:t>
            </w:r>
          </w:p>
        </w:tc>
      </w:tr>
      <w:tr w:rsidTr="002E7FC7">
        <w:tblPrEx>
          <w:tblW w:w="9061" w:type="dxa"/>
          <w:tblLook w:val="04A0"/>
        </w:tblPrEx>
        <w:tc>
          <w:tcPr>
            <w:tcW w:w="2265" w:type="dxa"/>
          </w:tcPr>
          <w:p w:rsidR="009250AC" w:rsidRPr="00756DA5" w:rsidP="009250AC">
            <w:pPr>
              <w:jc w:val="left"/>
              <w:rPr>
                <w:sz w:val="16"/>
                <w:szCs w:val="16"/>
              </w:rPr>
            </w:pPr>
            <w:r w:rsidRPr="00756DA5">
              <w:rPr>
                <w:sz w:val="16"/>
                <w:szCs w:val="16"/>
              </w:rPr>
              <w:t>0,15</w:t>
            </w:r>
          </w:p>
        </w:tc>
        <w:tc>
          <w:tcPr>
            <w:tcW w:w="2265" w:type="dxa"/>
          </w:tcPr>
          <w:p w:rsidR="009250AC" w:rsidRPr="00756DA5" w:rsidP="009250AC">
            <w:pPr>
              <w:jc w:val="left"/>
              <w:rPr>
                <w:sz w:val="16"/>
                <w:szCs w:val="16"/>
              </w:rPr>
            </w:pPr>
            <w:r w:rsidRPr="00756DA5">
              <w:rPr>
                <w:sz w:val="16"/>
                <w:szCs w:val="16"/>
              </w:rPr>
              <w:t>0.15</w:t>
            </w:r>
          </w:p>
        </w:tc>
        <w:tc>
          <w:tcPr>
            <w:tcW w:w="2265" w:type="dxa"/>
          </w:tcPr>
          <w:p w:rsidR="009250AC" w:rsidRPr="00756DA5" w:rsidP="009250AC">
            <w:pPr>
              <w:jc w:val="left"/>
              <w:rPr>
                <w:sz w:val="16"/>
                <w:szCs w:val="16"/>
              </w:rPr>
            </w:pPr>
            <w:r w:rsidRPr="00756DA5">
              <w:rPr>
                <w:sz w:val="16"/>
                <w:szCs w:val="16"/>
              </w:rPr>
              <w:t>2,50</w:t>
            </w:r>
          </w:p>
        </w:tc>
        <w:tc>
          <w:tcPr>
            <w:tcW w:w="2266" w:type="dxa"/>
          </w:tcPr>
          <w:p w:rsidR="009250AC" w:rsidRPr="00756DA5" w:rsidP="009250AC">
            <w:pPr>
              <w:jc w:val="left"/>
              <w:rPr>
                <w:sz w:val="16"/>
                <w:szCs w:val="16"/>
              </w:rPr>
            </w:pPr>
            <w:r w:rsidRPr="00756DA5">
              <w:rPr>
                <w:sz w:val="16"/>
                <w:szCs w:val="16"/>
              </w:rPr>
              <w:t>2.50</w:t>
            </w:r>
          </w:p>
        </w:tc>
      </w:tr>
      <w:tr w:rsidTr="002E7FC7">
        <w:tblPrEx>
          <w:tblW w:w="9061" w:type="dxa"/>
          <w:tblLook w:val="04A0"/>
        </w:tblPrEx>
        <w:tc>
          <w:tcPr>
            <w:tcW w:w="2265" w:type="dxa"/>
          </w:tcPr>
          <w:p w:rsidR="009250AC" w:rsidRPr="00756DA5" w:rsidP="009250AC">
            <w:pPr>
              <w:jc w:val="left"/>
              <w:rPr>
                <w:sz w:val="16"/>
                <w:szCs w:val="16"/>
              </w:rPr>
            </w:pPr>
            <w:r w:rsidRPr="00756DA5">
              <w:rPr>
                <w:sz w:val="16"/>
                <w:szCs w:val="16"/>
              </w:rPr>
              <w:t>0,10</w:t>
            </w:r>
          </w:p>
        </w:tc>
        <w:tc>
          <w:tcPr>
            <w:tcW w:w="2265" w:type="dxa"/>
          </w:tcPr>
          <w:p w:rsidR="009250AC" w:rsidRPr="00756DA5" w:rsidP="009250AC">
            <w:pPr>
              <w:jc w:val="left"/>
              <w:rPr>
                <w:sz w:val="16"/>
                <w:szCs w:val="16"/>
              </w:rPr>
            </w:pPr>
            <w:r w:rsidRPr="00756DA5">
              <w:rPr>
                <w:sz w:val="16"/>
                <w:szCs w:val="16"/>
              </w:rPr>
              <w:t>0.10</w:t>
            </w:r>
          </w:p>
        </w:tc>
        <w:tc>
          <w:tcPr>
            <w:tcW w:w="2265" w:type="dxa"/>
          </w:tcPr>
          <w:p w:rsidR="009250AC" w:rsidRPr="00756DA5" w:rsidP="009250AC">
            <w:pPr>
              <w:jc w:val="left"/>
              <w:rPr>
                <w:sz w:val="16"/>
                <w:szCs w:val="16"/>
              </w:rPr>
            </w:pPr>
            <w:r w:rsidRPr="00756DA5">
              <w:rPr>
                <w:sz w:val="16"/>
                <w:szCs w:val="16"/>
              </w:rPr>
              <w:t>2,00</w:t>
            </w:r>
          </w:p>
        </w:tc>
        <w:tc>
          <w:tcPr>
            <w:tcW w:w="2266" w:type="dxa"/>
          </w:tcPr>
          <w:p w:rsidR="009250AC" w:rsidRPr="00756DA5" w:rsidP="009250AC">
            <w:pPr>
              <w:jc w:val="left"/>
              <w:rPr>
                <w:sz w:val="16"/>
                <w:szCs w:val="16"/>
              </w:rPr>
            </w:pPr>
            <w:r w:rsidRPr="00756DA5">
              <w:rPr>
                <w:sz w:val="16"/>
                <w:szCs w:val="16"/>
              </w:rPr>
              <w:t>2.00</w:t>
            </w:r>
          </w:p>
        </w:tc>
      </w:tr>
      <w:tr w:rsidTr="002E7FC7">
        <w:tblPrEx>
          <w:tblW w:w="9061" w:type="dxa"/>
          <w:tblLook w:val="04A0"/>
        </w:tblPrEx>
        <w:tc>
          <w:tcPr>
            <w:tcW w:w="2265" w:type="dxa"/>
          </w:tcPr>
          <w:p w:rsidR="009250AC" w:rsidRPr="00756DA5" w:rsidP="009250AC">
            <w:pPr>
              <w:jc w:val="left"/>
              <w:rPr>
                <w:sz w:val="16"/>
                <w:szCs w:val="16"/>
              </w:rPr>
            </w:pPr>
            <w:r w:rsidRPr="00756DA5">
              <w:rPr>
                <w:sz w:val="16"/>
                <w:szCs w:val="16"/>
              </w:rPr>
              <w:t>0,05</w:t>
            </w:r>
          </w:p>
        </w:tc>
        <w:tc>
          <w:tcPr>
            <w:tcW w:w="2265" w:type="dxa"/>
          </w:tcPr>
          <w:p w:rsidR="009250AC" w:rsidRPr="00756DA5" w:rsidP="009250AC">
            <w:pPr>
              <w:jc w:val="left"/>
              <w:rPr>
                <w:sz w:val="16"/>
                <w:szCs w:val="16"/>
              </w:rPr>
            </w:pPr>
            <w:r w:rsidRPr="00756DA5">
              <w:rPr>
                <w:sz w:val="16"/>
                <w:szCs w:val="16"/>
              </w:rPr>
              <w:t>0.05</w:t>
            </w:r>
          </w:p>
        </w:tc>
        <w:tc>
          <w:tcPr>
            <w:tcW w:w="2265" w:type="dxa"/>
          </w:tcPr>
          <w:p w:rsidR="009250AC" w:rsidRPr="00756DA5" w:rsidP="009250AC">
            <w:pPr>
              <w:jc w:val="left"/>
              <w:rPr>
                <w:sz w:val="16"/>
                <w:szCs w:val="16"/>
              </w:rPr>
            </w:pPr>
            <w:r w:rsidRPr="00756DA5">
              <w:rPr>
                <w:sz w:val="16"/>
                <w:szCs w:val="16"/>
              </w:rPr>
              <w:t>1,50</w:t>
            </w:r>
          </w:p>
        </w:tc>
        <w:tc>
          <w:tcPr>
            <w:tcW w:w="2266" w:type="dxa"/>
          </w:tcPr>
          <w:p w:rsidR="009250AC" w:rsidRPr="00756DA5" w:rsidP="009250AC">
            <w:pPr>
              <w:jc w:val="left"/>
              <w:rPr>
                <w:sz w:val="16"/>
                <w:szCs w:val="16"/>
              </w:rPr>
            </w:pPr>
            <w:r w:rsidRPr="00756DA5">
              <w:rPr>
                <w:sz w:val="16"/>
                <w:szCs w:val="16"/>
              </w:rPr>
              <w:t>1.50</w:t>
            </w:r>
          </w:p>
        </w:tc>
      </w:tr>
      <w:tr w:rsidTr="002E7FC7">
        <w:tblPrEx>
          <w:tblW w:w="9061" w:type="dxa"/>
          <w:tblLook w:val="04A0"/>
        </w:tblPrEx>
        <w:tc>
          <w:tcPr>
            <w:tcW w:w="2265" w:type="dxa"/>
          </w:tcPr>
          <w:p w:rsidR="009250AC" w:rsidRPr="00756DA5" w:rsidP="009250AC">
            <w:pPr>
              <w:jc w:val="left"/>
              <w:rPr>
                <w:sz w:val="16"/>
                <w:szCs w:val="16"/>
              </w:rPr>
            </w:pPr>
            <w:r w:rsidRPr="00756DA5">
              <w:rPr>
                <w:sz w:val="16"/>
                <w:szCs w:val="16"/>
              </w:rPr>
              <w:t>0,105</w:t>
            </w:r>
          </w:p>
        </w:tc>
        <w:tc>
          <w:tcPr>
            <w:tcW w:w="2265" w:type="dxa"/>
          </w:tcPr>
          <w:p w:rsidR="009250AC" w:rsidRPr="00756DA5" w:rsidP="009250AC">
            <w:pPr>
              <w:jc w:val="left"/>
              <w:rPr>
                <w:sz w:val="16"/>
                <w:szCs w:val="16"/>
              </w:rPr>
            </w:pPr>
            <w:r w:rsidRPr="00756DA5">
              <w:rPr>
                <w:sz w:val="16"/>
                <w:szCs w:val="16"/>
              </w:rPr>
              <w:t>0.105</w:t>
            </w:r>
          </w:p>
        </w:tc>
        <w:tc>
          <w:tcPr>
            <w:tcW w:w="2265" w:type="dxa"/>
          </w:tcPr>
          <w:p w:rsidR="009250AC" w:rsidRPr="00756DA5" w:rsidP="009250AC">
            <w:pPr>
              <w:jc w:val="left"/>
              <w:rPr>
                <w:sz w:val="16"/>
                <w:szCs w:val="16"/>
              </w:rPr>
            </w:pPr>
            <w:r w:rsidRPr="00756DA5">
              <w:rPr>
                <w:sz w:val="16"/>
                <w:szCs w:val="16"/>
              </w:rPr>
              <w:t>1,00</w:t>
            </w:r>
          </w:p>
        </w:tc>
        <w:tc>
          <w:tcPr>
            <w:tcW w:w="2266" w:type="dxa"/>
          </w:tcPr>
          <w:p w:rsidR="009250AC" w:rsidRPr="00756DA5" w:rsidP="009250AC">
            <w:pPr>
              <w:jc w:val="left"/>
              <w:rPr>
                <w:sz w:val="16"/>
                <w:szCs w:val="16"/>
              </w:rPr>
            </w:pPr>
            <w:r w:rsidRPr="00756DA5">
              <w:rPr>
                <w:sz w:val="16"/>
                <w:szCs w:val="16"/>
              </w:rPr>
              <w:t>1.00</w:t>
            </w:r>
          </w:p>
        </w:tc>
      </w:tr>
      <w:tr w:rsidTr="002E7FC7">
        <w:tblPrEx>
          <w:tblW w:w="9061" w:type="dxa"/>
          <w:tblLook w:val="04A0"/>
        </w:tblPrEx>
        <w:tc>
          <w:tcPr>
            <w:tcW w:w="2265" w:type="dxa"/>
          </w:tcPr>
          <w:p w:rsidR="009250AC" w:rsidRPr="00756DA5" w:rsidP="009250AC">
            <w:pPr>
              <w:jc w:val="left"/>
              <w:rPr>
                <w:sz w:val="16"/>
                <w:szCs w:val="16"/>
              </w:rPr>
            </w:pPr>
            <w:r w:rsidRPr="00756DA5">
              <w:rPr>
                <w:sz w:val="16"/>
                <w:szCs w:val="16"/>
              </w:rPr>
              <w:t>0,111</w:t>
            </w:r>
          </w:p>
        </w:tc>
        <w:tc>
          <w:tcPr>
            <w:tcW w:w="2265" w:type="dxa"/>
          </w:tcPr>
          <w:p w:rsidR="009250AC" w:rsidRPr="00756DA5" w:rsidP="009250AC">
            <w:pPr>
              <w:jc w:val="left"/>
              <w:rPr>
                <w:sz w:val="16"/>
                <w:szCs w:val="16"/>
              </w:rPr>
            </w:pPr>
            <w:r w:rsidRPr="00756DA5">
              <w:rPr>
                <w:sz w:val="16"/>
                <w:szCs w:val="16"/>
              </w:rPr>
              <w:t>0.111</w:t>
            </w:r>
          </w:p>
        </w:tc>
        <w:tc>
          <w:tcPr>
            <w:tcW w:w="2265" w:type="dxa"/>
          </w:tcPr>
          <w:p w:rsidR="009250AC" w:rsidRPr="00756DA5" w:rsidP="009250AC">
            <w:pPr>
              <w:jc w:val="left"/>
              <w:rPr>
                <w:sz w:val="16"/>
                <w:szCs w:val="16"/>
              </w:rPr>
            </w:pPr>
            <w:r w:rsidRPr="00756DA5">
              <w:rPr>
                <w:sz w:val="16"/>
                <w:szCs w:val="16"/>
              </w:rPr>
              <w:t>0,50</w:t>
            </w:r>
          </w:p>
        </w:tc>
        <w:tc>
          <w:tcPr>
            <w:tcW w:w="2266" w:type="dxa"/>
          </w:tcPr>
          <w:p w:rsidR="009250AC" w:rsidRPr="00756DA5" w:rsidP="009250AC">
            <w:pPr>
              <w:jc w:val="left"/>
              <w:rPr>
                <w:sz w:val="16"/>
                <w:szCs w:val="16"/>
              </w:rPr>
            </w:pPr>
            <w:r w:rsidRPr="00756DA5">
              <w:rPr>
                <w:sz w:val="16"/>
                <w:szCs w:val="16"/>
              </w:rPr>
              <w:t>0.50</w:t>
            </w:r>
          </w:p>
        </w:tc>
      </w:tr>
      <w:tr w:rsidTr="002E7FC7">
        <w:tblPrEx>
          <w:tblW w:w="9061" w:type="dxa"/>
          <w:tblLook w:val="04A0"/>
        </w:tblPrEx>
        <w:tc>
          <w:tcPr>
            <w:tcW w:w="2265" w:type="dxa"/>
          </w:tcPr>
          <w:p w:rsidR="009250AC" w:rsidRPr="00756DA5" w:rsidP="009250AC">
            <w:pPr>
              <w:jc w:val="left"/>
              <w:rPr>
                <w:sz w:val="16"/>
                <w:szCs w:val="16"/>
              </w:rPr>
            </w:pPr>
            <w:r w:rsidRPr="00756DA5">
              <w:rPr>
                <w:sz w:val="16"/>
                <w:szCs w:val="16"/>
              </w:rPr>
              <w:t>0,121</w:t>
            </w:r>
          </w:p>
        </w:tc>
        <w:tc>
          <w:tcPr>
            <w:tcW w:w="2265" w:type="dxa"/>
          </w:tcPr>
          <w:p w:rsidR="009250AC" w:rsidRPr="00756DA5" w:rsidP="009250AC">
            <w:pPr>
              <w:jc w:val="left"/>
              <w:rPr>
                <w:sz w:val="16"/>
                <w:szCs w:val="16"/>
              </w:rPr>
            </w:pPr>
            <w:r w:rsidRPr="00756DA5">
              <w:rPr>
                <w:sz w:val="16"/>
                <w:szCs w:val="16"/>
              </w:rPr>
              <w:t>0.121</w:t>
            </w:r>
          </w:p>
        </w:tc>
        <w:tc>
          <w:tcPr>
            <w:tcW w:w="2265" w:type="dxa"/>
          </w:tcPr>
          <w:p w:rsidR="009250AC" w:rsidRPr="00756DA5" w:rsidP="009250AC">
            <w:pPr>
              <w:jc w:val="left"/>
              <w:rPr>
                <w:sz w:val="16"/>
                <w:szCs w:val="16"/>
              </w:rPr>
            </w:pPr>
            <w:r w:rsidRPr="00756DA5">
              <w:rPr>
                <w:sz w:val="16"/>
                <w:szCs w:val="16"/>
              </w:rPr>
              <w:t>0,00</w:t>
            </w:r>
          </w:p>
        </w:tc>
        <w:tc>
          <w:tcPr>
            <w:tcW w:w="2266" w:type="dxa"/>
          </w:tcPr>
          <w:p w:rsidR="009250AC" w:rsidRPr="00756DA5" w:rsidP="009250AC">
            <w:pPr>
              <w:jc w:val="left"/>
              <w:rPr>
                <w:sz w:val="16"/>
                <w:szCs w:val="16"/>
              </w:rPr>
            </w:pPr>
            <w:r w:rsidRPr="00756DA5">
              <w:rPr>
                <w:sz w:val="16"/>
                <w:szCs w:val="16"/>
              </w:rPr>
              <w:t>0.00</w:t>
            </w:r>
          </w:p>
        </w:tc>
      </w:tr>
      <w:tr w:rsidTr="002E7FC7">
        <w:tblPrEx>
          <w:tblW w:w="9061" w:type="dxa"/>
          <w:tblLook w:val="04A0"/>
        </w:tblPrEx>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r w:rsidRPr="00756DA5">
              <w:rPr>
                <w:sz w:val="16"/>
                <w:szCs w:val="16"/>
              </w:rPr>
              <w:t>1,921</w:t>
            </w:r>
          </w:p>
        </w:tc>
        <w:tc>
          <w:tcPr>
            <w:tcW w:w="2266" w:type="dxa"/>
          </w:tcPr>
          <w:p w:rsidR="009250AC" w:rsidRPr="00756DA5" w:rsidP="009250AC">
            <w:pPr>
              <w:jc w:val="left"/>
              <w:rPr>
                <w:sz w:val="16"/>
                <w:szCs w:val="16"/>
              </w:rPr>
            </w:pPr>
            <w:r w:rsidRPr="00756DA5">
              <w:rPr>
                <w:sz w:val="16"/>
                <w:szCs w:val="16"/>
              </w:rPr>
              <w:t>1.921</w:t>
            </w:r>
          </w:p>
        </w:tc>
      </w:tr>
      <w:tr w:rsidTr="002E7FC7">
        <w:tblPrEx>
          <w:tblW w:w="9061" w:type="dxa"/>
          <w:tblLook w:val="04A0"/>
        </w:tblPrEx>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r w:rsidRPr="00756DA5">
              <w:rPr>
                <w:sz w:val="16"/>
                <w:szCs w:val="16"/>
              </w:rPr>
              <w:t>1,958</w:t>
            </w:r>
          </w:p>
        </w:tc>
        <w:tc>
          <w:tcPr>
            <w:tcW w:w="2266" w:type="dxa"/>
          </w:tcPr>
          <w:p w:rsidR="009250AC" w:rsidRPr="00756DA5" w:rsidP="009250AC">
            <w:pPr>
              <w:jc w:val="left"/>
              <w:rPr>
                <w:sz w:val="16"/>
                <w:szCs w:val="16"/>
              </w:rPr>
            </w:pPr>
            <w:r w:rsidRPr="00756DA5">
              <w:rPr>
                <w:sz w:val="16"/>
                <w:szCs w:val="16"/>
              </w:rPr>
              <w:t>1.958</w:t>
            </w:r>
          </w:p>
        </w:tc>
      </w:tr>
      <w:tr w:rsidTr="002E7FC7">
        <w:tblPrEx>
          <w:tblW w:w="9061" w:type="dxa"/>
          <w:tblLook w:val="04A0"/>
        </w:tblPrEx>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r w:rsidRPr="00756DA5">
              <w:rPr>
                <w:sz w:val="16"/>
                <w:szCs w:val="16"/>
              </w:rPr>
              <w:t>1,876</w:t>
            </w:r>
          </w:p>
        </w:tc>
        <w:tc>
          <w:tcPr>
            <w:tcW w:w="2266" w:type="dxa"/>
          </w:tcPr>
          <w:p w:rsidR="009250AC" w:rsidRPr="00756DA5" w:rsidP="009250AC">
            <w:pPr>
              <w:jc w:val="left"/>
              <w:rPr>
                <w:sz w:val="16"/>
                <w:szCs w:val="16"/>
              </w:rPr>
            </w:pPr>
            <w:r w:rsidRPr="00756DA5">
              <w:rPr>
                <w:sz w:val="16"/>
                <w:szCs w:val="16"/>
              </w:rPr>
              <w:t>1.876</w:t>
            </w:r>
          </w:p>
        </w:tc>
      </w:tr>
      <w:tr w:rsidTr="002E7FC7">
        <w:tblPrEx>
          <w:tblW w:w="9061" w:type="dxa"/>
          <w:tblLook w:val="04A0"/>
        </w:tblPrEx>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r w:rsidRPr="00756DA5">
              <w:rPr>
                <w:sz w:val="16"/>
                <w:szCs w:val="16"/>
              </w:rPr>
              <w:t>1,814</w:t>
            </w:r>
          </w:p>
        </w:tc>
        <w:tc>
          <w:tcPr>
            <w:tcW w:w="2266" w:type="dxa"/>
          </w:tcPr>
          <w:p w:rsidR="009250AC" w:rsidRPr="00756DA5" w:rsidP="009250AC">
            <w:pPr>
              <w:jc w:val="left"/>
              <w:rPr>
                <w:sz w:val="16"/>
                <w:szCs w:val="16"/>
              </w:rPr>
            </w:pPr>
            <w:r w:rsidRPr="00756DA5">
              <w:rPr>
                <w:sz w:val="16"/>
                <w:szCs w:val="16"/>
              </w:rPr>
              <w:t>1.814</w:t>
            </w:r>
          </w:p>
        </w:tc>
      </w:tr>
      <w:tr w:rsidTr="002E7FC7">
        <w:tblPrEx>
          <w:tblW w:w="9061" w:type="dxa"/>
          <w:tblLook w:val="04A0"/>
        </w:tblPrEx>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p>
        </w:tc>
        <w:tc>
          <w:tcPr>
            <w:tcW w:w="2265" w:type="dxa"/>
          </w:tcPr>
          <w:p w:rsidR="009250AC" w:rsidRPr="00756DA5" w:rsidP="009250AC">
            <w:pPr>
              <w:jc w:val="left"/>
              <w:rPr>
                <w:sz w:val="16"/>
                <w:szCs w:val="16"/>
              </w:rPr>
            </w:pPr>
            <w:r w:rsidRPr="00756DA5">
              <w:rPr>
                <w:sz w:val="16"/>
                <w:szCs w:val="16"/>
              </w:rPr>
              <w:t>1,681</w:t>
            </w:r>
          </w:p>
        </w:tc>
        <w:tc>
          <w:tcPr>
            <w:tcW w:w="2266" w:type="dxa"/>
          </w:tcPr>
          <w:p w:rsidR="009250AC" w:rsidRPr="00756DA5" w:rsidP="009250AC">
            <w:pPr>
              <w:jc w:val="left"/>
              <w:rPr>
                <w:sz w:val="16"/>
                <w:szCs w:val="16"/>
              </w:rPr>
            </w:pPr>
            <w:r w:rsidRPr="00756DA5">
              <w:rPr>
                <w:sz w:val="16"/>
                <w:szCs w:val="16"/>
              </w:rPr>
              <w:t>1.681</w:t>
            </w:r>
          </w:p>
        </w:tc>
      </w:tr>
    </w:tbl>
    <w:p w:rsidR="00442B87" w:rsidRPr="00756DA5" w:rsidP="00756DA5">
      <w:pPr>
        <w:spacing w:line="280" w:lineRule="exact"/>
        <w:rPr>
          <w:b/>
          <w:szCs w:val="20"/>
        </w:rPr>
      </w:pPr>
      <w:bookmarkStart w:id="96" w:name="_Toc460852660"/>
      <w:r w:rsidRPr="00756DA5">
        <w:rPr>
          <w:b/>
          <w:bCs/>
          <w:szCs w:val="20"/>
        </w:rPr>
        <w:t xml:space="preserve">■ </w:t>
      </w:r>
      <w:r w:rsidRPr="00756DA5">
        <w:rPr>
          <w:b/>
          <w:szCs w:val="20"/>
        </w:rPr>
        <w:t>Accidents presented by type</w:t>
      </w:r>
      <w:bookmarkEnd w:id="96"/>
    </w:p>
    <w:tbl>
      <w:tblPr>
        <w:tblW w:w="0" w:type="auto"/>
        <w:tblLayout w:type="fixed"/>
        <w:tblLook w:val="04A0"/>
      </w:tblPr>
      <w:tblGrid>
        <w:gridCol w:w="4395"/>
        <w:gridCol w:w="4559"/>
      </w:tblGrid>
      <w:tr w:rsidTr="002E7FC7">
        <w:tblPrEx>
          <w:tblW w:w="0" w:type="auto"/>
          <w:tblLayout w:type="fixed"/>
          <w:tblLook w:val="04A0"/>
        </w:tblPrEx>
        <w:tc>
          <w:tcPr>
            <w:tcW w:w="4395" w:type="dxa"/>
            <w:hideMark/>
          </w:tcPr>
          <w:p w:rsidR="00442B87" w:rsidRPr="00756DA5" w:rsidP="00C844BF">
            <w:pPr>
              <w:jc w:val="left"/>
            </w:pPr>
            <w:r w:rsidRPr="00756DA5">
              <w:rPr>
                <w:noProof/>
                <w:lang w:val="fr-FR" w:eastAsia="fr-FR"/>
              </w:rPr>
              <w:drawing>
                <wp:inline distT="0" distB="0" distL="0" distR="0">
                  <wp:extent cx="2690813" cy="215265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22484" name="Picture 6"/>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6938" cy="2165550"/>
                          </a:xfrm>
                          <a:prstGeom prst="rect">
                            <a:avLst/>
                          </a:prstGeom>
                          <a:noFill/>
                          <a:ln>
                            <a:noFill/>
                          </a:ln>
                        </pic:spPr>
                      </pic:pic>
                    </a:graphicData>
                  </a:graphic>
                </wp:inline>
              </w:drawing>
            </w:r>
          </w:p>
        </w:tc>
        <w:tc>
          <w:tcPr>
            <w:tcW w:w="4559" w:type="dxa"/>
            <w:hideMark/>
          </w:tcPr>
          <w:p w:rsidR="00442B87" w:rsidRPr="00756DA5" w:rsidP="00C844BF">
            <w:pPr>
              <w:jc w:val="left"/>
            </w:pPr>
            <w:r w:rsidRPr="00756DA5">
              <w:rPr>
                <w:noProof/>
                <w:lang w:val="fr-FR" w:eastAsia="fr-FR"/>
              </w:rPr>
              <w:drawing>
                <wp:inline distT="0" distB="0" distL="0" distR="0">
                  <wp:extent cx="2706821" cy="2152650"/>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74295" name="Picture 7"/>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3577" cy="2173929"/>
                          </a:xfrm>
                          <a:prstGeom prst="rect">
                            <a:avLst/>
                          </a:prstGeom>
                          <a:noFill/>
                          <a:ln>
                            <a:noFill/>
                          </a:ln>
                        </pic:spPr>
                      </pic:pic>
                    </a:graphicData>
                  </a:graphic>
                </wp:inline>
              </w:drawing>
            </w:r>
          </w:p>
        </w:tc>
      </w:tr>
    </w:tbl>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130"/>
        <w:gridCol w:w="2400"/>
        <w:gridCol w:w="2136"/>
      </w:tblGrid>
      <w:tr w:rsidTr="002E7FC7">
        <w:tblPrEx>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9250AC" w:rsidRPr="00756DA5" w:rsidP="009250AC">
            <w:pPr>
              <w:jc w:val="left"/>
              <w:rPr>
                <w:sz w:val="16"/>
                <w:szCs w:val="16"/>
              </w:rPr>
            </w:pPr>
            <w:r w:rsidRPr="00756DA5">
              <w:rPr>
                <w:sz w:val="16"/>
                <w:szCs w:val="16"/>
              </w:rPr>
              <w:t>N11 : Nombre relatif de collisions par million de train-km</w:t>
            </w:r>
          </w:p>
        </w:tc>
        <w:tc>
          <w:tcPr>
            <w:tcW w:w="2130" w:type="dxa"/>
          </w:tcPr>
          <w:p w:rsidR="009250AC" w:rsidRPr="00756DA5" w:rsidP="009250AC">
            <w:pPr>
              <w:jc w:val="left"/>
              <w:rPr>
                <w:sz w:val="16"/>
                <w:szCs w:val="16"/>
              </w:rPr>
            </w:pPr>
            <w:r w:rsidRPr="00756DA5">
              <w:rPr>
                <w:sz w:val="16"/>
                <w:szCs w:val="16"/>
              </w:rPr>
              <w:t>N11: Number of collisions per million train-km</w:t>
            </w:r>
          </w:p>
        </w:tc>
        <w:tc>
          <w:tcPr>
            <w:tcW w:w="2400" w:type="dxa"/>
          </w:tcPr>
          <w:p w:rsidR="009250AC" w:rsidRPr="00756DA5" w:rsidP="009250AC">
            <w:pPr>
              <w:jc w:val="left"/>
              <w:rPr>
                <w:sz w:val="16"/>
                <w:szCs w:val="16"/>
              </w:rPr>
            </w:pPr>
            <w:r w:rsidRPr="00756DA5">
              <w:rPr>
                <w:sz w:val="16"/>
                <w:szCs w:val="16"/>
              </w:rPr>
              <w:t>N12 : Nombre relatif de déraillements par million de train km</w:t>
            </w:r>
          </w:p>
        </w:tc>
        <w:tc>
          <w:tcPr>
            <w:tcW w:w="2136" w:type="dxa"/>
          </w:tcPr>
          <w:p w:rsidR="009250AC" w:rsidRPr="00756DA5" w:rsidP="009250AC">
            <w:pPr>
              <w:jc w:val="left"/>
              <w:rPr>
                <w:sz w:val="16"/>
                <w:szCs w:val="16"/>
              </w:rPr>
            </w:pPr>
            <w:r w:rsidRPr="00756DA5">
              <w:rPr>
                <w:sz w:val="16"/>
                <w:szCs w:val="16"/>
              </w:rPr>
              <w:t>N12: Number of derailments per million train-km</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Moyenne calculée sur 5 ans</w:t>
            </w:r>
          </w:p>
        </w:tc>
        <w:tc>
          <w:tcPr>
            <w:tcW w:w="2130" w:type="dxa"/>
          </w:tcPr>
          <w:p w:rsidR="009250AC" w:rsidRPr="00756DA5" w:rsidP="009250AC">
            <w:pPr>
              <w:jc w:val="left"/>
              <w:rPr>
                <w:sz w:val="16"/>
                <w:szCs w:val="16"/>
              </w:rPr>
            </w:pPr>
            <w:r w:rsidRPr="00756DA5">
              <w:rPr>
                <w:sz w:val="16"/>
                <w:szCs w:val="16"/>
              </w:rPr>
              <w:t>Average calculated over 5 years</w:t>
            </w:r>
          </w:p>
        </w:tc>
        <w:tc>
          <w:tcPr>
            <w:tcW w:w="2400" w:type="dxa"/>
          </w:tcPr>
          <w:p w:rsidR="009250AC" w:rsidRPr="00756DA5" w:rsidP="009250AC">
            <w:pPr>
              <w:jc w:val="left"/>
              <w:rPr>
                <w:sz w:val="16"/>
                <w:szCs w:val="16"/>
              </w:rPr>
            </w:pPr>
            <w:r w:rsidRPr="00756DA5">
              <w:rPr>
                <w:sz w:val="16"/>
                <w:szCs w:val="16"/>
              </w:rPr>
              <w:t>Moyenne calculée sur 5 ans</w:t>
            </w:r>
          </w:p>
        </w:tc>
        <w:tc>
          <w:tcPr>
            <w:tcW w:w="2136" w:type="dxa"/>
          </w:tcPr>
          <w:p w:rsidR="009250AC" w:rsidRPr="00756DA5" w:rsidP="009250AC">
            <w:pPr>
              <w:jc w:val="left"/>
              <w:rPr>
                <w:sz w:val="16"/>
                <w:szCs w:val="16"/>
              </w:rPr>
            </w:pPr>
            <w:r w:rsidRPr="00756DA5">
              <w:rPr>
                <w:sz w:val="16"/>
                <w:szCs w:val="16"/>
              </w:rPr>
              <w:t>Average calculated over 5 years</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0,030</w:t>
            </w:r>
          </w:p>
        </w:tc>
        <w:tc>
          <w:tcPr>
            <w:tcW w:w="2130" w:type="dxa"/>
          </w:tcPr>
          <w:p w:rsidR="009250AC" w:rsidRPr="00756DA5" w:rsidP="009250AC">
            <w:pPr>
              <w:jc w:val="left"/>
              <w:rPr>
                <w:sz w:val="16"/>
                <w:szCs w:val="16"/>
              </w:rPr>
            </w:pPr>
            <w:r w:rsidRPr="00756DA5">
              <w:rPr>
                <w:sz w:val="16"/>
                <w:szCs w:val="16"/>
              </w:rPr>
              <w:t>0.030</w:t>
            </w:r>
          </w:p>
        </w:tc>
        <w:tc>
          <w:tcPr>
            <w:tcW w:w="2400" w:type="dxa"/>
          </w:tcPr>
          <w:p w:rsidR="009250AC" w:rsidRPr="00756DA5" w:rsidP="009250AC">
            <w:pPr>
              <w:jc w:val="left"/>
              <w:rPr>
                <w:sz w:val="16"/>
                <w:szCs w:val="16"/>
              </w:rPr>
            </w:pPr>
            <w:r w:rsidRPr="00756DA5">
              <w:rPr>
                <w:sz w:val="16"/>
                <w:szCs w:val="16"/>
              </w:rPr>
              <w:t>0,030</w:t>
            </w:r>
          </w:p>
        </w:tc>
        <w:tc>
          <w:tcPr>
            <w:tcW w:w="2136" w:type="dxa"/>
          </w:tcPr>
          <w:p w:rsidR="009250AC" w:rsidRPr="00756DA5" w:rsidP="009250AC">
            <w:pPr>
              <w:jc w:val="left"/>
              <w:rPr>
                <w:sz w:val="16"/>
                <w:szCs w:val="16"/>
              </w:rPr>
            </w:pPr>
            <w:r w:rsidRPr="00756DA5">
              <w:rPr>
                <w:sz w:val="16"/>
                <w:szCs w:val="16"/>
              </w:rPr>
              <w:t>0.030</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0,025</w:t>
            </w:r>
          </w:p>
        </w:tc>
        <w:tc>
          <w:tcPr>
            <w:tcW w:w="2130" w:type="dxa"/>
          </w:tcPr>
          <w:p w:rsidR="009250AC" w:rsidRPr="00756DA5" w:rsidP="009250AC">
            <w:pPr>
              <w:jc w:val="left"/>
              <w:rPr>
                <w:sz w:val="16"/>
                <w:szCs w:val="16"/>
              </w:rPr>
            </w:pPr>
          </w:p>
        </w:tc>
        <w:tc>
          <w:tcPr>
            <w:tcW w:w="2400" w:type="dxa"/>
          </w:tcPr>
          <w:p w:rsidR="009250AC" w:rsidRPr="00756DA5" w:rsidP="009250AC">
            <w:pPr>
              <w:jc w:val="left"/>
              <w:rPr>
                <w:sz w:val="16"/>
                <w:szCs w:val="16"/>
              </w:rPr>
            </w:pPr>
            <w:r w:rsidRPr="00756DA5">
              <w:rPr>
                <w:sz w:val="16"/>
                <w:szCs w:val="16"/>
              </w:rPr>
              <w:t>0,025</w:t>
            </w:r>
          </w:p>
        </w:tc>
        <w:tc>
          <w:tcPr>
            <w:tcW w:w="2136" w:type="dxa"/>
          </w:tcPr>
          <w:p w:rsidR="009250AC" w:rsidRPr="00756DA5" w:rsidP="009250AC">
            <w:pPr>
              <w:jc w:val="left"/>
              <w:rPr>
                <w:sz w:val="16"/>
                <w:szCs w:val="16"/>
              </w:rPr>
            </w:pPr>
            <w:r w:rsidRPr="00756DA5">
              <w:rPr>
                <w:sz w:val="16"/>
                <w:szCs w:val="16"/>
              </w:rPr>
              <w:t>0.025</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0,020</w:t>
            </w:r>
          </w:p>
        </w:tc>
        <w:tc>
          <w:tcPr>
            <w:tcW w:w="2130" w:type="dxa"/>
          </w:tcPr>
          <w:p w:rsidR="009250AC" w:rsidRPr="00756DA5" w:rsidP="009250AC">
            <w:pPr>
              <w:jc w:val="left"/>
              <w:rPr>
                <w:sz w:val="16"/>
                <w:szCs w:val="16"/>
              </w:rPr>
            </w:pPr>
            <w:r w:rsidRPr="00756DA5">
              <w:rPr>
                <w:sz w:val="16"/>
                <w:szCs w:val="16"/>
              </w:rPr>
              <w:t>0.020</w:t>
            </w:r>
          </w:p>
        </w:tc>
        <w:tc>
          <w:tcPr>
            <w:tcW w:w="2400" w:type="dxa"/>
          </w:tcPr>
          <w:p w:rsidR="009250AC" w:rsidRPr="00756DA5" w:rsidP="009250AC">
            <w:pPr>
              <w:jc w:val="left"/>
              <w:rPr>
                <w:sz w:val="16"/>
                <w:szCs w:val="16"/>
              </w:rPr>
            </w:pPr>
            <w:r w:rsidRPr="00756DA5">
              <w:rPr>
                <w:sz w:val="16"/>
                <w:szCs w:val="16"/>
              </w:rPr>
              <w:t>0,020</w:t>
            </w:r>
          </w:p>
        </w:tc>
        <w:tc>
          <w:tcPr>
            <w:tcW w:w="2136" w:type="dxa"/>
          </w:tcPr>
          <w:p w:rsidR="009250AC" w:rsidRPr="00756DA5" w:rsidP="009250AC">
            <w:pPr>
              <w:jc w:val="left"/>
              <w:rPr>
                <w:sz w:val="16"/>
                <w:szCs w:val="16"/>
              </w:rPr>
            </w:pPr>
            <w:r w:rsidRPr="00756DA5">
              <w:rPr>
                <w:sz w:val="16"/>
                <w:szCs w:val="16"/>
              </w:rPr>
              <w:t>0.020</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0,015</w:t>
            </w:r>
          </w:p>
        </w:tc>
        <w:tc>
          <w:tcPr>
            <w:tcW w:w="2130" w:type="dxa"/>
          </w:tcPr>
          <w:p w:rsidR="009250AC" w:rsidRPr="00756DA5" w:rsidP="009250AC">
            <w:pPr>
              <w:jc w:val="left"/>
              <w:rPr>
                <w:sz w:val="16"/>
                <w:szCs w:val="16"/>
              </w:rPr>
            </w:pPr>
            <w:r w:rsidRPr="00756DA5">
              <w:rPr>
                <w:sz w:val="16"/>
                <w:szCs w:val="16"/>
              </w:rPr>
              <w:t>0.015</w:t>
            </w:r>
          </w:p>
        </w:tc>
        <w:tc>
          <w:tcPr>
            <w:tcW w:w="2400" w:type="dxa"/>
          </w:tcPr>
          <w:p w:rsidR="009250AC" w:rsidRPr="00756DA5" w:rsidP="009250AC">
            <w:pPr>
              <w:jc w:val="left"/>
              <w:rPr>
                <w:sz w:val="16"/>
                <w:szCs w:val="16"/>
              </w:rPr>
            </w:pPr>
            <w:r w:rsidRPr="00756DA5">
              <w:rPr>
                <w:sz w:val="16"/>
                <w:szCs w:val="16"/>
              </w:rPr>
              <w:t>0,015</w:t>
            </w:r>
          </w:p>
        </w:tc>
        <w:tc>
          <w:tcPr>
            <w:tcW w:w="2136" w:type="dxa"/>
          </w:tcPr>
          <w:p w:rsidR="009250AC" w:rsidRPr="00756DA5" w:rsidP="009250AC">
            <w:pPr>
              <w:jc w:val="left"/>
              <w:rPr>
                <w:sz w:val="16"/>
                <w:szCs w:val="16"/>
              </w:rPr>
            </w:pPr>
            <w:r w:rsidRPr="00756DA5">
              <w:rPr>
                <w:sz w:val="16"/>
                <w:szCs w:val="16"/>
              </w:rPr>
              <w:t>0.015</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0,010</w:t>
            </w:r>
          </w:p>
        </w:tc>
        <w:tc>
          <w:tcPr>
            <w:tcW w:w="2130" w:type="dxa"/>
          </w:tcPr>
          <w:p w:rsidR="009250AC" w:rsidRPr="00756DA5" w:rsidP="009250AC">
            <w:pPr>
              <w:jc w:val="left"/>
              <w:rPr>
                <w:sz w:val="16"/>
                <w:szCs w:val="16"/>
              </w:rPr>
            </w:pPr>
            <w:r w:rsidRPr="00756DA5">
              <w:rPr>
                <w:sz w:val="16"/>
                <w:szCs w:val="16"/>
              </w:rPr>
              <w:t>0.010</w:t>
            </w:r>
          </w:p>
        </w:tc>
        <w:tc>
          <w:tcPr>
            <w:tcW w:w="2400" w:type="dxa"/>
          </w:tcPr>
          <w:p w:rsidR="009250AC" w:rsidRPr="00756DA5" w:rsidP="009250AC">
            <w:pPr>
              <w:jc w:val="left"/>
              <w:rPr>
                <w:sz w:val="16"/>
                <w:szCs w:val="16"/>
              </w:rPr>
            </w:pPr>
            <w:r w:rsidRPr="00756DA5">
              <w:rPr>
                <w:sz w:val="16"/>
                <w:szCs w:val="16"/>
              </w:rPr>
              <w:t>0,010</w:t>
            </w:r>
          </w:p>
        </w:tc>
        <w:tc>
          <w:tcPr>
            <w:tcW w:w="2136" w:type="dxa"/>
          </w:tcPr>
          <w:p w:rsidR="009250AC" w:rsidRPr="00756DA5" w:rsidP="009250AC">
            <w:pPr>
              <w:jc w:val="left"/>
              <w:rPr>
                <w:sz w:val="16"/>
                <w:szCs w:val="16"/>
              </w:rPr>
            </w:pPr>
            <w:r w:rsidRPr="00756DA5">
              <w:rPr>
                <w:sz w:val="16"/>
                <w:szCs w:val="16"/>
              </w:rPr>
              <w:t>0.010</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0,005</w:t>
            </w:r>
          </w:p>
        </w:tc>
        <w:tc>
          <w:tcPr>
            <w:tcW w:w="2130" w:type="dxa"/>
          </w:tcPr>
          <w:p w:rsidR="009250AC" w:rsidRPr="00756DA5" w:rsidP="009250AC">
            <w:pPr>
              <w:jc w:val="left"/>
              <w:rPr>
                <w:sz w:val="16"/>
                <w:szCs w:val="16"/>
              </w:rPr>
            </w:pPr>
            <w:r w:rsidRPr="00756DA5">
              <w:rPr>
                <w:sz w:val="16"/>
                <w:szCs w:val="16"/>
              </w:rPr>
              <w:t>0.005</w:t>
            </w:r>
          </w:p>
        </w:tc>
        <w:tc>
          <w:tcPr>
            <w:tcW w:w="2400" w:type="dxa"/>
          </w:tcPr>
          <w:p w:rsidR="009250AC" w:rsidRPr="00756DA5" w:rsidP="009250AC">
            <w:pPr>
              <w:jc w:val="left"/>
              <w:rPr>
                <w:sz w:val="16"/>
                <w:szCs w:val="16"/>
              </w:rPr>
            </w:pPr>
            <w:r w:rsidRPr="00756DA5">
              <w:rPr>
                <w:sz w:val="16"/>
                <w:szCs w:val="16"/>
              </w:rPr>
              <w:t>0,005</w:t>
            </w:r>
          </w:p>
        </w:tc>
        <w:tc>
          <w:tcPr>
            <w:tcW w:w="2136" w:type="dxa"/>
          </w:tcPr>
          <w:p w:rsidR="009250AC" w:rsidRPr="00756DA5" w:rsidP="009250AC">
            <w:pPr>
              <w:jc w:val="left"/>
              <w:rPr>
                <w:sz w:val="16"/>
                <w:szCs w:val="16"/>
              </w:rPr>
            </w:pPr>
            <w:r w:rsidRPr="00756DA5">
              <w:rPr>
                <w:sz w:val="16"/>
                <w:szCs w:val="16"/>
              </w:rPr>
              <w:t>0.005</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0,000</w:t>
            </w:r>
          </w:p>
        </w:tc>
        <w:tc>
          <w:tcPr>
            <w:tcW w:w="2130" w:type="dxa"/>
          </w:tcPr>
          <w:p w:rsidR="009250AC" w:rsidRPr="00756DA5" w:rsidP="009250AC">
            <w:pPr>
              <w:jc w:val="left"/>
              <w:rPr>
                <w:sz w:val="16"/>
                <w:szCs w:val="16"/>
              </w:rPr>
            </w:pPr>
            <w:r w:rsidRPr="00756DA5">
              <w:rPr>
                <w:sz w:val="16"/>
                <w:szCs w:val="16"/>
              </w:rPr>
              <w:t>0.000</w:t>
            </w:r>
          </w:p>
        </w:tc>
        <w:tc>
          <w:tcPr>
            <w:tcW w:w="2400" w:type="dxa"/>
          </w:tcPr>
          <w:p w:rsidR="009250AC" w:rsidRPr="00756DA5" w:rsidP="009250AC">
            <w:pPr>
              <w:jc w:val="left"/>
              <w:rPr>
                <w:sz w:val="16"/>
                <w:szCs w:val="16"/>
              </w:rPr>
            </w:pPr>
            <w:r w:rsidRPr="00756DA5">
              <w:rPr>
                <w:sz w:val="16"/>
                <w:szCs w:val="16"/>
              </w:rPr>
              <w:t>0,000</w:t>
            </w:r>
          </w:p>
        </w:tc>
        <w:tc>
          <w:tcPr>
            <w:tcW w:w="2136" w:type="dxa"/>
          </w:tcPr>
          <w:p w:rsidR="009250AC" w:rsidRPr="00756DA5" w:rsidP="009250AC">
            <w:pPr>
              <w:jc w:val="left"/>
              <w:rPr>
                <w:sz w:val="16"/>
                <w:szCs w:val="16"/>
              </w:rPr>
            </w:pPr>
            <w:r w:rsidRPr="00756DA5">
              <w:rPr>
                <w:sz w:val="16"/>
                <w:szCs w:val="16"/>
              </w:rPr>
              <w:t>0.000</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0,031</w:t>
            </w:r>
          </w:p>
        </w:tc>
        <w:tc>
          <w:tcPr>
            <w:tcW w:w="2130" w:type="dxa"/>
          </w:tcPr>
          <w:p w:rsidR="009250AC" w:rsidRPr="00756DA5" w:rsidP="009250AC">
            <w:pPr>
              <w:jc w:val="left"/>
              <w:rPr>
                <w:sz w:val="16"/>
                <w:szCs w:val="16"/>
              </w:rPr>
            </w:pPr>
            <w:r w:rsidRPr="00756DA5">
              <w:rPr>
                <w:sz w:val="16"/>
                <w:szCs w:val="16"/>
              </w:rPr>
              <w:t>0.031</w:t>
            </w:r>
          </w:p>
        </w:tc>
        <w:tc>
          <w:tcPr>
            <w:tcW w:w="2400" w:type="dxa"/>
          </w:tcPr>
          <w:p w:rsidR="009250AC" w:rsidRPr="00756DA5" w:rsidP="009250AC">
            <w:pPr>
              <w:jc w:val="left"/>
              <w:rPr>
                <w:sz w:val="16"/>
                <w:szCs w:val="16"/>
              </w:rPr>
            </w:pPr>
            <w:r w:rsidRPr="00756DA5">
              <w:rPr>
                <w:sz w:val="16"/>
                <w:szCs w:val="16"/>
              </w:rPr>
              <w:t>0,026</w:t>
            </w:r>
          </w:p>
        </w:tc>
        <w:tc>
          <w:tcPr>
            <w:tcW w:w="2136" w:type="dxa"/>
          </w:tcPr>
          <w:p w:rsidR="009250AC" w:rsidRPr="00756DA5" w:rsidP="009250AC">
            <w:pPr>
              <w:jc w:val="left"/>
              <w:rPr>
                <w:sz w:val="16"/>
                <w:szCs w:val="16"/>
              </w:rPr>
            </w:pPr>
            <w:r w:rsidRPr="00756DA5">
              <w:rPr>
                <w:sz w:val="16"/>
                <w:szCs w:val="16"/>
              </w:rPr>
              <w:t>0.026</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0,036</w:t>
            </w:r>
          </w:p>
        </w:tc>
        <w:tc>
          <w:tcPr>
            <w:tcW w:w="2130" w:type="dxa"/>
          </w:tcPr>
          <w:p w:rsidR="009250AC" w:rsidRPr="00756DA5" w:rsidP="009250AC">
            <w:pPr>
              <w:jc w:val="left"/>
              <w:rPr>
                <w:sz w:val="16"/>
                <w:szCs w:val="16"/>
              </w:rPr>
            </w:pPr>
            <w:r w:rsidRPr="00756DA5">
              <w:rPr>
                <w:sz w:val="16"/>
                <w:szCs w:val="16"/>
              </w:rPr>
              <w:t>0.036</w:t>
            </w:r>
          </w:p>
        </w:tc>
        <w:tc>
          <w:tcPr>
            <w:tcW w:w="2400" w:type="dxa"/>
          </w:tcPr>
          <w:p w:rsidR="009250AC" w:rsidRPr="00756DA5" w:rsidP="009250AC">
            <w:pPr>
              <w:jc w:val="left"/>
              <w:rPr>
                <w:sz w:val="16"/>
                <w:szCs w:val="16"/>
              </w:rPr>
            </w:pPr>
            <w:r w:rsidRPr="00756DA5">
              <w:rPr>
                <w:sz w:val="16"/>
                <w:szCs w:val="16"/>
              </w:rPr>
              <w:t>0,023</w:t>
            </w:r>
          </w:p>
        </w:tc>
        <w:tc>
          <w:tcPr>
            <w:tcW w:w="2136" w:type="dxa"/>
          </w:tcPr>
          <w:p w:rsidR="009250AC" w:rsidRPr="00756DA5" w:rsidP="009250AC">
            <w:pPr>
              <w:jc w:val="left"/>
              <w:rPr>
                <w:sz w:val="16"/>
                <w:szCs w:val="16"/>
              </w:rPr>
            </w:pPr>
            <w:r w:rsidRPr="00756DA5">
              <w:rPr>
                <w:sz w:val="16"/>
                <w:szCs w:val="16"/>
              </w:rPr>
              <w:t>0.023</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0,034</w:t>
            </w:r>
          </w:p>
        </w:tc>
        <w:tc>
          <w:tcPr>
            <w:tcW w:w="2130" w:type="dxa"/>
          </w:tcPr>
          <w:p w:rsidR="009250AC" w:rsidRPr="00756DA5" w:rsidP="009250AC">
            <w:pPr>
              <w:jc w:val="left"/>
              <w:rPr>
                <w:sz w:val="16"/>
                <w:szCs w:val="16"/>
              </w:rPr>
            </w:pPr>
            <w:r w:rsidRPr="00756DA5">
              <w:rPr>
                <w:sz w:val="16"/>
                <w:szCs w:val="16"/>
              </w:rPr>
              <w:t>0.034</w:t>
            </w:r>
          </w:p>
        </w:tc>
        <w:tc>
          <w:tcPr>
            <w:tcW w:w="2400" w:type="dxa"/>
          </w:tcPr>
          <w:p w:rsidR="009250AC" w:rsidRPr="00756DA5" w:rsidP="009250AC">
            <w:pPr>
              <w:jc w:val="left"/>
              <w:rPr>
                <w:sz w:val="16"/>
                <w:szCs w:val="16"/>
              </w:rPr>
            </w:pPr>
            <w:r w:rsidRPr="00756DA5">
              <w:rPr>
                <w:sz w:val="16"/>
                <w:szCs w:val="16"/>
              </w:rPr>
              <w:t>0,021</w:t>
            </w:r>
          </w:p>
        </w:tc>
        <w:tc>
          <w:tcPr>
            <w:tcW w:w="2136" w:type="dxa"/>
          </w:tcPr>
          <w:p w:rsidR="009250AC" w:rsidRPr="00756DA5" w:rsidP="009250AC">
            <w:pPr>
              <w:jc w:val="left"/>
              <w:rPr>
                <w:sz w:val="16"/>
                <w:szCs w:val="16"/>
              </w:rPr>
            </w:pPr>
            <w:r w:rsidRPr="00756DA5">
              <w:rPr>
                <w:sz w:val="16"/>
                <w:szCs w:val="16"/>
              </w:rPr>
              <w:t>0.021</w:t>
            </w:r>
          </w:p>
        </w:tc>
      </w:tr>
      <w:tr w:rsidTr="002E7FC7">
        <w:tblPrEx>
          <w:tblW w:w="8931" w:type="dxa"/>
          <w:tblLook w:val="04A0"/>
        </w:tblPrEx>
        <w:tc>
          <w:tcPr>
            <w:tcW w:w="2265" w:type="dxa"/>
          </w:tcPr>
          <w:p w:rsidR="009250AC" w:rsidRPr="00756DA5" w:rsidP="009250AC">
            <w:pPr>
              <w:jc w:val="left"/>
              <w:rPr>
                <w:sz w:val="16"/>
                <w:szCs w:val="16"/>
              </w:rPr>
            </w:pPr>
            <w:r w:rsidRPr="00756DA5">
              <w:rPr>
                <w:sz w:val="16"/>
                <w:szCs w:val="16"/>
              </w:rPr>
              <w:t>0,030</w:t>
            </w:r>
          </w:p>
        </w:tc>
        <w:tc>
          <w:tcPr>
            <w:tcW w:w="2130" w:type="dxa"/>
          </w:tcPr>
          <w:p w:rsidR="009250AC" w:rsidRPr="00756DA5" w:rsidP="009250AC">
            <w:pPr>
              <w:jc w:val="left"/>
              <w:rPr>
                <w:sz w:val="16"/>
                <w:szCs w:val="16"/>
              </w:rPr>
            </w:pPr>
            <w:r w:rsidRPr="00756DA5">
              <w:rPr>
                <w:sz w:val="16"/>
                <w:szCs w:val="16"/>
              </w:rPr>
              <w:t>0.030</w:t>
            </w:r>
          </w:p>
        </w:tc>
        <w:tc>
          <w:tcPr>
            <w:tcW w:w="2400" w:type="dxa"/>
          </w:tcPr>
          <w:p w:rsidR="009250AC" w:rsidRPr="00756DA5" w:rsidP="009250AC">
            <w:pPr>
              <w:jc w:val="left"/>
              <w:rPr>
                <w:sz w:val="16"/>
                <w:szCs w:val="16"/>
              </w:rPr>
            </w:pPr>
          </w:p>
        </w:tc>
        <w:tc>
          <w:tcPr>
            <w:tcW w:w="2136" w:type="dxa"/>
          </w:tcPr>
          <w:p w:rsidR="009250AC" w:rsidRPr="00756DA5" w:rsidP="009250AC">
            <w:pPr>
              <w:jc w:val="left"/>
              <w:rPr>
                <w:sz w:val="16"/>
                <w:szCs w:val="16"/>
              </w:rPr>
            </w:pPr>
          </w:p>
        </w:tc>
      </w:tr>
    </w:tbl>
    <w:tbl>
      <w:tblPr>
        <w:tblW w:w="0" w:type="auto"/>
        <w:tblLayout w:type="fixed"/>
        <w:tblLook w:val="04A0"/>
      </w:tblPr>
      <w:tblGrid>
        <w:gridCol w:w="4395"/>
        <w:gridCol w:w="4559"/>
      </w:tblGrid>
      <w:tr w:rsidTr="005E6DC1">
        <w:tblPrEx>
          <w:tblW w:w="0" w:type="auto"/>
          <w:tblLayout w:type="fixed"/>
          <w:tblLook w:val="04A0"/>
        </w:tblPrEx>
        <w:tc>
          <w:tcPr>
            <w:tcW w:w="4395" w:type="dxa"/>
            <w:hideMark/>
          </w:tcPr>
          <w:p w:rsidR="00442B87" w:rsidRPr="00756DA5" w:rsidP="00C844BF">
            <w:pPr>
              <w:jc w:val="left"/>
            </w:pPr>
            <w:r w:rsidRPr="00756DA5">
              <w:rPr>
                <w:noProof/>
                <w:lang w:val="fr-FR" w:eastAsia="fr-FR"/>
              </w:rPr>
              <w:drawing>
                <wp:inline distT="0" distB="0" distL="0" distR="0">
                  <wp:extent cx="2701775" cy="2152650"/>
                  <wp:effectExtent l="0" t="0" r="381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48043" name="Picture 8"/>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9777" cy="2166993"/>
                          </a:xfrm>
                          <a:prstGeom prst="rect">
                            <a:avLst/>
                          </a:prstGeom>
                          <a:noFill/>
                          <a:ln>
                            <a:noFill/>
                          </a:ln>
                        </pic:spPr>
                      </pic:pic>
                    </a:graphicData>
                  </a:graphic>
                </wp:inline>
              </w:drawing>
            </w:r>
          </w:p>
        </w:tc>
        <w:tc>
          <w:tcPr>
            <w:tcW w:w="4559" w:type="dxa"/>
            <w:hideMark/>
          </w:tcPr>
          <w:p w:rsidR="00442B87" w:rsidRPr="00756DA5" w:rsidP="00C844BF">
            <w:pPr>
              <w:jc w:val="left"/>
            </w:pPr>
            <w:r w:rsidRPr="00756DA5">
              <w:rPr>
                <w:noProof/>
                <w:lang w:val="fr-FR" w:eastAsia="fr-FR"/>
              </w:rPr>
              <w:drawing>
                <wp:inline distT="0" distB="0" distL="0" distR="0">
                  <wp:extent cx="2705137" cy="215265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63162" name="Picture 9"/>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8759" cy="2163490"/>
                          </a:xfrm>
                          <a:prstGeom prst="rect">
                            <a:avLst/>
                          </a:prstGeom>
                          <a:noFill/>
                          <a:ln>
                            <a:noFill/>
                          </a:ln>
                        </pic:spPr>
                      </pic:pic>
                    </a:graphicData>
                  </a:graphic>
                </wp:inline>
              </w:drawing>
            </w:r>
          </w:p>
        </w:tc>
      </w:tr>
    </w:tbl>
    <w:p w:rsidR="009250AC" w:rsidRPr="00756DA5"/>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130"/>
        <w:gridCol w:w="2400"/>
        <w:gridCol w:w="2136"/>
      </w:tblGrid>
      <w:tr w:rsidTr="005E6DC1">
        <w:tblPrEx>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F47C32" w:rsidRPr="00756DA5" w:rsidP="00F47C32">
            <w:pPr>
              <w:jc w:val="left"/>
              <w:rPr>
                <w:sz w:val="16"/>
                <w:szCs w:val="16"/>
              </w:rPr>
            </w:pPr>
            <w:r w:rsidRPr="00756DA5">
              <w:rPr>
                <w:sz w:val="16"/>
                <w:szCs w:val="16"/>
              </w:rPr>
              <w:t>N13 : Nombre relatif d’accidents de passage à niveau par million de train-km</w:t>
            </w:r>
          </w:p>
        </w:tc>
        <w:tc>
          <w:tcPr>
            <w:tcW w:w="2130" w:type="dxa"/>
          </w:tcPr>
          <w:p w:rsidR="00F47C32" w:rsidRPr="00756DA5" w:rsidP="00F47C32">
            <w:pPr>
              <w:jc w:val="left"/>
              <w:rPr>
                <w:sz w:val="16"/>
                <w:szCs w:val="16"/>
              </w:rPr>
            </w:pPr>
            <w:r w:rsidRPr="00756DA5">
              <w:rPr>
                <w:sz w:val="16"/>
                <w:szCs w:val="16"/>
              </w:rPr>
              <w:t>N13: Number of accidents at level crossings per million train-km</w:t>
            </w:r>
          </w:p>
        </w:tc>
        <w:tc>
          <w:tcPr>
            <w:tcW w:w="2400" w:type="dxa"/>
          </w:tcPr>
          <w:p w:rsidR="00F47C32" w:rsidRPr="00756DA5" w:rsidP="00F47C32">
            <w:pPr>
              <w:jc w:val="left"/>
              <w:rPr>
                <w:sz w:val="16"/>
                <w:szCs w:val="16"/>
              </w:rPr>
            </w:pPr>
            <w:r w:rsidRPr="00756DA5">
              <w:rPr>
                <w:sz w:val="16"/>
                <w:szCs w:val="16"/>
              </w:rPr>
              <w:t>N14 : Nombre relatif d’accidents de personnes impliquant du matériel roulant en mouvement par million de train-km</w:t>
            </w:r>
          </w:p>
        </w:tc>
        <w:tc>
          <w:tcPr>
            <w:tcW w:w="2136" w:type="dxa"/>
          </w:tcPr>
          <w:p w:rsidR="00F47C32" w:rsidRPr="00756DA5" w:rsidP="00F47C32">
            <w:pPr>
              <w:jc w:val="left"/>
              <w:rPr>
                <w:sz w:val="16"/>
                <w:szCs w:val="16"/>
              </w:rPr>
            </w:pPr>
            <w:r w:rsidRPr="00756DA5">
              <w:rPr>
                <w:sz w:val="16"/>
                <w:szCs w:val="16"/>
              </w:rPr>
              <w:t>N14: Number of accidents to persons involving rolling stock in motion per million train-km</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Moyenne calculée sur 5 ans</w:t>
            </w:r>
          </w:p>
        </w:tc>
        <w:tc>
          <w:tcPr>
            <w:tcW w:w="2130" w:type="dxa"/>
          </w:tcPr>
          <w:p w:rsidR="00F47C32" w:rsidRPr="00756DA5" w:rsidP="00F47C32">
            <w:pPr>
              <w:jc w:val="left"/>
              <w:rPr>
                <w:sz w:val="16"/>
                <w:szCs w:val="16"/>
              </w:rPr>
            </w:pPr>
            <w:r w:rsidRPr="00756DA5">
              <w:rPr>
                <w:sz w:val="16"/>
                <w:szCs w:val="16"/>
              </w:rPr>
              <w:t>Average calculated over 5 years</w:t>
            </w:r>
          </w:p>
        </w:tc>
        <w:tc>
          <w:tcPr>
            <w:tcW w:w="2400" w:type="dxa"/>
          </w:tcPr>
          <w:p w:rsidR="00F47C32" w:rsidRPr="00756DA5" w:rsidP="00F47C32">
            <w:pPr>
              <w:jc w:val="left"/>
              <w:rPr>
                <w:sz w:val="16"/>
                <w:szCs w:val="16"/>
              </w:rPr>
            </w:pPr>
            <w:r w:rsidRPr="00756DA5">
              <w:rPr>
                <w:sz w:val="16"/>
                <w:szCs w:val="16"/>
              </w:rPr>
              <w:t>Moyenne calculée sur 5 ans</w:t>
            </w:r>
          </w:p>
        </w:tc>
        <w:tc>
          <w:tcPr>
            <w:tcW w:w="2136" w:type="dxa"/>
          </w:tcPr>
          <w:p w:rsidR="00F47C32" w:rsidRPr="00756DA5" w:rsidP="00F47C32">
            <w:pPr>
              <w:jc w:val="left"/>
              <w:rPr>
                <w:sz w:val="16"/>
                <w:szCs w:val="16"/>
              </w:rPr>
            </w:pPr>
            <w:r w:rsidRPr="00756DA5">
              <w:rPr>
                <w:sz w:val="16"/>
                <w:szCs w:val="16"/>
              </w:rPr>
              <w:t>Average calculated over 5 years</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0,08</w:t>
            </w:r>
          </w:p>
        </w:tc>
        <w:tc>
          <w:tcPr>
            <w:tcW w:w="2130" w:type="dxa"/>
          </w:tcPr>
          <w:p w:rsidR="00F47C32" w:rsidRPr="00756DA5" w:rsidP="00F47C32">
            <w:pPr>
              <w:jc w:val="left"/>
              <w:rPr>
                <w:sz w:val="16"/>
                <w:szCs w:val="16"/>
              </w:rPr>
            </w:pPr>
            <w:r w:rsidRPr="00756DA5">
              <w:rPr>
                <w:sz w:val="16"/>
                <w:szCs w:val="16"/>
              </w:rPr>
              <w:t>0.08</w:t>
            </w:r>
          </w:p>
        </w:tc>
        <w:tc>
          <w:tcPr>
            <w:tcW w:w="2400" w:type="dxa"/>
          </w:tcPr>
          <w:p w:rsidR="00F47C32" w:rsidRPr="00756DA5" w:rsidP="00F47C32">
            <w:pPr>
              <w:jc w:val="left"/>
              <w:rPr>
                <w:sz w:val="16"/>
                <w:szCs w:val="16"/>
              </w:rPr>
            </w:pPr>
            <w:r w:rsidRPr="00756DA5">
              <w:rPr>
                <w:sz w:val="16"/>
                <w:szCs w:val="16"/>
              </w:rPr>
              <w:t>0,15</w:t>
            </w:r>
          </w:p>
        </w:tc>
        <w:tc>
          <w:tcPr>
            <w:tcW w:w="2136" w:type="dxa"/>
          </w:tcPr>
          <w:p w:rsidR="00F47C32" w:rsidRPr="00756DA5" w:rsidP="00F47C32">
            <w:pPr>
              <w:jc w:val="left"/>
              <w:rPr>
                <w:sz w:val="16"/>
                <w:szCs w:val="16"/>
              </w:rPr>
            </w:pPr>
            <w:r w:rsidRPr="00756DA5">
              <w:rPr>
                <w:sz w:val="16"/>
                <w:szCs w:val="16"/>
              </w:rPr>
              <w:t>0.15</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0,06</w:t>
            </w:r>
          </w:p>
        </w:tc>
        <w:tc>
          <w:tcPr>
            <w:tcW w:w="2130" w:type="dxa"/>
          </w:tcPr>
          <w:p w:rsidR="00F47C32" w:rsidRPr="00756DA5" w:rsidP="00F47C32">
            <w:pPr>
              <w:jc w:val="left"/>
              <w:rPr>
                <w:sz w:val="16"/>
                <w:szCs w:val="16"/>
              </w:rPr>
            </w:pPr>
            <w:r w:rsidRPr="00756DA5">
              <w:rPr>
                <w:sz w:val="16"/>
                <w:szCs w:val="16"/>
              </w:rPr>
              <w:t>0.06</w:t>
            </w:r>
          </w:p>
        </w:tc>
        <w:tc>
          <w:tcPr>
            <w:tcW w:w="2400" w:type="dxa"/>
          </w:tcPr>
          <w:p w:rsidR="00F47C32" w:rsidRPr="00756DA5" w:rsidP="00F47C32">
            <w:pPr>
              <w:jc w:val="left"/>
              <w:rPr>
                <w:sz w:val="16"/>
                <w:szCs w:val="16"/>
              </w:rPr>
            </w:pPr>
            <w:r w:rsidRPr="00756DA5">
              <w:rPr>
                <w:sz w:val="16"/>
                <w:szCs w:val="16"/>
              </w:rPr>
              <w:t>0,10</w:t>
            </w:r>
          </w:p>
        </w:tc>
        <w:tc>
          <w:tcPr>
            <w:tcW w:w="2136" w:type="dxa"/>
          </w:tcPr>
          <w:p w:rsidR="00F47C32" w:rsidRPr="00756DA5" w:rsidP="00F47C32">
            <w:pPr>
              <w:jc w:val="left"/>
              <w:rPr>
                <w:sz w:val="16"/>
                <w:szCs w:val="16"/>
              </w:rPr>
            </w:pPr>
            <w:r w:rsidRPr="00756DA5">
              <w:rPr>
                <w:sz w:val="16"/>
                <w:szCs w:val="16"/>
              </w:rPr>
              <w:t>0.10</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0,04</w:t>
            </w:r>
          </w:p>
        </w:tc>
        <w:tc>
          <w:tcPr>
            <w:tcW w:w="2130" w:type="dxa"/>
          </w:tcPr>
          <w:p w:rsidR="00F47C32" w:rsidRPr="00756DA5" w:rsidP="00F47C32">
            <w:pPr>
              <w:jc w:val="left"/>
              <w:rPr>
                <w:sz w:val="16"/>
                <w:szCs w:val="16"/>
              </w:rPr>
            </w:pPr>
            <w:r w:rsidRPr="00756DA5">
              <w:rPr>
                <w:sz w:val="16"/>
                <w:szCs w:val="16"/>
              </w:rPr>
              <w:t>0.04</w:t>
            </w:r>
          </w:p>
        </w:tc>
        <w:tc>
          <w:tcPr>
            <w:tcW w:w="2400" w:type="dxa"/>
          </w:tcPr>
          <w:p w:rsidR="00F47C32" w:rsidRPr="00756DA5" w:rsidP="00F47C32">
            <w:pPr>
              <w:jc w:val="left"/>
              <w:rPr>
                <w:sz w:val="16"/>
                <w:szCs w:val="16"/>
              </w:rPr>
            </w:pPr>
            <w:r w:rsidRPr="00756DA5">
              <w:rPr>
                <w:sz w:val="16"/>
                <w:szCs w:val="16"/>
              </w:rPr>
              <w:t>0,05</w:t>
            </w:r>
          </w:p>
        </w:tc>
        <w:tc>
          <w:tcPr>
            <w:tcW w:w="2136" w:type="dxa"/>
          </w:tcPr>
          <w:p w:rsidR="00F47C32" w:rsidRPr="00756DA5" w:rsidP="00F47C32">
            <w:pPr>
              <w:jc w:val="left"/>
              <w:rPr>
                <w:sz w:val="16"/>
                <w:szCs w:val="16"/>
              </w:rPr>
            </w:pPr>
            <w:r w:rsidRPr="00756DA5">
              <w:rPr>
                <w:sz w:val="16"/>
                <w:szCs w:val="16"/>
              </w:rPr>
              <w:t>0.05</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0,02</w:t>
            </w:r>
          </w:p>
        </w:tc>
        <w:tc>
          <w:tcPr>
            <w:tcW w:w="2130" w:type="dxa"/>
          </w:tcPr>
          <w:p w:rsidR="00F47C32" w:rsidRPr="00756DA5" w:rsidP="00F47C32">
            <w:pPr>
              <w:jc w:val="left"/>
              <w:rPr>
                <w:sz w:val="16"/>
                <w:szCs w:val="16"/>
              </w:rPr>
            </w:pPr>
            <w:r w:rsidRPr="00756DA5">
              <w:rPr>
                <w:sz w:val="16"/>
                <w:szCs w:val="16"/>
              </w:rPr>
              <w:t>0.02</w:t>
            </w:r>
          </w:p>
        </w:tc>
        <w:tc>
          <w:tcPr>
            <w:tcW w:w="2400" w:type="dxa"/>
          </w:tcPr>
          <w:p w:rsidR="00F47C32" w:rsidRPr="00756DA5" w:rsidP="00F47C32">
            <w:pPr>
              <w:jc w:val="left"/>
              <w:rPr>
                <w:sz w:val="16"/>
                <w:szCs w:val="16"/>
              </w:rPr>
            </w:pPr>
            <w:r w:rsidRPr="00756DA5">
              <w:rPr>
                <w:sz w:val="16"/>
                <w:szCs w:val="16"/>
              </w:rPr>
              <w:t>0,00</w:t>
            </w:r>
          </w:p>
        </w:tc>
        <w:tc>
          <w:tcPr>
            <w:tcW w:w="2136" w:type="dxa"/>
          </w:tcPr>
          <w:p w:rsidR="00F47C32" w:rsidRPr="00756DA5" w:rsidP="00F47C32">
            <w:pPr>
              <w:jc w:val="left"/>
              <w:rPr>
                <w:sz w:val="16"/>
                <w:szCs w:val="16"/>
              </w:rPr>
            </w:pPr>
            <w:r w:rsidRPr="00756DA5">
              <w:rPr>
                <w:sz w:val="16"/>
                <w:szCs w:val="16"/>
              </w:rPr>
              <w:t>0.00</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0,00</w:t>
            </w:r>
          </w:p>
        </w:tc>
        <w:tc>
          <w:tcPr>
            <w:tcW w:w="2130" w:type="dxa"/>
          </w:tcPr>
          <w:p w:rsidR="00F47C32" w:rsidRPr="00756DA5" w:rsidP="00F47C32">
            <w:pPr>
              <w:jc w:val="left"/>
              <w:rPr>
                <w:sz w:val="16"/>
                <w:szCs w:val="16"/>
              </w:rPr>
            </w:pPr>
            <w:r w:rsidRPr="00756DA5">
              <w:rPr>
                <w:sz w:val="16"/>
                <w:szCs w:val="16"/>
              </w:rPr>
              <w:t>0.00</w:t>
            </w:r>
          </w:p>
        </w:tc>
        <w:tc>
          <w:tcPr>
            <w:tcW w:w="2400" w:type="dxa"/>
          </w:tcPr>
          <w:p w:rsidR="00F47C32" w:rsidRPr="00756DA5" w:rsidP="00F47C32">
            <w:pPr>
              <w:jc w:val="left"/>
              <w:rPr>
                <w:sz w:val="16"/>
                <w:szCs w:val="16"/>
              </w:rPr>
            </w:pPr>
            <w:r w:rsidRPr="00756DA5">
              <w:rPr>
                <w:sz w:val="16"/>
                <w:szCs w:val="16"/>
              </w:rPr>
              <w:t>0,127</w:t>
            </w:r>
          </w:p>
        </w:tc>
        <w:tc>
          <w:tcPr>
            <w:tcW w:w="2136" w:type="dxa"/>
          </w:tcPr>
          <w:p w:rsidR="00F47C32" w:rsidRPr="00756DA5" w:rsidP="00F47C32">
            <w:pPr>
              <w:jc w:val="left"/>
              <w:rPr>
                <w:sz w:val="16"/>
                <w:szCs w:val="16"/>
              </w:rPr>
            </w:pPr>
            <w:r w:rsidRPr="00756DA5">
              <w:rPr>
                <w:sz w:val="16"/>
                <w:szCs w:val="16"/>
              </w:rPr>
              <w:t>0.127</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0,082</w:t>
            </w:r>
          </w:p>
        </w:tc>
        <w:tc>
          <w:tcPr>
            <w:tcW w:w="2130" w:type="dxa"/>
          </w:tcPr>
          <w:p w:rsidR="00F47C32" w:rsidRPr="00756DA5" w:rsidP="00F47C32">
            <w:pPr>
              <w:jc w:val="left"/>
              <w:rPr>
                <w:sz w:val="16"/>
                <w:szCs w:val="16"/>
              </w:rPr>
            </w:pPr>
            <w:r w:rsidRPr="00756DA5">
              <w:rPr>
                <w:sz w:val="16"/>
                <w:szCs w:val="16"/>
              </w:rPr>
              <w:t>0.082</w:t>
            </w:r>
          </w:p>
        </w:tc>
        <w:tc>
          <w:tcPr>
            <w:tcW w:w="2400" w:type="dxa"/>
          </w:tcPr>
          <w:p w:rsidR="00F47C32" w:rsidRPr="00756DA5" w:rsidP="00F47C32">
            <w:pPr>
              <w:jc w:val="left"/>
              <w:rPr>
                <w:sz w:val="16"/>
                <w:szCs w:val="16"/>
              </w:rPr>
            </w:pPr>
            <w:r w:rsidRPr="00756DA5">
              <w:rPr>
                <w:sz w:val="16"/>
                <w:szCs w:val="16"/>
              </w:rPr>
              <w:t>0,128</w:t>
            </w:r>
          </w:p>
        </w:tc>
        <w:tc>
          <w:tcPr>
            <w:tcW w:w="2136" w:type="dxa"/>
          </w:tcPr>
          <w:p w:rsidR="00F47C32" w:rsidRPr="00756DA5" w:rsidP="00F47C32">
            <w:pPr>
              <w:jc w:val="left"/>
              <w:rPr>
                <w:sz w:val="16"/>
                <w:szCs w:val="16"/>
              </w:rPr>
            </w:pPr>
            <w:r w:rsidRPr="00756DA5">
              <w:rPr>
                <w:sz w:val="16"/>
                <w:szCs w:val="16"/>
              </w:rPr>
              <w:t>0.128</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0,083</w:t>
            </w:r>
          </w:p>
        </w:tc>
        <w:tc>
          <w:tcPr>
            <w:tcW w:w="2130" w:type="dxa"/>
          </w:tcPr>
          <w:p w:rsidR="00F47C32" w:rsidRPr="00756DA5" w:rsidP="00F47C32">
            <w:pPr>
              <w:jc w:val="left"/>
              <w:rPr>
                <w:sz w:val="16"/>
                <w:szCs w:val="16"/>
              </w:rPr>
            </w:pPr>
            <w:r w:rsidRPr="00756DA5">
              <w:rPr>
                <w:sz w:val="16"/>
                <w:szCs w:val="16"/>
              </w:rPr>
              <w:t>0.083</w:t>
            </w:r>
          </w:p>
        </w:tc>
        <w:tc>
          <w:tcPr>
            <w:tcW w:w="2400" w:type="dxa"/>
          </w:tcPr>
          <w:p w:rsidR="00F47C32" w:rsidRPr="00756DA5" w:rsidP="00F47C32">
            <w:pPr>
              <w:jc w:val="left"/>
              <w:rPr>
                <w:sz w:val="16"/>
                <w:szCs w:val="16"/>
              </w:rPr>
            </w:pPr>
            <w:r w:rsidRPr="00756DA5">
              <w:rPr>
                <w:sz w:val="16"/>
                <w:szCs w:val="16"/>
              </w:rPr>
              <w:t>0,123</w:t>
            </w:r>
          </w:p>
        </w:tc>
        <w:tc>
          <w:tcPr>
            <w:tcW w:w="2136" w:type="dxa"/>
          </w:tcPr>
          <w:p w:rsidR="00F47C32" w:rsidRPr="00756DA5" w:rsidP="00F47C32">
            <w:pPr>
              <w:jc w:val="left"/>
              <w:rPr>
                <w:sz w:val="16"/>
                <w:szCs w:val="16"/>
              </w:rPr>
            </w:pPr>
            <w:r w:rsidRPr="00756DA5">
              <w:rPr>
                <w:sz w:val="16"/>
                <w:szCs w:val="16"/>
              </w:rPr>
              <w:t>0.123</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0,085</w:t>
            </w:r>
          </w:p>
        </w:tc>
        <w:tc>
          <w:tcPr>
            <w:tcW w:w="2130" w:type="dxa"/>
          </w:tcPr>
          <w:p w:rsidR="00F47C32" w:rsidRPr="00756DA5" w:rsidP="00F47C32">
            <w:pPr>
              <w:jc w:val="left"/>
              <w:rPr>
                <w:sz w:val="16"/>
                <w:szCs w:val="16"/>
              </w:rPr>
            </w:pPr>
            <w:r w:rsidRPr="00756DA5">
              <w:rPr>
                <w:sz w:val="16"/>
                <w:szCs w:val="16"/>
              </w:rPr>
              <w:t>0.085</w:t>
            </w:r>
          </w:p>
        </w:tc>
        <w:tc>
          <w:tcPr>
            <w:tcW w:w="2400" w:type="dxa"/>
          </w:tcPr>
          <w:p w:rsidR="00F47C32" w:rsidRPr="00756DA5" w:rsidP="00F47C32">
            <w:pPr>
              <w:jc w:val="left"/>
              <w:rPr>
                <w:sz w:val="16"/>
                <w:szCs w:val="16"/>
              </w:rPr>
            </w:pPr>
            <w:r w:rsidRPr="00756DA5">
              <w:rPr>
                <w:sz w:val="16"/>
                <w:szCs w:val="16"/>
              </w:rPr>
              <w:t>0,126</w:t>
            </w:r>
          </w:p>
        </w:tc>
        <w:tc>
          <w:tcPr>
            <w:tcW w:w="2136" w:type="dxa"/>
          </w:tcPr>
          <w:p w:rsidR="00F47C32" w:rsidRPr="00756DA5" w:rsidP="00F47C32">
            <w:pPr>
              <w:jc w:val="left"/>
              <w:rPr>
                <w:sz w:val="16"/>
                <w:szCs w:val="16"/>
              </w:rPr>
            </w:pPr>
            <w:r w:rsidRPr="00756DA5">
              <w:rPr>
                <w:sz w:val="16"/>
                <w:szCs w:val="16"/>
              </w:rPr>
              <w:t>0.126</w:t>
            </w:r>
          </w:p>
        </w:tc>
      </w:tr>
      <w:tr w:rsidTr="005E6DC1">
        <w:tblPrEx>
          <w:tblW w:w="8931" w:type="dxa"/>
          <w:tblLook w:val="04A0"/>
        </w:tblPrEx>
        <w:tc>
          <w:tcPr>
            <w:tcW w:w="2265" w:type="dxa"/>
          </w:tcPr>
          <w:p w:rsidR="00F47C32" w:rsidRPr="00756DA5" w:rsidP="00F47C32">
            <w:pPr>
              <w:jc w:val="left"/>
              <w:rPr>
                <w:sz w:val="16"/>
                <w:szCs w:val="16"/>
              </w:rPr>
            </w:pPr>
            <w:r w:rsidRPr="00756DA5">
              <w:rPr>
                <w:sz w:val="16"/>
                <w:szCs w:val="16"/>
              </w:rPr>
              <w:t>0,089</w:t>
            </w:r>
          </w:p>
        </w:tc>
        <w:tc>
          <w:tcPr>
            <w:tcW w:w="2130" w:type="dxa"/>
          </w:tcPr>
          <w:p w:rsidR="00F47C32" w:rsidRPr="00756DA5" w:rsidP="00F47C32">
            <w:pPr>
              <w:jc w:val="left"/>
              <w:rPr>
                <w:sz w:val="16"/>
                <w:szCs w:val="16"/>
              </w:rPr>
            </w:pPr>
            <w:r w:rsidRPr="00756DA5">
              <w:rPr>
                <w:sz w:val="16"/>
                <w:szCs w:val="16"/>
              </w:rPr>
              <w:t>0.089</w:t>
            </w:r>
          </w:p>
        </w:tc>
        <w:tc>
          <w:tcPr>
            <w:tcW w:w="2400" w:type="dxa"/>
          </w:tcPr>
          <w:p w:rsidR="00F47C32" w:rsidRPr="00756DA5" w:rsidP="00F47C32">
            <w:pPr>
              <w:jc w:val="left"/>
              <w:rPr>
                <w:sz w:val="16"/>
                <w:szCs w:val="16"/>
              </w:rPr>
            </w:pPr>
            <w:r w:rsidRPr="00756DA5">
              <w:rPr>
                <w:sz w:val="16"/>
                <w:szCs w:val="16"/>
              </w:rPr>
              <w:t>0,142</w:t>
            </w:r>
          </w:p>
        </w:tc>
        <w:tc>
          <w:tcPr>
            <w:tcW w:w="2136" w:type="dxa"/>
          </w:tcPr>
          <w:p w:rsidR="00F47C32" w:rsidRPr="00756DA5" w:rsidP="00F47C32">
            <w:pPr>
              <w:jc w:val="left"/>
              <w:rPr>
                <w:sz w:val="16"/>
                <w:szCs w:val="16"/>
              </w:rPr>
            </w:pPr>
            <w:r w:rsidRPr="00756DA5">
              <w:rPr>
                <w:sz w:val="16"/>
                <w:szCs w:val="16"/>
              </w:rPr>
              <w:t>0.142</w:t>
            </w:r>
          </w:p>
        </w:tc>
      </w:tr>
      <w:tr w:rsidTr="005E6DC1">
        <w:tblPrEx>
          <w:tblW w:w="8931" w:type="dxa"/>
          <w:tblLook w:val="04A0"/>
        </w:tblPrEx>
        <w:tc>
          <w:tcPr>
            <w:tcW w:w="2265" w:type="dxa"/>
          </w:tcPr>
          <w:p w:rsidR="005E6DC1" w:rsidRPr="00756DA5" w:rsidP="005E6DC1">
            <w:pPr>
              <w:jc w:val="left"/>
              <w:rPr>
                <w:sz w:val="16"/>
                <w:szCs w:val="16"/>
              </w:rPr>
            </w:pPr>
            <w:r w:rsidRPr="00756DA5">
              <w:rPr>
                <w:sz w:val="16"/>
                <w:szCs w:val="16"/>
              </w:rPr>
              <w:t>0,091</w:t>
            </w:r>
          </w:p>
        </w:tc>
        <w:tc>
          <w:tcPr>
            <w:tcW w:w="2130" w:type="dxa"/>
          </w:tcPr>
          <w:p w:rsidR="005E6DC1" w:rsidRPr="00756DA5" w:rsidP="005E6DC1">
            <w:pPr>
              <w:jc w:val="left"/>
              <w:rPr>
                <w:sz w:val="16"/>
                <w:szCs w:val="16"/>
              </w:rPr>
            </w:pPr>
            <w:r w:rsidRPr="00756DA5">
              <w:rPr>
                <w:sz w:val="16"/>
                <w:szCs w:val="16"/>
              </w:rPr>
              <w:t>0.091</w:t>
            </w:r>
          </w:p>
        </w:tc>
        <w:tc>
          <w:tcPr>
            <w:tcW w:w="2400" w:type="dxa"/>
          </w:tcPr>
          <w:p w:rsidR="005E6DC1" w:rsidRPr="00756DA5" w:rsidP="005E6DC1">
            <w:pPr>
              <w:jc w:val="left"/>
              <w:rPr>
                <w:sz w:val="16"/>
                <w:szCs w:val="16"/>
              </w:rPr>
            </w:pPr>
          </w:p>
        </w:tc>
        <w:tc>
          <w:tcPr>
            <w:tcW w:w="2136" w:type="dxa"/>
          </w:tcPr>
          <w:p w:rsidR="005E6DC1" w:rsidRPr="00756DA5" w:rsidP="005E6DC1">
            <w:pPr>
              <w:jc w:val="left"/>
              <w:rPr>
                <w:sz w:val="16"/>
                <w:szCs w:val="16"/>
              </w:rPr>
            </w:pPr>
          </w:p>
        </w:tc>
      </w:tr>
    </w:tbl>
    <w:tbl>
      <w:tblPr>
        <w:tblW w:w="0" w:type="auto"/>
        <w:tblLook w:val="04A0"/>
      </w:tblPr>
      <w:tblGrid>
        <w:gridCol w:w="4396"/>
        <w:gridCol w:w="4558"/>
      </w:tblGrid>
      <w:tr w:rsidTr="00AA5815">
        <w:tblPrEx>
          <w:tblW w:w="0" w:type="auto"/>
          <w:tblLook w:val="04A0"/>
        </w:tblPrEx>
        <w:tc>
          <w:tcPr>
            <w:tcW w:w="4396" w:type="dxa"/>
            <w:hideMark/>
          </w:tcPr>
          <w:p w:rsidR="00442B87" w:rsidRPr="00756DA5" w:rsidP="00C844BF">
            <w:pPr>
              <w:jc w:val="left"/>
            </w:pPr>
            <w:r w:rsidRPr="00756DA5">
              <w:rPr>
                <w:noProof/>
                <w:lang w:val="fr-FR" w:eastAsia="fr-FR"/>
              </w:rPr>
              <w:drawing>
                <wp:inline distT="0" distB="0" distL="0" distR="0">
                  <wp:extent cx="2654580" cy="2115047"/>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18133" name="Picture 10"/>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4411" cy="2130848"/>
                          </a:xfrm>
                          <a:prstGeom prst="rect">
                            <a:avLst/>
                          </a:prstGeom>
                          <a:noFill/>
                          <a:ln>
                            <a:noFill/>
                          </a:ln>
                        </pic:spPr>
                      </pic:pic>
                    </a:graphicData>
                  </a:graphic>
                </wp:inline>
              </w:drawing>
            </w:r>
          </w:p>
        </w:tc>
        <w:tc>
          <w:tcPr>
            <w:tcW w:w="4558" w:type="dxa"/>
            <w:hideMark/>
          </w:tcPr>
          <w:p w:rsidR="002E7FC7" w:rsidRPr="00756DA5" w:rsidP="00C844BF">
            <w:pPr>
              <w:jc w:val="left"/>
            </w:pPr>
            <w:r w:rsidRPr="00756DA5">
              <w:rPr>
                <w:noProof/>
                <w:lang w:val="fr-FR" w:eastAsia="fr-FR"/>
              </w:rPr>
              <w:drawing>
                <wp:inline distT="0" distB="0" distL="0" distR="0">
                  <wp:extent cx="2571750" cy="2054033"/>
                  <wp:effectExtent l="0" t="0" r="0" b="3810"/>
                  <wp:docPr id="9" name="Image 9" descr="D:\ID\Desktop\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96000" name="Picture 3" descr="D:\ID\Desktop\Sans titre-1.jpg"/>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9369" cy="2060118"/>
                          </a:xfrm>
                          <a:prstGeom prst="rect">
                            <a:avLst/>
                          </a:prstGeom>
                          <a:noFill/>
                          <a:ln>
                            <a:noFill/>
                          </a:ln>
                        </pic:spPr>
                      </pic:pic>
                    </a:graphicData>
                  </a:graphic>
                </wp:inline>
              </w:drawing>
            </w:r>
          </w:p>
        </w:tc>
      </w:tr>
    </w:tbl>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130"/>
        <w:gridCol w:w="2400"/>
        <w:gridCol w:w="2136"/>
      </w:tblGrid>
      <w:tr w:rsidTr="007B0BE2">
        <w:tblPrEx>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7B0BE2" w:rsidRPr="00756DA5" w:rsidP="007B0BE2">
            <w:pPr>
              <w:jc w:val="left"/>
              <w:rPr>
                <w:color w:val="000000" w:themeColor="text1"/>
                <w:sz w:val="16"/>
                <w:szCs w:val="16"/>
              </w:rPr>
            </w:pPr>
            <w:r w:rsidRPr="00756DA5">
              <w:rPr>
                <w:color w:val="000000" w:themeColor="text1"/>
                <w:sz w:val="16"/>
                <w:szCs w:val="16"/>
              </w:rPr>
              <w:t>N15 : Nombre relatif d’incendies de matériel roulant par million de train-km</w:t>
            </w:r>
          </w:p>
        </w:tc>
        <w:tc>
          <w:tcPr>
            <w:tcW w:w="2130" w:type="dxa"/>
          </w:tcPr>
          <w:p w:rsidR="007B0BE2" w:rsidRPr="00756DA5" w:rsidP="007B0BE2">
            <w:pPr>
              <w:jc w:val="left"/>
              <w:rPr>
                <w:color w:val="000000" w:themeColor="text1"/>
                <w:sz w:val="16"/>
                <w:szCs w:val="16"/>
              </w:rPr>
            </w:pPr>
            <w:r w:rsidRPr="00756DA5">
              <w:rPr>
                <w:color w:val="000000" w:themeColor="text1"/>
                <w:sz w:val="16"/>
                <w:szCs w:val="16"/>
              </w:rPr>
              <w:t>N15: Number of fires on rolling stock per million train-km</w:t>
            </w:r>
          </w:p>
        </w:tc>
        <w:tc>
          <w:tcPr>
            <w:tcW w:w="2400" w:type="dxa"/>
          </w:tcPr>
          <w:p w:rsidR="007B0BE2" w:rsidRPr="00756DA5" w:rsidP="007B0BE2">
            <w:pPr>
              <w:jc w:val="left"/>
              <w:rPr>
                <w:color w:val="000000" w:themeColor="text1"/>
                <w:sz w:val="16"/>
                <w:szCs w:val="16"/>
              </w:rPr>
            </w:pPr>
            <w:r w:rsidRPr="00756DA5">
              <w:rPr>
                <w:color w:val="000000" w:themeColor="text1"/>
                <w:sz w:val="16"/>
                <w:szCs w:val="16"/>
              </w:rPr>
              <w:t>N16 : Nombre relatif d’accidents «autres» par million de train-km</w:t>
            </w:r>
          </w:p>
        </w:tc>
        <w:tc>
          <w:tcPr>
            <w:tcW w:w="2136" w:type="dxa"/>
          </w:tcPr>
          <w:p w:rsidR="007B0BE2" w:rsidRPr="00756DA5" w:rsidP="007B0BE2">
            <w:pPr>
              <w:jc w:val="left"/>
              <w:rPr>
                <w:color w:val="000000" w:themeColor="text1"/>
                <w:sz w:val="16"/>
                <w:szCs w:val="16"/>
              </w:rPr>
            </w:pPr>
            <w:r w:rsidRPr="00756DA5">
              <w:rPr>
                <w:color w:val="000000" w:themeColor="text1"/>
                <w:sz w:val="16"/>
                <w:szCs w:val="16"/>
              </w:rPr>
              <w:t>N16: Number of ‘other’ accidents per million train-km</w:t>
            </w:r>
          </w:p>
        </w:tc>
      </w:tr>
      <w:tr w:rsidTr="007B0BE2">
        <w:tblPrEx>
          <w:tblW w:w="8931" w:type="dxa"/>
          <w:tblLook w:val="04A0"/>
        </w:tblPrEx>
        <w:tc>
          <w:tcPr>
            <w:tcW w:w="2265" w:type="dxa"/>
          </w:tcPr>
          <w:p w:rsidR="007B0BE2" w:rsidRPr="00756DA5" w:rsidP="007B0BE2">
            <w:pPr>
              <w:jc w:val="left"/>
              <w:rPr>
                <w:color w:val="000000" w:themeColor="text1"/>
                <w:sz w:val="16"/>
                <w:szCs w:val="16"/>
              </w:rPr>
            </w:pPr>
            <w:r w:rsidRPr="00756DA5">
              <w:rPr>
                <w:color w:val="000000" w:themeColor="text1"/>
                <w:sz w:val="16"/>
                <w:szCs w:val="16"/>
              </w:rPr>
              <w:t>Moyenne calculée sur 5 ans</w:t>
            </w:r>
          </w:p>
        </w:tc>
        <w:tc>
          <w:tcPr>
            <w:tcW w:w="2130" w:type="dxa"/>
          </w:tcPr>
          <w:p w:rsidR="007B0BE2" w:rsidRPr="00756DA5" w:rsidP="007B0BE2">
            <w:pPr>
              <w:jc w:val="left"/>
              <w:rPr>
                <w:color w:val="000000" w:themeColor="text1"/>
                <w:sz w:val="16"/>
                <w:szCs w:val="16"/>
              </w:rPr>
            </w:pPr>
            <w:r w:rsidRPr="00756DA5">
              <w:rPr>
                <w:color w:val="000000" w:themeColor="text1"/>
                <w:sz w:val="16"/>
                <w:szCs w:val="16"/>
              </w:rPr>
              <w:t>Average calculated over 5 years</w:t>
            </w:r>
          </w:p>
        </w:tc>
        <w:tc>
          <w:tcPr>
            <w:tcW w:w="2400" w:type="dxa"/>
          </w:tcPr>
          <w:p w:rsidR="007B0BE2" w:rsidRPr="00756DA5" w:rsidP="007B0BE2">
            <w:pPr>
              <w:jc w:val="left"/>
              <w:rPr>
                <w:color w:val="000000" w:themeColor="text1"/>
                <w:sz w:val="16"/>
                <w:szCs w:val="16"/>
              </w:rPr>
            </w:pPr>
            <w:r w:rsidRPr="00756DA5">
              <w:rPr>
                <w:color w:val="000000" w:themeColor="text1"/>
                <w:sz w:val="16"/>
                <w:szCs w:val="16"/>
              </w:rPr>
              <w:t>Moyenne calculée sur 5 ans</w:t>
            </w:r>
          </w:p>
        </w:tc>
        <w:tc>
          <w:tcPr>
            <w:tcW w:w="2136" w:type="dxa"/>
          </w:tcPr>
          <w:p w:rsidR="007B0BE2" w:rsidRPr="00756DA5" w:rsidP="007B0BE2">
            <w:pPr>
              <w:jc w:val="left"/>
              <w:rPr>
                <w:color w:val="000000" w:themeColor="text1"/>
                <w:sz w:val="16"/>
                <w:szCs w:val="16"/>
              </w:rPr>
            </w:pPr>
            <w:r w:rsidRPr="00756DA5">
              <w:rPr>
                <w:color w:val="000000" w:themeColor="text1"/>
                <w:sz w:val="16"/>
                <w:szCs w:val="16"/>
              </w:rPr>
              <w:t>Average calculated over 5 years</w:t>
            </w:r>
          </w:p>
        </w:tc>
      </w:tr>
      <w:tr w:rsidTr="007B0BE2">
        <w:tblPrEx>
          <w:tblW w:w="8931" w:type="dxa"/>
          <w:tblLook w:val="04A0"/>
        </w:tblPrEx>
        <w:tc>
          <w:tcPr>
            <w:tcW w:w="2265" w:type="dxa"/>
          </w:tcPr>
          <w:p w:rsidR="007B0BE2" w:rsidRPr="00756DA5" w:rsidP="007B0BE2">
            <w:pPr>
              <w:jc w:val="left"/>
              <w:rPr>
                <w:color w:val="000000" w:themeColor="text1"/>
                <w:sz w:val="16"/>
                <w:szCs w:val="16"/>
              </w:rPr>
            </w:pPr>
            <w:r w:rsidRPr="00756DA5">
              <w:rPr>
                <w:color w:val="000000" w:themeColor="text1"/>
                <w:sz w:val="16"/>
                <w:szCs w:val="16"/>
              </w:rPr>
              <w:t>0,014</w:t>
            </w:r>
          </w:p>
        </w:tc>
        <w:tc>
          <w:tcPr>
            <w:tcW w:w="2130" w:type="dxa"/>
          </w:tcPr>
          <w:p w:rsidR="007B0BE2" w:rsidRPr="00756DA5" w:rsidP="007B0BE2">
            <w:pPr>
              <w:jc w:val="left"/>
              <w:rPr>
                <w:color w:val="000000" w:themeColor="text1"/>
                <w:sz w:val="16"/>
                <w:szCs w:val="16"/>
              </w:rPr>
            </w:pPr>
            <w:r w:rsidRPr="00756DA5">
              <w:rPr>
                <w:color w:val="000000" w:themeColor="text1"/>
                <w:sz w:val="16"/>
                <w:szCs w:val="16"/>
              </w:rPr>
              <w:t>0.014</w:t>
            </w:r>
          </w:p>
        </w:tc>
        <w:tc>
          <w:tcPr>
            <w:tcW w:w="2400" w:type="dxa"/>
          </w:tcPr>
          <w:p w:rsidR="007B0BE2" w:rsidRPr="00756DA5" w:rsidP="007B0BE2">
            <w:pPr>
              <w:jc w:val="left"/>
              <w:rPr>
                <w:color w:val="000000" w:themeColor="text1"/>
                <w:sz w:val="16"/>
                <w:szCs w:val="16"/>
              </w:rPr>
            </w:pPr>
            <w:r w:rsidRPr="00756DA5">
              <w:rPr>
                <w:color w:val="000000" w:themeColor="text1"/>
                <w:sz w:val="16"/>
                <w:szCs w:val="16"/>
              </w:rPr>
              <w:t>0,04</w:t>
            </w:r>
          </w:p>
        </w:tc>
        <w:tc>
          <w:tcPr>
            <w:tcW w:w="2136" w:type="dxa"/>
          </w:tcPr>
          <w:p w:rsidR="007B0BE2" w:rsidRPr="00756DA5" w:rsidP="007B0BE2">
            <w:pPr>
              <w:jc w:val="left"/>
              <w:rPr>
                <w:color w:val="000000" w:themeColor="text1"/>
                <w:sz w:val="16"/>
                <w:szCs w:val="16"/>
              </w:rPr>
            </w:pPr>
            <w:r w:rsidRPr="00756DA5">
              <w:rPr>
                <w:color w:val="000000" w:themeColor="text1"/>
                <w:sz w:val="16"/>
                <w:szCs w:val="16"/>
              </w:rPr>
              <w:t>0.04</w:t>
            </w:r>
          </w:p>
        </w:tc>
      </w:tr>
      <w:tr w:rsidTr="007B0BE2">
        <w:tblPrEx>
          <w:tblW w:w="8931" w:type="dxa"/>
          <w:tblLook w:val="04A0"/>
        </w:tblPrEx>
        <w:tc>
          <w:tcPr>
            <w:tcW w:w="2265" w:type="dxa"/>
          </w:tcPr>
          <w:p w:rsidR="007B0BE2" w:rsidRPr="00756DA5" w:rsidP="007B0BE2">
            <w:pPr>
              <w:jc w:val="left"/>
              <w:rPr>
                <w:color w:val="000000" w:themeColor="text1"/>
                <w:sz w:val="16"/>
                <w:szCs w:val="16"/>
              </w:rPr>
            </w:pPr>
            <w:r w:rsidRPr="00756DA5">
              <w:rPr>
                <w:color w:val="000000" w:themeColor="text1"/>
                <w:sz w:val="16"/>
                <w:szCs w:val="16"/>
              </w:rPr>
              <w:t>0,012</w:t>
            </w:r>
          </w:p>
        </w:tc>
        <w:tc>
          <w:tcPr>
            <w:tcW w:w="2130" w:type="dxa"/>
          </w:tcPr>
          <w:p w:rsidR="007B0BE2" w:rsidRPr="00756DA5" w:rsidP="007B0BE2">
            <w:pPr>
              <w:jc w:val="left"/>
              <w:rPr>
                <w:color w:val="000000" w:themeColor="text1"/>
                <w:sz w:val="16"/>
                <w:szCs w:val="16"/>
              </w:rPr>
            </w:pPr>
            <w:r w:rsidRPr="00756DA5">
              <w:rPr>
                <w:color w:val="000000" w:themeColor="text1"/>
                <w:sz w:val="16"/>
                <w:szCs w:val="16"/>
              </w:rPr>
              <w:t>0.012</w:t>
            </w:r>
          </w:p>
        </w:tc>
        <w:tc>
          <w:tcPr>
            <w:tcW w:w="2400" w:type="dxa"/>
          </w:tcPr>
          <w:p w:rsidR="007B0BE2" w:rsidRPr="00756DA5" w:rsidP="007B0BE2">
            <w:pPr>
              <w:jc w:val="left"/>
              <w:rPr>
                <w:color w:val="000000" w:themeColor="text1"/>
                <w:sz w:val="16"/>
                <w:szCs w:val="16"/>
              </w:rPr>
            </w:pPr>
            <w:r w:rsidRPr="00756DA5">
              <w:rPr>
                <w:color w:val="000000" w:themeColor="text1"/>
                <w:sz w:val="16"/>
                <w:szCs w:val="16"/>
              </w:rPr>
              <w:t>0,03</w:t>
            </w:r>
          </w:p>
        </w:tc>
        <w:tc>
          <w:tcPr>
            <w:tcW w:w="2136" w:type="dxa"/>
          </w:tcPr>
          <w:p w:rsidR="007B0BE2" w:rsidRPr="00756DA5" w:rsidP="007B0BE2">
            <w:pPr>
              <w:jc w:val="left"/>
              <w:rPr>
                <w:color w:val="000000" w:themeColor="text1"/>
                <w:sz w:val="16"/>
                <w:szCs w:val="16"/>
              </w:rPr>
            </w:pPr>
            <w:r w:rsidRPr="00756DA5">
              <w:rPr>
                <w:color w:val="000000" w:themeColor="text1"/>
                <w:sz w:val="16"/>
                <w:szCs w:val="16"/>
              </w:rPr>
              <w:t>0.03</w:t>
            </w:r>
          </w:p>
        </w:tc>
      </w:tr>
      <w:tr w:rsidTr="007B0BE2">
        <w:tblPrEx>
          <w:tblW w:w="8931" w:type="dxa"/>
          <w:tblLook w:val="04A0"/>
        </w:tblPrEx>
        <w:tc>
          <w:tcPr>
            <w:tcW w:w="2265" w:type="dxa"/>
          </w:tcPr>
          <w:p w:rsidR="007B0BE2" w:rsidRPr="00756DA5" w:rsidP="007B0BE2">
            <w:pPr>
              <w:jc w:val="left"/>
              <w:rPr>
                <w:color w:val="000000" w:themeColor="text1"/>
                <w:sz w:val="16"/>
                <w:szCs w:val="16"/>
              </w:rPr>
            </w:pPr>
            <w:r w:rsidRPr="00756DA5">
              <w:rPr>
                <w:color w:val="000000" w:themeColor="text1"/>
                <w:sz w:val="16"/>
                <w:szCs w:val="16"/>
              </w:rPr>
              <w:t>0,010</w:t>
            </w:r>
          </w:p>
        </w:tc>
        <w:tc>
          <w:tcPr>
            <w:tcW w:w="2130" w:type="dxa"/>
          </w:tcPr>
          <w:p w:rsidR="007B0BE2" w:rsidRPr="00756DA5" w:rsidP="007B0BE2">
            <w:pPr>
              <w:jc w:val="left"/>
              <w:rPr>
                <w:color w:val="000000" w:themeColor="text1"/>
                <w:sz w:val="16"/>
                <w:szCs w:val="16"/>
              </w:rPr>
            </w:pPr>
            <w:r w:rsidRPr="00756DA5">
              <w:rPr>
                <w:color w:val="000000" w:themeColor="text1"/>
                <w:sz w:val="16"/>
                <w:szCs w:val="16"/>
              </w:rPr>
              <w:t>0.010</w:t>
            </w:r>
          </w:p>
        </w:tc>
        <w:tc>
          <w:tcPr>
            <w:tcW w:w="2400" w:type="dxa"/>
          </w:tcPr>
          <w:p w:rsidR="007B0BE2" w:rsidRPr="00756DA5" w:rsidP="007B0BE2">
            <w:pPr>
              <w:jc w:val="left"/>
              <w:rPr>
                <w:color w:val="000000" w:themeColor="text1"/>
                <w:sz w:val="16"/>
                <w:szCs w:val="16"/>
              </w:rPr>
            </w:pPr>
            <w:r w:rsidRPr="00756DA5">
              <w:rPr>
                <w:color w:val="000000" w:themeColor="text1"/>
                <w:sz w:val="16"/>
                <w:szCs w:val="16"/>
              </w:rPr>
              <w:t>0,02</w:t>
            </w:r>
          </w:p>
        </w:tc>
        <w:tc>
          <w:tcPr>
            <w:tcW w:w="2136" w:type="dxa"/>
          </w:tcPr>
          <w:p w:rsidR="007B0BE2" w:rsidRPr="00756DA5" w:rsidP="007B0BE2">
            <w:pPr>
              <w:jc w:val="left"/>
              <w:rPr>
                <w:color w:val="000000" w:themeColor="text1"/>
                <w:sz w:val="16"/>
                <w:szCs w:val="16"/>
              </w:rPr>
            </w:pPr>
            <w:r w:rsidRPr="00756DA5">
              <w:rPr>
                <w:color w:val="000000" w:themeColor="text1"/>
                <w:sz w:val="16"/>
                <w:szCs w:val="16"/>
              </w:rPr>
              <w:t>0.02</w:t>
            </w:r>
          </w:p>
        </w:tc>
      </w:tr>
      <w:tr w:rsidTr="007B0BE2">
        <w:tblPrEx>
          <w:tblW w:w="8931" w:type="dxa"/>
          <w:tblLook w:val="04A0"/>
        </w:tblPrEx>
        <w:tc>
          <w:tcPr>
            <w:tcW w:w="2265" w:type="dxa"/>
          </w:tcPr>
          <w:p w:rsidR="007B0BE2" w:rsidRPr="00756DA5" w:rsidP="007B0BE2">
            <w:pPr>
              <w:jc w:val="left"/>
              <w:rPr>
                <w:color w:val="000000" w:themeColor="text1"/>
                <w:sz w:val="16"/>
                <w:szCs w:val="16"/>
              </w:rPr>
            </w:pPr>
            <w:r w:rsidRPr="00756DA5">
              <w:rPr>
                <w:color w:val="000000" w:themeColor="text1"/>
                <w:sz w:val="16"/>
                <w:szCs w:val="16"/>
              </w:rPr>
              <w:t>0,008</w:t>
            </w:r>
          </w:p>
        </w:tc>
        <w:tc>
          <w:tcPr>
            <w:tcW w:w="2130" w:type="dxa"/>
          </w:tcPr>
          <w:p w:rsidR="007B0BE2" w:rsidRPr="00756DA5" w:rsidP="007B0BE2">
            <w:pPr>
              <w:jc w:val="left"/>
              <w:rPr>
                <w:color w:val="000000" w:themeColor="text1"/>
                <w:sz w:val="16"/>
                <w:szCs w:val="16"/>
              </w:rPr>
            </w:pPr>
            <w:r w:rsidRPr="00756DA5">
              <w:rPr>
                <w:color w:val="000000" w:themeColor="text1"/>
                <w:sz w:val="16"/>
                <w:szCs w:val="16"/>
              </w:rPr>
              <w:t>0.008</w:t>
            </w:r>
          </w:p>
        </w:tc>
        <w:tc>
          <w:tcPr>
            <w:tcW w:w="2400" w:type="dxa"/>
          </w:tcPr>
          <w:p w:rsidR="007B0BE2" w:rsidRPr="00756DA5" w:rsidP="007B0BE2">
            <w:pPr>
              <w:jc w:val="left"/>
              <w:rPr>
                <w:color w:val="000000" w:themeColor="text1"/>
                <w:sz w:val="16"/>
                <w:szCs w:val="16"/>
              </w:rPr>
            </w:pPr>
            <w:r w:rsidRPr="00756DA5">
              <w:rPr>
                <w:color w:val="000000" w:themeColor="text1"/>
                <w:sz w:val="16"/>
                <w:szCs w:val="16"/>
              </w:rPr>
              <w:t>0,01</w:t>
            </w:r>
          </w:p>
        </w:tc>
        <w:tc>
          <w:tcPr>
            <w:tcW w:w="2136" w:type="dxa"/>
          </w:tcPr>
          <w:p w:rsidR="007B0BE2" w:rsidRPr="00756DA5" w:rsidP="007B0BE2">
            <w:pPr>
              <w:jc w:val="left"/>
              <w:rPr>
                <w:color w:val="000000" w:themeColor="text1"/>
                <w:sz w:val="16"/>
                <w:szCs w:val="16"/>
              </w:rPr>
            </w:pPr>
            <w:r w:rsidRPr="00756DA5">
              <w:rPr>
                <w:color w:val="000000" w:themeColor="text1"/>
                <w:sz w:val="16"/>
                <w:szCs w:val="16"/>
              </w:rPr>
              <w:t>0.01</w:t>
            </w:r>
          </w:p>
        </w:tc>
      </w:tr>
      <w:tr w:rsidTr="007B0BE2">
        <w:tblPrEx>
          <w:tblW w:w="8931" w:type="dxa"/>
          <w:tblLook w:val="04A0"/>
        </w:tblPrEx>
        <w:tc>
          <w:tcPr>
            <w:tcW w:w="2265" w:type="dxa"/>
          </w:tcPr>
          <w:p w:rsidR="00342D45" w:rsidRPr="00756DA5" w:rsidP="00342D45">
            <w:pPr>
              <w:jc w:val="left"/>
              <w:rPr>
                <w:color w:val="000000" w:themeColor="text1"/>
                <w:sz w:val="16"/>
                <w:szCs w:val="16"/>
              </w:rPr>
            </w:pPr>
            <w:r w:rsidRPr="00756DA5">
              <w:rPr>
                <w:color w:val="000000" w:themeColor="text1"/>
                <w:sz w:val="16"/>
                <w:szCs w:val="16"/>
              </w:rPr>
              <w:t>0,006</w:t>
            </w:r>
          </w:p>
        </w:tc>
        <w:tc>
          <w:tcPr>
            <w:tcW w:w="2130" w:type="dxa"/>
          </w:tcPr>
          <w:p w:rsidR="00342D45" w:rsidRPr="00756DA5" w:rsidP="00342D45">
            <w:pPr>
              <w:jc w:val="left"/>
              <w:rPr>
                <w:color w:val="000000" w:themeColor="text1"/>
                <w:sz w:val="16"/>
                <w:szCs w:val="16"/>
              </w:rPr>
            </w:pPr>
            <w:r w:rsidRPr="00756DA5">
              <w:rPr>
                <w:color w:val="000000" w:themeColor="text1"/>
                <w:sz w:val="16"/>
                <w:szCs w:val="16"/>
              </w:rPr>
              <w:t>0.006</w:t>
            </w:r>
          </w:p>
        </w:tc>
        <w:tc>
          <w:tcPr>
            <w:tcW w:w="2400" w:type="dxa"/>
          </w:tcPr>
          <w:p w:rsidR="00342D45" w:rsidRPr="00756DA5" w:rsidP="00342D45">
            <w:pPr>
              <w:jc w:val="left"/>
              <w:rPr>
                <w:color w:val="000000" w:themeColor="text1"/>
                <w:sz w:val="16"/>
                <w:szCs w:val="16"/>
              </w:rPr>
            </w:pPr>
            <w:r w:rsidRPr="00756DA5">
              <w:rPr>
                <w:color w:val="000000" w:themeColor="text1"/>
                <w:sz w:val="16"/>
                <w:szCs w:val="16"/>
              </w:rPr>
              <w:t>0,00</w:t>
            </w:r>
          </w:p>
        </w:tc>
        <w:tc>
          <w:tcPr>
            <w:tcW w:w="2136" w:type="dxa"/>
          </w:tcPr>
          <w:p w:rsidR="00342D45" w:rsidRPr="00756DA5" w:rsidP="00342D45">
            <w:pPr>
              <w:jc w:val="left"/>
              <w:rPr>
                <w:color w:val="000000" w:themeColor="text1"/>
                <w:sz w:val="16"/>
                <w:szCs w:val="16"/>
              </w:rPr>
            </w:pPr>
            <w:r w:rsidRPr="00756DA5">
              <w:rPr>
                <w:color w:val="000000" w:themeColor="text1"/>
                <w:sz w:val="16"/>
                <w:szCs w:val="16"/>
              </w:rPr>
              <w:t>0.00</w:t>
            </w:r>
          </w:p>
        </w:tc>
      </w:tr>
      <w:tr w:rsidTr="007B0BE2">
        <w:tblPrEx>
          <w:tblW w:w="8931" w:type="dxa"/>
          <w:tblLook w:val="04A0"/>
        </w:tblPrEx>
        <w:tc>
          <w:tcPr>
            <w:tcW w:w="2265" w:type="dxa"/>
          </w:tcPr>
          <w:p w:rsidR="00342D45" w:rsidRPr="00756DA5" w:rsidP="00342D45">
            <w:pPr>
              <w:jc w:val="left"/>
              <w:rPr>
                <w:color w:val="000000" w:themeColor="text1"/>
                <w:sz w:val="16"/>
                <w:szCs w:val="16"/>
              </w:rPr>
            </w:pPr>
            <w:r w:rsidRPr="00756DA5">
              <w:rPr>
                <w:color w:val="000000" w:themeColor="text1"/>
                <w:sz w:val="16"/>
                <w:szCs w:val="16"/>
              </w:rPr>
              <w:t>0,004</w:t>
            </w:r>
          </w:p>
        </w:tc>
        <w:tc>
          <w:tcPr>
            <w:tcW w:w="2130" w:type="dxa"/>
          </w:tcPr>
          <w:p w:rsidR="00342D45" w:rsidRPr="00756DA5" w:rsidP="00342D45">
            <w:pPr>
              <w:jc w:val="left"/>
              <w:rPr>
                <w:color w:val="000000" w:themeColor="text1"/>
                <w:sz w:val="16"/>
                <w:szCs w:val="16"/>
              </w:rPr>
            </w:pPr>
            <w:r w:rsidRPr="00756DA5">
              <w:rPr>
                <w:color w:val="000000" w:themeColor="text1"/>
                <w:sz w:val="16"/>
                <w:szCs w:val="16"/>
              </w:rPr>
              <w:t>0.004</w:t>
            </w:r>
          </w:p>
        </w:tc>
        <w:tc>
          <w:tcPr>
            <w:tcW w:w="2400" w:type="dxa"/>
          </w:tcPr>
          <w:p w:rsidR="00342D45" w:rsidRPr="00756DA5" w:rsidP="00342D45">
            <w:pPr>
              <w:jc w:val="left"/>
              <w:rPr>
                <w:color w:val="000000" w:themeColor="text1"/>
                <w:sz w:val="16"/>
                <w:szCs w:val="16"/>
              </w:rPr>
            </w:pPr>
            <w:r w:rsidRPr="00756DA5">
              <w:rPr>
                <w:color w:val="000000" w:themeColor="text1"/>
                <w:sz w:val="16"/>
                <w:szCs w:val="16"/>
              </w:rPr>
              <w:t>0,032</w:t>
            </w:r>
          </w:p>
        </w:tc>
        <w:tc>
          <w:tcPr>
            <w:tcW w:w="2136" w:type="dxa"/>
          </w:tcPr>
          <w:p w:rsidR="00342D45" w:rsidRPr="00756DA5" w:rsidP="00342D45">
            <w:pPr>
              <w:jc w:val="left"/>
              <w:rPr>
                <w:color w:val="000000" w:themeColor="text1"/>
                <w:sz w:val="16"/>
                <w:szCs w:val="16"/>
              </w:rPr>
            </w:pPr>
            <w:r w:rsidRPr="00756DA5">
              <w:rPr>
                <w:color w:val="000000" w:themeColor="text1"/>
                <w:sz w:val="16"/>
                <w:szCs w:val="16"/>
              </w:rPr>
              <w:t>0.032</w:t>
            </w:r>
          </w:p>
        </w:tc>
      </w:tr>
      <w:tr w:rsidTr="007B0BE2">
        <w:tblPrEx>
          <w:tblW w:w="8931" w:type="dxa"/>
          <w:tblLook w:val="04A0"/>
        </w:tblPrEx>
        <w:tc>
          <w:tcPr>
            <w:tcW w:w="2265" w:type="dxa"/>
          </w:tcPr>
          <w:p w:rsidR="00342D45" w:rsidRPr="00756DA5" w:rsidP="00342D45">
            <w:pPr>
              <w:jc w:val="left"/>
              <w:rPr>
                <w:color w:val="000000" w:themeColor="text1"/>
                <w:sz w:val="16"/>
                <w:szCs w:val="16"/>
              </w:rPr>
            </w:pPr>
            <w:r w:rsidRPr="00756DA5">
              <w:rPr>
                <w:color w:val="000000" w:themeColor="text1"/>
                <w:sz w:val="16"/>
                <w:szCs w:val="16"/>
              </w:rPr>
              <w:t>0,002</w:t>
            </w:r>
          </w:p>
        </w:tc>
        <w:tc>
          <w:tcPr>
            <w:tcW w:w="2130" w:type="dxa"/>
          </w:tcPr>
          <w:p w:rsidR="00342D45" w:rsidRPr="00756DA5" w:rsidP="00342D45">
            <w:pPr>
              <w:jc w:val="left"/>
              <w:rPr>
                <w:color w:val="000000" w:themeColor="text1"/>
                <w:sz w:val="16"/>
                <w:szCs w:val="16"/>
              </w:rPr>
            </w:pPr>
            <w:r w:rsidRPr="00756DA5">
              <w:rPr>
                <w:color w:val="000000" w:themeColor="text1"/>
                <w:sz w:val="16"/>
                <w:szCs w:val="16"/>
              </w:rPr>
              <w:t>0.002</w:t>
            </w:r>
          </w:p>
        </w:tc>
        <w:tc>
          <w:tcPr>
            <w:tcW w:w="2400" w:type="dxa"/>
          </w:tcPr>
          <w:p w:rsidR="00342D45" w:rsidRPr="00756DA5" w:rsidP="00342D45">
            <w:pPr>
              <w:jc w:val="left"/>
              <w:rPr>
                <w:color w:val="000000" w:themeColor="text1"/>
                <w:sz w:val="16"/>
                <w:szCs w:val="16"/>
              </w:rPr>
            </w:pPr>
            <w:r w:rsidRPr="00756DA5">
              <w:rPr>
                <w:color w:val="000000" w:themeColor="text1"/>
                <w:sz w:val="16"/>
                <w:szCs w:val="16"/>
              </w:rPr>
              <w:t>0,033</w:t>
            </w:r>
          </w:p>
        </w:tc>
        <w:tc>
          <w:tcPr>
            <w:tcW w:w="2136" w:type="dxa"/>
          </w:tcPr>
          <w:p w:rsidR="00342D45" w:rsidRPr="00756DA5" w:rsidP="00342D45">
            <w:pPr>
              <w:jc w:val="left"/>
              <w:rPr>
                <w:color w:val="000000" w:themeColor="text1"/>
                <w:sz w:val="16"/>
                <w:szCs w:val="16"/>
              </w:rPr>
            </w:pPr>
            <w:r w:rsidRPr="00756DA5">
              <w:rPr>
                <w:color w:val="000000" w:themeColor="text1"/>
                <w:sz w:val="16"/>
                <w:szCs w:val="16"/>
              </w:rPr>
              <w:t>0.033</w:t>
            </w:r>
          </w:p>
        </w:tc>
      </w:tr>
      <w:tr w:rsidTr="007B0BE2">
        <w:tblPrEx>
          <w:tblW w:w="8931" w:type="dxa"/>
          <w:tblLook w:val="04A0"/>
        </w:tblPrEx>
        <w:tc>
          <w:tcPr>
            <w:tcW w:w="2265" w:type="dxa"/>
          </w:tcPr>
          <w:p w:rsidR="00342D45" w:rsidRPr="00756DA5" w:rsidP="00342D45">
            <w:pPr>
              <w:jc w:val="left"/>
              <w:rPr>
                <w:color w:val="000000" w:themeColor="text1"/>
                <w:sz w:val="16"/>
                <w:szCs w:val="16"/>
              </w:rPr>
            </w:pPr>
            <w:r w:rsidRPr="00756DA5">
              <w:rPr>
                <w:color w:val="000000" w:themeColor="text1"/>
                <w:sz w:val="16"/>
                <w:szCs w:val="16"/>
              </w:rPr>
              <w:t>0,000</w:t>
            </w:r>
          </w:p>
        </w:tc>
        <w:tc>
          <w:tcPr>
            <w:tcW w:w="2130" w:type="dxa"/>
          </w:tcPr>
          <w:p w:rsidR="00342D45" w:rsidRPr="00756DA5" w:rsidP="00342D45">
            <w:pPr>
              <w:jc w:val="left"/>
              <w:rPr>
                <w:color w:val="000000" w:themeColor="text1"/>
                <w:sz w:val="16"/>
                <w:szCs w:val="16"/>
              </w:rPr>
            </w:pPr>
            <w:r w:rsidRPr="00756DA5">
              <w:rPr>
                <w:color w:val="000000" w:themeColor="text1"/>
                <w:sz w:val="16"/>
                <w:szCs w:val="16"/>
              </w:rPr>
              <w:t>0.000</w:t>
            </w:r>
          </w:p>
        </w:tc>
        <w:tc>
          <w:tcPr>
            <w:tcW w:w="2400" w:type="dxa"/>
          </w:tcPr>
          <w:p w:rsidR="00342D45" w:rsidRPr="00756DA5" w:rsidP="00342D45">
            <w:pPr>
              <w:jc w:val="left"/>
              <w:rPr>
                <w:color w:val="000000" w:themeColor="text1"/>
                <w:sz w:val="16"/>
                <w:szCs w:val="16"/>
              </w:rPr>
            </w:pPr>
            <w:r w:rsidRPr="00756DA5">
              <w:rPr>
                <w:color w:val="000000" w:themeColor="text1"/>
                <w:sz w:val="16"/>
                <w:szCs w:val="16"/>
              </w:rPr>
              <w:t>0,029</w:t>
            </w:r>
          </w:p>
        </w:tc>
        <w:tc>
          <w:tcPr>
            <w:tcW w:w="2136" w:type="dxa"/>
          </w:tcPr>
          <w:p w:rsidR="00342D45" w:rsidRPr="00756DA5" w:rsidP="00342D45">
            <w:pPr>
              <w:jc w:val="left"/>
              <w:rPr>
                <w:color w:val="000000" w:themeColor="text1"/>
                <w:sz w:val="16"/>
                <w:szCs w:val="16"/>
              </w:rPr>
            </w:pPr>
            <w:r w:rsidRPr="00756DA5">
              <w:rPr>
                <w:color w:val="000000" w:themeColor="text1"/>
                <w:sz w:val="16"/>
                <w:szCs w:val="16"/>
              </w:rPr>
              <w:t>0.029</w:t>
            </w:r>
          </w:p>
        </w:tc>
      </w:tr>
      <w:tr w:rsidTr="007B0BE2">
        <w:tblPrEx>
          <w:tblW w:w="8931" w:type="dxa"/>
          <w:tblLook w:val="04A0"/>
        </w:tblPrEx>
        <w:tc>
          <w:tcPr>
            <w:tcW w:w="2265" w:type="dxa"/>
          </w:tcPr>
          <w:p w:rsidR="00342D45" w:rsidRPr="00756DA5" w:rsidP="00342D45">
            <w:pPr>
              <w:jc w:val="left"/>
              <w:rPr>
                <w:color w:val="000000" w:themeColor="text1"/>
                <w:sz w:val="16"/>
                <w:szCs w:val="16"/>
              </w:rPr>
            </w:pPr>
            <w:r w:rsidRPr="00756DA5">
              <w:rPr>
                <w:color w:val="000000" w:themeColor="text1"/>
                <w:sz w:val="16"/>
                <w:szCs w:val="16"/>
              </w:rPr>
              <w:t>0,013</w:t>
            </w:r>
          </w:p>
        </w:tc>
        <w:tc>
          <w:tcPr>
            <w:tcW w:w="2130" w:type="dxa"/>
          </w:tcPr>
          <w:p w:rsidR="00342D45" w:rsidRPr="00756DA5" w:rsidP="00342D45">
            <w:pPr>
              <w:jc w:val="left"/>
              <w:rPr>
                <w:color w:val="000000" w:themeColor="text1"/>
                <w:sz w:val="16"/>
                <w:szCs w:val="16"/>
              </w:rPr>
            </w:pPr>
            <w:r w:rsidRPr="00756DA5">
              <w:rPr>
                <w:color w:val="000000" w:themeColor="text1"/>
                <w:sz w:val="16"/>
                <w:szCs w:val="16"/>
              </w:rPr>
              <w:t>0.013</w:t>
            </w:r>
          </w:p>
        </w:tc>
        <w:tc>
          <w:tcPr>
            <w:tcW w:w="2400" w:type="dxa"/>
          </w:tcPr>
          <w:p w:rsidR="00342D45" w:rsidRPr="00756DA5" w:rsidP="00342D45">
            <w:pPr>
              <w:jc w:val="left"/>
              <w:rPr>
                <w:color w:val="000000" w:themeColor="text1"/>
                <w:sz w:val="16"/>
                <w:szCs w:val="16"/>
              </w:rPr>
            </w:pPr>
            <w:r w:rsidRPr="00756DA5">
              <w:rPr>
                <w:color w:val="000000" w:themeColor="text1"/>
                <w:sz w:val="16"/>
                <w:szCs w:val="16"/>
              </w:rPr>
              <w:t>0,026</w:t>
            </w:r>
          </w:p>
        </w:tc>
        <w:tc>
          <w:tcPr>
            <w:tcW w:w="2136" w:type="dxa"/>
          </w:tcPr>
          <w:p w:rsidR="00342D45" w:rsidRPr="00756DA5" w:rsidP="00342D45">
            <w:pPr>
              <w:jc w:val="left"/>
              <w:rPr>
                <w:color w:val="000000" w:themeColor="text1"/>
                <w:sz w:val="16"/>
                <w:szCs w:val="16"/>
              </w:rPr>
            </w:pPr>
            <w:r w:rsidRPr="00756DA5">
              <w:rPr>
                <w:color w:val="000000" w:themeColor="text1"/>
                <w:sz w:val="16"/>
                <w:szCs w:val="16"/>
              </w:rPr>
              <w:t>0.026</w:t>
            </w:r>
          </w:p>
        </w:tc>
      </w:tr>
      <w:tr w:rsidTr="007B0BE2">
        <w:tblPrEx>
          <w:tblW w:w="8931" w:type="dxa"/>
          <w:tblLook w:val="04A0"/>
        </w:tblPrEx>
        <w:tc>
          <w:tcPr>
            <w:tcW w:w="2265" w:type="dxa"/>
          </w:tcPr>
          <w:p w:rsidR="00342D45" w:rsidRPr="00756DA5" w:rsidP="00342D45">
            <w:pPr>
              <w:jc w:val="left"/>
              <w:rPr>
                <w:color w:val="000000" w:themeColor="text1"/>
                <w:sz w:val="16"/>
                <w:szCs w:val="16"/>
              </w:rPr>
            </w:pPr>
            <w:r w:rsidRPr="00756DA5">
              <w:rPr>
                <w:color w:val="000000" w:themeColor="text1"/>
                <w:sz w:val="16"/>
                <w:szCs w:val="16"/>
              </w:rPr>
              <w:t>0,009</w:t>
            </w:r>
          </w:p>
        </w:tc>
        <w:tc>
          <w:tcPr>
            <w:tcW w:w="2130" w:type="dxa"/>
          </w:tcPr>
          <w:p w:rsidR="00342D45" w:rsidRPr="00756DA5" w:rsidP="00342D45">
            <w:pPr>
              <w:jc w:val="left"/>
              <w:rPr>
                <w:color w:val="000000" w:themeColor="text1"/>
                <w:sz w:val="16"/>
                <w:szCs w:val="16"/>
              </w:rPr>
            </w:pPr>
            <w:r w:rsidRPr="00756DA5">
              <w:rPr>
                <w:color w:val="000000" w:themeColor="text1"/>
                <w:sz w:val="16"/>
                <w:szCs w:val="16"/>
              </w:rPr>
              <w:t>0.009</w:t>
            </w:r>
          </w:p>
        </w:tc>
        <w:tc>
          <w:tcPr>
            <w:tcW w:w="2400" w:type="dxa"/>
          </w:tcPr>
          <w:p w:rsidR="00342D45" w:rsidRPr="00756DA5" w:rsidP="00342D45">
            <w:pPr>
              <w:jc w:val="left"/>
              <w:rPr>
                <w:color w:val="000000" w:themeColor="text1"/>
                <w:sz w:val="16"/>
                <w:szCs w:val="16"/>
              </w:rPr>
            </w:pPr>
            <w:r w:rsidRPr="00756DA5">
              <w:rPr>
                <w:color w:val="000000" w:themeColor="text1"/>
                <w:sz w:val="16"/>
                <w:szCs w:val="16"/>
              </w:rPr>
              <w:t>0,023</w:t>
            </w:r>
          </w:p>
        </w:tc>
        <w:tc>
          <w:tcPr>
            <w:tcW w:w="2136" w:type="dxa"/>
          </w:tcPr>
          <w:p w:rsidR="00342D45" w:rsidRPr="00756DA5" w:rsidP="00342D45">
            <w:pPr>
              <w:jc w:val="left"/>
              <w:rPr>
                <w:color w:val="000000" w:themeColor="text1"/>
                <w:sz w:val="16"/>
                <w:szCs w:val="16"/>
              </w:rPr>
            </w:pPr>
            <w:r w:rsidRPr="00756DA5">
              <w:rPr>
                <w:color w:val="000000" w:themeColor="text1"/>
                <w:sz w:val="16"/>
                <w:szCs w:val="16"/>
              </w:rPr>
              <w:t>0.023</w:t>
            </w:r>
          </w:p>
        </w:tc>
      </w:tr>
      <w:tr w:rsidTr="007B0BE2">
        <w:tblPrEx>
          <w:tblW w:w="8931" w:type="dxa"/>
          <w:tblLook w:val="04A0"/>
        </w:tblPrEx>
        <w:tc>
          <w:tcPr>
            <w:tcW w:w="2265" w:type="dxa"/>
          </w:tcPr>
          <w:p w:rsidR="007B0BE2" w:rsidRPr="00756DA5" w:rsidP="007B0BE2">
            <w:pPr>
              <w:jc w:val="left"/>
              <w:rPr>
                <w:sz w:val="16"/>
                <w:szCs w:val="16"/>
              </w:rPr>
            </w:pPr>
          </w:p>
        </w:tc>
        <w:tc>
          <w:tcPr>
            <w:tcW w:w="2130" w:type="dxa"/>
          </w:tcPr>
          <w:p w:rsidR="007B0BE2" w:rsidRPr="00756DA5" w:rsidP="007B0BE2">
            <w:pPr>
              <w:jc w:val="left"/>
              <w:rPr>
                <w:sz w:val="16"/>
                <w:szCs w:val="16"/>
              </w:rPr>
            </w:pPr>
          </w:p>
        </w:tc>
        <w:tc>
          <w:tcPr>
            <w:tcW w:w="2400" w:type="dxa"/>
          </w:tcPr>
          <w:p w:rsidR="007B0BE2" w:rsidRPr="00756DA5" w:rsidP="007B0BE2">
            <w:pPr>
              <w:jc w:val="left"/>
              <w:rPr>
                <w:sz w:val="16"/>
                <w:szCs w:val="16"/>
              </w:rPr>
            </w:pPr>
          </w:p>
        </w:tc>
        <w:tc>
          <w:tcPr>
            <w:tcW w:w="2136" w:type="dxa"/>
          </w:tcPr>
          <w:p w:rsidR="007B0BE2" w:rsidRPr="00756DA5" w:rsidP="007B0BE2">
            <w:pPr>
              <w:jc w:val="left"/>
              <w:rPr>
                <w:sz w:val="16"/>
                <w:szCs w:val="16"/>
              </w:rPr>
            </w:pPr>
          </w:p>
        </w:tc>
      </w:tr>
    </w:tbl>
    <w:p w:rsidR="00442B87" w:rsidRPr="00756DA5" w:rsidP="00423F21">
      <w:pPr>
        <w:pageBreakBefore/>
        <w:spacing w:line="280" w:lineRule="exact"/>
        <w:rPr>
          <w:b/>
          <w:szCs w:val="28"/>
        </w:rPr>
      </w:pPr>
      <w:bookmarkStart w:id="97" w:name="_Toc460852661"/>
      <w:r w:rsidRPr="00756DA5">
        <w:rPr>
          <w:b/>
          <w:bCs/>
          <w:szCs w:val="20"/>
        </w:rPr>
        <w:t xml:space="preserve">■ </w:t>
      </w:r>
      <w:r w:rsidRPr="00756DA5">
        <w:rPr>
          <w:b/>
          <w:szCs w:val="28"/>
        </w:rPr>
        <w:t>Deaths broken down by type of person involved</w:t>
      </w:r>
      <w:bookmarkEnd w:id="97"/>
    </w:p>
    <w:tbl>
      <w:tblPr>
        <w:tblW w:w="0" w:type="auto"/>
        <w:tblLook w:val="04A0"/>
      </w:tblPr>
      <w:tblGrid>
        <w:gridCol w:w="4536"/>
        <w:gridCol w:w="4536"/>
      </w:tblGrid>
      <w:tr w:rsidTr="003810A0">
        <w:tblPrEx>
          <w:tblW w:w="0" w:type="auto"/>
          <w:tblLook w:val="04A0"/>
        </w:tblPrEx>
        <w:tc>
          <w:tcPr>
            <w:tcW w:w="4536" w:type="dxa"/>
            <w:hideMark/>
          </w:tcPr>
          <w:p w:rsidR="00442B87" w:rsidRPr="00756DA5" w:rsidP="00C844BF">
            <w:pPr>
              <w:jc w:val="left"/>
            </w:pPr>
            <w:r w:rsidRPr="00756DA5">
              <w:rPr>
                <w:noProof/>
                <w:lang w:val="fr-FR" w:eastAsia="fr-FR"/>
              </w:rPr>
              <w:drawing>
                <wp:inline distT="0" distB="0" distL="0" distR="0">
                  <wp:extent cx="2700956" cy="2222500"/>
                  <wp:effectExtent l="0" t="0" r="4445" b="635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3682" name="Picture 12"/>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9549" cy="2237799"/>
                          </a:xfrm>
                          <a:prstGeom prst="rect">
                            <a:avLst/>
                          </a:prstGeom>
                          <a:noFill/>
                          <a:ln>
                            <a:noFill/>
                          </a:ln>
                        </pic:spPr>
                      </pic:pic>
                    </a:graphicData>
                  </a:graphic>
                </wp:inline>
              </w:drawing>
            </w:r>
          </w:p>
        </w:tc>
        <w:tc>
          <w:tcPr>
            <w:tcW w:w="4536" w:type="dxa"/>
            <w:hideMark/>
          </w:tcPr>
          <w:p w:rsidR="00442B87" w:rsidRPr="00756DA5" w:rsidP="00C844BF">
            <w:pPr>
              <w:jc w:val="left"/>
            </w:pPr>
            <w:r w:rsidRPr="00756DA5">
              <w:rPr>
                <w:noProof/>
                <w:lang w:val="fr-FR" w:eastAsia="fr-FR"/>
              </w:rPr>
              <w:drawing>
                <wp:inline distT="0" distB="0" distL="0" distR="0">
                  <wp:extent cx="2704497" cy="2222500"/>
                  <wp:effectExtent l="0" t="0" r="635" b="635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22951" name="Picture 13"/>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7571" cy="2233244"/>
                          </a:xfrm>
                          <a:prstGeom prst="rect">
                            <a:avLst/>
                          </a:prstGeom>
                          <a:noFill/>
                          <a:ln>
                            <a:noFill/>
                          </a:ln>
                        </pic:spPr>
                      </pic:pic>
                    </a:graphicData>
                  </a:graphic>
                </wp:inline>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AA5815">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AA5815" w:rsidRPr="00756DA5" w:rsidP="00AA5815">
            <w:pPr>
              <w:jc w:val="left"/>
              <w:rPr>
                <w:sz w:val="16"/>
                <w:szCs w:val="16"/>
              </w:rPr>
            </w:pPr>
            <w:r w:rsidRPr="00756DA5">
              <w:rPr>
                <w:sz w:val="16"/>
                <w:szCs w:val="16"/>
              </w:rPr>
              <w:t>PK10 : Nombre relatif de voyageurs tués par million de train-km</w:t>
            </w:r>
          </w:p>
        </w:tc>
        <w:tc>
          <w:tcPr>
            <w:tcW w:w="2271" w:type="dxa"/>
          </w:tcPr>
          <w:p w:rsidR="00AA5815" w:rsidRPr="00756DA5" w:rsidP="00AA5815">
            <w:pPr>
              <w:jc w:val="left"/>
              <w:rPr>
                <w:sz w:val="16"/>
                <w:szCs w:val="16"/>
              </w:rPr>
            </w:pPr>
            <w:r w:rsidRPr="00756DA5">
              <w:rPr>
                <w:sz w:val="16"/>
                <w:szCs w:val="16"/>
              </w:rPr>
              <w:t>PK10: Number of passengers killed per million train-km</w:t>
            </w:r>
          </w:p>
        </w:tc>
        <w:tc>
          <w:tcPr>
            <w:tcW w:w="2259" w:type="dxa"/>
          </w:tcPr>
          <w:p w:rsidR="00AA5815" w:rsidRPr="00756DA5" w:rsidP="00AA5815">
            <w:pPr>
              <w:jc w:val="left"/>
              <w:rPr>
                <w:sz w:val="16"/>
                <w:szCs w:val="16"/>
              </w:rPr>
            </w:pPr>
            <w:r w:rsidRPr="00756DA5">
              <w:rPr>
                <w:sz w:val="16"/>
                <w:szCs w:val="16"/>
              </w:rPr>
              <w:t>PK20 : Nombre relatif de voyageurs tués par million de voyageur-km</w:t>
            </w:r>
          </w:p>
        </w:tc>
        <w:tc>
          <w:tcPr>
            <w:tcW w:w="2277" w:type="dxa"/>
          </w:tcPr>
          <w:p w:rsidR="00AA5815" w:rsidRPr="00756DA5" w:rsidP="00AA5815">
            <w:pPr>
              <w:jc w:val="left"/>
              <w:rPr>
                <w:sz w:val="16"/>
                <w:szCs w:val="16"/>
              </w:rPr>
            </w:pPr>
            <w:r w:rsidRPr="00756DA5">
              <w:rPr>
                <w:sz w:val="16"/>
                <w:szCs w:val="16"/>
              </w:rPr>
              <w:t>PK20: Number of passengers killed per million passenger-km</w:t>
            </w:r>
          </w:p>
        </w:tc>
      </w:tr>
      <w:tr w:rsidTr="00AA5815">
        <w:tblPrEx>
          <w:tblW w:w="9072" w:type="dxa"/>
          <w:tblLook w:val="04A0"/>
        </w:tblPrEx>
        <w:tc>
          <w:tcPr>
            <w:tcW w:w="2265" w:type="dxa"/>
          </w:tcPr>
          <w:p w:rsidR="00AA5815" w:rsidRPr="00756DA5" w:rsidP="00AA5815">
            <w:pPr>
              <w:jc w:val="left"/>
              <w:rPr>
                <w:sz w:val="16"/>
                <w:szCs w:val="16"/>
              </w:rPr>
            </w:pPr>
            <w:r w:rsidRPr="00756DA5">
              <w:rPr>
                <w:sz w:val="16"/>
                <w:szCs w:val="16"/>
              </w:rPr>
              <w:t>Moyenne calculée sur 5 ans</w:t>
            </w:r>
          </w:p>
        </w:tc>
        <w:tc>
          <w:tcPr>
            <w:tcW w:w="2271" w:type="dxa"/>
          </w:tcPr>
          <w:p w:rsidR="00AA5815" w:rsidRPr="00756DA5" w:rsidP="00AA5815">
            <w:pPr>
              <w:jc w:val="left"/>
              <w:rPr>
                <w:sz w:val="16"/>
                <w:szCs w:val="16"/>
              </w:rPr>
            </w:pPr>
            <w:r w:rsidRPr="00756DA5">
              <w:rPr>
                <w:sz w:val="16"/>
                <w:szCs w:val="16"/>
              </w:rPr>
              <w:t>Average calculated over 5 years</w:t>
            </w:r>
          </w:p>
        </w:tc>
        <w:tc>
          <w:tcPr>
            <w:tcW w:w="2259" w:type="dxa"/>
          </w:tcPr>
          <w:p w:rsidR="00AA5815" w:rsidRPr="00756DA5" w:rsidP="00AA5815">
            <w:pPr>
              <w:jc w:val="left"/>
              <w:rPr>
                <w:sz w:val="16"/>
                <w:szCs w:val="16"/>
              </w:rPr>
            </w:pPr>
            <w:r w:rsidRPr="00756DA5">
              <w:rPr>
                <w:sz w:val="16"/>
                <w:szCs w:val="16"/>
              </w:rPr>
              <w:t>Moyenne calculée sur 5 ans</w:t>
            </w:r>
          </w:p>
        </w:tc>
        <w:tc>
          <w:tcPr>
            <w:tcW w:w="2277" w:type="dxa"/>
          </w:tcPr>
          <w:p w:rsidR="00AA5815" w:rsidRPr="00756DA5" w:rsidP="00AA5815">
            <w:pPr>
              <w:jc w:val="left"/>
              <w:rPr>
                <w:sz w:val="16"/>
                <w:szCs w:val="16"/>
              </w:rPr>
            </w:pPr>
            <w:r w:rsidRPr="00756DA5">
              <w:rPr>
                <w:sz w:val="16"/>
                <w:szCs w:val="16"/>
              </w:rPr>
              <w:t>Average calculated over 5 years</w:t>
            </w:r>
          </w:p>
        </w:tc>
      </w:tr>
      <w:tr w:rsidTr="00AA5815">
        <w:tblPrEx>
          <w:tblW w:w="9072" w:type="dxa"/>
          <w:tblLook w:val="04A0"/>
        </w:tblPrEx>
        <w:tc>
          <w:tcPr>
            <w:tcW w:w="2265" w:type="dxa"/>
          </w:tcPr>
          <w:p w:rsidR="00AA5815" w:rsidRPr="00756DA5" w:rsidP="00AA5815">
            <w:pPr>
              <w:jc w:val="left"/>
              <w:rPr>
                <w:sz w:val="16"/>
                <w:szCs w:val="16"/>
              </w:rPr>
            </w:pPr>
            <w:r w:rsidRPr="00756DA5">
              <w:rPr>
                <w:sz w:val="16"/>
                <w:szCs w:val="16"/>
              </w:rPr>
              <w:t>0,015</w:t>
            </w:r>
          </w:p>
        </w:tc>
        <w:tc>
          <w:tcPr>
            <w:tcW w:w="2271" w:type="dxa"/>
          </w:tcPr>
          <w:p w:rsidR="00AA5815" w:rsidRPr="00756DA5" w:rsidP="00AA5815">
            <w:pPr>
              <w:jc w:val="left"/>
              <w:rPr>
                <w:sz w:val="16"/>
                <w:szCs w:val="16"/>
              </w:rPr>
            </w:pPr>
            <w:r w:rsidRPr="00756DA5">
              <w:rPr>
                <w:sz w:val="16"/>
                <w:szCs w:val="16"/>
              </w:rPr>
              <w:t>0.015</w:t>
            </w:r>
          </w:p>
        </w:tc>
        <w:tc>
          <w:tcPr>
            <w:tcW w:w="2259" w:type="dxa"/>
          </w:tcPr>
          <w:p w:rsidR="00AA5815" w:rsidRPr="00756DA5" w:rsidP="00AA5815">
            <w:pPr>
              <w:jc w:val="left"/>
              <w:rPr>
                <w:sz w:val="16"/>
                <w:szCs w:val="16"/>
              </w:rPr>
            </w:pPr>
            <w:r w:rsidRPr="00756DA5">
              <w:rPr>
                <w:sz w:val="16"/>
                <w:szCs w:val="16"/>
              </w:rPr>
              <w:t>0,10</w:t>
            </w:r>
          </w:p>
        </w:tc>
        <w:tc>
          <w:tcPr>
            <w:tcW w:w="2277" w:type="dxa"/>
          </w:tcPr>
          <w:p w:rsidR="00AA5815" w:rsidRPr="00756DA5" w:rsidP="00AA5815">
            <w:pPr>
              <w:jc w:val="left"/>
              <w:rPr>
                <w:sz w:val="16"/>
                <w:szCs w:val="16"/>
              </w:rPr>
            </w:pPr>
            <w:r w:rsidRPr="00756DA5">
              <w:rPr>
                <w:sz w:val="16"/>
                <w:szCs w:val="16"/>
              </w:rPr>
              <w:t>0.10</w:t>
            </w:r>
          </w:p>
        </w:tc>
      </w:tr>
      <w:tr w:rsidTr="00AA5815">
        <w:tblPrEx>
          <w:tblW w:w="9072" w:type="dxa"/>
          <w:tblLook w:val="04A0"/>
        </w:tblPrEx>
        <w:tc>
          <w:tcPr>
            <w:tcW w:w="2265" w:type="dxa"/>
          </w:tcPr>
          <w:p w:rsidR="00AA5815" w:rsidRPr="00756DA5" w:rsidP="00AA5815">
            <w:pPr>
              <w:jc w:val="left"/>
              <w:rPr>
                <w:sz w:val="16"/>
                <w:szCs w:val="16"/>
              </w:rPr>
            </w:pPr>
            <w:r w:rsidRPr="00756DA5">
              <w:rPr>
                <w:sz w:val="16"/>
                <w:szCs w:val="16"/>
              </w:rPr>
              <w:t>0,010</w:t>
            </w:r>
          </w:p>
        </w:tc>
        <w:tc>
          <w:tcPr>
            <w:tcW w:w="2271" w:type="dxa"/>
          </w:tcPr>
          <w:p w:rsidR="00AA5815" w:rsidRPr="00756DA5" w:rsidP="00AA5815">
            <w:pPr>
              <w:jc w:val="left"/>
              <w:rPr>
                <w:sz w:val="16"/>
                <w:szCs w:val="16"/>
              </w:rPr>
            </w:pPr>
            <w:r w:rsidRPr="00756DA5">
              <w:rPr>
                <w:sz w:val="16"/>
                <w:szCs w:val="16"/>
              </w:rPr>
              <w:t>0.010</w:t>
            </w:r>
          </w:p>
        </w:tc>
        <w:tc>
          <w:tcPr>
            <w:tcW w:w="2259" w:type="dxa"/>
          </w:tcPr>
          <w:p w:rsidR="00AA5815" w:rsidRPr="00756DA5" w:rsidP="00AA5815">
            <w:pPr>
              <w:jc w:val="left"/>
              <w:rPr>
                <w:sz w:val="16"/>
                <w:szCs w:val="16"/>
              </w:rPr>
            </w:pPr>
            <w:r w:rsidRPr="00756DA5">
              <w:rPr>
                <w:sz w:val="16"/>
                <w:szCs w:val="16"/>
              </w:rPr>
              <w:t>0,09</w:t>
            </w:r>
          </w:p>
        </w:tc>
        <w:tc>
          <w:tcPr>
            <w:tcW w:w="2277" w:type="dxa"/>
          </w:tcPr>
          <w:p w:rsidR="00AA5815" w:rsidRPr="00756DA5" w:rsidP="00AA5815">
            <w:pPr>
              <w:jc w:val="left"/>
              <w:rPr>
                <w:sz w:val="16"/>
                <w:szCs w:val="16"/>
              </w:rPr>
            </w:pPr>
            <w:r w:rsidRPr="00756DA5">
              <w:rPr>
                <w:sz w:val="16"/>
                <w:szCs w:val="16"/>
              </w:rPr>
              <w:t>0.09</w:t>
            </w:r>
          </w:p>
        </w:tc>
      </w:tr>
      <w:tr w:rsidTr="00AA5815">
        <w:tblPrEx>
          <w:tblW w:w="9072" w:type="dxa"/>
          <w:tblLook w:val="04A0"/>
        </w:tblPrEx>
        <w:tc>
          <w:tcPr>
            <w:tcW w:w="2265" w:type="dxa"/>
          </w:tcPr>
          <w:p w:rsidR="00AA5815" w:rsidRPr="00756DA5" w:rsidP="00AA5815">
            <w:pPr>
              <w:jc w:val="left"/>
              <w:rPr>
                <w:sz w:val="16"/>
                <w:szCs w:val="16"/>
              </w:rPr>
            </w:pPr>
            <w:r w:rsidRPr="00756DA5">
              <w:rPr>
                <w:sz w:val="16"/>
                <w:szCs w:val="16"/>
              </w:rPr>
              <w:t>0,005</w:t>
            </w:r>
          </w:p>
        </w:tc>
        <w:tc>
          <w:tcPr>
            <w:tcW w:w="2271" w:type="dxa"/>
          </w:tcPr>
          <w:p w:rsidR="00AA5815" w:rsidRPr="00756DA5" w:rsidP="00AA5815">
            <w:pPr>
              <w:jc w:val="left"/>
              <w:rPr>
                <w:sz w:val="16"/>
                <w:szCs w:val="16"/>
              </w:rPr>
            </w:pPr>
            <w:r w:rsidRPr="00756DA5">
              <w:rPr>
                <w:sz w:val="16"/>
                <w:szCs w:val="16"/>
              </w:rPr>
              <w:t>0.005</w:t>
            </w:r>
          </w:p>
        </w:tc>
        <w:tc>
          <w:tcPr>
            <w:tcW w:w="2259" w:type="dxa"/>
          </w:tcPr>
          <w:p w:rsidR="00AA5815" w:rsidRPr="00756DA5" w:rsidP="00AA5815">
            <w:pPr>
              <w:jc w:val="left"/>
              <w:rPr>
                <w:sz w:val="16"/>
                <w:szCs w:val="16"/>
              </w:rPr>
            </w:pPr>
            <w:r w:rsidRPr="00756DA5">
              <w:rPr>
                <w:sz w:val="16"/>
                <w:szCs w:val="16"/>
              </w:rPr>
              <w:t>0,08</w:t>
            </w:r>
          </w:p>
        </w:tc>
        <w:tc>
          <w:tcPr>
            <w:tcW w:w="2277" w:type="dxa"/>
          </w:tcPr>
          <w:p w:rsidR="00AA5815" w:rsidRPr="00756DA5" w:rsidP="00AA5815">
            <w:pPr>
              <w:jc w:val="left"/>
              <w:rPr>
                <w:sz w:val="16"/>
                <w:szCs w:val="16"/>
              </w:rPr>
            </w:pPr>
            <w:r w:rsidRPr="00756DA5">
              <w:rPr>
                <w:sz w:val="16"/>
                <w:szCs w:val="16"/>
              </w:rPr>
              <w:t>0.08</w:t>
            </w:r>
          </w:p>
        </w:tc>
      </w:tr>
      <w:tr w:rsidTr="00AA5815">
        <w:tblPrEx>
          <w:tblW w:w="9072" w:type="dxa"/>
          <w:tblLook w:val="04A0"/>
        </w:tblPrEx>
        <w:tc>
          <w:tcPr>
            <w:tcW w:w="2265" w:type="dxa"/>
          </w:tcPr>
          <w:p w:rsidR="00AA5815" w:rsidRPr="00756DA5" w:rsidP="00AA5815">
            <w:pPr>
              <w:jc w:val="left"/>
              <w:rPr>
                <w:sz w:val="16"/>
                <w:szCs w:val="16"/>
              </w:rPr>
            </w:pPr>
            <w:r w:rsidRPr="00756DA5">
              <w:rPr>
                <w:sz w:val="16"/>
                <w:szCs w:val="16"/>
              </w:rPr>
              <w:t>0,000</w:t>
            </w:r>
          </w:p>
        </w:tc>
        <w:tc>
          <w:tcPr>
            <w:tcW w:w="2271" w:type="dxa"/>
          </w:tcPr>
          <w:p w:rsidR="00AA5815" w:rsidRPr="00756DA5" w:rsidP="00AA5815">
            <w:pPr>
              <w:jc w:val="left"/>
              <w:rPr>
                <w:sz w:val="16"/>
                <w:szCs w:val="16"/>
              </w:rPr>
            </w:pPr>
            <w:r w:rsidRPr="00756DA5">
              <w:rPr>
                <w:sz w:val="16"/>
                <w:szCs w:val="16"/>
              </w:rPr>
              <w:t>0.000</w:t>
            </w:r>
          </w:p>
        </w:tc>
        <w:tc>
          <w:tcPr>
            <w:tcW w:w="2259" w:type="dxa"/>
          </w:tcPr>
          <w:p w:rsidR="00AA5815" w:rsidRPr="00756DA5" w:rsidP="00AA5815">
            <w:pPr>
              <w:jc w:val="left"/>
              <w:rPr>
                <w:sz w:val="16"/>
                <w:szCs w:val="16"/>
              </w:rPr>
            </w:pPr>
            <w:r w:rsidRPr="00756DA5">
              <w:rPr>
                <w:sz w:val="16"/>
                <w:szCs w:val="16"/>
              </w:rPr>
              <w:t>0,07</w:t>
            </w:r>
          </w:p>
        </w:tc>
        <w:tc>
          <w:tcPr>
            <w:tcW w:w="2277" w:type="dxa"/>
          </w:tcPr>
          <w:p w:rsidR="00AA5815" w:rsidRPr="00756DA5" w:rsidP="00AA5815">
            <w:pPr>
              <w:jc w:val="left"/>
              <w:rPr>
                <w:sz w:val="16"/>
                <w:szCs w:val="16"/>
              </w:rPr>
            </w:pPr>
            <w:r w:rsidRPr="00756DA5">
              <w:rPr>
                <w:sz w:val="16"/>
                <w:szCs w:val="16"/>
              </w:rPr>
              <w:t>0.07</w:t>
            </w:r>
          </w:p>
        </w:tc>
      </w:tr>
      <w:tr w:rsidTr="00AA5815">
        <w:tblPrEx>
          <w:tblW w:w="9072" w:type="dxa"/>
          <w:tblLook w:val="04A0"/>
        </w:tblPrEx>
        <w:tc>
          <w:tcPr>
            <w:tcW w:w="2265" w:type="dxa"/>
          </w:tcPr>
          <w:p w:rsidR="00AA5815" w:rsidRPr="00756DA5" w:rsidP="00AA5815">
            <w:pPr>
              <w:jc w:val="left"/>
              <w:rPr>
                <w:sz w:val="16"/>
                <w:szCs w:val="16"/>
              </w:rPr>
            </w:pPr>
            <w:r w:rsidRPr="00756DA5">
              <w:rPr>
                <w:sz w:val="16"/>
                <w:szCs w:val="16"/>
              </w:rPr>
              <w:t>0,008</w:t>
            </w:r>
          </w:p>
        </w:tc>
        <w:tc>
          <w:tcPr>
            <w:tcW w:w="2271" w:type="dxa"/>
          </w:tcPr>
          <w:p w:rsidR="00AA5815" w:rsidRPr="00756DA5" w:rsidP="00AA5815">
            <w:pPr>
              <w:jc w:val="left"/>
              <w:rPr>
                <w:sz w:val="16"/>
                <w:szCs w:val="16"/>
              </w:rPr>
            </w:pPr>
            <w:r w:rsidRPr="00756DA5">
              <w:rPr>
                <w:sz w:val="16"/>
                <w:szCs w:val="16"/>
              </w:rPr>
              <w:t>0.008</w:t>
            </w:r>
          </w:p>
        </w:tc>
        <w:tc>
          <w:tcPr>
            <w:tcW w:w="2259" w:type="dxa"/>
          </w:tcPr>
          <w:p w:rsidR="00AA5815" w:rsidRPr="00756DA5" w:rsidP="00AA5815">
            <w:pPr>
              <w:jc w:val="left"/>
              <w:rPr>
                <w:sz w:val="16"/>
                <w:szCs w:val="16"/>
              </w:rPr>
            </w:pPr>
            <w:r w:rsidRPr="00756DA5">
              <w:rPr>
                <w:sz w:val="16"/>
                <w:szCs w:val="16"/>
              </w:rPr>
              <w:t>0,06</w:t>
            </w:r>
          </w:p>
        </w:tc>
        <w:tc>
          <w:tcPr>
            <w:tcW w:w="2277" w:type="dxa"/>
          </w:tcPr>
          <w:p w:rsidR="00AA5815" w:rsidRPr="00756DA5" w:rsidP="00AA5815">
            <w:pPr>
              <w:jc w:val="left"/>
              <w:rPr>
                <w:sz w:val="16"/>
                <w:szCs w:val="16"/>
              </w:rPr>
            </w:pPr>
            <w:r w:rsidRPr="00756DA5">
              <w:rPr>
                <w:sz w:val="16"/>
                <w:szCs w:val="16"/>
              </w:rPr>
              <w:t>0.06</w:t>
            </w:r>
          </w:p>
        </w:tc>
      </w:tr>
      <w:tr w:rsidTr="00AA5815">
        <w:tblPrEx>
          <w:tblW w:w="9072" w:type="dxa"/>
          <w:tblLook w:val="04A0"/>
        </w:tblPrEx>
        <w:tc>
          <w:tcPr>
            <w:tcW w:w="2265" w:type="dxa"/>
          </w:tcPr>
          <w:p w:rsidR="00AA5815" w:rsidRPr="00756DA5" w:rsidP="00AA5815">
            <w:pPr>
              <w:jc w:val="left"/>
              <w:rPr>
                <w:sz w:val="16"/>
                <w:szCs w:val="16"/>
              </w:rPr>
            </w:pPr>
            <w:r w:rsidRPr="00756DA5">
              <w:rPr>
                <w:sz w:val="16"/>
                <w:szCs w:val="16"/>
              </w:rPr>
              <w:t>0,006</w:t>
            </w:r>
          </w:p>
        </w:tc>
        <w:tc>
          <w:tcPr>
            <w:tcW w:w="2271" w:type="dxa"/>
          </w:tcPr>
          <w:p w:rsidR="00AA5815" w:rsidRPr="00756DA5" w:rsidP="00AA5815">
            <w:pPr>
              <w:jc w:val="left"/>
              <w:rPr>
                <w:sz w:val="16"/>
                <w:szCs w:val="16"/>
              </w:rPr>
            </w:pPr>
            <w:r w:rsidRPr="00756DA5">
              <w:rPr>
                <w:sz w:val="16"/>
                <w:szCs w:val="16"/>
              </w:rPr>
              <w:t>0.006</w:t>
            </w:r>
          </w:p>
        </w:tc>
        <w:tc>
          <w:tcPr>
            <w:tcW w:w="2259" w:type="dxa"/>
          </w:tcPr>
          <w:p w:rsidR="00AA5815" w:rsidRPr="00756DA5" w:rsidP="00AA5815">
            <w:pPr>
              <w:jc w:val="left"/>
              <w:rPr>
                <w:sz w:val="16"/>
                <w:szCs w:val="16"/>
              </w:rPr>
            </w:pPr>
            <w:r w:rsidRPr="00756DA5">
              <w:rPr>
                <w:sz w:val="16"/>
                <w:szCs w:val="16"/>
              </w:rPr>
              <w:t>0,05</w:t>
            </w:r>
          </w:p>
        </w:tc>
        <w:tc>
          <w:tcPr>
            <w:tcW w:w="2277" w:type="dxa"/>
          </w:tcPr>
          <w:p w:rsidR="00AA5815" w:rsidRPr="00756DA5" w:rsidP="00AA5815">
            <w:pPr>
              <w:jc w:val="left"/>
              <w:rPr>
                <w:sz w:val="16"/>
                <w:szCs w:val="16"/>
              </w:rPr>
            </w:pPr>
            <w:r w:rsidRPr="00756DA5">
              <w:rPr>
                <w:sz w:val="16"/>
                <w:szCs w:val="16"/>
              </w:rPr>
              <w:t>0.05</w:t>
            </w:r>
          </w:p>
        </w:tc>
      </w:tr>
      <w:tr w:rsidTr="00AA5815">
        <w:tblPrEx>
          <w:tblW w:w="9072" w:type="dxa"/>
          <w:tblLook w:val="04A0"/>
        </w:tblPrEx>
        <w:tc>
          <w:tcPr>
            <w:tcW w:w="2265" w:type="dxa"/>
          </w:tcPr>
          <w:p w:rsidR="00AA5815" w:rsidRPr="00756DA5" w:rsidP="00AA5815">
            <w:pPr>
              <w:jc w:val="left"/>
              <w:rPr>
                <w:sz w:val="16"/>
                <w:szCs w:val="16"/>
              </w:rPr>
            </w:pPr>
            <w:r w:rsidRPr="00756DA5">
              <w:rPr>
                <w:sz w:val="16"/>
                <w:szCs w:val="16"/>
              </w:rPr>
              <w:t>0,007</w:t>
            </w:r>
          </w:p>
        </w:tc>
        <w:tc>
          <w:tcPr>
            <w:tcW w:w="2271" w:type="dxa"/>
          </w:tcPr>
          <w:p w:rsidR="00AA5815" w:rsidRPr="00756DA5" w:rsidP="00AA5815">
            <w:pPr>
              <w:jc w:val="left"/>
              <w:rPr>
                <w:sz w:val="16"/>
                <w:szCs w:val="16"/>
              </w:rPr>
            </w:pPr>
            <w:r w:rsidRPr="00756DA5">
              <w:rPr>
                <w:sz w:val="16"/>
                <w:szCs w:val="16"/>
              </w:rPr>
              <w:t>0.007</w:t>
            </w:r>
          </w:p>
        </w:tc>
        <w:tc>
          <w:tcPr>
            <w:tcW w:w="2259" w:type="dxa"/>
          </w:tcPr>
          <w:p w:rsidR="00AA5815" w:rsidRPr="00756DA5" w:rsidP="00AA5815">
            <w:pPr>
              <w:jc w:val="left"/>
              <w:rPr>
                <w:sz w:val="16"/>
                <w:szCs w:val="16"/>
              </w:rPr>
            </w:pPr>
            <w:r w:rsidRPr="00756DA5">
              <w:rPr>
                <w:sz w:val="16"/>
                <w:szCs w:val="16"/>
              </w:rPr>
              <w:t>0,04</w:t>
            </w:r>
          </w:p>
        </w:tc>
        <w:tc>
          <w:tcPr>
            <w:tcW w:w="2277" w:type="dxa"/>
          </w:tcPr>
          <w:p w:rsidR="00AA5815" w:rsidRPr="00756DA5" w:rsidP="00AA5815">
            <w:pPr>
              <w:jc w:val="left"/>
              <w:rPr>
                <w:sz w:val="16"/>
                <w:szCs w:val="16"/>
              </w:rPr>
            </w:pPr>
            <w:r w:rsidRPr="00756DA5">
              <w:rPr>
                <w:sz w:val="16"/>
                <w:szCs w:val="16"/>
              </w:rPr>
              <w:t>0.04</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0,03</w:t>
            </w:r>
          </w:p>
        </w:tc>
        <w:tc>
          <w:tcPr>
            <w:tcW w:w="2277" w:type="dxa"/>
          </w:tcPr>
          <w:p w:rsidR="00AA5815" w:rsidRPr="00756DA5" w:rsidP="00AA5815">
            <w:pPr>
              <w:jc w:val="left"/>
              <w:rPr>
                <w:sz w:val="16"/>
                <w:szCs w:val="16"/>
              </w:rPr>
            </w:pPr>
            <w:r w:rsidRPr="00756DA5">
              <w:rPr>
                <w:sz w:val="16"/>
                <w:szCs w:val="16"/>
              </w:rPr>
              <w:t>0.03</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0,02</w:t>
            </w:r>
          </w:p>
        </w:tc>
        <w:tc>
          <w:tcPr>
            <w:tcW w:w="2277" w:type="dxa"/>
          </w:tcPr>
          <w:p w:rsidR="00AA5815" w:rsidRPr="00756DA5" w:rsidP="00AA5815">
            <w:pPr>
              <w:jc w:val="left"/>
              <w:rPr>
                <w:sz w:val="16"/>
                <w:szCs w:val="16"/>
              </w:rPr>
            </w:pPr>
            <w:r w:rsidRPr="00756DA5">
              <w:rPr>
                <w:sz w:val="16"/>
                <w:szCs w:val="16"/>
              </w:rPr>
              <w:t>0.02</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0,01</w:t>
            </w:r>
          </w:p>
        </w:tc>
        <w:tc>
          <w:tcPr>
            <w:tcW w:w="2277" w:type="dxa"/>
          </w:tcPr>
          <w:p w:rsidR="00AA5815" w:rsidRPr="00756DA5" w:rsidP="00AA5815">
            <w:pPr>
              <w:jc w:val="left"/>
              <w:rPr>
                <w:sz w:val="16"/>
                <w:szCs w:val="16"/>
              </w:rPr>
            </w:pPr>
            <w:r w:rsidRPr="00756DA5">
              <w:rPr>
                <w:sz w:val="16"/>
                <w:szCs w:val="16"/>
              </w:rPr>
              <w:t>0.01</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0,00</w:t>
            </w:r>
          </w:p>
        </w:tc>
        <w:tc>
          <w:tcPr>
            <w:tcW w:w="2277" w:type="dxa"/>
          </w:tcPr>
          <w:p w:rsidR="00AA5815" w:rsidRPr="00756DA5" w:rsidP="00AA5815">
            <w:pPr>
              <w:jc w:val="left"/>
              <w:rPr>
                <w:sz w:val="16"/>
                <w:szCs w:val="16"/>
              </w:rPr>
            </w:pPr>
            <w:r w:rsidRPr="00756DA5">
              <w:rPr>
                <w:sz w:val="16"/>
                <w:szCs w:val="16"/>
              </w:rPr>
              <w:t>0.00</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0,050</w:t>
            </w:r>
          </w:p>
        </w:tc>
        <w:tc>
          <w:tcPr>
            <w:tcW w:w="2277" w:type="dxa"/>
          </w:tcPr>
          <w:p w:rsidR="00AA5815" w:rsidRPr="00756DA5" w:rsidP="00AA5815">
            <w:pPr>
              <w:jc w:val="left"/>
              <w:rPr>
                <w:sz w:val="16"/>
                <w:szCs w:val="16"/>
              </w:rPr>
            </w:pPr>
            <w:r w:rsidRPr="00756DA5">
              <w:rPr>
                <w:sz w:val="16"/>
                <w:szCs w:val="16"/>
              </w:rPr>
              <w:t>0.050</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0,033</w:t>
            </w:r>
          </w:p>
        </w:tc>
        <w:tc>
          <w:tcPr>
            <w:tcW w:w="2277" w:type="dxa"/>
          </w:tcPr>
          <w:p w:rsidR="00AA5815" w:rsidRPr="00756DA5" w:rsidP="00AA5815">
            <w:pPr>
              <w:jc w:val="left"/>
              <w:rPr>
                <w:sz w:val="16"/>
                <w:szCs w:val="16"/>
              </w:rPr>
            </w:pPr>
            <w:r w:rsidRPr="00756DA5">
              <w:rPr>
                <w:sz w:val="16"/>
                <w:szCs w:val="16"/>
              </w:rPr>
              <w:t>0.033</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0,040</w:t>
            </w:r>
          </w:p>
        </w:tc>
        <w:tc>
          <w:tcPr>
            <w:tcW w:w="2277" w:type="dxa"/>
          </w:tcPr>
          <w:p w:rsidR="00AA5815" w:rsidRPr="00756DA5" w:rsidP="00AA5815">
            <w:pPr>
              <w:jc w:val="left"/>
              <w:rPr>
                <w:sz w:val="16"/>
                <w:szCs w:val="16"/>
              </w:rPr>
            </w:pPr>
            <w:r w:rsidRPr="00756DA5">
              <w:rPr>
                <w:sz w:val="16"/>
                <w:szCs w:val="16"/>
              </w:rPr>
              <w:t>0.040</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0,028</w:t>
            </w:r>
          </w:p>
        </w:tc>
        <w:tc>
          <w:tcPr>
            <w:tcW w:w="2277" w:type="dxa"/>
          </w:tcPr>
          <w:p w:rsidR="00AA5815" w:rsidRPr="00756DA5" w:rsidP="00AA5815">
            <w:pPr>
              <w:jc w:val="left"/>
              <w:rPr>
                <w:sz w:val="16"/>
                <w:szCs w:val="16"/>
              </w:rPr>
            </w:pPr>
            <w:r w:rsidRPr="00756DA5">
              <w:rPr>
                <w:sz w:val="16"/>
                <w:szCs w:val="16"/>
              </w:rPr>
              <w:t>0.028</w:t>
            </w:r>
          </w:p>
        </w:tc>
      </w:tr>
      <w:tr w:rsidTr="00AA5815">
        <w:tblPrEx>
          <w:tblW w:w="9072" w:type="dxa"/>
          <w:tblLook w:val="04A0"/>
        </w:tblPrEx>
        <w:tc>
          <w:tcPr>
            <w:tcW w:w="2265" w:type="dxa"/>
          </w:tcPr>
          <w:p w:rsidR="00AA5815" w:rsidRPr="00756DA5" w:rsidP="00AA5815">
            <w:pPr>
              <w:jc w:val="left"/>
              <w:rPr>
                <w:sz w:val="16"/>
                <w:szCs w:val="16"/>
              </w:rPr>
            </w:pPr>
          </w:p>
        </w:tc>
        <w:tc>
          <w:tcPr>
            <w:tcW w:w="2271" w:type="dxa"/>
          </w:tcPr>
          <w:p w:rsidR="00AA5815" w:rsidRPr="00756DA5" w:rsidP="00AA5815">
            <w:pPr>
              <w:jc w:val="left"/>
              <w:rPr>
                <w:sz w:val="16"/>
                <w:szCs w:val="16"/>
              </w:rPr>
            </w:pPr>
          </w:p>
        </w:tc>
        <w:tc>
          <w:tcPr>
            <w:tcW w:w="2259" w:type="dxa"/>
          </w:tcPr>
          <w:p w:rsidR="00AA5815" w:rsidRPr="00756DA5" w:rsidP="00AA5815">
            <w:pPr>
              <w:jc w:val="left"/>
              <w:rPr>
                <w:sz w:val="16"/>
                <w:szCs w:val="16"/>
              </w:rPr>
            </w:pPr>
            <w:r w:rsidRPr="00756DA5">
              <w:rPr>
                <w:sz w:val="16"/>
                <w:szCs w:val="16"/>
              </w:rPr>
              <w:t>0,026</w:t>
            </w:r>
          </w:p>
        </w:tc>
        <w:tc>
          <w:tcPr>
            <w:tcW w:w="2277" w:type="dxa"/>
          </w:tcPr>
          <w:p w:rsidR="00AA5815" w:rsidRPr="00756DA5" w:rsidP="00AA5815">
            <w:pPr>
              <w:jc w:val="left"/>
              <w:rPr>
                <w:sz w:val="16"/>
                <w:szCs w:val="16"/>
              </w:rPr>
            </w:pPr>
            <w:r w:rsidRPr="00756DA5">
              <w:rPr>
                <w:sz w:val="16"/>
                <w:szCs w:val="16"/>
              </w:rPr>
              <w:t>0.026</w:t>
            </w:r>
          </w:p>
        </w:tc>
      </w:tr>
    </w:tbl>
    <w:tbl>
      <w:tblPr>
        <w:tblW w:w="0" w:type="auto"/>
        <w:tblLook w:val="04A0"/>
      </w:tblPr>
      <w:tblGrid>
        <w:gridCol w:w="4536"/>
        <w:gridCol w:w="4536"/>
      </w:tblGrid>
      <w:tr w:rsidTr="003810A0">
        <w:tblPrEx>
          <w:tblW w:w="0" w:type="auto"/>
          <w:tblLook w:val="04A0"/>
        </w:tblPrEx>
        <w:tc>
          <w:tcPr>
            <w:tcW w:w="4536" w:type="dxa"/>
            <w:hideMark/>
          </w:tcPr>
          <w:p w:rsidR="00442B87" w:rsidRPr="00756DA5" w:rsidP="00380326">
            <w:pPr>
              <w:keepNext/>
              <w:jc w:val="left"/>
            </w:pPr>
            <w:r w:rsidRPr="00756DA5">
              <w:rPr>
                <w:noProof/>
                <w:lang w:val="fr-FR" w:eastAsia="fr-FR"/>
              </w:rPr>
              <w:drawing>
                <wp:inline distT="0" distB="0" distL="0" distR="0">
                  <wp:extent cx="2687498" cy="2208530"/>
                  <wp:effectExtent l="0" t="0" r="0" b="127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45182" name="Picture 14"/>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9037" cy="2218012"/>
                          </a:xfrm>
                          <a:prstGeom prst="rect">
                            <a:avLst/>
                          </a:prstGeom>
                          <a:noFill/>
                          <a:ln>
                            <a:noFill/>
                          </a:ln>
                        </pic:spPr>
                      </pic:pic>
                    </a:graphicData>
                  </a:graphic>
                </wp:inline>
              </w:drawing>
            </w:r>
          </w:p>
        </w:tc>
        <w:tc>
          <w:tcPr>
            <w:tcW w:w="4536" w:type="dxa"/>
            <w:hideMark/>
          </w:tcPr>
          <w:p w:rsidR="00442B87" w:rsidRPr="00756DA5" w:rsidP="00380326">
            <w:pPr>
              <w:keepNext/>
              <w:jc w:val="left"/>
            </w:pPr>
            <w:r w:rsidRPr="00756DA5">
              <w:rPr>
                <w:noProof/>
                <w:lang w:val="fr-FR" w:eastAsia="fr-FR"/>
              </w:rPr>
              <w:drawing>
                <wp:inline distT="0" distB="0" distL="0" distR="0">
                  <wp:extent cx="2697810" cy="2208530"/>
                  <wp:effectExtent l="0" t="0" r="7620" b="127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77903" name="Picture 15"/>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9667" cy="2218237"/>
                          </a:xfrm>
                          <a:prstGeom prst="rect">
                            <a:avLst/>
                          </a:prstGeom>
                          <a:noFill/>
                          <a:ln>
                            <a:noFill/>
                          </a:ln>
                        </pic:spPr>
                      </pic:pic>
                    </a:graphicData>
                  </a:graphic>
                </wp:inline>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FA5017">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6874A9" w:rsidRPr="00756DA5" w:rsidP="00380326">
            <w:pPr>
              <w:keepNext/>
              <w:jc w:val="left"/>
              <w:rPr>
                <w:sz w:val="16"/>
                <w:szCs w:val="16"/>
              </w:rPr>
            </w:pPr>
            <w:r w:rsidRPr="00756DA5">
              <w:rPr>
                <w:sz w:val="16"/>
                <w:szCs w:val="16"/>
              </w:rPr>
              <w:t>SK10 : Nombre relatif d’employés tués par de train-km</w:t>
            </w:r>
          </w:p>
        </w:tc>
        <w:tc>
          <w:tcPr>
            <w:tcW w:w="2271" w:type="dxa"/>
          </w:tcPr>
          <w:p w:rsidR="006874A9" w:rsidRPr="00756DA5" w:rsidP="00380326">
            <w:pPr>
              <w:keepNext/>
              <w:jc w:val="left"/>
              <w:rPr>
                <w:sz w:val="16"/>
                <w:szCs w:val="16"/>
              </w:rPr>
            </w:pPr>
            <w:r w:rsidRPr="00756DA5">
              <w:rPr>
                <w:sz w:val="16"/>
                <w:szCs w:val="16"/>
              </w:rPr>
              <w:t>SK10: Number of employees killed per million train-km</w:t>
            </w:r>
          </w:p>
        </w:tc>
        <w:tc>
          <w:tcPr>
            <w:tcW w:w="2259" w:type="dxa"/>
          </w:tcPr>
          <w:p w:rsidR="006874A9" w:rsidRPr="00756DA5" w:rsidP="00380326">
            <w:pPr>
              <w:keepNext/>
              <w:jc w:val="left"/>
              <w:rPr>
                <w:sz w:val="16"/>
                <w:szCs w:val="16"/>
              </w:rPr>
            </w:pPr>
            <w:r w:rsidRPr="00756DA5">
              <w:rPr>
                <w:sz w:val="16"/>
                <w:szCs w:val="16"/>
              </w:rPr>
              <w:t>LK10 : Nombre relatif d’usagers de PN tués par million de train-km</w:t>
            </w:r>
          </w:p>
        </w:tc>
        <w:tc>
          <w:tcPr>
            <w:tcW w:w="2277" w:type="dxa"/>
          </w:tcPr>
          <w:p w:rsidR="006874A9" w:rsidRPr="00756DA5" w:rsidP="00380326">
            <w:pPr>
              <w:keepNext/>
              <w:jc w:val="left"/>
              <w:rPr>
                <w:sz w:val="16"/>
                <w:szCs w:val="16"/>
              </w:rPr>
            </w:pPr>
            <w:r w:rsidRPr="00756DA5">
              <w:rPr>
                <w:sz w:val="16"/>
                <w:szCs w:val="16"/>
              </w:rPr>
              <w:t>LK10: Number of LC users killed per million train-km</w:t>
            </w:r>
          </w:p>
        </w:tc>
      </w:tr>
      <w:tr w:rsidTr="00FA5017">
        <w:tblPrEx>
          <w:tblW w:w="9072" w:type="dxa"/>
          <w:tblLook w:val="04A0"/>
        </w:tblPrEx>
        <w:tc>
          <w:tcPr>
            <w:tcW w:w="2265" w:type="dxa"/>
          </w:tcPr>
          <w:p w:rsidR="006874A9" w:rsidRPr="00756DA5" w:rsidP="00380326">
            <w:pPr>
              <w:keepNext/>
              <w:jc w:val="left"/>
              <w:rPr>
                <w:sz w:val="16"/>
                <w:szCs w:val="16"/>
              </w:rPr>
            </w:pPr>
            <w:r w:rsidRPr="00756DA5">
              <w:rPr>
                <w:sz w:val="16"/>
                <w:szCs w:val="16"/>
              </w:rPr>
              <w:t>Moyenne calculée sur 5 ans</w:t>
            </w:r>
          </w:p>
        </w:tc>
        <w:tc>
          <w:tcPr>
            <w:tcW w:w="2271" w:type="dxa"/>
          </w:tcPr>
          <w:p w:rsidR="006874A9" w:rsidRPr="00756DA5" w:rsidP="00380326">
            <w:pPr>
              <w:keepNext/>
              <w:jc w:val="left"/>
              <w:rPr>
                <w:sz w:val="16"/>
                <w:szCs w:val="16"/>
              </w:rPr>
            </w:pPr>
            <w:r w:rsidRPr="00756DA5">
              <w:rPr>
                <w:sz w:val="16"/>
                <w:szCs w:val="16"/>
              </w:rPr>
              <w:t>Average calculated over 5 years</w:t>
            </w:r>
          </w:p>
        </w:tc>
        <w:tc>
          <w:tcPr>
            <w:tcW w:w="2259" w:type="dxa"/>
          </w:tcPr>
          <w:p w:rsidR="006874A9" w:rsidRPr="00756DA5" w:rsidP="00380326">
            <w:pPr>
              <w:keepNext/>
              <w:jc w:val="left"/>
              <w:rPr>
                <w:sz w:val="16"/>
                <w:szCs w:val="16"/>
              </w:rPr>
            </w:pPr>
            <w:r w:rsidRPr="00756DA5">
              <w:rPr>
                <w:sz w:val="16"/>
                <w:szCs w:val="16"/>
              </w:rPr>
              <w:t>Moyenne calculée sur 5 ans</w:t>
            </w:r>
          </w:p>
        </w:tc>
        <w:tc>
          <w:tcPr>
            <w:tcW w:w="2277" w:type="dxa"/>
          </w:tcPr>
          <w:p w:rsidR="006874A9" w:rsidRPr="00756DA5" w:rsidP="00380326">
            <w:pPr>
              <w:keepNext/>
              <w:jc w:val="left"/>
              <w:rPr>
                <w:sz w:val="16"/>
                <w:szCs w:val="16"/>
              </w:rPr>
            </w:pPr>
            <w:r w:rsidRPr="00756DA5">
              <w:rPr>
                <w:sz w:val="16"/>
                <w:szCs w:val="16"/>
              </w:rPr>
              <w:t>Average calculated over 5 years</w:t>
            </w:r>
          </w:p>
        </w:tc>
      </w:tr>
      <w:tr w:rsidTr="00FA5017">
        <w:tblPrEx>
          <w:tblW w:w="9072" w:type="dxa"/>
          <w:tblLook w:val="04A0"/>
        </w:tblPrEx>
        <w:tc>
          <w:tcPr>
            <w:tcW w:w="2265" w:type="dxa"/>
          </w:tcPr>
          <w:p w:rsidR="006874A9" w:rsidRPr="00756DA5" w:rsidP="00380326">
            <w:pPr>
              <w:keepNext/>
              <w:jc w:val="left"/>
              <w:rPr>
                <w:sz w:val="16"/>
                <w:szCs w:val="16"/>
              </w:rPr>
            </w:pPr>
            <w:r w:rsidRPr="00756DA5">
              <w:rPr>
                <w:sz w:val="16"/>
                <w:szCs w:val="16"/>
              </w:rPr>
              <w:t>0,006</w:t>
            </w:r>
          </w:p>
        </w:tc>
        <w:tc>
          <w:tcPr>
            <w:tcW w:w="2271" w:type="dxa"/>
          </w:tcPr>
          <w:p w:rsidR="006874A9" w:rsidRPr="00756DA5" w:rsidP="00380326">
            <w:pPr>
              <w:keepNext/>
              <w:jc w:val="left"/>
              <w:rPr>
                <w:sz w:val="16"/>
                <w:szCs w:val="16"/>
              </w:rPr>
            </w:pPr>
            <w:r w:rsidRPr="00756DA5">
              <w:rPr>
                <w:sz w:val="16"/>
                <w:szCs w:val="16"/>
              </w:rPr>
              <w:t>0.006</w:t>
            </w:r>
          </w:p>
        </w:tc>
        <w:tc>
          <w:tcPr>
            <w:tcW w:w="2259" w:type="dxa"/>
          </w:tcPr>
          <w:p w:rsidR="006874A9" w:rsidRPr="00756DA5" w:rsidP="00380326">
            <w:pPr>
              <w:keepNext/>
              <w:jc w:val="left"/>
              <w:rPr>
                <w:sz w:val="16"/>
                <w:szCs w:val="16"/>
              </w:rPr>
            </w:pPr>
            <w:r w:rsidRPr="00756DA5">
              <w:rPr>
                <w:sz w:val="16"/>
                <w:szCs w:val="16"/>
              </w:rPr>
              <w:t>0,08</w:t>
            </w:r>
          </w:p>
        </w:tc>
        <w:tc>
          <w:tcPr>
            <w:tcW w:w="2277" w:type="dxa"/>
          </w:tcPr>
          <w:p w:rsidR="006874A9" w:rsidRPr="00756DA5" w:rsidP="00380326">
            <w:pPr>
              <w:keepNext/>
              <w:jc w:val="left"/>
              <w:rPr>
                <w:sz w:val="16"/>
                <w:szCs w:val="16"/>
              </w:rPr>
            </w:pPr>
            <w:r w:rsidRPr="00756DA5">
              <w:rPr>
                <w:sz w:val="16"/>
                <w:szCs w:val="16"/>
              </w:rPr>
              <w:t>0.08</w:t>
            </w:r>
          </w:p>
        </w:tc>
      </w:tr>
      <w:tr w:rsidTr="00FA5017">
        <w:tblPrEx>
          <w:tblW w:w="9072" w:type="dxa"/>
          <w:tblLook w:val="04A0"/>
        </w:tblPrEx>
        <w:tc>
          <w:tcPr>
            <w:tcW w:w="2265" w:type="dxa"/>
          </w:tcPr>
          <w:p w:rsidR="006874A9" w:rsidRPr="00756DA5" w:rsidP="00380326">
            <w:pPr>
              <w:keepNext/>
              <w:jc w:val="left"/>
              <w:rPr>
                <w:sz w:val="16"/>
                <w:szCs w:val="16"/>
              </w:rPr>
            </w:pPr>
            <w:r w:rsidRPr="00756DA5">
              <w:rPr>
                <w:sz w:val="16"/>
                <w:szCs w:val="16"/>
              </w:rPr>
              <w:t>0,004</w:t>
            </w:r>
          </w:p>
        </w:tc>
        <w:tc>
          <w:tcPr>
            <w:tcW w:w="2271" w:type="dxa"/>
          </w:tcPr>
          <w:p w:rsidR="006874A9" w:rsidRPr="00756DA5" w:rsidP="00380326">
            <w:pPr>
              <w:keepNext/>
              <w:jc w:val="left"/>
              <w:rPr>
                <w:sz w:val="16"/>
                <w:szCs w:val="16"/>
              </w:rPr>
            </w:pPr>
            <w:r w:rsidRPr="00756DA5">
              <w:rPr>
                <w:sz w:val="16"/>
                <w:szCs w:val="16"/>
              </w:rPr>
              <w:t>0.004</w:t>
            </w:r>
          </w:p>
        </w:tc>
        <w:tc>
          <w:tcPr>
            <w:tcW w:w="2259" w:type="dxa"/>
          </w:tcPr>
          <w:p w:rsidR="006874A9" w:rsidRPr="00756DA5" w:rsidP="00380326">
            <w:pPr>
              <w:keepNext/>
              <w:jc w:val="left"/>
              <w:rPr>
                <w:sz w:val="16"/>
                <w:szCs w:val="16"/>
              </w:rPr>
            </w:pPr>
            <w:r w:rsidRPr="00756DA5">
              <w:rPr>
                <w:sz w:val="16"/>
                <w:szCs w:val="16"/>
              </w:rPr>
              <w:t>0,06</w:t>
            </w:r>
          </w:p>
        </w:tc>
        <w:tc>
          <w:tcPr>
            <w:tcW w:w="2277" w:type="dxa"/>
          </w:tcPr>
          <w:p w:rsidR="006874A9" w:rsidRPr="00756DA5" w:rsidP="00380326">
            <w:pPr>
              <w:keepNext/>
              <w:jc w:val="left"/>
              <w:rPr>
                <w:sz w:val="16"/>
                <w:szCs w:val="16"/>
              </w:rPr>
            </w:pPr>
            <w:r w:rsidRPr="00756DA5">
              <w:rPr>
                <w:sz w:val="16"/>
                <w:szCs w:val="16"/>
              </w:rPr>
              <w:t>0.06</w:t>
            </w:r>
          </w:p>
        </w:tc>
      </w:tr>
      <w:tr w:rsidTr="00FA5017">
        <w:tblPrEx>
          <w:tblW w:w="9072" w:type="dxa"/>
          <w:tblLook w:val="04A0"/>
        </w:tblPrEx>
        <w:tc>
          <w:tcPr>
            <w:tcW w:w="2265" w:type="dxa"/>
          </w:tcPr>
          <w:p w:rsidR="006874A9" w:rsidRPr="00756DA5" w:rsidP="00380326">
            <w:pPr>
              <w:keepNext/>
              <w:jc w:val="left"/>
              <w:rPr>
                <w:sz w:val="16"/>
                <w:szCs w:val="16"/>
              </w:rPr>
            </w:pPr>
            <w:r w:rsidRPr="00756DA5">
              <w:rPr>
                <w:sz w:val="16"/>
                <w:szCs w:val="16"/>
              </w:rPr>
              <w:t>0,002</w:t>
            </w:r>
          </w:p>
        </w:tc>
        <w:tc>
          <w:tcPr>
            <w:tcW w:w="2271" w:type="dxa"/>
          </w:tcPr>
          <w:p w:rsidR="006874A9" w:rsidRPr="00756DA5" w:rsidP="00380326">
            <w:pPr>
              <w:keepNext/>
              <w:jc w:val="left"/>
              <w:rPr>
                <w:sz w:val="16"/>
                <w:szCs w:val="16"/>
              </w:rPr>
            </w:pPr>
            <w:r w:rsidRPr="00756DA5">
              <w:rPr>
                <w:sz w:val="16"/>
                <w:szCs w:val="16"/>
              </w:rPr>
              <w:t>0.002</w:t>
            </w:r>
          </w:p>
        </w:tc>
        <w:tc>
          <w:tcPr>
            <w:tcW w:w="2259" w:type="dxa"/>
          </w:tcPr>
          <w:p w:rsidR="006874A9" w:rsidRPr="00756DA5" w:rsidP="00380326">
            <w:pPr>
              <w:keepNext/>
              <w:jc w:val="left"/>
              <w:rPr>
                <w:sz w:val="16"/>
                <w:szCs w:val="16"/>
              </w:rPr>
            </w:pPr>
            <w:r w:rsidRPr="00756DA5">
              <w:rPr>
                <w:sz w:val="16"/>
                <w:szCs w:val="16"/>
              </w:rPr>
              <w:t>0,04</w:t>
            </w:r>
          </w:p>
        </w:tc>
        <w:tc>
          <w:tcPr>
            <w:tcW w:w="2277" w:type="dxa"/>
          </w:tcPr>
          <w:p w:rsidR="006874A9" w:rsidRPr="00756DA5" w:rsidP="00380326">
            <w:pPr>
              <w:keepNext/>
              <w:jc w:val="left"/>
              <w:rPr>
                <w:sz w:val="16"/>
                <w:szCs w:val="16"/>
              </w:rPr>
            </w:pPr>
            <w:r w:rsidRPr="00756DA5">
              <w:rPr>
                <w:sz w:val="16"/>
                <w:szCs w:val="16"/>
              </w:rPr>
              <w:t>0.04</w:t>
            </w:r>
          </w:p>
        </w:tc>
      </w:tr>
      <w:tr w:rsidTr="00FA5017">
        <w:tblPrEx>
          <w:tblW w:w="9072" w:type="dxa"/>
          <w:tblLook w:val="04A0"/>
        </w:tblPrEx>
        <w:tc>
          <w:tcPr>
            <w:tcW w:w="2265" w:type="dxa"/>
          </w:tcPr>
          <w:p w:rsidR="006874A9" w:rsidRPr="00756DA5" w:rsidP="00380326">
            <w:pPr>
              <w:keepNext/>
              <w:jc w:val="left"/>
              <w:rPr>
                <w:sz w:val="16"/>
                <w:szCs w:val="16"/>
              </w:rPr>
            </w:pPr>
            <w:r w:rsidRPr="00756DA5">
              <w:rPr>
                <w:sz w:val="16"/>
                <w:szCs w:val="16"/>
              </w:rPr>
              <w:t>0,000</w:t>
            </w:r>
          </w:p>
        </w:tc>
        <w:tc>
          <w:tcPr>
            <w:tcW w:w="2271" w:type="dxa"/>
          </w:tcPr>
          <w:p w:rsidR="006874A9" w:rsidRPr="00756DA5" w:rsidP="00380326">
            <w:pPr>
              <w:keepNext/>
              <w:jc w:val="left"/>
              <w:rPr>
                <w:sz w:val="16"/>
                <w:szCs w:val="16"/>
              </w:rPr>
            </w:pPr>
            <w:r w:rsidRPr="00756DA5">
              <w:rPr>
                <w:sz w:val="16"/>
                <w:szCs w:val="16"/>
              </w:rPr>
              <w:t>0.000</w:t>
            </w:r>
          </w:p>
        </w:tc>
        <w:tc>
          <w:tcPr>
            <w:tcW w:w="2259" w:type="dxa"/>
          </w:tcPr>
          <w:p w:rsidR="006874A9" w:rsidRPr="00756DA5" w:rsidP="00380326">
            <w:pPr>
              <w:keepNext/>
              <w:jc w:val="left"/>
              <w:rPr>
                <w:sz w:val="16"/>
                <w:szCs w:val="16"/>
              </w:rPr>
            </w:pPr>
            <w:r w:rsidRPr="00756DA5">
              <w:rPr>
                <w:sz w:val="16"/>
                <w:szCs w:val="16"/>
              </w:rPr>
              <w:t>0,02</w:t>
            </w:r>
          </w:p>
        </w:tc>
        <w:tc>
          <w:tcPr>
            <w:tcW w:w="2277" w:type="dxa"/>
          </w:tcPr>
          <w:p w:rsidR="006874A9" w:rsidRPr="00756DA5" w:rsidP="00380326">
            <w:pPr>
              <w:keepNext/>
              <w:jc w:val="left"/>
              <w:rPr>
                <w:sz w:val="16"/>
                <w:szCs w:val="16"/>
              </w:rPr>
            </w:pPr>
            <w:r w:rsidRPr="00756DA5">
              <w:rPr>
                <w:sz w:val="16"/>
                <w:szCs w:val="16"/>
              </w:rPr>
              <w:t>0.02</w:t>
            </w:r>
          </w:p>
        </w:tc>
      </w:tr>
      <w:tr w:rsidTr="00FA5017">
        <w:tblPrEx>
          <w:tblW w:w="9072" w:type="dxa"/>
          <w:tblLook w:val="04A0"/>
        </w:tblPrEx>
        <w:tc>
          <w:tcPr>
            <w:tcW w:w="2265" w:type="dxa"/>
          </w:tcPr>
          <w:p w:rsidR="006874A9" w:rsidRPr="00756DA5" w:rsidP="00380326">
            <w:pPr>
              <w:keepNext/>
              <w:jc w:val="left"/>
              <w:rPr>
                <w:sz w:val="16"/>
                <w:szCs w:val="16"/>
              </w:rPr>
            </w:pPr>
            <w:r w:rsidRPr="00756DA5">
              <w:rPr>
                <w:sz w:val="16"/>
                <w:szCs w:val="16"/>
              </w:rPr>
              <w:t>0,005</w:t>
            </w:r>
          </w:p>
        </w:tc>
        <w:tc>
          <w:tcPr>
            <w:tcW w:w="2271" w:type="dxa"/>
          </w:tcPr>
          <w:p w:rsidR="006874A9" w:rsidRPr="00756DA5" w:rsidP="00380326">
            <w:pPr>
              <w:keepNext/>
              <w:jc w:val="left"/>
              <w:rPr>
                <w:sz w:val="16"/>
                <w:szCs w:val="16"/>
              </w:rPr>
            </w:pPr>
            <w:r w:rsidRPr="00756DA5">
              <w:rPr>
                <w:sz w:val="16"/>
                <w:szCs w:val="16"/>
              </w:rPr>
              <w:t>0.005</w:t>
            </w:r>
          </w:p>
        </w:tc>
        <w:tc>
          <w:tcPr>
            <w:tcW w:w="2259" w:type="dxa"/>
          </w:tcPr>
          <w:p w:rsidR="006874A9" w:rsidRPr="00756DA5" w:rsidP="00380326">
            <w:pPr>
              <w:keepNext/>
              <w:jc w:val="left"/>
              <w:rPr>
                <w:sz w:val="16"/>
                <w:szCs w:val="16"/>
              </w:rPr>
            </w:pPr>
            <w:r w:rsidRPr="00756DA5">
              <w:rPr>
                <w:sz w:val="16"/>
                <w:szCs w:val="16"/>
              </w:rPr>
              <w:t>0,00</w:t>
            </w:r>
          </w:p>
        </w:tc>
        <w:tc>
          <w:tcPr>
            <w:tcW w:w="2277" w:type="dxa"/>
          </w:tcPr>
          <w:p w:rsidR="006874A9" w:rsidRPr="00756DA5" w:rsidP="00380326">
            <w:pPr>
              <w:keepNext/>
              <w:jc w:val="left"/>
              <w:rPr>
                <w:sz w:val="16"/>
                <w:szCs w:val="16"/>
              </w:rPr>
            </w:pPr>
            <w:r w:rsidRPr="00756DA5">
              <w:rPr>
                <w:sz w:val="16"/>
                <w:szCs w:val="16"/>
              </w:rPr>
              <w:t>0.00</w:t>
            </w:r>
          </w:p>
        </w:tc>
      </w:tr>
      <w:tr w:rsidTr="00FA5017">
        <w:tblPrEx>
          <w:tblW w:w="9072" w:type="dxa"/>
          <w:tblLook w:val="04A0"/>
        </w:tblPrEx>
        <w:tc>
          <w:tcPr>
            <w:tcW w:w="2265" w:type="dxa"/>
          </w:tcPr>
          <w:p w:rsidR="006874A9" w:rsidRPr="00756DA5" w:rsidP="00380326">
            <w:pPr>
              <w:keepNext/>
              <w:jc w:val="left"/>
              <w:rPr>
                <w:sz w:val="16"/>
                <w:szCs w:val="16"/>
              </w:rPr>
            </w:pPr>
            <w:r w:rsidRPr="00756DA5">
              <w:rPr>
                <w:sz w:val="16"/>
                <w:szCs w:val="16"/>
              </w:rPr>
              <w:t>0,006</w:t>
            </w:r>
          </w:p>
        </w:tc>
        <w:tc>
          <w:tcPr>
            <w:tcW w:w="2271" w:type="dxa"/>
          </w:tcPr>
          <w:p w:rsidR="006874A9" w:rsidRPr="00756DA5" w:rsidP="00380326">
            <w:pPr>
              <w:keepNext/>
              <w:jc w:val="left"/>
              <w:rPr>
                <w:sz w:val="16"/>
                <w:szCs w:val="16"/>
              </w:rPr>
            </w:pPr>
            <w:r w:rsidRPr="00756DA5">
              <w:rPr>
                <w:sz w:val="16"/>
                <w:szCs w:val="16"/>
              </w:rPr>
              <w:t>0.006</w:t>
            </w:r>
          </w:p>
        </w:tc>
        <w:tc>
          <w:tcPr>
            <w:tcW w:w="2259" w:type="dxa"/>
          </w:tcPr>
          <w:p w:rsidR="006874A9" w:rsidRPr="00756DA5" w:rsidP="00380326">
            <w:pPr>
              <w:keepNext/>
              <w:jc w:val="left"/>
              <w:rPr>
                <w:sz w:val="16"/>
                <w:szCs w:val="16"/>
              </w:rPr>
            </w:pPr>
            <w:r w:rsidRPr="00756DA5">
              <w:rPr>
                <w:sz w:val="16"/>
                <w:szCs w:val="16"/>
              </w:rPr>
              <w:t>0,061</w:t>
            </w:r>
          </w:p>
        </w:tc>
        <w:tc>
          <w:tcPr>
            <w:tcW w:w="2277" w:type="dxa"/>
          </w:tcPr>
          <w:p w:rsidR="006874A9" w:rsidRPr="00756DA5" w:rsidP="00380326">
            <w:pPr>
              <w:keepNext/>
              <w:jc w:val="left"/>
              <w:rPr>
                <w:sz w:val="16"/>
                <w:szCs w:val="16"/>
              </w:rPr>
            </w:pPr>
            <w:r w:rsidRPr="00756DA5">
              <w:rPr>
                <w:sz w:val="16"/>
                <w:szCs w:val="16"/>
              </w:rPr>
              <w:t>0.061</w:t>
            </w:r>
          </w:p>
        </w:tc>
      </w:tr>
      <w:tr w:rsidTr="00FA5017">
        <w:tblPrEx>
          <w:tblW w:w="9072" w:type="dxa"/>
          <w:tblLook w:val="04A0"/>
        </w:tblPrEx>
        <w:tc>
          <w:tcPr>
            <w:tcW w:w="2265" w:type="dxa"/>
          </w:tcPr>
          <w:p w:rsidR="006874A9" w:rsidRPr="00756DA5" w:rsidP="006874A9">
            <w:pPr>
              <w:jc w:val="left"/>
              <w:rPr>
                <w:sz w:val="16"/>
                <w:szCs w:val="16"/>
              </w:rPr>
            </w:pPr>
          </w:p>
        </w:tc>
        <w:tc>
          <w:tcPr>
            <w:tcW w:w="2271" w:type="dxa"/>
          </w:tcPr>
          <w:p w:rsidR="006874A9" w:rsidRPr="00756DA5" w:rsidP="006874A9">
            <w:pPr>
              <w:jc w:val="left"/>
              <w:rPr>
                <w:sz w:val="16"/>
                <w:szCs w:val="16"/>
              </w:rPr>
            </w:pPr>
          </w:p>
        </w:tc>
        <w:tc>
          <w:tcPr>
            <w:tcW w:w="2259" w:type="dxa"/>
          </w:tcPr>
          <w:p w:rsidR="006874A9" w:rsidRPr="00756DA5" w:rsidP="006874A9">
            <w:pPr>
              <w:jc w:val="left"/>
              <w:rPr>
                <w:sz w:val="16"/>
                <w:szCs w:val="16"/>
              </w:rPr>
            </w:pPr>
            <w:r w:rsidRPr="00756DA5">
              <w:rPr>
                <w:sz w:val="16"/>
                <w:szCs w:val="16"/>
              </w:rPr>
              <w:t>0,058</w:t>
            </w:r>
          </w:p>
        </w:tc>
        <w:tc>
          <w:tcPr>
            <w:tcW w:w="2277" w:type="dxa"/>
          </w:tcPr>
          <w:p w:rsidR="006874A9" w:rsidRPr="00756DA5" w:rsidP="006874A9">
            <w:pPr>
              <w:jc w:val="left"/>
              <w:rPr>
                <w:sz w:val="16"/>
                <w:szCs w:val="16"/>
              </w:rPr>
            </w:pPr>
            <w:r w:rsidRPr="00756DA5">
              <w:rPr>
                <w:sz w:val="16"/>
                <w:szCs w:val="16"/>
              </w:rPr>
              <w:t>0.058</w:t>
            </w:r>
          </w:p>
        </w:tc>
      </w:tr>
      <w:tr w:rsidTr="00FA5017">
        <w:tblPrEx>
          <w:tblW w:w="9072" w:type="dxa"/>
          <w:tblLook w:val="04A0"/>
        </w:tblPrEx>
        <w:tc>
          <w:tcPr>
            <w:tcW w:w="2265" w:type="dxa"/>
          </w:tcPr>
          <w:p w:rsidR="006874A9" w:rsidRPr="00756DA5" w:rsidP="006874A9">
            <w:pPr>
              <w:jc w:val="left"/>
              <w:rPr>
                <w:sz w:val="16"/>
                <w:szCs w:val="16"/>
              </w:rPr>
            </w:pPr>
          </w:p>
        </w:tc>
        <w:tc>
          <w:tcPr>
            <w:tcW w:w="2271" w:type="dxa"/>
          </w:tcPr>
          <w:p w:rsidR="006874A9" w:rsidRPr="00756DA5" w:rsidP="006874A9">
            <w:pPr>
              <w:jc w:val="left"/>
              <w:rPr>
                <w:sz w:val="16"/>
                <w:szCs w:val="16"/>
              </w:rPr>
            </w:pPr>
          </w:p>
        </w:tc>
        <w:tc>
          <w:tcPr>
            <w:tcW w:w="2259" w:type="dxa"/>
          </w:tcPr>
          <w:p w:rsidR="006874A9" w:rsidRPr="00756DA5" w:rsidP="006874A9">
            <w:pPr>
              <w:jc w:val="left"/>
              <w:rPr>
                <w:sz w:val="16"/>
                <w:szCs w:val="16"/>
              </w:rPr>
            </w:pPr>
            <w:r w:rsidRPr="00756DA5">
              <w:rPr>
                <w:sz w:val="16"/>
                <w:szCs w:val="16"/>
              </w:rPr>
              <w:t>0,057</w:t>
            </w:r>
          </w:p>
        </w:tc>
        <w:tc>
          <w:tcPr>
            <w:tcW w:w="2277" w:type="dxa"/>
          </w:tcPr>
          <w:p w:rsidR="006874A9" w:rsidRPr="00756DA5" w:rsidP="006874A9">
            <w:pPr>
              <w:jc w:val="left"/>
              <w:rPr>
                <w:sz w:val="16"/>
                <w:szCs w:val="16"/>
              </w:rPr>
            </w:pPr>
            <w:r w:rsidRPr="00756DA5">
              <w:rPr>
                <w:sz w:val="16"/>
                <w:szCs w:val="16"/>
              </w:rPr>
              <w:t>0.057</w:t>
            </w:r>
          </w:p>
        </w:tc>
      </w:tr>
      <w:tr w:rsidTr="00FA5017">
        <w:tblPrEx>
          <w:tblW w:w="9072" w:type="dxa"/>
          <w:tblLook w:val="04A0"/>
        </w:tblPrEx>
        <w:tc>
          <w:tcPr>
            <w:tcW w:w="2265" w:type="dxa"/>
          </w:tcPr>
          <w:p w:rsidR="006874A9" w:rsidRPr="00756DA5" w:rsidP="006874A9">
            <w:pPr>
              <w:jc w:val="left"/>
              <w:rPr>
                <w:sz w:val="16"/>
                <w:szCs w:val="16"/>
              </w:rPr>
            </w:pPr>
          </w:p>
        </w:tc>
        <w:tc>
          <w:tcPr>
            <w:tcW w:w="2271" w:type="dxa"/>
          </w:tcPr>
          <w:p w:rsidR="006874A9" w:rsidRPr="00756DA5" w:rsidP="006874A9">
            <w:pPr>
              <w:jc w:val="left"/>
              <w:rPr>
                <w:sz w:val="16"/>
                <w:szCs w:val="16"/>
              </w:rPr>
            </w:pPr>
          </w:p>
        </w:tc>
        <w:tc>
          <w:tcPr>
            <w:tcW w:w="2259" w:type="dxa"/>
          </w:tcPr>
          <w:p w:rsidR="006874A9" w:rsidRPr="00756DA5" w:rsidP="006874A9">
            <w:pPr>
              <w:jc w:val="left"/>
              <w:rPr>
                <w:sz w:val="16"/>
                <w:szCs w:val="16"/>
              </w:rPr>
            </w:pPr>
            <w:r w:rsidRPr="00756DA5">
              <w:rPr>
                <w:sz w:val="16"/>
                <w:szCs w:val="16"/>
              </w:rPr>
              <w:t>0,059</w:t>
            </w:r>
          </w:p>
        </w:tc>
        <w:tc>
          <w:tcPr>
            <w:tcW w:w="2277" w:type="dxa"/>
          </w:tcPr>
          <w:p w:rsidR="006874A9" w:rsidRPr="00756DA5" w:rsidP="006874A9">
            <w:pPr>
              <w:jc w:val="left"/>
              <w:rPr>
                <w:sz w:val="16"/>
                <w:szCs w:val="16"/>
              </w:rPr>
            </w:pPr>
            <w:r w:rsidRPr="00756DA5">
              <w:rPr>
                <w:sz w:val="16"/>
                <w:szCs w:val="16"/>
              </w:rPr>
              <w:t>0.059</w:t>
            </w:r>
          </w:p>
        </w:tc>
      </w:tr>
      <w:tr w:rsidTr="00FA5017">
        <w:tblPrEx>
          <w:tblW w:w="9072" w:type="dxa"/>
          <w:tblLook w:val="04A0"/>
        </w:tblPrEx>
        <w:tc>
          <w:tcPr>
            <w:tcW w:w="2265" w:type="dxa"/>
          </w:tcPr>
          <w:p w:rsidR="006874A9" w:rsidRPr="00756DA5" w:rsidP="006874A9">
            <w:pPr>
              <w:jc w:val="left"/>
              <w:rPr>
                <w:sz w:val="16"/>
                <w:szCs w:val="16"/>
              </w:rPr>
            </w:pPr>
          </w:p>
        </w:tc>
        <w:tc>
          <w:tcPr>
            <w:tcW w:w="2271" w:type="dxa"/>
          </w:tcPr>
          <w:p w:rsidR="006874A9" w:rsidRPr="00756DA5" w:rsidP="006874A9">
            <w:pPr>
              <w:jc w:val="left"/>
              <w:rPr>
                <w:sz w:val="16"/>
                <w:szCs w:val="16"/>
              </w:rPr>
            </w:pPr>
          </w:p>
        </w:tc>
        <w:tc>
          <w:tcPr>
            <w:tcW w:w="2259" w:type="dxa"/>
          </w:tcPr>
          <w:p w:rsidR="006874A9" w:rsidRPr="00756DA5" w:rsidP="006874A9">
            <w:pPr>
              <w:jc w:val="left"/>
              <w:rPr>
                <w:sz w:val="16"/>
                <w:szCs w:val="16"/>
              </w:rPr>
            </w:pPr>
            <w:r w:rsidRPr="00756DA5">
              <w:rPr>
                <w:sz w:val="16"/>
                <w:szCs w:val="16"/>
              </w:rPr>
              <w:t>0,063</w:t>
            </w:r>
          </w:p>
        </w:tc>
        <w:tc>
          <w:tcPr>
            <w:tcW w:w="2277" w:type="dxa"/>
          </w:tcPr>
          <w:p w:rsidR="006874A9" w:rsidRPr="00756DA5" w:rsidP="006874A9">
            <w:pPr>
              <w:jc w:val="left"/>
              <w:rPr>
                <w:sz w:val="16"/>
                <w:szCs w:val="16"/>
              </w:rPr>
            </w:pPr>
            <w:r w:rsidRPr="00756DA5">
              <w:rPr>
                <w:sz w:val="16"/>
                <w:szCs w:val="16"/>
              </w:rPr>
              <w:t>0.063</w:t>
            </w:r>
          </w:p>
        </w:tc>
      </w:tr>
    </w:tbl>
    <w:tbl>
      <w:tblPr>
        <w:tblW w:w="0" w:type="auto"/>
        <w:tblLook w:val="04A0"/>
      </w:tblPr>
      <w:tblGrid>
        <w:gridCol w:w="4536"/>
        <w:gridCol w:w="4536"/>
      </w:tblGrid>
      <w:tr w:rsidTr="003810A0">
        <w:tblPrEx>
          <w:tblW w:w="0" w:type="auto"/>
          <w:tblLook w:val="04A0"/>
        </w:tblPrEx>
        <w:tc>
          <w:tcPr>
            <w:tcW w:w="4536" w:type="dxa"/>
            <w:hideMark/>
          </w:tcPr>
          <w:p w:rsidR="00442B87" w:rsidRPr="00756DA5" w:rsidP="00C844BF">
            <w:pPr>
              <w:jc w:val="left"/>
            </w:pPr>
            <w:r w:rsidRPr="00756DA5">
              <w:rPr>
                <w:noProof/>
                <w:lang w:val="fr-FR" w:eastAsia="fr-FR"/>
              </w:rPr>
              <w:drawing>
                <wp:inline distT="0" distB="0" distL="0" distR="0">
                  <wp:extent cx="2694873" cy="22225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77324" name="Picture 16"/>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4663" cy="2238821"/>
                          </a:xfrm>
                          <a:prstGeom prst="rect">
                            <a:avLst/>
                          </a:prstGeom>
                          <a:noFill/>
                          <a:ln>
                            <a:noFill/>
                          </a:ln>
                        </pic:spPr>
                      </pic:pic>
                    </a:graphicData>
                  </a:graphic>
                </wp:inline>
              </w:drawing>
            </w:r>
          </w:p>
        </w:tc>
        <w:tc>
          <w:tcPr>
            <w:tcW w:w="4536" w:type="dxa"/>
            <w:hideMark/>
          </w:tcPr>
          <w:p w:rsidR="00442B87" w:rsidRPr="00756DA5" w:rsidP="00C844BF">
            <w:pPr>
              <w:jc w:val="left"/>
            </w:pPr>
            <w:r w:rsidRPr="00756DA5">
              <w:rPr>
                <w:noProof/>
                <w:lang w:val="fr-FR" w:eastAsia="fr-FR"/>
              </w:rPr>
              <w:drawing>
                <wp:anchor distT="0" distB="0" distL="114300" distR="114300" simplePos="0" relativeHeight="251665408" behindDoc="0" locked="0" layoutInCell="1" allowOverlap="1">
                  <wp:simplePos x="0" y="0"/>
                  <wp:positionH relativeFrom="column">
                    <wp:posOffset>46990</wp:posOffset>
                  </wp:positionH>
                  <wp:positionV relativeFrom="paragraph">
                    <wp:posOffset>21590</wp:posOffset>
                  </wp:positionV>
                  <wp:extent cx="2695575" cy="2171700"/>
                  <wp:effectExtent l="0" t="0" r="9525" b="0"/>
                  <wp:wrapSquare wrapText="bothSides"/>
                  <wp:docPr id="14" name="Image 14" descr="D:\ID\Desktop\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53414" name="Picture 4" descr="D:\ID\Desktop\Sans titre-1.jpg"/>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55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9A6FE4">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9A6FE4" w:rsidRPr="00756DA5" w:rsidP="009A6FE4">
            <w:pPr>
              <w:jc w:val="left"/>
              <w:rPr>
                <w:sz w:val="16"/>
                <w:szCs w:val="16"/>
              </w:rPr>
            </w:pPr>
            <w:r w:rsidRPr="00756DA5">
              <w:rPr>
                <w:sz w:val="16"/>
                <w:szCs w:val="16"/>
              </w:rPr>
              <w:t>UK10 : Nombre relatif d’intrus tués par million de train-km</w:t>
            </w:r>
          </w:p>
        </w:tc>
        <w:tc>
          <w:tcPr>
            <w:tcW w:w="2271" w:type="dxa"/>
          </w:tcPr>
          <w:p w:rsidR="009A6FE4" w:rsidRPr="00756DA5" w:rsidP="009A6FE4">
            <w:pPr>
              <w:jc w:val="left"/>
              <w:rPr>
                <w:sz w:val="16"/>
                <w:szCs w:val="16"/>
              </w:rPr>
            </w:pPr>
            <w:r w:rsidRPr="00756DA5">
              <w:rPr>
                <w:sz w:val="16"/>
                <w:szCs w:val="16"/>
              </w:rPr>
              <w:t>UK10: Number of trespassers killed per million train-km</w:t>
            </w:r>
          </w:p>
        </w:tc>
        <w:tc>
          <w:tcPr>
            <w:tcW w:w="2259" w:type="dxa"/>
          </w:tcPr>
          <w:p w:rsidR="009A6FE4" w:rsidRPr="00756DA5" w:rsidP="009A6FE4">
            <w:pPr>
              <w:jc w:val="left"/>
              <w:rPr>
                <w:sz w:val="16"/>
                <w:szCs w:val="16"/>
              </w:rPr>
            </w:pPr>
            <w:r w:rsidRPr="00756DA5">
              <w:rPr>
                <w:sz w:val="16"/>
                <w:szCs w:val="16"/>
              </w:rPr>
              <w:t>OK10 : Nombre relatifs de personnes «autres» tuées par million de train-km</w:t>
            </w:r>
          </w:p>
        </w:tc>
        <w:tc>
          <w:tcPr>
            <w:tcW w:w="2277" w:type="dxa"/>
          </w:tcPr>
          <w:p w:rsidR="009A6FE4" w:rsidRPr="00756DA5" w:rsidP="009A6FE4">
            <w:pPr>
              <w:jc w:val="left"/>
              <w:rPr>
                <w:sz w:val="16"/>
                <w:szCs w:val="16"/>
              </w:rPr>
            </w:pPr>
            <w:r w:rsidRPr="00756DA5">
              <w:rPr>
                <w:sz w:val="16"/>
                <w:szCs w:val="16"/>
              </w:rPr>
              <w:t>OK10: Number of ‘other’ people killed per million train-km</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Moyenne calculée sur 5 ans</w:t>
            </w:r>
          </w:p>
        </w:tc>
        <w:tc>
          <w:tcPr>
            <w:tcW w:w="2271" w:type="dxa"/>
          </w:tcPr>
          <w:p w:rsidR="009A6FE4" w:rsidRPr="00756DA5" w:rsidP="009A6FE4">
            <w:pPr>
              <w:jc w:val="left"/>
              <w:rPr>
                <w:sz w:val="16"/>
                <w:szCs w:val="16"/>
              </w:rPr>
            </w:pPr>
            <w:r w:rsidRPr="00756DA5">
              <w:rPr>
                <w:sz w:val="16"/>
                <w:szCs w:val="16"/>
              </w:rPr>
              <w:t>Average calculated over 5 years</w:t>
            </w:r>
          </w:p>
        </w:tc>
        <w:tc>
          <w:tcPr>
            <w:tcW w:w="2259" w:type="dxa"/>
          </w:tcPr>
          <w:p w:rsidR="009A6FE4" w:rsidRPr="00756DA5" w:rsidP="009A6FE4">
            <w:pPr>
              <w:jc w:val="left"/>
              <w:rPr>
                <w:sz w:val="16"/>
                <w:szCs w:val="16"/>
              </w:rPr>
            </w:pPr>
            <w:r w:rsidRPr="00756DA5">
              <w:rPr>
                <w:sz w:val="16"/>
                <w:szCs w:val="16"/>
              </w:rPr>
              <w:t>Moyenne calculée sur 5 ans</w:t>
            </w:r>
          </w:p>
        </w:tc>
        <w:tc>
          <w:tcPr>
            <w:tcW w:w="2277" w:type="dxa"/>
          </w:tcPr>
          <w:p w:rsidR="009A6FE4" w:rsidRPr="00756DA5" w:rsidP="009A6FE4">
            <w:pPr>
              <w:jc w:val="left"/>
              <w:rPr>
                <w:sz w:val="16"/>
                <w:szCs w:val="16"/>
              </w:rPr>
            </w:pPr>
            <w:r w:rsidRPr="00756DA5">
              <w:rPr>
                <w:sz w:val="16"/>
                <w:szCs w:val="16"/>
              </w:rPr>
              <w:t>Average calculated over 5 years</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0,10</w:t>
            </w:r>
          </w:p>
        </w:tc>
        <w:tc>
          <w:tcPr>
            <w:tcW w:w="2271" w:type="dxa"/>
          </w:tcPr>
          <w:p w:rsidR="009A6FE4" w:rsidRPr="00756DA5" w:rsidP="009A6FE4">
            <w:pPr>
              <w:jc w:val="left"/>
              <w:rPr>
                <w:sz w:val="16"/>
                <w:szCs w:val="16"/>
              </w:rPr>
            </w:pPr>
            <w:r w:rsidRPr="00756DA5">
              <w:rPr>
                <w:sz w:val="16"/>
                <w:szCs w:val="16"/>
              </w:rPr>
              <w:t>0.10</w:t>
            </w:r>
          </w:p>
        </w:tc>
        <w:tc>
          <w:tcPr>
            <w:tcW w:w="2259" w:type="dxa"/>
          </w:tcPr>
          <w:p w:rsidR="009A6FE4" w:rsidRPr="00756DA5" w:rsidP="009A6FE4">
            <w:pPr>
              <w:jc w:val="left"/>
              <w:rPr>
                <w:sz w:val="16"/>
                <w:szCs w:val="16"/>
              </w:rPr>
            </w:pPr>
            <w:r w:rsidRPr="00756DA5">
              <w:rPr>
                <w:sz w:val="16"/>
                <w:szCs w:val="16"/>
              </w:rPr>
              <w:t>0,0035</w:t>
            </w:r>
          </w:p>
        </w:tc>
        <w:tc>
          <w:tcPr>
            <w:tcW w:w="2277" w:type="dxa"/>
          </w:tcPr>
          <w:p w:rsidR="009A6FE4" w:rsidRPr="00756DA5" w:rsidP="009A6FE4">
            <w:pPr>
              <w:jc w:val="left"/>
              <w:rPr>
                <w:sz w:val="16"/>
                <w:szCs w:val="16"/>
              </w:rPr>
            </w:pPr>
            <w:r w:rsidRPr="00756DA5">
              <w:rPr>
                <w:sz w:val="16"/>
                <w:szCs w:val="16"/>
              </w:rPr>
              <w:t>0.0035</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0,08</w:t>
            </w:r>
          </w:p>
        </w:tc>
        <w:tc>
          <w:tcPr>
            <w:tcW w:w="2271" w:type="dxa"/>
          </w:tcPr>
          <w:p w:rsidR="009A6FE4" w:rsidRPr="00756DA5" w:rsidP="009A6FE4">
            <w:pPr>
              <w:jc w:val="left"/>
              <w:rPr>
                <w:sz w:val="16"/>
                <w:szCs w:val="16"/>
              </w:rPr>
            </w:pPr>
            <w:r w:rsidRPr="00756DA5">
              <w:rPr>
                <w:sz w:val="16"/>
                <w:szCs w:val="16"/>
              </w:rPr>
              <w:t>0.08</w:t>
            </w:r>
          </w:p>
        </w:tc>
        <w:tc>
          <w:tcPr>
            <w:tcW w:w="2259" w:type="dxa"/>
          </w:tcPr>
          <w:p w:rsidR="009A6FE4" w:rsidRPr="00756DA5" w:rsidP="009A6FE4">
            <w:pPr>
              <w:jc w:val="left"/>
              <w:rPr>
                <w:sz w:val="16"/>
                <w:szCs w:val="16"/>
              </w:rPr>
            </w:pPr>
            <w:r w:rsidRPr="00756DA5">
              <w:rPr>
                <w:sz w:val="16"/>
                <w:szCs w:val="16"/>
              </w:rPr>
              <w:t>0,0030</w:t>
            </w:r>
          </w:p>
        </w:tc>
        <w:tc>
          <w:tcPr>
            <w:tcW w:w="2277" w:type="dxa"/>
          </w:tcPr>
          <w:p w:rsidR="009A6FE4" w:rsidRPr="00756DA5" w:rsidP="009A6FE4">
            <w:pPr>
              <w:jc w:val="left"/>
              <w:rPr>
                <w:sz w:val="16"/>
                <w:szCs w:val="16"/>
              </w:rPr>
            </w:pPr>
            <w:r w:rsidRPr="00756DA5">
              <w:rPr>
                <w:sz w:val="16"/>
                <w:szCs w:val="16"/>
              </w:rPr>
              <w:t>0.0030</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0,06</w:t>
            </w:r>
          </w:p>
        </w:tc>
        <w:tc>
          <w:tcPr>
            <w:tcW w:w="2271" w:type="dxa"/>
          </w:tcPr>
          <w:p w:rsidR="009A6FE4" w:rsidRPr="00756DA5" w:rsidP="009A6FE4">
            <w:pPr>
              <w:jc w:val="left"/>
              <w:rPr>
                <w:sz w:val="16"/>
                <w:szCs w:val="16"/>
              </w:rPr>
            </w:pPr>
            <w:r w:rsidRPr="00756DA5">
              <w:rPr>
                <w:sz w:val="16"/>
                <w:szCs w:val="16"/>
              </w:rPr>
              <w:t>0.06</w:t>
            </w:r>
          </w:p>
        </w:tc>
        <w:tc>
          <w:tcPr>
            <w:tcW w:w="2259" w:type="dxa"/>
          </w:tcPr>
          <w:p w:rsidR="009A6FE4" w:rsidRPr="00756DA5" w:rsidP="009A6FE4">
            <w:pPr>
              <w:jc w:val="left"/>
              <w:rPr>
                <w:sz w:val="16"/>
                <w:szCs w:val="16"/>
              </w:rPr>
            </w:pPr>
            <w:r w:rsidRPr="00756DA5">
              <w:rPr>
                <w:sz w:val="16"/>
                <w:szCs w:val="16"/>
              </w:rPr>
              <w:t>0,0025</w:t>
            </w:r>
          </w:p>
        </w:tc>
        <w:tc>
          <w:tcPr>
            <w:tcW w:w="2277" w:type="dxa"/>
          </w:tcPr>
          <w:p w:rsidR="009A6FE4" w:rsidRPr="00756DA5" w:rsidP="009A6FE4">
            <w:pPr>
              <w:jc w:val="left"/>
              <w:rPr>
                <w:sz w:val="16"/>
                <w:szCs w:val="16"/>
              </w:rPr>
            </w:pPr>
            <w:r w:rsidRPr="00756DA5">
              <w:rPr>
                <w:sz w:val="16"/>
                <w:szCs w:val="16"/>
              </w:rPr>
              <w:t>0.0025</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0,04</w:t>
            </w:r>
          </w:p>
        </w:tc>
        <w:tc>
          <w:tcPr>
            <w:tcW w:w="2271" w:type="dxa"/>
          </w:tcPr>
          <w:p w:rsidR="009A6FE4" w:rsidRPr="00756DA5" w:rsidP="009A6FE4">
            <w:pPr>
              <w:jc w:val="left"/>
              <w:rPr>
                <w:sz w:val="16"/>
                <w:szCs w:val="16"/>
              </w:rPr>
            </w:pPr>
            <w:r w:rsidRPr="00756DA5">
              <w:rPr>
                <w:sz w:val="16"/>
                <w:szCs w:val="16"/>
              </w:rPr>
              <w:t>0.04</w:t>
            </w:r>
          </w:p>
        </w:tc>
        <w:tc>
          <w:tcPr>
            <w:tcW w:w="2259" w:type="dxa"/>
          </w:tcPr>
          <w:p w:rsidR="009A6FE4" w:rsidRPr="00756DA5" w:rsidP="009A6FE4">
            <w:pPr>
              <w:jc w:val="left"/>
              <w:rPr>
                <w:sz w:val="16"/>
                <w:szCs w:val="16"/>
              </w:rPr>
            </w:pPr>
            <w:r w:rsidRPr="00756DA5">
              <w:rPr>
                <w:sz w:val="16"/>
                <w:szCs w:val="16"/>
              </w:rPr>
              <w:t>0,0020</w:t>
            </w:r>
          </w:p>
        </w:tc>
        <w:tc>
          <w:tcPr>
            <w:tcW w:w="2277" w:type="dxa"/>
          </w:tcPr>
          <w:p w:rsidR="009A6FE4" w:rsidRPr="00756DA5" w:rsidP="009A6FE4">
            <w:pPr>
              <w:jc w:val="left"/>
              <w:rPr>
                <w:sz w:val="16"/>
                <w:szCs w:val="16"/>
              </w:rPr>
            </w:pPr>
            <w:r w:rsidRPr="00756DA5">
              <w:rPr>
                <w:sz w:val="16"/>
                <w:szCs w:val="16"/>
              </w:rPr>
              <w:t>0.0020</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0,02</w:t>
            </w:r>
          </w:p>
        </w:tc>
        <w:tc>
          <w:tcPr>
            <w:tcW w:w="2271" w:type="dxa"/>
          </w:tcPr>
          <w:p w:rsidR="009A6FE4" w:rsidRPr="00756DA5" w:rsidP="009A6FE4">
            <w:pPr>
              <w:jc w:val="left"/>
              <w:rPr>
                <w:sz w:val="16"/>
                <w:szCs w:val="16"/>
              </w:rPr>
            </w:pPr>
            <w:r w:rsidRPr="00756DA5">
              <w:rPr>
                <w:sz w:val="16"/>
                <w:szCs w:val="16"/>
              </w:rPr>
              <w:t>0.02</w:t>
            </w:r>
          </w:p>
        </w:tc>
        <w:tc>
          <w:tcPr>
            <w:tcW w:w="2259" w:type="dxa"/>
          </w:tcPr>
          <w:p w:rsidR="009A6FE4" w:rsidRPr="00756DA5" w:rsidP="009A6FE4">
            <w:pPr>
              <w:jc w:val="left"/>
              <w:rPr>
                <w:sz w:val="16"/>
                <w:szCs w:val="16"/>
              </w:rPr>
            </w:pPr>
            <w:r w:rsidRPr="00756DA5">
              <w:rPr>
                <w:sz w:val="16"/>
                <w:szCs w:val="16"/>
              </w:rPr>
              <w:t>0,0015</w:t>
            </w:r>
          </w:p>
        </w:tc>
        <w:tc>
          <w:tcPr>
            <w:tcW w:w="2277" w:type="dxa"/>
          </w:tcPr>
          <w:p w:rsidR="009A6FE4" w:rsidRPr="00756DA5" w:rsidP="009A6FE4">
            <w:pPr>
              <w:jc w:val="left"/>
              <w:rPr>
                <w:sz w:val="16"/>
                <w:szCs w:val="16"/>
              </w:rPr>
            </w:pPr>
            <w:r w:rsidRPr="00756DA5">
              <w:rPr>
                <w:sz w:val="16"/>
                <w:szCs w:val="16"/>
              </w:rPr>
              <w:t>0.0015</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0,00</w:t>
            </w:r>
          </w:p>
        </w:tc>
        <w:tc>
          <w:tcPr>
            <w:tcW w:w="2271" w:type="dxa"/>
          </w:tcPr>
          <w:p w:rsidR="009A6FE4" w:rsidRPr="00756DA5" w:rsidP="009A6FE4">
            <w:pPr>
              <w:jc w:val="left"/>
              <w:rPr>
                <w:sz w:val="16"/>
                <w:szCs w:val="16"/>
              </w:rPr>
            </w:pPr>
            <w:r w:rsidRPr="00756DA5">
              <w:rPr>
                <w:sz w:val="16"/>
                <w:szCs w:val="16"/>
              </w:rPr>
              <w:t>0.00</w:t>
            </w:r>
          </w:p>
        </w:tc>
        <w:tc>
          <w:tcPr>
            <w:tcW w:w="2259" w:type="dxa"/>
          </w:tcPr>
          <w:p w:rsidR="009A6FE4" w:rsidRPr="00756DA5" w:rsidP="009A6FE4">
            <w:pPr>
              <w:jc w:val="left"/>
              <w:rPr>
                <w:sz w:val="16"/>
                <w:szCs w:val="16"/>
              </w:rPr>
            </w:pPr>
            <w:r w:rsidRPr="00756DA5">
              <w:rPr>
                <w:sz w:val="16"/>
                <w:szCs w:val="16"/>
              </w:rPr>
              <w:t>0,0010</w:t>
            </w:r>
          </w:p>
        </w:tc>
        <w:tc>
          <w:tcPr>
            <w:tcW w:w="2277" w:type="dxa"/>
          </w:tcPr>
          <w:p w:rsidR="009A6FE4" w:rsidRPr="00756DA5" w:rsidP="009A6FE4">
            <w:pPr>
              <w:jc w:val="left"/>
              <w:rPr>
                <w:sz w:val="16"/>
                <w:szCs w:val="16"/>
              </w:rPr>
            </w:pPr>
            <w:r w:rsidRPr="00756DA5">
              <w:rPr>
                <w:sz w:val="16"/>
                <w:szCs w:val="16"/>
              </w:rPr>
              <w:t>0.0010</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0,078</w:t>
            </w:r>
          </w:p>
        </w:tc>
        <w:tc>
          <w:tcPr>
            <w:tcW w:w="2271" w:type="dxa"/>
          </w:tcPr>
          <w:p w:rsidR="009A6FE4" w:rsidRPr="00756DA5" w:rsidP="009A6FE4">
            <w:pPr>
              <w:jc w:val="left"/>
              <w:rPr>
                <w:sz w:val="16"/>
                <w:szCs w:val="16"/>
              </w:rPr>
            </w:pPr>
            <w:r w:rsidRPr="00756DA5">
              <w:rPr>
                <w:sz w:val="16"/>
                <w:szCs w:val="16"/>
              </w:rPr>
              <w:t>0.078</w:t>
            </w:r>
          </w:p>
        </w:tc>
        <w:tc>
          <w:tcPr>
            <w:tcW w:w="2259" w:type="dxa"/>
          </w:tcPr>
          <w:p w:rsidR="009A6FE4" w:rsidRPr="00756DA5" w:rsidP="009A6FE4">
            <w:pPr>
              <w:jc w:val="left"/>
              <w:rPr>
                <w:sz w:val="16"/>
                <w:szCs w:val="16"/>
              </w:rPr>
            </w:pPr>
            <w:r w:rsidRPr="00756DA5">
              <w:rPr>
                <w:sz w:val="16"/>
                <w:szCs w:val="16"/>
              </w:rPr>
              <w:t>0,0005</w:t>
            </w:r>
          </w:p>
        </w:tc>
        <w:tc>
          <w:tcPr>
            <w:tcW w:w="2277" w:type="dxa"/>
          </w:tcPr>
          <w:p w:rsidR="009A6FE4" w:rsidRPr="00756DA5" w:rsidP="009A6FE4">
            <w:pPr>
              <w:jc w:val="left"/>
              <w:rPr>
                <w:sz w:val="16"/>
                <w:szCs w:val="16"/>
              </w:rPr>
            </w:pPr>
            <w:r w:rsidRPr="00756DA5">
              <w:rPr>
                <w:sz w:val="16"/>
                <w:szCs w:val="16"/>
              </w:rPr>
              <w:t>0.0005</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0,081</w:t>
            </w:r>
          </w:p>
        </w:tc>
        <w:tc>
          <w:tcPr>
            <w:tcW w:w="2271" w:type="dxa"/>
          </w:tcPr>
          <w:p w:rsidR="009A6FE4" w:rsidRPr="00756DA5" w:rsidP="009A6FE4">
            <w:pPr>
              <w:jc w:val="left"/>
              <w:rPr>
                <w:sz w:val="16"/>
                <w:szCs w:val="16"/>
              </w:rPr>
            </w:pPr>
            <w:r w:rsidRPr="00756DA5">
              <w:rPr>
                <w:sz w:val="16"/>
                <w:szCs w:val="16"/>
              </w:rPr>
              <w:t>0.081</w:t>
            </w:r>
          </w:p>
        </w:tc>
        <w:tc>
          <w:tcPr>
            <w:tcW w:w="2259" w:type="dxa"/>
          </w:tcPr>
          <w:p w:rsidR="009A6FE4" w:rsidRPr="00756DA5" w:rsidP="009A6FE4">
            <w:pPr>
              <w:jc w:val="left"/>
              <w:rPr>
                <w:sz w:val="16"/>
                <w:szCs w:val="16"/>
              </w:rPr>
            </w:pPr>
            <w:r w:rsidRPr="00756DA5">
              <w:rPr>
                <w:sz w:val="16"/>
                <w:szCs w:val="16"/>
              </w:rPr>
              <w:t>0,0000</w:t>
            </w:r>
          </w:p>
        </w:tc>
        <w:tc>
          <w:tcPr>
            <w:tcW w:w="2277" w:type="dxa"/>
          </w:tcPr>
          <w:p w:rsidR="009A6FE4" w:rsidRPr="00756DA5" w:rsidP="009A6FE4">
            <w:pPr>
              <w:jc w:val="left"/>
              <w:rPr>
                <w:sz w:val="16"/>
                <w:szCs w:val="16"/>
              </w:rPr>
            </w:pPr>
            <w:r w:rsidRPr="00756DA5">
              <w:rPr>
                <w:sz w:val="16"/>
                <w:szCs w:val="16"/>
              </w:rPr>
              <w:t>0.0000</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0,074</w:t>
            </w:r>
          </w:p>
        </w:tc>
        <w:tc>
          <w:tcPr>
            <w:tcW w:w="2271" w:type="dxa"/>
          </w:tcPr>
          <w:p w:rsidR="009A6FE4" w:rsidRPr="00756DA5" w:rsidP="009A6FE4">
            <w:pPr>
              <w:jc w:val="left"/>
              <w:rPr>
                <w:sz w:val="16"/>
                <w:szCs w:val="16"/>
              </w:rPr>
            </w:pPr>
            <w:r w:rsidRPr="00756DA5">
              <w:rPr>
                <w:sz w:val="16"/>
                <w:szCs w:val="16"/>
              </w:rPr>
              <w:t>0.074</w:t>
            </w:r>
          </w:p>
        </w:tc>
        <w:tc>
          <w:tcPr>
            <w:tcW w:w="2259" w:type="dxa"/>
          </w:tcPr>
          <w:p w:rsidR="009A6FE4" w:rsidRPr="00756DA5" w:rsidP="009A6FE4">
            <w:pPr>
              <w:jc w:val="left"/>
              <w:rPr>
                <w:sz w:val="16"/>
                <w:szCs w:val="16"/>
              </w:rPr>
            </w:pPr>
            <w:r w:rsidRPr="00756DA5">
              <w:rPr>
                <w:sz w:val="16"/>
                <w:szCs w:val="16"/>
              </w:rPr>
              <w:t>0,002</w:t>
            </w:r>
          </w:p>
        </w:tc>
        <w:tc>
          <w:tcPr>
            <w:tcW w:w="2277" w:type="dxa"/>
          </w:tcPr>
          <w:p w:rsidR="009A6FE4" w:rsidRPr="00756DA5" w:rsidP="009A6FE4">
            <w:pPr>
              <w:jc w:val="left"/>
              <w:rPr>
                <w:sz w:val="16"/>
                <w:szCs w:val="16"/>
              </w:rPr>
            </w:pPr>
            <w:r w:rsidRPr="00756DA5">
              <w:rPr>
                <w:sz w:val="16"/>
                <w:szCs w:val="16"/>
              </w:rPr>
              <w:t>0.002</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0,073</w:t>
            </w:r>
          </w:p>
        </w:tc>
        <w:tc>
          <w:tcPr>
            <w:tcW w:w="2271" w:type="dxa"/>
          </w:tcPr>
          <w:p w:rsidR="009A6FE4" w:rsidRPr="00756DA5" w:rsidP="009A6FE4">
            <w:pPr>
              <w:jc w:val="left"/>
              <w:rPr>
                <w:sz w:val="16"/>
                <w:szCs w:val="16"/>
              </w:rPr>
            </w:pPr>
            <w:r w:rsidRPr="00756DA5">
              <w:rPr>
                <w:sz w:val="16"/>
                <w:szCs w:val="16"/>
              </w:rPr>
              <w:t>0.073</w:t>
            </w:r>
          </w:p>
        </w:tc>
        <w:tc>
          <w:tcPr>
            <w:tcW w:w="2259" w:type="dxa"/>
          </w:tcPr>
          <w:p w:rsidR="009A6FE4" w:rsidRPr="00756DA5" w:rsidP="009A6FE4">
            <w:pPr>
              <w:jc w:val="left"/>
              <w:rPr>
                <w:sz w:val="16"/>
                <w:szCs w:val="16"/>
              </w:rPr>
            </w:pPr>
            <w:r w:rsidRPr="00756DA5">
              <w:rPr>
                <w:sz w:val="16"/>
                <w:szCs w:val="16"/>
              </w:rPr>
              <w:t>0,003</w:t>
            </w:r>
          </w:p>
        </w:tc>
        <w:tc>
          <w:tcPr>
            <w:tcW w:w="2277" w:type="dxa"/>
          </w:tcPr>
          <w:p w:rsidR="009A6FE4" w:rsidRPr="00756DA5" w:rsidP="009A6FE4">
            <w:pPr>
              <w:jc w:val="left"/>
              <w:rPr>
                <w:sz w:val="16"/>
                <w:szCs w:val="16"/>
              </w:rPr>
            </w:pPr>
            <w:r w:rsidRPr="00756DA5">
              <w:rPr>
                <w:sz w:val="16"/>
                <w:szCs w:val="16"/>
              </w:rPr>
              <w:t>0.003</w:t>
            </w:r>
          </w:p>
        </w:tc>
      </w:tr>
      <w:tr w:rsidTr="009A6FE4">
        <w:tblPrEx>
          <w:tblW w:w="9072" w:type="dxa"/>
          <w:tblLook w:val="04A0"/>
        </w:tblPrEx>
        <w:tc>
          <w:tcPr>
            <w:tcW w:w="2265" w:type="dxa"/>
          </w:tcPr>
          <w:p w:rsidR="009A6FE4" w:rsidRPr="00756DA5" w:rsidP="009A6FE4">
            <w:pPr>
              <w:jc w:val="left"/>
              <w:rPr>
                <w:sz w:val="16"/>
                <w:szCs w:val="16"/>
              </w:rPr>
            </w:pPr>
            <w:r w:rsidRPr="00756DA5">
              <w:rPr>
                <w:sz w:val="16"/>
                <w:szCs w:val="16"/>
              </w:rPr>
              <w:t>0,079</w:t>
            </w:r>
          </w:p>
        </w:tc>
        <w:tc>
          <w:tcPr>
            <w:tcW w:w="2271" w:type="dxa"/>
          </w:tcPr>
          <w:p w:rsidR="009A6FE4" w:rsidRPr="00756DA5" w:rsidP="009A6FE4">
            <w:pPr>
              <w:jc w:val="left"/>
              <w:rPr>
                <w:sz w:val="16"/>
                <w:szCs w:val="16"/>
              </w:rPr>
            </w:pPr>
            <w:r w:rsidRPr="00756DA5">
              <w:rPr>
                <w:sz w:val="16"/>
                <w:szCs w:val="16"/>
              </w:rPr>
              <w:t>0.079</w:t>
            </w:r>
          </w:p>
        </w:tc>
        <w:tc>
          <w:tcPr>
            <w:tcW w:w="2259" w:type="dxa"/>
          </w:tcPr>
          <w:p w:rsidR="009A6FE4" w:rsidRPr="00756DA5" w:rsidP="009A6FE4">
            <w:pPr>
              <w:jc w:val="left"/>
              <w:rPr>
                <w:sz w:val="16"/>
                <w:szCs w:val="16"/>
              </w:rPr>
            </w:pPr>
            <w:r w:rsidRPr="00756DA5">
              <w:rPr>
                <w:sz w:val="16"/>
                <w:szCs w:val="16"/>
              </w:rPr>
              <w:t>0,004</w:t>
            </w:r>
          </w:p>
        </w:tc>
        <w:tc>
          <w:tcPr>
            <w:tcW w:w="2277" w:type="dxa"/>
          </w:tcPr>
          <w:p w:rsidR="009A6FE4" w:rsidRPr="00756DA5" w:rsidP="009A6FE4">
            <w:pPr>
              <w:jc w:val="left"/>
              <w:rPr>
                <w:sz w:val="16"/>
                <w:szCs w:val="16"/>
              </w:rPr>
            </w:pPr>
            <w:r w:rsidRPr="00756DA5">
              <w:rPr>
                <w:sz w:val="16"/>
                <w:szCs w:val="16"/>
              </w:rPr>
              <w:t>0.004</w:t>
            </w:r>
          </w:p>
        </w:tc>
      </w:tr>
      <w:tr w:rsidTr="009A6FE4">
        <w:tblPrEx>
          <w:tblW w:w="9072" w:type="dxa"/>
          <w:tblLook w:val="04A0"/>
        </w:tblPrEx>
        <w:tc>
          <w:tcPr>
            <w:tcW w:w="2265" w:type="dxa"/>
          </w:tcPr>
          <w:p w:rsidR="009A6FE4" w:rsidRPr="00756DA5" w:rsidP="009A6FE4">
            <w:pPr>
              <w:jc w:val="left"/>
              <w:rPr>
                <w:sz w:val="16"/>
                <w:szCs w:val="16"/>
              </w:rPr>
            </w:pPr>
          </w:p>
        </w:tc>
        <w:tc>
          <w:tcPr>
            <w:tcW w:w="2271" w:type="dxa"/>
          </w:tcPr>
          <w:p w:rsidR="009A6FE4" w:rsidRPr="00756DA5" w:rsidP="009A6FE4">
            <w:pPr>
              <w:jc w:val="left"/>
              <w:rPr>
                <w:sz w:val="16"/>
                <w:szCs w:val="16"/>
              </w:rPr>
            </w:pPr>
          </w:p>
        </w:tc>
        <w:tc>
          <w:tcPr>
            <w:tcW w:w="2259" w:type="dxa"/>
          </w:tcPr>
          <w:p w:rsidR="009A6FE4" w:rsidRPr="00756DA5" w:rsidP="009A6FE4">
            <w:pPr>
              <w:jc w:val="left"/>
              <w:rPr>
                <w:sz w:val="16"/>
                <w:szCs w:val="16"/>
              </w:rPr>
            </w:pPr>
            <w:r w:rsidRPr="00756DA5">
              <w:rPr>
                <w:sz w:val="16"/>
                <w:szCs w:val="16"/>
              </w:rPr>
              <w:t>0,005</w:t>
            </w:r>
          </w:p>
        </w:tc>
        <w:tc>
          <w:tcPr>
            <w:tcW w:w="2277" w:type="dxa"/>
          </w:tcPr>
          <w:p w:rsidR="009A6FE4" w:rsidRPr="00756DA5" w:rsidP="009A6FE4">
            <w:pPr>
              <w:jc w:val="left"/>
              <w:rPr>
                <w:sz w:val="16"/>
                <w:szCs w:val="16"/>
              </w:rPr>
            </w:pPr>
            <w:r w:rsidRPr="00756DA5">
              <w:rPr>
                <w:sz w:val="16"/>
                <w:szCs w:val="16"/>
              </w:rPr>
              <w:t>0.005</w:t>
            </w:r>
          </w:p>
        </w:tc>
      </w:tr>
    </w:tbl>
    <w:p w:rsidR="00FA5017" w:rsidRPr="00756DA5"/>
    <w:p w:rsidR="00442B87" w:rsidRPr="00756DA5" w:rsidP="00423F21">
      <w:pPr>
        <w:pageBreakBefore/>
        <w:spacing w:line="280" w:lineRule="exact"/>
        <w:rPr>
          <w:b/>
          <w:szCs w:val="20"/>
        </w:rPr>
      </w:pPr>
      <w:bookmarkStart w:id="98" w:name="_Toc460852662"/>
      <w:r w:rsidRPr="00756DA5">
        <w:rPr>
          <w:b/>
          <w:bCs/>
          <w:szCs w:val="20"/>
        </w:rPr>
        <w:t xml:space="preserve">■ </w:t>
      </w:r>
      <w:r w:rsidRPr="00756DA5">
        <w:rPr>
          <w:b/>
          <w:szCs w:val="20"/>
        </w:rPr>
        <w:t>People seriously injured by type of person involved</w:t>
      </w:r>
      <w:bookmarkEnd w:id="98"/>
    </w:p>
    <w:tbl>
      <w:tblPr>
        <w:tblW w:w="0" w:type="auto"/>
        <w:tblLook w:val="04A0"/>
      </w:tblPr>
      <w:tblGrid>
        <w:gridCol w:w="4536"/>
        <w:gridCol w:w="4536"/>
      </w:tblGrid>
      <w:tr w:rsidTr="003810A0">
        <w:tblPrEx>
          <w:tblW w:w="0" w:type="auto"/>
          <w:tblLook w:val="04A0"/>
        </w:tblPrEx>
        <w:tc>
          <w:tcPr>
            <w:tcW w:w="4536" w:type="dxa"/>
            <w:hideMark/>
          </w:tcPr>
          <w:p w:rsidR="00442B87" w:rsidRPr="00756DA5" w:rsidP="00C844BF">
            <w:pPr>
              <w:jc w:val="left"/>
            </w:pPr>
            <w:r w:rsidRPr="00756DA5">
              <w:rPr>
                <w:noProof/>
                <w:lang w:val="fr-FR" w:eastAsia="fr-FR"/>
              </w:rPr>
              <w:drawing>
                <wp:inline distT="0" distB="0" distL="0" distR="0">
                  <wp:extent cx="2701290" cy="2197916"/>
                  <wp:effectExtent l="0" t="0" r="381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60495" name="Picture 18"/>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22051" cy="2214808"/>
                          </a:xfrm>
                          <a:prstGeom prst="rect">
                            <a:avLst/>
                          </a:prstGeom>
                          <a:noFill/>
                          <a:ln>
                            <a:noFill/>
                          </a:ln>
                        </pic:spPr>
                      </pic:pic>
                    </a:graphicData>
                  </a:graphic>
                </wp:inline>
              </w:drawing>
            </w:r>
          </w:p>
        </w:tc>
        <w:tc>
          <w:tcPr>
            <w:tcW w:w="4536" w:type="dxa"/>
            <w:hideMark/>
          </w:tcPr>
          <w:p w:rsidR="00442B87" w:rsidRPr="00756DA5" w:rsidP="00C844BF">
            <w:pPr>
              <w:jc w:val="left"/>
            </w:pPr>
            <w:r w:rsidRPr="00756DA5">
              <w:rPr>
                <w:noProof/>
                <w:lang w:val="fr-FR" w:eastAsia="fr-FR"/>
              </w:rPr>
              <w:drawing>
                <wp:inline distT="0" distB="0" distL="0" distR="0">
                  <wp:extent cx="2700395" cy="2197735"/>
                  <wp:effectExtent l="0" t="0" r="508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72288" name="Picture 19"/>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2418" cy="2207520"/>
                          </a:xfrm>
                          <a:prstGeom prst="rect">
                            <a:avLst/>
                          </a:prstGeom>
                          <a:noFill/>
                          <a:ln>
                            <a:noFill/>
                          </a:ln>
                        </pic:spPr>
                      </pic:pic>
                    </a:graphicData>
                  </a:graphic>
                </wp:inline>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DA61C5">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DA61C5" w:rsidRPr="00756DA5" w:rsidP="00DA61C5">
            <w:pPr>
              <w:jc w:val="left"/>
              <w:rPr>
                <w:sz w:val="16"/>
                <w:szCs w:val="16"/>
              </w:rPr>
            </w:pPr>
            <w:r w:rsidRPr="00756DA5">
              <w:rPr>
                <w:sz w:val="16"/>
                <w:szCs w:val="16"/>
              </w:rPr>
              <w:t>PS10 : Nombre relatif de voyageurs grièvement blessés par million de train-km</w:t>
            </w:r>
          </w:p>
        </w:tc>
        <w:tc>
          <w:tcPr>
            <w:tcW w:w="2271" w:type="dxa"/>
          </w:tcPr>
          <w:p w:rsidR="00DA61C5" w:rsidRPr="00756DA5" w:rsidP="00DA61C5">
            <w:pPr>
              <w:jc w:val="left"/>
              <w:rPr>
                <w:sz w:val="16"/>
                <w:szCs w:val="16"/>
              </w:rPr>
            </w:pPr>
            <w:r w:rsidRPr="00756DA5">
              <w:rPr>
                <w:sz w:val="16"/>
                <w:szCs w:val="16"/>
              </w:rPr>
              <w:t>PS10: Number of passengers seriously injured per million train-km</w:t>
            </w:r>
          </w:p>
        </w:tc>
        <w:tc>
          <w:tcPr>
            <w:tcW w:w="2259" w:type="dxa"/>
          </w:tcPr>
          <w:p w:rsidR="00DA61C5" w:rsidRPr="00756DA5" w:rsidP="00DA61C5">
            <w:pPr>
              <w:jc w:val="left"/>
              <w:rPr>
                <w:sz w:val="16"/>
                <w:szCs w:val="16"/>
              </w:rPr>
            </w:pPr>
            <w:r w:rsidRPr="00756DA5">
              <w:rPr>
                <w:sz w:val="16"/>
                <w:szCs w:val="16"/>
              </w:rPr>
              <w:t>PS20 : Nombre relatif de voyageurs grièvement blessés par million de voyageur-km</w:t>
            </w:r>
          </w:p>
        </w:tc>
        <w:tc>
          <w:tcPr>
            <w:tcW w:w="2277" w:type="dxa"/>
          </w:tcPr>
          <w:p w:rsidR="00DA61C5" w:rsidRPr="00756DA5" w:rsidP="00DA61C5">
            <w:pPr>
              <w:jc w:val="left"/>
              <w:rPr>
                <w:sz w:val="16"/>
                <w:szCs w:val="16"/>
              </w:rPr>
            </w:pPr>
            <w:r w:rsidRPr="00756DA5">
              <w:rPr>
                <w:sz w:val="16"/>
                <w:szCs w:val="16"/>
              </w:rPr>
              <w:t>PS20: Number of passengers seriously injured per million passenger-km</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Moyenne calculée sur 5 ans</w:t>
            </w:r>
          </w:p>
        </w:tc>
        <w:tc>
          <w:tcPr>
            <w:tcW w:w="2271" w:type="dxa"/>
          </w:tcPr>
          <w:p w:rsidR="00DA61C5" w:rsidRPr="00756DA5" w:rsidP="00DA61C5">
            <w:pPr>
              <w:jc w:val="left"/>
              <w:rPr>
                <w:sz w:val="16"/>
                <w:szCs w:val="16"/>
              </w:rPr>
            </w:pPr>
            <w:r w:rsidRPr="00756DA5">
              <w:rPr>
                <w:sz w:val="16"/>
                <w:szCs w:val="16"/>
              </w:rPr>
              <w:t>Average calculated over 5 years</w:t>
            </w:r>
          </w:p>
        </w:tc>
        <w:tc>
          <w:tcPr>
            <w:tcW w:w="2259" w:type="dxa"/>
          </w:tcPr>
          <w:p w:rsidR="00DA61C5" w:rsidRPr="00756DA5" w:rsidP="00DA61C5">
            <w:pPr>
              <w:jc w:val="left"/>
              <w:rPr>
                <w:sz w:val="16"/>
                <w:szCs w:val="16"/>
              </w:rPr>
            </w:pPr>
            <w:r w:rsidRPr="00756DA5">
              <w:rPr>
                <w:sz w:val="16"/>
                <w:szCs w:val="16"/>
              </w:rPr>
              <w:t>Moyenne calculée sur 5 ans</w:t>
            </w:r>
          </w:p>
        </w:tc>
        <w:tc>
          <w:tcPr>
            <w:tcW w:w="2277" w:type="dxa"/>
          </w:tcPr>
          <w:p w:rsidR="00DA61C5" w:rsidRPr="00756DA5" w:rsidP="00DA61C5">
            <w:pPr>
              <w:jc w:val="left"/>
              <w:rPr>
                <w:sz w:val="16"/>
                <w:szCs w:val="16"/>
              </w:rPr>
            </w:pPr>
            <w:r w:rsidRPr="00756DA5">
              <w:rPr>
                <w:sz w:val="16"/>
                <w:szCs w:val="16"/>
              </w:rPr>
              <w:t>Average calculated over 5 years</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0,035</w:t>
            </w:r>
          </w:p>
        </w:tc>
        <w:tc>
          <w:tcPr>
            <w:tcW w:w="2271" w:type="dxa"/>
          </w:tcPr>
          <w:p w:rsidR="00DA61C5" w:rsidRPr="00756DA5" w:rsidP="00DA61C5">
            <w:pPr>
              <w:jc w:val="left"/>
              <w:rPr>
                <w:sz w:val="16"/>
                <w:szCs w:val="16"/>
              </w:rPr>
            </w:pPr>
            <w:r w:rsidRPr="00756DA5">
              <w:rPr>
                <w:sz w:val="16"/>
                <w:szCs w:val="16"/>
              </w:rPr>
              <w:t>0.035</w:t>
            </w:r>
          </w:p>
        </w:tc>
        <w:tc>
          <w:tcPr>
            <w:tcW w:w="2259" w:type="dxa"/>
          </w:tcPr>
          <w:p w:rsidR="00DA61C5" w:rsidRPr="00756DA5" w:rsidP="00DA61C5">
            <w:pPr>
              <w:jc w:val="left"/>
              <w:rPr>
                <w:sz w:val="16"/>
                <w:szCs w:val="16"/>
              </w:rPr>
            </w:pPr>
            <w:r w:rsidRPr="00756DA5">
              <w:rPr>
                <w:sz w:val="16"/>
                <w:szCs w:val="16"/>
              </w:rPr>
              <w:t>0,18</w:t>
            </w:r>
          </w:p>
        </w:tc>
        <w:tc>
          <w:tcPr>
            <w:tcW w:w="2277" w:type="dxa"/>
          </w:tcPr>
          <w:p w:rsidR="00DA61C5" w:rsidRPr="00756DA5" w:rsidP="00DA61C5">
            <w:pPr>
              <w:jc w:val="left"/>
              <w:rPr>
                <w:sz w:val="16"/>
                <w:szCs w:val="16"/>
              </w:rPr>
            </w:pPr>
            <w:r w:rsidRPr="00756DA5">
              <w:rPr>
                <w:sz w:val="16"/>
                <w:szCs w:val="16"/>
              </w:rPr>
              <w:t>0.18</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0,030</w:t>
            </w:r>
          </w:p>
        </w:tc>
        <w:tc>
          <w:tcPr>
            <w:tcW w:w="2271" w:type="dxa"/>
          </w:tcPr>
          <w:p w:rsidR="00DA61C5" w:rsidRPr="00756DA5" w:rsidP="00DA61C5">
            <w:pPr>
              <w:jc w:val="left"/>
              <w:rPr>
                <w:sz w:val="16"/>
                <w:szCs w:val="16"/>
              </w:rPr>
            </w:pPr>
            <w:r w:rsidRPr="00756DA5">
              <w:rPr>
                <w:sz w:val="16"/>
                <w:szCs w:val="16"/>
              </w:rPr>
              <w:t>0.030</w:t>
            </w:r>
          </w:p>
        </w:tc>
        <w:tc>
          <w:tcPr>
            <w:tcW w:w="2259" w:type="dxa"/>
          </w:tcPr>
          <w:p w:rsidR="00DA61C5" w:rsidRPr="00756DA5" w:rsidP="00DA61C5">
            <w:pPr>
              <w:jc w:val="left"/>
              <w:rPr>
                <w:sz w:val="16"/>
                <w:szCs w:val="16"/>
              </w:rPr>
            </w:pPr>
            <w:r w:rsidRPr="00756DA5">
              <w:rPr>
                <w:sz w:val="16"/>
                <w:szCs w:val="16"/>
              </w:rPr>
              <w:t>0,16</w:t>
            </w:r>
          </w:p>
        </w:tc>
        <w:tc>
          <w:tcPr>
            <w:tcW w:w="2277" w:type="dxa"/>
          </w:tcPr>
          <w:p w:rsidR="00DA61C5" w:rsidRPr="00756DA5" w:rsidP="00DA61C5">
            <w:pPr>
              <w:jc w:val="left"/>
              <w:rPr>
                <w:sz w:val="16"/>
                <w:szCs w:val="16"/>
              </w:rPr>
            </w:pPr>
            <w:r w:rsidRPr="00756DA5">
              <w:rPr>
                <w:sz w:val="16"/>
                <w:szCs w:val="16"/>
              </w:rPr>
              <w:t>0.16</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0,025</w:t>
            </w:r>
          </w:p>
        </w:tc>
        <w:tc>
          <w:tcPr>
            <w:tcW w:w="2271" w:type="dxa"/>
          </w:tcPr>
          <w:p w:rsidR="00DA61C5" w:rsidRPr="00756DA5" w:rsidP="00DA61C5">
            <w:pPr>
              <w:jc w:val="left"/>
              <w:rPr>
                <w:sz w:val="16"/>
                <w:szCs w:val="16"/>
              </w:rPr>
            </w:pPr>
            <w:r w:rsidRPr="00756DA5">
              <w:rPr>
                <w:sz w:val="16"/>
                <w:szCs w:val="16"/>
              </w:rPr>
              <w:t>0.025</w:t>
            </w:r>
          </w:p>
        </w:tc>
        <w:tc>
          <w:tcPr>
            <w:tcW w:w="2259" w:type="dxa"/>
          </w:tcPr>
          <w:p w:rsidR="00DA61C5" w:rsidRPr="00756DA5" w:rsidP="00DA61C5">
            <w:pPr>
              <w:jc w:val="left"/>
              <w:rPr>
                <w:sz w:val="16"/>
                <w:szCs w:val="16"/>
              </w:rPr>
            </w:pPr>
            <w:r w:rsidRPr="00756DA5">
              <w:rPr>
                <w:sz w:val="16"/>
                <w:szCs w:val="16"/>
              </w:rPr>
              <w:t>0,14</w:t>
            </w:r>
          </w:p>
        </w:tc>
        <w:tc>
          <w:tcPr>
            <w:tcW w:w="2277" w:type="dxa"/>
          </w:tcPr>
          <w:p w:rsidR="00DA61C5" w:rsidRPr="00756DA5" w:rsidP="00DA61C5">
            <w:pPr>
              <w:jc w:val="left"/>
              <w:rPr>
                <w:sz w:val="16"/>
                <w:szCs w:val="16"/>
              </w:rPr>
            </w:pPr>
            <w:r w:rsidRPr="00756DA5">
              <w:rPr>
                <w:sz w:val="16"/>
                <w:szCs w:val="16"/>
              </w:rPr>
              <w:t>0.14</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0,020</w:t>
            </w:r>
          </w:p>
        </w:tc>
        <w:tc>
          <w:tcPr>
            <w:tcW w:w="2271" w:type="dxa"/>
          </w:tcPr>
          <w:p w:rsidR="00DA61C5" w:rsidRPr="00756DA5" w:rsidP="00DA61C5">
            <w:pPr>
              <w:jc w:val="left"/>
              <w:rPr>
                <w:sz w:val="16"/>
                <w:szCs w:val="16"/>
              </w:rPr>
            </w:pPr>
            <w:r w:rsidRPr="00756DA5">
              <w:rPr>
                <w:sz w:val="16"/>
                <w:szCs w:val="16"/>
              </w:rPr>
              <w:t>0.020</w:t>
            </w:r>
          </w:p>
        </w:tc>
        <w:tc>
          <w:tcPr>
            <w:tcW w:w="2259" w:type="dxa"/>
          </w:tcPr>
          <w:p w:rsidR="00DA61C5" w:rsidRPr="00756DA5" w:rsidP="00DA61C5">
            <w:pPr>
              <w:jc w:val="left"/>
              <w:rPr>
                <w:sz w:val="16"/>
                <w:szCs w:val="16"/>
              </w:rPr>
            </w:pPr>
            <w:r w:rsidRPr="00756DA5">
              <w:rPr>
                <w:sz w:val="16"/>
                <w:szCs w:val="16"/>
              </w:rPr>
              <w:t>0,12</w:t>
            </w:r>
          </w:p>
        </w:tc>
        <w:tc>
          <w:tcPr>
            <w:tcW w:w="2277" w:type="dxa"/>
          </w:tcPr>
          <w:p w:rsidR="00DA61C5" w:rsidRPr="00756DA5" w:rsidP="00DA61C5">
            <w:pPr>
              <w:jc w:val="left"/>
              <w:rPr>
                <w:sz w:val="16"/>
                <w:szCs w:val="16"/>
              </w:rPr>
            </w:pPr>
            <w:r w:rsidRPr="00756DA5">
              <w:rPr>
                <w:sz w:val="16"/>
                <w:szCs w:val="16"/>
              </w:rPr>
              <w:t>0.12</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0,015</w:t>
            </w:r>
          </w:p>
        </w:tc>
        <w:tc>
          <w:tcPr>
            <w:tcW w:w="2271" w:type="dxa"/>
          </w:tcPr>
          <w:p w:rsidR="00DA61C5" w:rsidRPr="00756DA5" w:rsidP="00DA61C5">
            <w:pPr>
              <w:jc w:val="left"/>
              <w:rPr>
                <w:sz w:val="16"/>
                <w:szCs w:val="16"/>
              </w:rPr>
            </w:pPr>
            <w:r w:rsidRPr="00756DA5">
              <w:rPr>
                <w:sz w:val="16"/>
                <w:szCs w:val="16"/>
              </w:rPr>
              <w:t>0.015</w:t>
            </w:r>
          </w:p>
        </w:tc>
        <w:tc>
          <w:tcPr>
            <w:tcW w:w="2259" w:type="dxa"/>
          </w:tcPr>
          <w:p w:rsidR="00DA61C5" w:rsidRPr="00756DA5" w:rsidP="00DA61C5">
            <w:pPr>
              <w:jc w:val="left"/>
              <w:rPr>
                <w:sz w:val="16"/>
                <w:szCs w:val="16"/>
              </w:rPr>
            </w:pPr>
            <w:r w:rsidRPr="00756DA5">
              <w:rPr>
                <w:sz w:val="16"/>
                <w:szCs w:val="16"/>
              </w:rPr>
              <w:t>0,10</w:t>
            </w:r>
          </w:p>
        </w:tc>
        <w:tc>
          <w:tcPr>
            <w:tcW w:w="2277" w:type="dxa"/>
          </w:tcPr>
          <w:p w:rsidR="00DA61C5" w:rsidRPr="00756DA5" w:rsidP="00DA61C5">
            <w:pPr>
              <w:jc w:val="left"/>
              <w:rPr>
                <w:sz w:val="16"/>
                <w:szCs w:val="16"/>
              </w:rPr>
            </w:pPr>
            <w:r w:rsidRPr="00756DA5">
              <w:rPr>
                <w:sz w:val="16"/>
                <w:szCs w:val="16"/>
              </w:rPr>
              <w:t>0.10</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0,010</w:t>
            </w:r>
          </w:p>
        </w:tc>
        <w:tc>
          <w:tcPr>
            <w:tcW w:w="2271" w:type="dxa"/>
          </w:tcPr>
          <w:p w:rsidR="00DA61C5" w:rsidRPr="00756DA5" w:rsidP="00DA61C5">
            <w:pPr>
              <w:jc w:val="left"/>
              <w:rPr>
                <w:sz w:val="16"/>
                <w:szCs w:val="16"/>
              </w:rPr>
            </w:pPr>
            <w:r w:rsidRPr="00756DA5">
              <w:rPr>
                <w:sz w:val="16"/>
                <w:szCs w:val="16"/>
              </w:rPr>
              <w:t>0.010</w:t>
            </w:r>
          </w:p>
        </w:tc>
        <w:tc>
          <w:tcPr>
            <w:tcW w:w="2259" w:type="dxa"/>
          </w:tcPr>
          <w:p w:rsidR="00DA61C5" w:rsidRPr="00756DA5" w:rsidP="00DA61C5">
            <w:pPr>
              <w:jc w:val="left"/>
              <w:rPr>
                <w:sz w:val="16"/>
                <w:szCs w:val="16"/>
              </w:rPr>
            </w:pPr>
            <w:r w:rsidRPr="00756DA5">
              <w:rPr>
                <w:sz w:val="16"/>
                <w:szCs w:val="16"/>
              </w:rPr>
              <w:t>0,08</w:t>
            </w:r>
          </w:p>
        </w:tc>
        <w:tc>
          <w:tcPr>
            <w:tcW w:w="2277" w:type="dxa"/>
          </w:tcPr>
          <w:p w:rsidR="00DA61C5" w:rsidRPr="00756DA5" w:rsidP="00DA61C5">
            <w:pPr>
              <w:jc w:val="left"/>
              <w:rPr>
                <w:sz w:val="16"/>
                <w:szCs w:val="16"/>
              </w:rPr>
            </w:pPr>
            <w:r w:rsidRPr="00756DA5">
              <w:rPr>
                <w:sz w:val="16"/>
                <w:szCs w:val="16"/>
              </w:rPr>
              <w:t>0.08</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0,005</w:t>
            </w:r>
          </w:p>
        </w:tc>
        <w:tc>
          <w:tcPr>
            <w:tcW w:w="2271" w:type="dxa"/>
          </w:tcPr>
          <w:p w:rsidR="00DA61C5" w:rsidRPr="00756DA5" w:rsidP="00DA61C5">
            <w:pPr>
              <w:jc w:val="left"/>
              <w:rPr>
                <w:sz w:val="16"/>
                <w:szCs w:val="16"/>
              </w:rPr>
            </w:pPr>
            <w:r w:rsidRPr="00756DA5">
              <w:rPr>
                <w:sz w:val="16"/>
                <w:szCs w:val="16"/>
              </w:rPr>
              <w:t>0.005</w:t>
            </w:r>
          </w:p>
        </w:tc>
        <w:tc>
          <w:tcPr>
            <w:tcW w:w="2259" w:type="dxa"/>
          </w:tcPr>
          <w:p w:rsidR="00DA61C5" w:rsidRPr="00756DA5" w:rsidP="00DA61C5">
            <w:pPr>
              <w:jc w:val="left"/>
              <w:rPr>
                <w:sz w:val="16"/>
                <w:szCs w:val="16"/>
              </w:rPr>
            </w:pPr>
            <w:r w:rsidRPr="00756DA5">
              <w:rPr>
                <w:sz w:val="16"/>
                <w:szCs w:val="16"/>
              </w:rPr>
              <w:t>0,06</w:t>
            </w:r>
          </w:p>
        </w:tc>
        <w:tc>
          <w:tcPr>
            <w:tcW w:w="2277" w:type="dxa"/>
          </w:tcPr>
          <w:p w:rsidR="00DA61C5" w:rsidRPr="00756DA5" w:rsidP="00DA61C5">
            <w:pPr>
              <w:jc w:val="left"/>
              <w:rPr>
                <w:sz w:val="16"/>
                <w:szCs w:val="16"/>
              </w:rPr>
            </w:pPr>
            <w:r w:rsidRPr="00756DA5">
              <w:rPr>
                <w:sz w:val="16"/>
                <w:szCs w:val="16"/>
              </w:rPr>
              <w:t>0.06</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0,000</w:t>
            </w:r>
          </w:p>
        </w:tc>
        <w:tc>
          <w:tcPr>
            <w:tcW w:w="2271" w:type="dxa"/>
          </w:tcPr>
          <w:p w:rsidR="00DA61C5" w:rsidRPr="00756DA5" w:rsidP="00DA61C5">
            <w:pPr>
              <w:jc w:val="left"/>
              <w:rPr>
                <w:sz w:val="16"/>
                <w:szCs w:val="16"/>
              </w:rPr>
            </w:pPr>
            <w:r w:rsidRPr="00756DA5">
              <w:rPr>
                <w:sz w:val="16"/>
                <w:szCs w:val="16"/>
              </w:rPr>
              <w:t>0.000</w:t>
            </w:r>
          </w:p>
        </w:tc>
        <w:tc>
          <w:tcPr>
            <w:tcW w:w="2259" w:type="dxa"/>
          </w:tcPr>
          <w:p w:rsidR="00DA61C5" w:rsidRPr="00756DA5" w:rsidP="00DA61C5">
            <w:pPr>
              <w:jc w:val="left"/>
              <w:rPr>
                <w:sz w:val="16"/>
                <w:szCs w:val="16"/>
              </w:rPr>
            </w:pPr>
            <w:r w:rsidRPr="00756DA5">
              <w:rPr>
                <w:sz w:val="16"/>
                <w:szCs w:val="16"/>
              </w:rPr>
              <w:t>0,04</w:t>
            </w:r>
          </w:p>
        </w:tc>
        <w:tc>
          <w:tcPr>
            <w:tcW w:w="2277" w:type="dxa"/>
          </w:tcPr>
          <w:p w:rsidR="00DA61C5" w:rsidRPr="00756DA5" w:rsidP="00DA61C5">
            <w:pPr>
              <w:jc w:val="left"/>
              <w:rPr>
                <w:sz w:val="16"/>
                <w:szCs w:val="16"/>
              </w:rPr>
            </w:pPr>
            <w:r w:rsidRPr="00756DA5">
              <w:rPr>
                <w:sz w:val="16"/>
                <w:szCs w:val="16"/>
              </w:rPr>
              <w:t>0.04</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0,029</w:t>
            </w:r>
          </w:p>
        </w:tc>
        <w:tc>
          <w:tcPr>
            <w:tcW w:w="2271" w:type="dxa"/>
          </w:tcPr>
          <w:p w:rsidR="00DA61C5" w:rsidRPr="00756DA5" w:rsidP="00DA61C5">
            <w:pPr>
              <w:jc w:val="left"/>
              <w:rPr>
                <w:sz w:val="16"/>
                <w:szCs w:val="16"/>
              </w:rPr>
            </w:pPr>
            <w:r w:rsidRPr="00756DA5">
              <w:rPr>
                <w:sz w:val="16"/>
                <w:szCs w:val="16"/>
              </w:rPr>
              <w:t>0.029</w:t>
            </w:r>
          </w:p>
        </w:tc>
        <w:tc>
          <w:tcPr>
            <w:tcW w:w="2259" w:type="dxa"/>
          </w:tcPr>
          <w:p w:rsidR="00DA61C5" w:rsidRPr="00756DA5" w:rsidP="00DA61C5">
            <w:pPr>
              <w:jc w:val="left"/>
              <w:rPr>
                <w:sz w:val="16"/>
                <w:szCs w:val="16"/>
              </w:rPr>
            </w:pPr>
            <w:r w:rsidRPr="00756DA5">
              <w:rPr>
                <w:sz w:val="16"/>
                <w:szCs w:val="16"/>
              </w:rPr>
              <w:t>0,02</w:t>
            </w:r>
          </w:p>
        </w:tc>
        <w:tc>
          <w:tcPr>
            <w:tcW w:w="2277" w:type="dxa"/>
          </w:tcPr>
          <w:p w:rsidR="00DA61C5" w:rsidRPr="00756DA5" w:rsidP="00DA61C5">
            <w:pPr>
              <w:jc w:val="left"/>
              <w:rPr>
                <w:sz w:val="16"/>
                <w:szCs w:val="16"/>
              </w:rPr>
            </w:pPr>
            <w:r w:rsidRPr="00756DA5">
              <w:rPr>
                <w:sz w:val="16"/>
                <w:szCs w:val="16"/>
              </w:rPr>
              <w:t>0.02</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0,028</w:t>
            </w:r>
          </w:p>
        </w:tc>
        <w:tc>
          <w:tcPr>
            <w:tcW w:w="2271" w:type="dxa"/>
          </w:tcPr>
          <w:p w:rsidR="00DA61C5" w:rsidRPr="00756DA5" w:rsidP="00DA61C5">
            <w:pPr>
              <w:jc w:val="left"/>
              <w:rPr>
                <w:sz w:val="16"/>
                <w:szCs w:val="16"/>
              </w:rPr>
            </w:pPr>
            <w:r w:rsidRPr="00756DA5">
              <w:rPr>
                <w:sz w:val="16"/>
                <w:szCs w:val="16"/>
              </w:rPr>
              <w:t>0.028</w:t>
            </w:r>
          </w:p>
        </w:tc>
        <w:tc>
          <w:tcPr>
            <w:tcW w:w="2259" w:type="dxa"/>
          </w:tcPr>
          <w:p w:rsidR="00DA61C5" w:rsidRPr="00756DA5" w:rsidP="00DA61C5">
            <w:pPr>
              <w:jc w:val="left"/>
              <w:rPr>
                <w:sz w:val="16"/>
                <w:szCs w:val="16"/>
              </w:rPr>
            </w:pPr>
            <w:r w:rsidRPr="00756DA5">
              <w:rPr>
                <w:sz w:val="16"/>
                <w:szCs w:val="16"/>
              </w:rPr>
              <w:t>0,00</w:t>
            </w:r>
          </w:p>
        </w:tc>
        <w:tc>
          <w:tcPr>
            <w:tcW w:w="2277" w:type="dxa"/>
          </w:tcPr>
          <w:p w:rsidR="00DA61C5" w:rsidRPr="00756DA5" w:rsidP="00DA61C5">
            <w:pPr>
              <w:jc w:val="left"/>
              <w:rPr>
                <w:sz w:val="16"/>
                <w:szCs w:val="16"/>
              </w:rPr>
            </w:pPr>
            <w:r w:rsidRPr="00756DA5">
              <w:rPr>
                <w:sz w:val="16"/>
                <w:szCs w:val="16"/>
              </w:rPr>
              <w:t>0.00</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0,026</w:t>
            </w:r>
          </w:p>
        </w:tc>
        <w:tc>
          <w:tcPr>
            <w:tcW w:w="2271" w:type="dxa"/>
          </w:tcPr>
          <w:p w:rsidR="00DA61C5" w:rsidRPr="00756DA5" w:rsidP="00DA61C5">
            <w:pPr>
              <w:jc w:val="left"/>
              <w:rPr>
                <w:sz w:val="16"/>
                <w:szCs w:val="16"/>
              </w:rPr>
            </w:pPr>
            <w:r w:rsidRPr="00756DA5">
              <w:rPr>
                <w:sz w:val="16"/>
                <w:szCs w:val="16"/>
              </w:rPr>
              <w:t>0.026</w:t>
            </w:r>
          </w:p>
        </w:tc>
        <w:tc>
          <w:tcPr>
            <w:tcW w:w="2259" w:type="dxa"/>
          </w:tcPr>
          <w:p w:rsidR="00DA61C5" w:rsidRPr="00756DA5" w:rsidP="00DA61C5">
            <w:pPr>
              <w:jc w:val="left"/>
              <w:rPr>
                <w:sz w:val="16"/>
                <w:szCs w:val="16"/>
              </w:rPr>
            </w:pPr>
            <w:r w:rsidRPr="00756DA5">
              <w:rPr>
                <w:sz w:val="16"/>
                <w:szCs w:val="16"/>
              </w:rPr>
              <w:t>0,171</w:t>
            </w:r>
          </w:p>
        </w:tc>
        <w:tc>
          <w:tcPr>
            <w:tcW w:w="2277" w:type="dxa"/>
          </w:tcPr>
          <w:p w:rsidR="00DA61C5" w:rsidRPr="00756DA5" w:rsidP="00DA61C5">
            <w:pPr>
              <w:jc w:val="left"/>
              <w:rPr>
                <w:sz w:val="16"/>
                <w:szCs w:val="16"/>
              </w:rPr>
            </w:pPr>
            <w:r w:rsidRPr="00756DA5">
              <w:rPr>
                <w:sz w:val="16"/>
                <w:szCs w:val="16"/>
              </w:rPr>
              <w:t>0.171</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0,025</w:t>
            </w:r>
          </w:p>
        </w:tc>
        <w:tc>
          <w:tcPr>
            <w:tcW w:w="2271" w:type="dxa"/>
          </w:tcPr>
          <w:p w:rsidR="00DA61C5" w:rsidRPr="00756DA5" w:rsidP="00DA61C5">
            <w:pPr>
              <w:jc w:val="left"/>
              <w:rPr>
                <w:sz w:val="16"/>
                <w:szCs w:val="16"/>
              </w:rPr>
            </w:pPr>
            <w:r w:rsidRPr="00756DA5">
              <w:rPr>
                <w:sz w:val="16"/>
                <w:szCs w:val="16"/>
              </w:rPr>
              <w:t>0.025</w:t>
            </w:r>
          </w:p>
        </w:tc>
        <w:tc>
          <w:tcPr>
            <w:tcW w:w="2259" w:type="dxa"/>
          </w:tcPr>
          <w:p w:rsidR="00DA61C5" w:rsidRPr="00756DA5" w:rsidP="00DA61C5">
            <w:pPr>
              <w:jc w:val="left"/>
              <w:rPr>
                <w:sz w:val="16"/>
                <w:szCs w:val="16"/>
              </w:rPr>
            </w:pPr>
            <w:r w:rsidRPr="00756DA5">
              <w:rPr>
                <w:sz w:val="16"/>
                <w:szCs w:val="16"/>
              </w:rPr>
              <w:t>0,166</w:t>
            </w:r>
          </w:p>
        </w:tc>
        <w:tc>
          <w:tcPr>
            <w:tcW w:w="2277" w:type="dxa"/>
          </w:tcPr>
          <w:p w:rsidR="00DA61C5" w:rsidRPr="00756DA5" w:rsidP="00DA61C5">
            <w:pPr>
              <w:jc w:val="left"/>
              <w:rPr>
                <w:sz w:val="16"/>
                <w:szCs w:val="16"/>
              </w:rPr>
            </w:pPr>
            <w:r w:rsidRPr="00756DA5">
              <w:rPr>
                <w:sz w:val="16"/>
                <w:szCs w:val="16"/>
              </w:rPr>
              <w:t>0.166</w:t>
            </w:r>
          </w:p>
        </w:tc>
      </w:tr>
      <w:tr w:rsidTr="00DA61C5">
        <w:tblPrEx>
          <w:tblW w:w="9072" w:type="dxa"/>
          <w:tblLook w:val="04A0"/>
        </w:tblPrEx>
        <w:tc>
          <w:tcPr>
            <w:tcW w:w="2265" w:type="dxa"/>
          </w:tcPr>
          <w:p w:rsidR="00DA61C5" w:rsidRPr="00756DA5" w:rsidP="00DA61C5">
            <w:pPr>
              <w:jc w:val="left"/>
              <w:rPr>
                <w:sz w:val="16"/>
                <w:szCs w:val="16"/>
              </w:rPr>
            </w:pPr>
          </w:p>
        </w:tc>
        <w:tc>
          <w:tcPr>
            <w:tcW w:w="2271" w:type="dxa"/>
          </w:tcPr>
          <w:p w:rsidR="00DA61C5" w:rsidRPr="00756DA5" w:rsidP="00DA61C5">
            <w:pPr>
              <w:jc w:val="left"/>
              <w:rPr>
                <w:sz w:val="16"/>
                <w:szCs w:val="16"/>
              </w:rPr>
            </w:pPr>
          </w:p>
        </w:tc>
        <w:tc>
          <w:tcPr>
            <w:tcW w:w="2259" w:type="dxa"/>
          </w:tcPr>
          <w:p w:rsidR="00DA61C5" w:rsidRPr="00756DA5" w:rsidP="00DA61C5">
            <w:pPr>
              <w:jc w:val="left"/>
              <w:rPr>
                <w:sz w:val="16"/>
                <w:szCs w:val="16"/>
              </w:rPr>
            </w:pPr>
            <w:r w:rsidRPr="00756DA5">
              <w:rPr>
                <w:sz w:val="16"/>
                <w:szCs w:val="16"/>
              </w:rPr>
              <w:t>0,163</w:t>
            </w:r>
          </w:p>
        </w:tc>
        <w:tc>
          <w:tcPr>
            <w:tcW w:w="2277" w:type="dxa"/>
          </w:tcPr>
          <w:p w:rsidR="00DA61C5" w:rsidRPr="00756DA5" w:rsidP="00DA61C5">
            <w:pPr>
              <w:jc w:val="left"/>
              <w:rPr>
                <w:sz w:val="16"/>
                <w:szCs w:val="16"/>
              </w:rPr>
            </w:pPr>
            <w:r w:rsidRPr="00756DA5">
              <w:rPr>
                <w:sz w:val="16"/>
                <w:szCs w:val="16"/>
              </w:rPr>
              <w:t>0.163</w:t>
            </w:r>
          </w:p>
        </w:tc>
      </w:tr>
      <w:tr w:rsidTr="00DA61C5">
        <w:tblPrEx>
          <w:tblW w:w="9072" w:type="dxa"/>
          <w:tblLook w:val="04A0"/>
        </w:tblPrEx>
        <w:tc>
          <w:tcPr>
            <w:tcW w:w="2265" w:type="dxa"/>
          </w:tcPr>
          <w:p w:rsidR="00DA61C5" w:rsidRPr="00756DA5" w:rsidP="00DA61C5">
            <w:pPr>
              <w:jc w:val="left"/>
              <w:rPr>
                <w:sz w:val="16"/>
                <w:szCs w:val="16"/>
              </w:rPr>
            </w:pPr>
          </w:p>
        </w:tc>
        <w:tc>
          <w:tcPr>
            <w:tcW w:w="2271" w:type="dxa"/>
          </w:tcPr>
          <w:p w:rsidR="00DA61C5" w:rsidRPr="00756DA5" w:rsidP="00DA61C5">
            <w:pPr>
              <w:jc w:val="left"/>
              <w:rPr>
                <w:sz w:val="16"/>
                <w:szCs w:val="16"/>
              </w:rPr>
            </w:pPr>
          </w:p>
        </w:tc>
        <w:tc>
          <w:tcPr>
            <w:tcW w:w="2259" w:type="dxa"/>
          </w:tcPr>
          <w:p w:rsidR="00DA61C5" w:rsidRPr="00756DA5" w:rsidP="00DA61C5">
            <w:pPr>
              <w:jc w:val="left"/>
              <w:rPr>
                <w:sz w:val="16"/>
                <w:szCs w:val="16"/>
              </w:rPr>
            </w:pPr>
            <w:r w:rsidRPr="00756DA5">
              <w:rPr>
                <w:sz w:val="16"/>
                <w:szCs w:val="16"/>
              </w:rPr>
              <w:t>0,151</w:t>
            </w:r>
          </w:p>
        </w:tc>
        <w:tc>
          <w:tcPr>
            <w:tcW w:w="2277" w:type="dxa"/>
          </w:tcPr>
          <w:p w:rsidR="00DA61C5" w:rsidRPr="00756DA5" w:rsidP="00DA61C5">
            <w:pPr>
              <w:jc w:val="left"/>
              <w:rPr>
                <w:sz w:val="16"/>
                <w:szCs w:val="16"/>
              </w:rPr>
            </w:pPr>
            <w:r w:rsidRPr="00756DA5">
              <w:rPr>
                <w:sz w:val="16"/>
                <w:szCs w:val="16"/>
              </w:rPr>
              <w:t>0.151</w:t>
            </w:r>
          </w:p>
        </w:tc>
      </w:tr>
      <w:tr w:rsidTr="00DA61C5">
        <w:tblPrEx>
          <w:tblW w:w="9072" w:type="dxa"/>
          <w:tblLook w:val="04A0"/>
        </w:tblPrEx>
        <w:tc>
          <w:tcPr>
            <w:tcW w:w="2265" w:type="dxa"/>
          </w:tcPr>
          <w:p w:rsidR="00DA61C5" w:rsidRPr="00756DA5" w:rsidP="00DA61C5">
            <w:pPr>
              <w:jc w:val="left"/>
              <w:rPr>
                <w:sz w:val="16"/>
                <w:szCs w:val="16"/>
              </w:rPr>
            </w:pPr>
          </w:p>
        </w:tc>
        <w:tc>
          <w:tcPr>
            <w:tcW w:w="2271" w:type="dxa"/>
          </w:tcPr>
          <w:p w:rsidR="00DA61C5" w:rsidRPr="00756DA5" w:rsidP="00DA61C5">
            <w:pPr>
              <w:jc w:val="left"/>
              <w:rPr>
                <w:sz w:val="16"/>
                <w:szCs w:val="16"/>
              </w:rPr>
            </w:pPr>
          </w:p>
        </w:tc>
        <w:tc>
          <w:tcPr>
            <w:tcW w:w="2259" w:type="dxa"/>
          </w:tcPr>
          <w:p w:rsidR="00DA61C5" w:rsidRPr="00756DA5" w:rsidP="00DA61C5">
            <w:pPr>
              <w:jc w:val="left"/>
              <w:rPr>
                <w:sz w:val="16"/>
                <w:szCs w:val="16"/>
              </w:rPr>
            </w:pPr>
            <w:r w:rsidRPr="00756DA5">
              <w:rPr>
                <w:sz w:val="16"/>
                <w:szCs w:val="16"/>
              </w:rPr>
              <w:t>0,139</w:t>
            </w:r>
          </w:p>
        </w:tc>
        <w:tc>
          <w:tcPr>
            <w:tcW w:w="2277" w:type="dxa"/>
          </w:tcPr>
          <w:p w:rsidR="00DA61C5" w:rsidRPr="00756DA5" w:rsidP="00DA61C5">
            <w:pPr>
              <w:jc w:val="left"/>
              <w:rPr>
                <w:sz w:val="16"/>
                <w:szCs w:val="16"/>
              </w:rPr>
            </w:pPr>
            <w:r w:rsidRPr="00756DA5">
              <w:rPr>
                <w:sz w:val="16"/>
                <w:szCs w:val="16"/>
              </w:rPr>
              <w:t>0.139</w:t>
            </w:r>
          </w:p>
        </w:tc>
      </w:tr>
    </w:tbl>
    <w:tbl>
      <w:tblPr>
        <w:tblW w:w="0" w:type="auto"/>
        <w:tblLook w:val="04A0"/>
      </w:tblPr>
      <w:tblGrid>
        <w:gridCol w:w="4536"/>
        <w:gridCol w:w="4536"/>
      </w:tblGrid>
      <w:tr w:rsidTr="003810A0">
        <w:tblPrEx>
          <w:tblW w:w="0" w:type="auto"/>
          <w:tblLook w:val="04A0"/>
        </w:tblPrEx>
        <w:tc>
          <w:tcPr>
            <w:tcW w:w="4536" w:type="dxa"/>
            <w:hideMark/>
          </w:tcPr>
          <w:p w:rsidR="00442B87" w:rsidRPr="00756DA5" w:rsidP="00380326">
            <w:pPr>
              <w:keepNext/>
              <w:jc w:val="left"/>
            </w:pPr>
            <w:r w:rsidRPr="00756DA5">
              <w:rPr>
                <w:noProof/>
                <w:lang w:val="fr-FR" w:eastAsia="fr-FR"/>
              </w:rPr>
              <w:drawing>
                <wp:inline distT="0" distB="0" distL="0" distR="0">
                  <wp:extent cx="2696493" cy="2194560"/>
                  <wp:effectExtent l="0" t="0" r="889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64837" name="Picture 20"/>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5172" cy="2201623"/>
                          </a:xfrm>
                          <a:prstGeom prst="rect">
                            <a:avLst/>
                          </a:prstGeom>
                          <a:noFill/>
                          <a:ln>
                            <a:noFill/>
                          </a:ln>
                        </pic:spPr>
                      </pic:pic>
                    </a:graphicData>
                  </a:graphic>
                </wp:inline>
              </w:drawing>
            </w:r>
          </w:p>
        </w:tc>
        <w:tc>
          <w:tcPr>
            <w:tcW w:w="4536" w:type="dxa"/>
            <w:hideMark/>
          </w:tcPr>
          <w:p w:rsidR="00442B87" w:rsidRPr="00756DA5" w:rsidP="00380326">
            <w:pPr>
              <w:keepNext/>
              <w:jc w:val="left"/>
            </w:pPr>
            <w:r w:rsidRPr="00756DA5">
              <w:rPr>
                <w:noProof/>
                <w:lang w:val="fr-FR" w:eastAsia="fr-FR"/>
              </w:rPr>
              <w:drawing>
                <wp:inline distT="0" distB="0" distL="0" distR="0">
                  <wp:extent cx="2700020" cy="2197431"/>
                  <wp:effectExtent l="0" t="0" r="508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73638" name="Picture 21"/>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3012" cy="2208005"/>
                          </a:xfrm>
                          <a:prstGeom prst="rect">
                            <a:avLst/>
                          </a:prstGeom>
                          <a:noFill/>
                          <a:ln>
                            <a:noFill/>
                          </a:ln>
                        </pic:spPr>
                      </pic:pic>
                    </a:graphicData>
                  </a:graphic>
                </wp:inline>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DA61C5">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DA61C5" w:rsidRPr="00756DA5" w:rsidP="00380326">
            <w:pPr>
              <w:keepNext/>
              <w:jc w:val="left"/>
              <w:rPr>
                <w:sz w:val="16"/>
                <w:szCs w:val="16"/>
              </w:rPr>
            </w:pPr>
            <w:r w:rsidRPr="00756DA5">
              <w:rPr>
                <w:sz w:val="16"/>
                <w:szCs w:val="16"/>
              </w:rPr>
              <w:t>SS10 : Nombre relatif d’employés grièvement blessées par million de train-km</w:t>
            </w:r>
          </w:p>
        </w:tc>
        <w:tc>
          <w:tcPr>
            <w:tcW w:w="2271" w:type="dxa"/>
          </w:tcPr>
          <w:p w:rsidR="00DA61C5" w:rsidRPr="00756DA5" w:rsidP="00380326">
            <w:pPr>
              <w:keepNext/>
              <w:jc w:val="left"/>
              <w:rPr>
                <w:sz w:val="16"/>
                <w:szCs w:val="16"/>
              </w:rPr>
            </w:pPr>
            <w:r w:rsidRPr="00756DA5">
              <w:rPr>
                <w:sz w:val="16"/>
                <w:szCs w:val="16"/>
              </w:rPr>
              <w:t>SS10: Number of employees seriously injured per million train-km</w:t>
            </w:r>
          </w:p>
        </w:tc>
        <w:tc>
          <w:tcPr>
            <w:tcW w:w="2259" w:type="dxa"/>
          </w:tcPr>
          <w:p w:rsidR="00DA61C5" w:rsidRPr="00756DA5" w:rsidP="00380326">
            <w:pPr>
              <w:keepNext/>
              <w:jc w:val="left"/>
              <w:rPr>
                <w:sz w:val="16"/>
                <w:szCs w:val="16"/>
              </w:rPr>
            </w:pPr>
            <w:r w:rsidRPr="00756DA5">
              <w:rPr>
                <w:sz w:val="16"/>
                <w:szCs w:val="16"/>
              </w:rPr>
              <w:t>LS10 : Nombre relatif d’usagers de PN grièvement blessés par million de train-km</w:t>
            </w:r>
          </w:p>
        </w:tc>
        <w:tc>
          <w:tcPr>
            <w:tcW w:w="2277" w:type="dxa"/>
          </w:tcPr>
          <w:p w:rsidR="00DA61C5" w:rsidRPr="00756DA5" w:rsidP="00380326">
            <w:pPr>
              <w:keepNext/>
              <w:jc w:val="left"/>
              <w:rPr>
                <w:sz w:val="16"/>
                <w:szCs w:val="16"/>
              </w:rPr>
            </w:pPr>
            <w:r w:rsidRPr="00756DA5">
              <w:rPr>
                <w:sz w:val="16"/>
                <w:szCs w:val="16"/>
              </w:rPr>
              <w:t>LS10: Number of LC users seriously injured per million train-km</w:t>
            </w:r>
          </w:p>
        </w:tc>
      </w:tr>
      <w:tr w:rsidTr="00DA61C5">
        <w:tblPrEx>
          <w:tblW w:w="9072" w:type="dxa"/>
          <w:tblLook w:val="04A0"/>
        </w:tblPrEx>
        <w:tc>
          <w:tcPr>
            <w:tcW w:w="2265" w:type="dxa"/>
          </w:tcPr>
          <w:p w:rsidR="00DA61C5" w:rsidRPr="00756DA5" w:rsidP="00380326">
            <w:pPr>
              <w:keepNext/>
              <w:jc w:val="left"/>
              <w:rPr>
                <w:sz w:val="16"/>
                <w:szCs w:val="16"/>
              </w:rPr>
            </w:pPr>
            <w:r w:rsidRPr="00756DA5">
              <w:rPr>
                <w:sz w:val="16"/>
                <w:szCs w:val="16"/>
              </w:rPr>
              <w:t>Moyenne calculée sur 5 ans</w:t>
            </w:r>
          </w:p>
        </w:tc>
        <w:tc>
          <w:tcPr>
            <w:tcW w:w="2271" w:type="dxa"/>
          </w:tcPr>
          <w:p w:rsidR="00DA61C5" w:rsidRPr="00756DA5" w:rsidP="00380326">
            <w:pPr>
              <w:keepNext/>
              <w:jc w:val="left"/>
              <w:rPr>
                <w:sz w:val="16"/>
                <w:szCs w:val="16"/>
              </w:rPr>
            </w:pPr>
            <w:r w:rsidRPr="00756DA5">
              <w:rPr>
                <w:sz w:val="16"/>
                <w:szCs w:val="16"/>
              </w:rPr>
              <w:t>Average calculated over 5 years</w:t>
            </w:r>
          </w:p>
        </w:tc>
        <w:tc>
          <w:tcPr>
            <w:tcW w:w="2259" w:type="dxa"/>
          </w:tcPr>
          <w:p w:rsidR="00DA61C5" w:rsidRPr="00756DA5" w:rsidP="00380326">
            <w:pPr>
              <w:keepNext/>
              <w:jc w:val="left"/>
              <w:rPr>
                <w:sz w:val="16"/>
                <w:szCs w:val="16"/>
              </w:rPr>
            </w:pPr>
            <w:r w:rsidRPr="00756DA5">
              <w:rPr>
                <w:sz w:val="16"/>
                <w:szCs w:val="16"/>
              </w:rPr>
              <w:t>Moyenne calculée sur 5 ans</w:t>
            </w:r>
          </w:p>
        </w:tc>
        <w:tc>
          <w:tcPr>
            <w:tcW w:w="2277" w:type="dxa"/>
          </w:tcPr>
          <w:p w:rsidR="00DA61C5" w:rsidRPr="00756DA5" w:rsidP="00380326">
            <w:pPr>
              <w:keepNext/>
              <w:jc w:val="left"/>
              <w:rPr>
                <w:sz w:val="16"/>
                <w:szCs w:val="16"/>
              </w:rPr>
            </w:pPr>
            <w:r w:rsidRPr="00756DA5">
              <w:rPr>
                <w:sz w:val="16"/>
                <w:szCs w:val="16"/>
              </w:rPr>
              <w:t>Average calculated over 5 years</w:t>
            </w:r>
          </w:p>
        </w:tc>
      </w:tr>
      <w:tr w:rsidTr="00DA61C5">
        <w:tblPrEx>
          <w:tblW w:w="9072" w:type="dxa"/>
          <w:tblLook w:val="04A0"/>
        </w:tblPrEx>
        <w:tc>
          <w:tcPr>
            <w:tcW w:w="2265" w:type="dxa"/>
          </w:tcPr>
          <w:p w:rsidR="00DA61C5" w:rsidRPr="00756DA5" w:rsidP="00380326">
            <w:pPr>
              <w:keepNext/>
              <w:jc w:val="left"/>
              <w:rPr>
                <w:sz w:val="16"/>
                <w:szCs w:val="16"/>
              </w:rPr>
            </w:pPr>
            <w:r w:rsidRPr="00756DA5">
              <w:rPr>
                <w:sz w:val="16"/>
                <w:szCs w:val="16"/>
              </w:rPr>
              <w:t>0,012</w:t>
            </w:r>
          </w:p>
        </w:tc>
        <w:tc>
          <w:tcPr>
            <w:tcW w:w="2271" w:type="dxa"/>
          </w:tcPr>
          <w:p w:rsidR="00DA61C5" w:rsidRPr="00756DA5" w:rsidP="00380326">
            <w:pPr>
              <w:keepNext/>
              <w:jc w:val="left"/>
              <w:rPr>
                <w:sz w:val="16"/>
                <w:szCs w:val="16"/>
              </w:rPr>
            </w:pPr>
            <w:r w:rsidRPr="00756DA5">
              <w:rPr>
                <w:sz w:val="16"/>
                <w:szCs w:val="16"/>
              </w:rPr>
              <w:t>0.012</w:t>
            </w:r>
          </w:p>
        </w:tc>
        <w:tc>
          <w:tcPr>
            <w:tcW w:w="2259" w:type="dxa"/>
          </w:tcPr>
          <w:p w:rsidR="00DA61C5" w:rsidRPr="00756DA5" w:rsidP="00380326">
            <w:pPr>
              <w:keepNext/>
              <w:jc w:val="left"/>
              <w:rPr>
                <w:sz w:val="16"/>
                <w:szCs w:val="16"/>
              </w:rPr>
            </w:pPr>
            <w:r w:rsidRPr="00756DA5">
              <w:rPr>
                <w:sz w:val="16"/>
                <w:szCs w:val="16"/>
              </w:rPr>
              <w:t>0,036</w:t>
            </w:r>
          </w:p>
        </w:tc>
        <w:tc>
          <w:tcPr>
            <w:tcW w:w="2277" w:type="dxa"/>
          </w:tcPr>
          <w:p w:rsidR="00DA61C5" w:rsidRPr="00756DA5" w:rsidP="00380326">
            <w:pPr>
              <w:keepNext/>
              <w:jc w:val="left"/>
              <w:rPr>
                <w:sz w:val="16"/>
                <w:szCs w:val="16"/>
              </w:rPr>
            </w:pPr>
            <w:r w:rsidRPr="00756DA5">
              <w:rPr>
                <w:sz w:val="16"/>
                <w:szCs w:val="16"/>
              </w:rPr>
              <w:t>0.036</w:t>
            </w:r>
          </w:p>
        </w:tc>
      </w:tr>
      <w:tr w:rsidTr="00DA61C5">
        <w:tblPrEx>
          <w:tblW w:w="9072" w:type="dxa"/>
          <w:tblLook w:val="04A0"/>
        </w:tblPrEx>
        <w:tc>
          <w:tcPr>
            <w:tcW w:w="2265" w:type="dxa"/>
          </w:tcPr>
          <w:p w:rsidR="00DA61C5" w:rsidRPr="00756DA5" w:rsidP="00380326">
            <w:pPr>
              <w:keepNext/>
              <w:jc w:val="left"/>
              <w:rPr>
                <w:sz w:val="16"/>
                <w:szCs w:val="16"/>
              </w:rPr>
            </w:pPr>
            <w:r w:rsidRPr="00756DA5">
              <w:rPr>
                <w:sz w:val="16"/>
                <w:szCs w:val="16"/>
              </w:rPr>
              <w:t>0,008</w:t>
            </w:r>
          </w:p>
        </w:tc>
        <w:tc>
          <w:tcPr>
            <w:tcW w:w="2271" w:type="dxa"/>
          </w:tcPr>
          <w:p w:rsidR="00DA61C5" w:rsidRPr="00756DA5" w:rsidP="00380326">
            <w:pPr>
              <w:keepNext/>
              <w:jc w:val="left"/>
              <w:rPr>
                <w:sz w:val="16"/>
                <w:szCs w:val="16"/>
              </w:rPr>
            </w:pPr>
            <w:r w:rsidRPr="00756DA5">
              <w:rPr>
                <w:sz w:val="16"/>
                <w:szCs w:val="16"/>
              </w:rPr>
              <w:t>0.008</w:t>
            </w:r>
          </w:p>
        </w:tc>
        <w:tc>
          <w:tcPr>
            <w:tcW w:w="2259" w:type="dxa"/>
          </w:tcPr>
          <w:p w:rsidR="00DA61C5" w:rsidRPr="00756DA5" w:rsidP="00380326">
            <w:pPr>
              <w:keepNext/>
              <w:jc w:val="left"/>
              <w:rPr>
                <w:sz w:val="16"/>
                <w:szCs w:val="16"/>
              </w:rPr>
            </w:pPr>
            <w:r w:rsidRPr="00756DA5">
              <w:rPr>
                <w:sz w:val="16"/>
                <w:szCs w:val="16"/>
              </w:rPr>
              <w:t>0,035</w:t>
            </w:r>
          </w:p>
        </w:tc>
        <w:tc>
          <w:tcPr>
            <w:tcW w:w="2277" w:type="dxa"/>
          </w:tcPr>
          <w:p w:rsidR="00DA61C5" w:rsidRPr="00756DA5" w:rsidP="00380326">
            <w:pPr>
              <w:keepNext/>
              <w:jc w:val="left"/>
              <w:rPr>
                <w:sz w:val="16"/>
                <w:szCs w:val="16"/>
              </w:rPr>
            </w:pPr>
            <w:r w:rsidRPr="00756DA5">
              <w:rPr>
                <w:sz w:val="16"/>
                <w:szCs w:val="16"/>
              </w:rPr>
              <w:t>0.035</w:t>
            </w:r>
          </w:p>
        </w:tc>
      </w:tr>
      <w:tr w:rsidTr="00DA61C5">
        <w:tblPrEx>
          <w:tblW w:w="9072" w:type="dxa"/>
          <w:tblLook w:val="04A0"/>
        </w:tblPrEx>
        <w:tc>
          <w:tcPr>
            <w:tcW w:w="2265" w:type="dxa"/>
          </w:tcPr>
          <w:p w:rsidR="00DA61C5" w:rsidRPr="00756DA5" w:rsidP="00380326">
            <w:pPr>
              <w:keepNext/>
              <w:jc w:val="left"/>
              <w:rPr>
                <w:sz w:val="16"/>
                <w:szCs w:val="16"/>
              </w:rPr>
            </w:pPr>
            <w:r w:rsidRPr="00756DA5">
              <w:rPr>
                <w:sz w:val="16"/>
                <w:szCs w:val="16"/>
              </w:rPr>
              <w:t>0,004</w:t>
            </w:r>
          </w:p>
        </w:tc>
        <w:tc>
          <w:tcPr>
            <w:tcW w:w="2271" w:type="dxa"/>
          </w:tcPr>
          <w:p w:rsidR="00DA61C5" w:rsidRPr="00756DA5" w:rsidP="00380326">
            <w:pPr>
              <w:keepNext/>
              <w:jc w:val="left"/>
              <w:rPr>
                <w:sz w:val="16"/>
                <w:szCs w:val="16"/>
              </w:rPr>
            </w:pPr>
            <w:r w:rsidRPr="00756DA5">
              <w:rPr>
                <w:sz w:val="16"/>
                <w:szCs w:val="16"/>
              </w:rPr>
              <w:t>0.004</w:t>
            </w:r>
          </w:p>
        </w:tc>
        <w:tc>
          <w:tcPr>
            <w:tcW w:w="2259" w:type="dxa"/>
          </w:tcPr>
          <w:p w:rsidR="00DA61C5" w:rsidRPr="00756DA5" w:rsidP="00380326">
            <w:pPr>
              <w:keepNext/>
              <w:jc w:val="left"/>
              <w:rPr>
                <w:sz w:val="16"/>
                <w:szCs w:val="16"/>
              </w:rPr>
            </w:pPr>
            <w:r w:rsidRPr="00756DA5">
              <w:rPr>
                <w:sz w:val="16"/>
                <w:szCs w:val="16"/>
              </w:rPr>
              <w:t>0,034</w:t>
            </w:r>
          </w:p>
        </w:tc>
        <w:tc>
          <w:tcPr>
            <w:tcW w:w="2277" w:type="dxa"/>
          </w:tcPr>
          <w:p w:rsidR="00DA61C5" w:rsidRPr="00756DA5" w:rsidP="00380326">
            <w:pPr>
              <w:keepNext/>
              <w:jc w:val="left"/>
              <w:rPr>
                <w:sz w:val="16"/>
                <w:szCs w:val="16"/>
              </w:rPr>
            </w:pPr>
            <w:r w:rsidRPr="00756DA5">
              <w:rPr>
                <w:sz w:val="16"/>
                <w:szCs w:val="16"/>
              </w:rPr>
              <w:t>0.034</w:t>
            </w:r>
          </w:p>
        </w:tc>
      </w:tr>
      <w:tr w:rsidTr="00DA61C5">
        <w:tblPrEx>
          <w:tblW w:w="9072" w:type="dxa"/>
          <w:tblLook w:val="04A0"/>
        </w:tblPrEx>
        <w:tc>
          <w:tcPr>
            <w:tcW w:w="2265" w:type="dxa"/>
          </w:tcPr>
          <w:p w:rsidR="00DA61C5" w:rsidRPr="00756DA5" w:rsidP="00380326">
            <w:pPr>
              <w:keepNext/>
              <w:jc w:val="left"/>
              <w:rPr>
                <w:sz w:val="16"/>
                <w:szCs w:val="16"/>
              </w:rPr>
            </w:pPr>
            <w:r w:rsidRPr="00756DA5">
              <w:rPr>
                <w:sz w:val="16"/>
                <w:szCs w:val="16"/>
              </w:rPr>
              <w:t>0,000</w:t>
            </w:r>
          </w:p>
        </w:tc>
        <w:tc>
          <w:tcPr>
            <w:tcW w:w="2271" w:type="dxa"/>
          </w:tcPr>
          <w:p w:rsidR="00DA61C5" w:rsidRPr="00756DA5" w:rsidP="00380326">
            <w:pPr>
              <w:keepNext/>
              <w:jc w:val="left"/>
              <w:rPr>
                <w:sz w:val="16"/>
                <w:szCs w:val="16"/>
              </w:rPr>
            </w:pPr>
            <w:r w:rsidRPr="00756DA5">
              <w:rPr>
                <w:sz w:val="16"/>
                <w:szCs w:val="16"/>
              </w:rPr>
              <w:t>0.000</w:t>
            </w:r>
          </w:p>
        </w:tc>
        <w:tc>
          <w:tcPr>
            <w:tcW w:w="2259" w:type="dxa"/>
          </w:tcPr>
          <w:p w:rsidR="00DA61C5" w:rsidRPr="00756DA5" w:rsidP="00380326">
            <w:pPr>
              <w:keepNext/>
              <w:jc w:val="left"/>
              <w:rPr>
                <w:sz w:val="16"/>
                <w:szCs w:val="16"/>
              </w:rPr>
            </w:pPr>
            <w:r w:rsidRPr="00756DA5">
              <w:rPr>
                <w:sz w:val="16"/>
                <w:szCs w:val="16"/>
              </w:rPr>
              <w:t>0,033</w:t>
            </w:r>
          </w:p>
        </w:tc>
        <w:tc>
          <w:tcPr>
            <w:tcW w:w="2277" w:type="dxa"/>
          </w:tcPr>
          <w:p w:rsidR="00DA61C5" w:rsidRPr="00756DA5" w:rsidP="00380326">
            <w:pPr>
              <w:keepNext/>
              <w:jc w:val="left"/>
              <w:rPr>
                <w:sz w:val="16"/>
                <w:szCs w:val="16"/>
              </w:rPr>
            </w:pPr>
            <w:r w:rsidRPr="00756DA5">
              <w:rPr>
                <w:sz w:val="16"/>
                <w:szCs w:val="16"/>
              </w:rPr>
              <w:t>0.033</w:t>
            </w:r>
          </w:p>
        </w:tc>
      </w:tr>
      <w:tr w:rsidTr="00DA61C5">
        <w:tblPrEx>
          <w:tblW w:w="9072" w:type="dxa"/>
          <w:tblLook w:val="04A0"/>
        </w:tblPrEx>
        <w:tc>
          <w:tcPr>
            <w:tcW w:w="2265" w:type="dxa"/>
          </w:tcPr>
          <w:p w:rsidR="00DA61C5" w:rsidRPr="00756DA5" w:rsidP="00380326">
            <w:pPr>
              <w:keepNext/>
              <w:jc w:val="left"/>
              <w:rPr>
                <w:sz w:val="16"/>
                <w:szCs w:val="16"/>
              </w:rPr>
            </w:pPr>
            <w:r w:rsidRPr="00756DA5">
              <w:rPr>
                <w:sz w:val="16"/>
                <w:szCs w:val="16"/>
              </w:rPr>
              <w:t>0,008</w:t>
            </w:r>
          </w:p>
        </w:tc>
        <w:tc>
          <w:tcPr>
            <w:tcW w:w="2271" w:type="dxa"/>
          </w:tcPr>
          <w:p w:rsidR="00DA61C5" w:rsidRPr="00756DA5" w:rsidP="00380326">
            <w:pPr>
              <w:keepNext/>
              <w:jc w:val="left"/>
              <w:rPr>
                <w:sz w:val="16"/>
                <w:szCs w:val="16"/>
              </w:rPr>
            </w:pPr>
            <w:r w:rsidRPr="00756DA5">
              <w:rPr>
                <w:sz w:val="16"/>
                <w:szCs w:val="16"/>
              </w:rPr>
              <w:t>0.008</w:t>
            </w:r>
          </w:p>
        </w:tc>
        <w:tc>
          <w:tcPr>
            <w:tcW w:w="2259" w:type="dxa"/>
          </w:tcPr>
          <w:p w:rsidR="00DA61C5" w:rsidRPr="00756DA5" w:rsidP="00380326">
            <w:pPr>
              <w:keepNext/>
              <w:jc w:val="left"/>
              <w:rPr>
                <w:sz w:val="16"/>
                <w:szCs w:val="16"/>
              </w:rPr>
            </w:pPr>
            <w:r w:rsidRPr="00756DA5">
              <w:rPr>
                <w:sz w:val="16"/>
                <w:szCs w:val="16"/>
              </w:rPr>
              <w:t>0,032</w:t>
            </w:r>
          </w:p>
        </w:tc>
        <w:tc>
          <w:tcPr>
            <w:tcW w:w="2277" w:type="dxa"/>
          </w:tcPr>
          <w:p w:rsidR="00DA61C5" w:rsidRPr="00756DA5" w:rsidP="00380326">
            <w:pPr>
              <w:keepNext/>
              <w:jc w:val="left"/>
              <w:rPr>
                <w:sz w:val="16"/>
                <w:szCs w:val="16"/>
              </w:rPr>
            </w:pPr>
            <w:r w:rsidRPr="00756DA5">
              <w:rPr>
                <w:sz w:val="16"/>
                <w:szCs w:val="16"/>
              </w:rPr>
              <w:t>0.032</w:t>
            </w:r>
          </w:p>
        </w:tc>
      </w:tr>
      <w:tr w:rsidTr="00DA61C5">
        <w:tblPrEx>
          <w:tblW w:w="9072" w:type="dxa"/>
          <w:tblLook w:val="04A0"/>
        </w:tblPrEx>
        <w:tc>
          <w:tcPr>
            <w:tcW w:w="2265" w:type="dxa"/>
          </w:tcPr>
          <w:p w:rsidR="00DA61C5" w:rsidRPr="00756DA5" w:rsidP="00380326">
            <w:pPr>
              <w:keepNext/>
              <w:jc w:val="left"/>
              <w:rPr>
                <w:sz w:val="16"/>
                <w:szCs w:val="16"/>
              </w:rPr>
            </w:pPr>
            <w:r w:rsidRPr="00756DA5">
              <w:rPr>
                <w:sz w:val="16"/>
                <w:szCs w:val="16"/>
              </w:rPr>
              <w:t>0,010</w:t>
            </w:r>
          </w:p>
        </w:tc>
        <w:tc>
          <w:tcPr>
            <w:tcW w:w="2271" w:type="dxa"/>
          </w:tcPr>
          <w:p w:rsidR="00DA61C5" w:rsidRPr="00756DA5" w:rsidP="00380326">
            <w:pPr>
              <w:keepNext/>
              <w:jc w:val="left"/>
              <w:rPr>
                <w:sz w:val="16"/>
                <w:szCs w:val="16"/>
              </w:rPr>
            </w:pPr>
            <w:r w:rsidRPr="00756DA5">
              <w:rPr>
                <w:sz w:val="16"/>
                <w:szCs w:val="16"/>
              </w:rPr>
              <w:t>0.010</w:t>
            </w:r>
          </w:p>
        </w:tc>
        <w:tc>
          <w:tcPr>
            <w:tcW w:w="2259" w:type="dxa"/>
          </w:tcPr>
          <w:p w:rsidR="00DA61C5" w:rsidRPr="00756DA5" w:rsidP="00380326">
            <w:pPr>
              <w:keepNext/>
              <w:jc w:val="left"/>
              <w:rPr>
                <w:sz w:val="16"/>
                <w:szCs w:val="16"/>
              </w:rPr>
            </w:pPr>
            <w:r w:rsidRPr="00756DA5">
              <w:rPr>
                <w:sz w:val="16"/>
                <w:szCs w:val="16"/>
              </w:rPr>
              <w:t>0,031</w:t>
            </w:r>
          </w:p>
        </w:tc>
        <w:tc>
          <w:tcPr>
            <w:tcW w:w="2277" w:type="dxa"/>
          </w:tcPr>
          <w:p w:rsidR="00DA61C5" w:rsidRPr="00756DA5" w:rsidP="00380326">
            <w:pPr>
              <w:keepNext/>
              <w:jc w:val="left"/>
              <w:rPr>
                <w:sz w:val="16"/>
                <w:szCs w:val="16"/>
              </w:rPr>
            </w:pPr>
            <w:r w:rsidRPr="00756DA5">
              <w:rPr>
                <w:sz w:val="16"/>
                <w:szCs w:val="16"/>
              </w:rPr>
              <w:t>0.031</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0,009</w:t>
            </w:r>
          </w:p>
        </w:tc>
        <w:tc>
          <w:tcPr>
            <w:tcW w:w="2271" w:type="dxa"/>
          </w:tcPr>
          <w:p w:rsidR="00DA61C5" w:rsidRPr="00756DA5" w:rsidP="00DA61C5">
            <w:pPr>
              <w:jc w:val="left"/>
              <w:rPr>
                <w:sz w:val="16"/>
                <w:szCs w:val="16"/>
              </w:rPr>
            </w:pPr>
            <w:r w:rsidRPr="00756DA5">
              <w:rPr>
                <w:sz w:val="16"/>
                <w:szCs w:val="16"/>
              </w:rPr>
              <w:t>0.009</w:t>
            </w:r>
          </w:p>
        </w:tc>
        <w:tc>
          <w:tcPr>
            <w:tcW w:w="2259" w:type="dxa"/>
          </w:tcPr>
          <w:p w:rsidR="00DA61C5" w:rsidRPr="00756DA5" w:rsidP="00DA61C5">
            <w:pPr>
              <w:jc w:val="left"/>
              <w:rPr>
                <w:sz w:val="16"/>
                <w:szCs w:val="16"/>
              </w:rPr>
            </w:pPr>
            <w:r w:rsidRPr="00756DA5">
              <w:rPr>
                <w:sz w:val="16"/>
                <w:szCs w:val="16"/>
              </w:rPr>
              <w:t>0,030</w:t>
            </w:r>
          </w:p>
        </w:tc>
        <w:tc>
          <w:tcPr>
            <w:tcW w:w="2277" w:type="dxa"/>
          </w:tcPr>
          <w:p w:rsidR="00DA61C5" w:rsidRPr="00756DA5" w:rsidP="00DA61C5">
            <w:pPr>
              <w:jc w:val="left"/>
              <w:rPr>
                <w:sz w:val="16"/>
                <w:szCs w:val="16"/>
              </w:rPr>
            </w:pPr>
            <w:r w:rsidRPr="00756DA5">
              <w:rPr>
                <w:sz w:val="16"/>
                <w:szCs w:val="16"/>
              </w:rPr>
              <w:t>0.030</w:t>
            </w:r>
          </w:p>
        </w:tc>
      </w:tr>
      <w:tr w:rsidTr="00DA61C5">
        <w:tblPrEx>
          <w:tblW w:w="9072" w:type="dxa"/>
          <w:tblLook w:val="04A0"/>
        </w:tblPrEx>
        <w:tc>
          <w:tcPr>
            <w:tcW w:w="2265" w:type="dxa"/>
          </w:tcPr>
          <w:p w:rsidR="00DA61C5" w:rsidRPr="00756DA5" w:rsidP="00DA61C5">
            <w:pPr>
              <w:jc w:val="left"/>
              <w:rPr>
                <w:sz w:val="16"/>
                <w:szCs w:val="16"/>
              </w:rPr>
            </w:pPr>
            <w:r w:rsidRPr="00756DA5">
              <w:rPr>
                <w:sz w:val="16"/>
                <w:szCs w:val="16"/>
              </w:rPr>
              <w:t>0,007</w:t>
            </w:r>
          </w:p>
        </w:tc>
        <w:tc>
          <w:tcPr>
            <w:tcW w:w="2271" w:type="dxa"/>
          </w:tcPr>
          <w:p w:rsidR="00DA61C5" w:rsidRPr="00756DA5" w:rsidP="00DA61C5">
            <w:pPr>
              <w:jc w:val="left"/>
              <w:rPr>
                <w:sz w:val="16"/>
                <w:szCs w:val="16"/>
              </w:rPr>
            </w:pPr>
            <w:r w:rsidRPr="00756DA5">
              <w:rPr>
                <w:sz w:val="16"/>
                <w:szCs w:val="16"/>
              </w:rPr>
              <w:t>0.007</w:t>
            </w:r>
          </w:p>
        </w:tc>
        <w:tc>
          <w:tcPr>
            <w:tcW w:w="2259" w:type="dxa"/>
          </w:tcPr>
          <w:p w:rsidR="00DA61C5" w:rsidRPr="00756DA5" w:rsidP="00DA61C5">
            <w:pPr>
              <w:jc w:val="left"/>
              <w:rPr>
                <w:sz w:val="16"/>
                <w:szCs w:val="16"/>
              </w:rPr>
            </w:pPr>
            <w:r w:rsidRPr="00756DA5">
              <w:rPr>
                <w:sz w:val="16"/>
                <w:szCs w:val="16"/>
              </w:rPr>
              <w:t>0,029</w:t>
            </w:r>
          </w:p>
        </w:tc>
        <w:tc>
          <w:tcPr>
            <w:tcW w:w="2277" w:type="dxa"/>
          </w:tcPr>
          <w:p w:rsidR="00DA61C5" w:rsidRPr="00756DA5" w:rsidP="00DA61C5">
            <w:pPr>
              <w:jc w:val="left"/>
              <w:rPr>
                <w:sz w:val="16"/>
                <w:szCs w:val="16"/>
              </w:rPr>
            </w:pPr>
            <w:r w:rsidRPr="00756DA5">
              <w:rPr>
                <w:sz w:val="16"/>
                <w:szCs w:val="16"/>
              </w:rPr>
              <w:t>0.029</w:t>
            </w:r>
          </w:p>
        </w:tc>
      </w:tr>
      <w:tr w:rsidTr="00DA61C5">
        <w:tblPrEx>
          <w:tblW w:w="9072" w:type="dxa"/>
          <w:tblLook w:val="04A0"/>
        </w:tblPrEx>
        <w:tc>
          <w:tcPr>
            <w:tcW w:w="2265" w:type="dxa"/>
          </w:tcPr>
          <w:p w:rsidR="00DA61C5" w:rsidRPr="00756DA5" w:rsidP="00DA61C5">
            <w:pPr>
              <w:jc w:val="left"/>
              <w:rPr>
                <w:sz w:val="16"/>
                <w:szCs w:val="16"/>
              </w:rPr>
            </w:pPr>
          </w:p>
        </w:tc>
        <w:tc>
          <w:tcPr>
            <w:tcW w:w="2271" w:type="dxa"/>
          </w:tcPr>
          <w:p w:rsidR="00DA61C5" w:rsidRPr="00756DA5" w:rsidP="00DA61C5">
            <w:pPr>
              <w:jc w:val="left"/>
              <w:rPr>
                <w:sz w:val="16"/>
                <w:szCs w:val="16"/>
              </w:rPr>
            </w:pPr>
          </w:p>
        </w:tc>
        <w:tc>
          <w:tcPr>
            <w:tcW w:w="2259" w:type="dxa"/>
          </w:tcPr>
          <w:p w:rsidR="00DA61C5" w:rsidRPr="00756DA5" w:rsidP="00DA61C5">
            <w:pPr>
              <w:jc w:val="left"/>
              <w:rPr>
                <w:sz w:val="16"/>
                <w:szCs w:val="16"/>
              </w:rPr>
            </w:pPr>
            <w:r w:rsidRPr="00756DA5">
              <w:rPr>
                <w:sz w:val="16"/>
                <w:szCs w:val="16"/>
              </w:rPr>
              <w:t>0,028</w:t>
            </w:r>
          </w:p>
        </w:tc>
        <w:tc>
          <w:tcPr>
            <w:tcW w:w="2277" w:type="dxa"/>
          </w:tcPr>
          <w:p w:rsidR="00DA61C5" w:rsidRPr="00756DA5" w:rsidP="00DA61C5">
            <w:pPr>
              <w:jc w:val="left"/>
              <w:rPr>
                <w:sz w:val="16"/>
                <w:szCs w:val="16"/>
              </w:rPr>
            </w:pPr>
            <w:r w:rsidRPr="00756DA5">
              <w:rPr>
                <w:sz w:val="16"/>
                <w:szCs w:val="16"/>
              </w:rPr>
              <w:t>0.028</w:t>
            </w:r>
          </w:p>
        </w:tc>
      </w:tr>
      <w:tr w:rsidTr="00DA61C5">
        <w:tblPrEx>
          <w:tblW w:w="9072" w:type="dxa"/>
          <w:tblLook w:val="04A0"/>
        </w:tblPrEx>
        <w:tc>
          <w:tcPr>
            <w:tcW w:w="2265" w:type="dxa"/>
          </w:tcPr>
          <w:p w:rsidR="00DA61C5" w:rsidRPr="00756DA5" w:rsidP="00DA61C5">
            <w:pPr>
              <w:jc w:val="left"/>
              <w:rPr>
                <w:sz w:val="16"/>
                <w:szCs w:val="16"/>
              </w:rPr>
            </w:pPr>
          </w:p>
        </w:tc>
        <w:tc>
          <w:tcPr>
            <w:tcW w:w="2271" w:type="dxa"/>
          </w:tcPr>
          <w:p w:rsidR="00DA61C5" w:rsidRPr="00756DA5" w:rsidP="00DA61C5">
            <w:pPr>
              <w:jc w:val="left"/>
              <w:rPr>
                <w:sz w:val="16"/>
                <w:szCs w:val="16"/>
              </w:rPr>
            </w:pPr>
          </w:p>
        </w:tc>
        <w:tc>
          <w:tcPr>
            <w:tcW w:w="2259" w:type="dxa"/>
          </w:tcPr>
          <w:p w:rsidR="00DA61C5" w:rsidRPr="00756DA5" w:rsidP="00DA61C5">
            <w:pPr>
              <w:jc w:val="left"/>
              <w:rPr>
                <w:sz w:val="16"/>
                <w:szCs w:val="16"/>
              </w:rPr>
            </w:pPr>
            <w:r w:rsidRPr="00756DA5">
              <w:rPr>
                <w:sz w:val="16"/>
                <w:szCs w:val="16"/>
              </w:rPr>
              <w:t>0,027</w:t>
            </w:r>
          </w:p>
        </w:tc>
        <w:tc>
          <w:tcPr>
            <w:tcW w:w="2277" w:type="dxa"/>
          </w:tcPr>
          <w:p w:rsidR="00DA61C5" w:rsidRPr="00756DA5" w:rsidP="00DA61C5">
            <w:pPr>
              <w:jc w:val="left"/>
              <w:rPr>
                <w:sz w:val="16"/>
                <w:szCs w:val="16"/>
              </w:rPr>
            </w:pPr>
            <w:r w:rsidRPr="00756DA5">
              <w:rPr>
                <w:sz w:val="16"/>
                <w:szCs w:val="16"/>
              </w:rPr>
              <w:t>0.027</w:t>
            </w:r>
          </w:p>
        </w:tc>
      </w:tr>
    </w:tbl>
    <w:tbl>
      <w:tblPr>
        <w:tblW w:w="0" w:type="auto"/>
        <w:tblLook w:val="04A0"/>
      </w:tblPr>
      <w:tblGrid>
        <w:gridCol w:w="4536"/>
        <w:gridCol w:w="4536"/>
      </w:tblGrid>
      <w:tr w:rsidTr="003810A0">
        <w:tblPrEx>
          <w:tblW w:w="0" w:type="auto"/>
          <w:tblLook w:val="04A0"/>
        </w:tblPrEx>
        <w:tc>
          <w:tcPr>
            <w:tcW w:w="4536" w:type="dxa"/>
            <w:hideMark/>
          </w:tcPr>
          <w:p w:rsidR="00442B87" w:rsidRPr="00756DA5" w:rsidP="00C844BF">
            <w:pPr>
              <w:jc w:val="left"/>
            </w:pPr>
            <w:r w:rsidRPr="00756DA5">
              <w:rPr>
                <w:noProof/>
                <w:lang w:val="fr-FR" w:eastAsia="fr-FR"/>
              </w:rPr>
              <w:drawing>
                <wp:inline distT="0" distB="0" distL="0" distR="0">
                  <wp:extent cx="2701290" cy="2198465"/>
                  <wp:effectExtent l="0" t="0" r="381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19075" name="Picture 22"/>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1247" cy="2206568"/>
                          </a:xfrm>
                          <a:prstGeom prst="rect">
                            <a:avLst/>
                          </a:prstGeom>
                          <a:noFill/>
                          <a:ln>
                            <a:noFill/>
                          </a:ln>
                        </pic:spPr>
                      </pic:pic>
                    </a:graphicData>
                  </a:graphic>
                </wp:inline>
              </w:drawing>
            </w:r>
          </w:p>
        </w:tc>
        <w:tc>
          <w:tcPr>
            <w:tcW w:w="4536" w:type="dxa"/>
            <w:hideMark/>
          </w:tcPr>
          <w:p w:rsidR="00442B87" w:rsidRPr="00756DA5" w:rsidP="00C844BF">
            <w:pPr>
              <w:jc w:val="left"/>
            </w:pPr>
            <w:r w:rsidRPr="00756DA5">
              <w:rPr>
                <w:noProof/>
                <w:lang w:val="fr-FR" w:eastAsia="fr-FR"/>
              </w:rPr>
              <w:drawing>
                <wp:inline distT="0" distB="0" distL="0" distR="0">
                  <wp:extent cx="2698306" cy="2171700"/>
                  <wp:effectExtent l="0" t="0" r="6985" b="0"/>
                  <wp:docPr id="22" name="Image 22" descr="D:\ID\Desktop\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00066" name="Picture 5" descr="D:\ID\Desktop\Sans titre-1.jpg"/>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6811" cy="2178545"/>
                          </a:xfrm>
                          <a:prstGeom prst="rect">
                            <a:avLst/>
                          </a:prstGeom>
                          <a:noFill/>
                          <a:ln>
                            <a:noFill/>
                          </a:ln>
                        </pic:spPr>
                      </pic:pic>
                    </a:graphicData>
                  </a:graphic>
                </wp:inline>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E07FCF">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DA61C5" w:rsidRPr="00756DA5" w:rsidP="00DA61C5">
            <w:pPr>
              <w:jc w:val="left"/>
              <w:rPr>
                <w:sz w:val="16"/>
                <w:szCs w:val="16"/>
              </w:rPr>
            </w:pPr>
            <w:r w:rsidRPr="00756DA5">
              <w:rPr>
                <w:sz w:val="16"/>
                <w:szCs w:val="16"/>
              </w:rPr>
              <w:t>US10 : Nombre relatif d’intrus grièvement blessés par million de train-km</w:t>
            </w:r>
          </w:p>
        </w:tc>
        <w:tc>
          <w:tcPr>
            <w:tcW w:w="2271" w:type="dxa"/>
          </w:tcPr>
          <w:p w:rsidR="00DA61C5" w:rsidRPr="00756DA5" w:rsidP="00DA61C5">
            <w:pPr>
              <w:jc w:val="left"/>
              <w:rPr>
                <w:sz w:val="16"/>
                <w:szCs w:val="16"/>
              </w:rPr>
            </w:pPr>
            <w:r w:rsidRPr="00756DA5">
              <w:rPr>
                <w:sz w:val="16"/>
                <w:szCs w:val="16"/>
              </w:rPr>
              <w:t>US10: Number of trespassers seriously injured per million train-km</w:t>
            </w:r>
          </w:p>
        </w:tc>
        <w:tc>
          <w:tcPr>
            <w:tcW w:w="2259" w:type="dxa"/>
          </w:tcPr>
          <w:p w:rsidR="00DA61C5" w:rsidRPr="00756DA5" w:rsidP="00DA61C5">
            <w:pPr>
              <w:jc w:val="left"/>
              <w:rPr>
                <w:sz w:val="16"/>
                <w:szCs w:val="16"/>
              </w:rPr>
            </w:pPr>
            <w:r w:rsidRPr="00756DA5">
              <w:rPr>
                <w:sz w:val="16"/>
                <w:szCs w:val="16"/>
              </w:rPr>
              <w:t>OS10 : Nombre relatif de personnes «autres» grièvement blessées par million de train-km</w:t>
            </w:r>
          </w:p>
        </w:tc>
        <w:tc>
          <w:tcPr>
            <w:tcW w:w="2277" w:type="dxa"/>
          </w:tcPr>
          <w:p w:rsidR="00DA61C5" w:rsidRPr="00756DA5" w:rsidP="00463B4C">
            <w:pPr>
              <w:jc w:val="left"/>
              <w:rPr>
                <w:sz w:val="16"/>
                <w:szCs w:val="16"/>
              </w:rPr>
            </w:pPr>
            <w:r w:rsidRPr="00756DA5">
              <w:rPr>
                <w:sz w:val="16"/>
                <w:szCs w:val="16"/>
              </w:rPr>
              <w:t>OS10: Number of ‘other’ people seriously injured per million train-km</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Moyenne calculée sur 5 ans</w:t>
            </w:r>
          </w:p>
        </w:tc>
        <w:tc>
          <w:tcPr>
            <w:tcW w:w="2271" w:type="dxa"/>
          </w:tcPr>
          <w:p w:rsidR="00DA61C5" w:rsidRPr="00756DA5" w:rsidP="00DA61C5">
            <w:pPr>
              <w:jc w:val="left"/>
              <w:rPr>
                <w:sz w:val="16"/>
                <w:szCs w:val="16"/>
              </w:rPr>
            </w:pPr>
            <w:r w:rsidRPr="00756DA5">
              <w:rPr>
                <w:sz w:val="16"/>
                <w:szCs w:val="16"/>
              </w:rPr>
              <w:t>Average calculated over 5 years</w:t>
            </w:r>
          </w:p>
        </w:tc>
        <w:tc>
          <w:tcPr>
            <w:tcW w:w="2259" w:type="dxa"/>
          </w:tcPr>
          <w:p w:rsidR="00DA61C5" w:rsidRPr="00756DA5" w:rsidP="00DA61C5">
            <w:pPr>
              <w:jc w:val="left"/>
              <w:rPr>
                <w:sz w:val="16"/>
                <w:szCs w:val="16"/>
              </w:rPr>
            </w:pPr>
            <w:r w:rsidRPr="00756DA5">
              <w:rPr>
                <w:sz w:val="16"/>
                <w:szCs w:val="16"/>
              </w:rPr>
              <w:t>Moyenne calculée sur 5 ans</w:t>
            </w:r>
          </w:p>
        </w:tc>
        <w:tc>
          <w:tcPr>
            <w:tcW w:w="2277" w:type="dxa"/>
          </w:tcPr>
          <w:p w:rsidR="00DA61C5" w:rsidRPr="00756DA5" w:rsidP="00DA61C5">
            <w:pPr>
              <w:jc w:val="left"/>
              <w:rPr>
                <w:sz w:val="16"/>
                <w:szCs w:val="16"/>
              </w:rPr>
            </w:pPr>
            <w:r w:rsidRPr="00756DA5">
              <w:rPr>
                <w:sz w:val="16"/>
                <w:szCs w:val="16"/>
              </w:rPr>
              <w:t>Average calculated over 5 years</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0,04</w:t>
            </w:r>
          </w:p>
        </w:tc>
        <w:tc>
          <w:tcPr>
            <w:tcW w:w="2271" w:type="dxa"/>
          </w:tcPr>
          <w:p w:rsidR="00DA61C5" w:rsidRPr="00756DA5" w:rsidP="00DA61C5">
            <w:pPr>
              <w:jc w:val="left"/>
              <w:rPr>
                <w:sz w:val="16"/>
                <w:szCs w:val="16"/>
              </w:rPr>
            </w:pPr>
            <w:r w:rsidRPr="00756DA5">
              <w:rPr>
                <w:sz w:val="16"/>
                <w:szCs w:val="16"/>
              </w:rPr>
              <w:t>0.04</w:t>
            </w:r>
          </w:p>
        </w:tc>
        <w:tc>
          <w:tcPr>
            <w:tcW w:w="2259" w:type="dxa"/>
          </w:tcPr>
          <w:p w:rsidR="00DA61C5" w:rsidRPr="00756DA5" w:rsidP="00DA61C5">
            <w:pPr>
              <w:jc w:val="left"/>
              <w:rPr>
                <w:sz w:val="16"/>
                <w:szCs w:val="16"/>
              </w:rPr>
            </w:pPr>
            <w:r w:rsidRPr="00756DA5">
              <w:rPr>
                <w:sz w:val="16"/>
                <w:szCs w:val="16"/>
              </w:rPr>
              <w:t>0,009</w:t>
            </w:r>
          </w:p>
        </w:tc>
        <w:tc>
          <w:tcPr>
            <w:tcW w:w="2277" w:type="dxa"/>
          </w:tcPr>
          <w:p w:rsidR="00DA61C5" w:rsidRPr="00756DA5" w:rsidP="00DA61C5">
            <w:pPr>
              <w:jc w:val="left"/>
              <w:rPr>
                <w:sz w:val="16"/>
                <w:szCs w:val="16"/>
              </w:rPr>
            </w:pPr>
            <w:r w:rsidRPr="00756DA5">
              <w:rPr>
                <w:sz w:val="16"/>
                <w:szCs w:val="16"/>
              </w:rPr>
              <w:t>0.009</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0,03</w:t>
            </w:r>
          </w:p>
        </w:tc>
        <w:tc>
          <w:tcPr>
            <w:tcW w:w="2271" w:type="dxa"/>
          </w:tcPr>
          <w:p w:rsidR="00DA61C5" w:rsidRPr="00756DA5" w:rsidP="00DA61C5">
            <w:pPr>
              <w:jc w:val="left"/>
              <w:rPr>
                <w:sz w:val="16"/>
                <w:szCs w:val="16"/>
              </w:rPr>
            </w:pPr>
            <w:r w:rsidRPr="00756DA5">
              <w:rPr>
                <w:sz w:val="16"/>
                <w:szCs w:val="16"/>
              </w:rPr>
              <w:t>0.03</w:t>
            </w:r>
          </w:p>
        </w:tc>
        <w:tc>
          <w:tcPr>
            <w:tcW w:w="2259" w:type="dxa"/>
          </w:tcPr>
          <w:p w:rsidR="00DA61C5" w:rsidRPr="00756DA5" w:rsidP="00DA61C5">
            <w:pPr>
              <w:jc w:val="left"/>
              <w:rPr>
                <w:sz w:val="16"/>
                <w:szCs w:val="16"/>
              </w:rPr>
            </w:pPr>
            <w:r w:rsidRPr="00756DA5">
              <w:rPr>
                <w:sz w:val="16"/>
                <w:szCs w:val="16"/>
              </w:rPr>
              <w:t>0,008</w:t>
            </w:r>
          </w:p>
        </w:tc>
        <w:tc>
          <w:tcPr>
            <w:tcW w:w="2277" w:type="dxa"/>
          </w:tcPr>
          <w:p w:rsidR="00DA61C5" w:rsidRPr="00756DA5" w:rsidP="00DA61C5">
            <w:pPr>
              <w:jc w:val="left"/>
              <w:rPr>
                <w:sz w:val="16"/>
                <w:szCs w:val="16"/>
              </w:rPr>
            </w:pPr>
            <w:r w:rsidRPr="00756DA5">
              <w:rPr>
                <w:sz w:val="16"/>
                <w:szCs w:val="16"/>
              </w:rPr>
              <w:t>0.008</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0,02</w:t>
            </w:r>
          </w:p>
        </w:tc>
        <w:tc>
          <w:tcPr>
            <w:tcW w:w="2271" w:type="dxa"/>
          </w:tcPr>
          <w:p w:rsidR="00DA61C5" w:rsidRPr="00756DA5" w:rsidP="00DA61C5">
            <w:pPr>
              <w:jc w:val="left"/>
              <w:rPr>
                <w:sz w:val="16"/>
                <w:szCs w:val="16"/>
              </w:rPr>
            </w:pPr>
            <w:r w:rsidRPr="00756DA5">
              <w:rPr>
                <w:sz w:val="16"/>
                <w:szCs w:val="16"/>
              </w:rPr>
              <w:t>0.02</w:t>
            </w:r>
          </w:p>
        </w:tc>
        <w:tc>
          <w:tcPr>
            <w:tcW w:w="2259" w:type="dxa"/>
          </w:tcPr>
          <w:p w:rsidR="00DA61C5" w:rsidRPr="00756DA5" w:rsidP="00DA61C5">
            <w:pPr>
              <w:jc w:val="left"/>
              <w:rPr>
                <w:sz w:val="16"/>
                <w:szCs w:val="16"/>
              </w:rPr>
            </w:pPr>
            <w:r w:rsidRPr="00756DA5">
              <w:rPr>
                <w:sz w:val="16"/>
                <w:szCs w:val="16"/>
              </w:rPr>
              <w:t>0,007</w:t>
            </w:r>
          </w:p>
        </w:tc>
        <w:tc>
          <w:tcPr>
            <w:tcW w:w="2277" w:type="dxa"/>
          </w:tcPr>
          <w:p w:rsidR="00DA61C5" w:rsidRPr="00756DA5" w:rsidP="00DA61C5">
            <w:pPr>
              <w:jc w:val="left"/>
              <w:rPr>
                <w:sz w:val="16"/>
                <w:szCs w:val="16"/>
              </w:rPr>
            </w:pPr>
            <w:r w:rsidRPr="00756DA5">
              <w:rPr>
                <w:sz w:val="16"/>
                <w:szCs w:val="16"/>
              </w:rPr>
              <w:t>0.007</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0,01</w:t>
            </w:r>
          </w:p>
        </w:tc>
        <w:tc>
          <w:tcPr>
            <w:tcW w:w="2271" w:type="dxa"/>
          </w:tcPr>
          <w:p w:rsidR="00DA61C5" w:rsidRPr="00756DA5" w:rsidP="00DA61C5">
            <w:pPr>
              <w:jc w:val="left"/>
              <w:rPr>
                <w:sz w:val="16"/>
                <w:szCs w:val="16"/>
              </w:rPr>
            </w:pPr>
            <w:r w:rsidRPr="00756DA5">
              <w:rPr>
                <w:sz w:val="16"/>
                <w:szCs w:val="16"/>
              </w:rPr>
              <w:t>0.01</w:t>
            </w:r>
          </w:p>
        </w:tc>
        <w:tc>
          <w:tcPr>
            <w:tcW w:w="2259" w:type="dxa"/>
          </w:tcPr>
          <w:p w:rsidR="00DA61C5" w:rsidRPr="00756DA5" w:rsidP="00DA61C5">
            <w:pPr>
              <w:jc w:val="left"/>
              <w:rPr>
                <w:sz w:val="16"/>
                <w:szCs w:val="16"/>
              </w:rPr>
            </w:pPr>
            <w:r w:rsidRPr="00756DA5">
              <w:rPr>
                <w:sz w:val="16"/>
                <w:szCs w:val="16"/>
              </w:rPr>
              <w:t>0,006</w:t>
            </w:r>
          </w:p>
        </w:tc>
        <w:tc>
          <w:tcPr>
            <w:tcW w:w="2277" w:type="dxa"/>
          </w:tcPr>
          <w:p w:rsidR="00DA61C5" w:rsidRPr="00756DA5" w:rsidP="00DA61C5">
            <w:pPr>
              <w:jc w:val="left"/>
              <w:rPr>
                <w:sz w:val="16"/>
                <w:szCs w:val="16"/>
              </w:rPr>
            </w:pPr>
            <w:r w:rsidRPr="00756DA5">
              <w:rPr>
                <w:sz w:val="16"/>
                <w:szCs w:val="16"/>
              </w:rPr>
              <w:t>0.006</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0,00</w:t>
            </w:r>
          </w:p>
        </w:tc>
        <w:tc>
          <w:tcPr>
            <w:tcW w:w="2271" w:type="dxa"/>
          </w:tcPr>
          <w:p w:rsidR="00DA61C5" w:rsidRPr="00756DA5" w:rsidP="00DA61C5">
            <w:pPr>
              <w:jc w:val="left"/>
              <w:rPr>
                <w:sz w:val="16"/>
                <w:szCs w:val="16"/>
              </w:rPr>
            </w:pPr>
            <w:r w:rsidRPr="00756DA5">
              <w:rPr>
                <w:sz w:val="16"/>
                <w:szCs w:val="16"/>
              </w:rPr>
              <w:t>0.00</w:t>
            </w:r>
          </w:p>
        </w:tc>
        <w:tc>
          <w:tcPr>
            <w:tcW w:w="2259" w:type="dxa"/>
          </w:tcPr>
          <w:p w:rsidR="00DA61C5" w:rsidRPr="00756DA5" w:rsidP="00DA61C5">
            <w:pPr>
              <w:jc w:val="left"/>
              <w:rPr>
                <w:sz w:val="16"/>
                <w:szCs w:val="16"/>
              </w:rPr>
            </w:pPr>
            <w:r w:rsidRPr="00756DA5">
              <w:rPr>
                <w:sz w:val="16"/>
                <w:szCs w:val="16"/>
              </w:rPr>
              <w:t>0,005</w:t>
            </w:r>
          </w:p>
        </w:tc>
        <w:tc>
          <w:tcPr>
            <w:tcW w:w="2277" w:type="dxa"/>
          </w:tcPr>
          <w:p w:rsidR="00DA61C5" w:rsidRPr="00756DA5" w:rsidP="00DA61C5">
            <w:pPr>
              <w:jc w:val="left"/>
              <w:rPr>
                <w:sz w:val="16"/>
                <w:szCs w:val="16"/>
              </w:rPr>
            </w:pPr>
            <w:r w:rsidRPr="00756DA5">
              <w:rPr>
                <w:sz w:val="16"/>
                <w:szCs w:val="16"/>
              </w:rPr>
              <w:t>0.005</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0,033</w:t>
            </w:r>
          </w:p>
        </w:tc>
        <w:tc>
          <w:tcPr>
            <w:tcW w:w="2271" w:type="dxa"/>
          </w:tcPr>
          <w:p w:rsidR="00DA61C5" w:rsidRPr="00756DA5" w:rsidP="00DA61C5">
            <w:pPr>
              <w:jc w:val="left"/>
              <w:rPr>
                <w:sz w:val="16"/>
                <w:szCs w:val="16"/>
              </w:rPr>
            </w:pPr>
            <w:r w:rsidRPr="00756DA5">
              <w:rPr>
                <w:sz w:val="16"/>
                <w:szCs w:val="16"/>
              </w:rPr>
              <w:t>0.033</w:t>
            </w:r>
          </w:p>
        </w:tc>
        <w:tc>
          <w:tcPr>
            <w:tcW w:w="2259" w:type="dxa"/>
          </w:tcPr>
          <w:p w:rsidR="00DA61C5" w:rsidRPr="00756DA5" w:rsidP="00DA61C5">
            <w:pPr>
              <w:jc w:val="left"/>
              <w:rPr>
                <w:sz w:val="16"/>
                <w:szCs w:val="16"/>
              </w:rPr>
            </w:pPr>
            <w:r w:rsidRPr="00756DA5">
              <w:rPr>
                <w:sz w:val="16"/>
                <w:szCs w:val="16"/>
              </w:rPr>
              <w:t>0,004</w:t>
            </w:r>
          </w:p>
        </w:tc>
        <w:tc>
          <w:tcPr>
            <w:tcW w:w="2277" w:type="dxa"/>
          </w:tcPr>
          <w:p w:rsidR="00DA61C5" w:rsidRPr="00756DA5" w:rsidP="00DA61C5">
            <w:pPr>
              <w:jc w:val="left"/>
              <w:rPr>
                <w:sz w:val="16"/>
                <w:szCs w:val="16"/>
              </w:rPr>
            </w:pPr>
            <w:r w:rsidRPr="00756DA5">
              <w:rPr>
                <w:sz w:val="16"/>
                <w:szCs w:val="16"/>
              </w:rPr>
              <w:t>0.004</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0,034</w:t>
            </w:r>
          </w:p>
        </w:tc>
        <w:tc>
          <w:tcPr>
            <w:tcW w:w="2271" w:type="dxa"/>
          </w:tcPr>
          <w:p w:rsidR="00DA61C5" w:rsidRPr="00756DA5" w:rsidP="00DA61C5">
            <w:pPr>
              <w:jc w:val="left"/>
              <w:rPr>
                <w:sz w:val="16"/>
                <w:szCs w:val="16"/>
              </w:rPr>
            </w:pPr>
            <w:r w:rsidRPr="00756DA5">
              <w:rPr>
                <w:sz w:val="16"/>
                <w:szCs w:val="16"/>
              </w:rPr>
              <w:t>0.034</w:t>
            </w:r>
          </w:p>
        </w:tc>
        <w:tc>
          <w:tcPr>
            <w:tcW w:w="2259" w:type="dxa"/>
          </w:tcPr>
          <w:p w:rsidR="00DA61C5" w:rsidRPr="00756DA5" w:rsidP="00DA61C5">
            <w:pPr>
              <w:jc w:val="left"/>
              <w:rPr>
                <w:sz w:val="16"/>
                <w:szCs w:val="16"/>
              </w:rPr>
            </w:pPr>
            <w:r w:rsidRPr="00756DA5">
              <w:rPr>
                <w:sz w:val="16"/>
                <w:szCs w:val="16"/>
              </w:rPr>
              <w:t>0,003</w:t>
            </w:r>
          </w:p>
        </w:tc>
        <w:tc>
          <w:tcPr>
            <w:tcW w:w="2277" w:type="dxa"/>
          </w:tcPr>
          <w:p w:rsidR="00DA61C5" w:rsidRPr="00756DA5" w:rsidP="00DA61C5">
            <w:pPr>
              <w:jc w:val="left"/>
              <w:rPr>
                <w:sz w:val="16"/>
                <w:szCs w:val="16"/>
              </w:rPr>
            </w:pPr>
            <w:r w:rsidRPr="00756DA5">
              <w:rPr>
                <w:sz w:val="16"/>
                <w:szCs w:val="16"/>
              </w:rPr>
              <w:t>0.003</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0,036</w:t>
            </w:r>
          </w:p>
        </w:tc>
        <w:tc>
          <w:tcPr>
            <w:tcW w:w="2271" w:type="dxa"/>
          </w:tcPr>
          <w:p w:rsidR="00DA61C5" w:rsidRPr="00756DA5" w:rsidP="00DA61C5">
            <w:pPr>
              <w:jc w:val="left"/>
              <w:rPr>
                <w:sz w:val="16"/>
                <w:szCs w:val="16"/>
              </w:rPr>
            </w:pPr>
            <w:r w:rsidRPr="00756DA5">
              <w:rPr>
                <w:sz w:val="16"/>
                <w:szCs w:val="16"/>
              </w:rPr>
              <w:t>0.036</w:t>
            </w:r>
          </w:p>
        </w:tc>
        <w:tc>
          <w:tcPr>
            <w:tcW w:w="2259" w:type="dxa"/>
          </w:tcPr>
          <w:p w:rsidR="00DA61C5" w:rsidRPr="00756DA5" w:rsidP="00DA61C5">
            <w:pPr>
              <w:jc w:val="left"/>
              <w:rPr>
                <w:sz w:val="16"/>
                <w:szCs w:val="16"/>
              </w:rPr>
            </w:pPr>
            <w:r w:rsidRPr="00756DA5">
              <w:rPr>
                <w:sz w:val="16"/>
                <w:szCs w:val="16"/>
              </w:rPr>
              <w:t>0,001</w:t>
            </w:r>
          </w:p>
        </w:tc>
        <w:tc>
          <w:tcPr>
            <w:tcW w:w="2277" w:type="dxa"/>
          </w:tcPr>
          <w:p w:rsidR="00DA61C5" w:rsidRPr="00756DA5" w:rsidP="00DA61C5">
            <w:pPr>
              <w:jc w:val="left"/>
              <w:rPr>
                <w:sz w:val="16"/>
                <w:szCs w:val="16"/>
              </w:rPr>
            </w:pPr>
            <w:r w:rsidRPr="00756DA5">
              <w:rPr>
                <w:sz w:val="16"/>
                <w:szCs w:val="16"/>
              </w:rPr>
              <w:t>0.001</w:t>
            </w:r>
          </w:p>
        </w:tc>
      </w:tr>
      <w:tr w:rsidTr="00E07FCF">
        <w:tblPrEx>
          <w:tblW w:w="9072" w:type="dxa"/>
          <w:tblLook w:val="04A0"/>
        </w:tblPrEx>
        <w:tc>
          <w:tcPr>
            <w:tcW w:w="2265" w:type="dxa"/>
          </w:tcPr>
          <w:p w:rsidR="00DA61C5" w:rsidRPr="00756DA5" w:rsidP="00DA61C5">
            <w:pPr>
              <w:jc w:val="left"/>
              <w:rPr>
                <w:sz w:val="16"/>
                <w:szCs w:val="16"/>
              </w:rPr>
            </w:pPr>
            <w:r w:rsidRPr="00756DA5">
              <w:rPr>
                <w:sz w:val="16"/>
                <w:szCs w:val="16"/>
              </w:rPr>
              <w:t>0,042</w:t>
            </w:r>
          </w:p>
        </w:tc>
        <w:tc>
          <w:tcPr>
            <w:tcW w:w="2271" w:type="dxa"/>
          </w:tcPr>
          <w:p w:rsidR="00DA61C5" w:rsidRPr="00756DA5" w:rsidP="00DA61C5">
            <w:pPr>
              <w:jc w:val="left"/>
              <w:rPr>
                <w:sz w:val="16"/>
                <w:szCs w:val="16"/>
              </w:rPr>
            </w:pPr>
            <w:r w:rsidRPr="00756DA5">
              <w:rPr>
                <w:sz w:val="16"/>
                <w:szCs w:val="16"/>
              </w:rPr>
              <w:t>0.042</w:t>
            </w:r>
          </w:p>
        </w:tc>
        <w:tc>
          <w:tcPr>
            <w:tcW w:w="2259" w:type="dxa"/>
          </w:tcPr>
          <w:p w:rsidR="00DA61C5" w:rsidRPr="00756DA5" w:rsidP="00DA61C5">
            <w:pPr>
              <w:jc w:val="left"/>
              <w:rPr>
                <w:sz w:val="16"/>
                <w:szCs w:val="16"/>
              </w:rPr>
            </w:pPr>
            <w:r w:rsidRPr="00756DA5">
              <w:rPr>
                <w:sz w:val="16"/>
                <w:szCs w:val="16"/>
              </w:rPr>
              <w:t>0,000</w:t>
            </w:r>
          </w:p>
        </w:tc>
        <w:tc>
          <w:tcPr>
            <w:tcW w:w="2277" w:type="dxa"/>
          </w:tcPr>
          <w:p w:rsidR="00DA61C5" w:rsidRPr="00756DA5" w:rsidP="00DA61C5">
            <w:pPr>
              <w:jc w:val="left"/>
              <w:rPr>
                <w:sz w:val="16"/>
                <w:szCs w:val="16"/>
              </w:rPr>
            </w:pPr>
            <w:r w:rsidRPr="00756DA5">
              <w:rPr>
                <w:sz w:val="16"/>
                <w:szCs w:val="16"/>
              </w:rPr>
              <w:t>0.000</w:t>
            </w:r>
          </w:p>
        </w:tc>
      </w:tr>
      <w:tr w:rsidTr="00E07FCF">
        <w:tblPrEx>
          <w:tblW w:w="9072" w:type="dxa"/>
          <w:tblLook w:val="04A0"/>
        </w:tblPrEx>
        <w:tc>
          <w:tcPr>
            <w:tcW w:w="2265" w:type="dxa"/>
          </w:tcPr>
          <w:p w:rsidR="00DA61C5" w:rsidRPr="00756DA5" w:rsidP="00DA61C5">
            <w:pPr>
              <w:jc w:val="left"/>
              <w:rPr>
                <w:sz w:val="16"/>
                <w:szCs w:val="16"/>
              </w:rPr>
            </w:pPr>
          </w:p>
        </w:tc>
        <w:tc>
          <w:tcPr>
            <w:tcW w:w="2271" w:type="dxa"/>
          </w:tcPr>
          <w:p w:rsidR="00DA61C5" w:rsidRPr="00756DA5" w:rsidP="00DA61C5">
            <w:pPr>
              <w:jc w:val="left"/>
              <w:rPr>
                <w:sz w:val="16"/>
                <w:szCs w:val="16"/>
              </w:rPr>
            </w:pPr>
          </w:p>
        </w:tc>
        <w:tc>
          <w:tcPr>
            <w:tcW w:w="2259" w:type="dxa"/>
          </w:tcPr>
          <w:p w:rsidR="00DA61C5" w:rsidRPr="00756DA5" w:rsidP="00DA61C5">
            <w:pPr>
              <w:jc w:val="left"/>
              <w:rPr>
                <w:sz w:val="16"/>
                <w:szCs w:val="16"/>
              </w:rPr>
            </w:pPr>
            <w:r w:rsidRPr="00756DA5">
              <w:rPr>
                <w:sz w:val="16"/>
                <w:szCs w:val="16"/>
              </w:rPr>
              <w:t>0,012</w:t>
            </w:r>
          </w:p>
        </w:tc>
        <w:tc>
          <w:tcPr>
            <w:tcW w:w="2277" w:type="dxa"/>
          </w:tcPr>
          <w:p w:rsidR="00DA61C5" w:rsidRPr="00756DA5" w:rsidP="00DA61C5">
            <w:pPr>
              <w:jc w:val="left"/>
              <w:rPr>
                <w:sz w:val="16"/>
                <w:szCs w:val="16"/>
              </w:rPr>
            </w:pPr>
            <w:r w:rsidRPr="00756DA5">
              <w:rPr>
                <w:sz w:val="16"/>
                <w:szCs w:val="16"/>
              </w:rPr>
              <w:t>0.012</w:t>
            </w:r>
          </w:p>
        </w:tc>
      </w:tr>
    </w:tbl>
    <w:p w:rsidR="00F03CD6" w:rsidRPr="00756DA5"/>
    <w:p w:rsidR="00442B87" w:rsidRPr="00756DA5" w:rsidP="00423F21">
      <w:pPr>
        <w:pageBreakBefore/>
        <w:spacing w:line="280" w:lineRule="exact"/>
        <w:rPr>
          <w:b/>
          <w:szCs w:val="20"/>
        </w:rPr>
      </w:pPr>
      <w:bookmarkStart w:id="99" w:name="_Toc460852663"/>
      <w:r w:rsidRPr="00756DA5">
        <w:rPr>
          <w:b/>
          <w:bCs/>
          <w:szCs w:val="20"/>
        </w:rPr>
        <w:t xml:space="preserve">■ </w:t>
      </w:r>
      <w:r w:rsidRPr="00756DA5">
        <w:rPr>
          <w:b/>
          <w:szCs w:val="20"/>
        </w:rPr>
        <w:t>Accident precursors</w:t>
      </w:r>
      <w:bookmarkEnd w:id="99"/>
    </w:p>
    <w:tbl>
      <w:tblPr>
        <w:tblStyle w:val="Grilledutableau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3"/>
        <w:gridCol w:w="4529"/>
      </w:tblGrid>
      <w:tr w:rsidTr="003810A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3" w:type="dxa"/>
            <w:hideMark/>
          </w:tcPr>
          <w:p w:rsidR="00442B87" w:rsidRPr="00756DA5" w:rsidP="00C844BF">
            <w:pPr>
              <w:jc w:val="left"/>
            </w:pPr>
            <w:r w:rsidRPr="00756DA5">
              <w:rPr>
                <w:noProof/>
                <w:lang w:val="fr-FR" w:eastAsia="fr-FR"/>
              </w:rPr>
              <w:drawing>
                <wp:inline distT="0" distB="0" distL="0" distR="0">
                  <wp:extent cx="2647784" cy="2158928"/>
                  <wp:effectExtent l="0" t="0" r="635"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86547" name="Picture 24"/>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8873" cy="2176123"/>
                          </a:xfrm>
                          <a:prstGeom prst="rect">
                            <a:avLst/>
                          </a:prstGeom>
                          <a:noFill/>
                          <a:ln>
                            <a:noFill/>
                          </a:ln>
                        </pic:spPr>
                      </pic:pic>
                    </a:graphicData>
                  </a:graphic>
                </wp:inline>
              </w:drawing>
            </w:r>
          </w:p>
        </w:tc>
        <w:tc>
          <w:tcPr>
            <w:tcW w:w="4529" w:type="dxa"/>
            <w:hideMark/>
          </w:tcPr>
          <w:p w:rsidR="00442B87" w:rsidRPr="00756DA5" w:rsidP="00C844BF">
            <w:pPr>
              <w:jc w:val="left"/>
            </w:pPr>
            <w:r w:rsidRPr="00756DA5">
              <w:rPr>
                <w:noProof/>
                <w:lang w:val="fr-FR" w:eastAsia="fr-FR"/>
              </w:rPr>
              <w:drawing>
                <wp:inline distT="0" distB="0" distL="0" distR="0">
                  <wp:extent cx="2631191" cy="2051437"/>
                  <wp:effectExtent l="0" t="0" r="0" b="635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5219" name="Picture 25"/>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8691" cy="2080675"/>
                          </a:xfrm>
                          <a:prstGeom prst="rect">
                            <a:avLst/>
                          </a:prstGeom>
                          <a:noFill/>
                          <a:ln>
                            <a:noFill/>
                          </a:ln>
                        </pic:spPr>
                      </pic:pic>
                    </a:graphicData>
                  </a:graphic>
                </wp:inline>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7B0BE2">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7B0BE2" w:rsidRPr="00756DA5" w:rsidP="007B0BE2">
            <w:pPr>
              <w:jc w:val="left"/>
              <w:rPr>
                <w:sz w:val="16"/>
                <w:szCs w:val="16"/>
              </w:rPr>
            </w:pPr>
            <w:r w:rsidRPr="00756DA5">
              <w:rPr>
                <w:sz w:val="16"/>
                <w:szCs w:val="16"/>
              </w:rPr>
              <w:t>I11 : Nombre relatif de rails cassés par million de train-km</w:t>
            </w:r>
          </w:p>
        </w:tc>
        <w:tc>
          <w:tcPr>
            <w:tcW w:w="2271" w:type="dxa"/>
          </w:tcPr>
          <w:p w:rsidR="007B0BE2" w:rsidRPr="00756DA5" w:rsidP="007B0BE2">
            <w:pPr>
              <w:jc w:val="left"/>
              <w:rPr>
                <w:sz w:val="16"/>
                <w:szCs w:val="16"/>
              </w:rPr>
            </w:pPr>
            <w:r w:rsidRPr="00756DA5">
              <w:rPr>
                <w:sz w:val="16"/>
                <w:szCs w:val="16"/>
              </w:rPr>
              <w:t>I11: Number of broken rails per million train-km</w:t>
            </w:r>
          </w:p>
        </w:tc>
        <w:tc>
          <w:tcPr>
            <w:tcW w:w="2259" w:type="dxa"/>
          </w:tcPr>
          <w:p w:rsidR="007B0BE2" w:rsidRPr="00756DA5" w:rsidP="007B0BE2">
            <w:pPr>
              <w:jc w:val="left"/>
              <w:rPr>
                <w:sz w:val="16"/>
                <w:szCs w:val="16"/>
              </w:rPr>
            </w:pPr>
            <w:r w:rsidRPr="00756DA5">
              <w:rPr>
                <w:sz w:val="16"/>
                <w:szCs w:val="16"/>
              </w:rPr>
              <w:t>I12 : Nombre relatif de gauches de voie par million de train-km</w:t>
            </w:r>
          </w:p>
        </w:tc>
        <w:tc>
          <w:tcPr>
            <w:tcW w:w="2277" w:type="dxa"/>
          </w:tcPr>
          <w:p w:rsidR="007B0BE2" w:rsidRPr="00756DA5" w:rsidP="007B0BE2">
            <w:pPr>
              <w:jc w:val="left"/>
              <w:rPr>
                <w:sz w:val="16"/>
                <w:szCs w:val="16"/>
              </w:rPr>
            </w:pPr>
            <w:r w:rsidRPr="00756DA5">
              <w:rPr>
                <w:sz w:val="16"/>
                <w:szCs w:val="16"/>
              </w:rPr>
              <w:t>I12: Number of track buckles per million train-km</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Moyenne calculée sur 5 ans</w:t>
            </w:r>
          </w:p>
        </w:tc>
        <w:tc>
          <w:tcPr>
            <w:tcW w:w="2271" w:type="dxa"/>
          </w:tcPr>
          <w:p w:rsidR="007B0BE2" w:rsidRPr="00756DA5" w:rsidP="007B0BE2">
            <w:pPr>
              <w:jc w:val="left"/>
              <w:rPr>
                <w:sz w:val="16"/>
                <w:szCs w:val="16"/>
              </w:rPr>
            </w:pPr>
            <w:r w:rsidRPr="00756DA5">
              <w:rPr>
                <w:sz w:val="16"/>
                <w:szCs w:val="16"/>
              </w:rPr>
              <w:t>Average calculated over 5 years</w:t>
            </w:r>
          </w:p>
        </w:tc>
        <w:tc>
          <w:tcPr>
            <w:tcW w:w="2259" w:type="dxa"/>
          </w:tcPr>
          <w:p w:rsidR="007B0BE2" w:rsidRPr="00756DA5" w:rsidP="007B0BE2">
            <w:pPr>
              <w:jc w:val="left"/>
              <w:rPr>
                <w:sz w:val="16"/>
                <w:szCs w:val="16"/>
              </w:rPr>
            </w:pPr>
            <w:r w:rsidRPr="00756DA5">
              <w:rPr>
                <w:sz w:val="16"/>
                <w:szCs w:val="16"/>
              </w:rPr>
              <w:t>Moyenne calculée sur 5 ans</w:t>
            </w:r>
          </w:p>
        </w:tc>
        <w:tc>
          <w:tcPr>
            <w:tcW w:w="2277" w:type="dxa"/>
          </w:tcPr>
          <w:p w:rsidR="007B0BE2" w:rsidRPr="00756DA5" w:rsidP="007B0BE2">
            <w:pPr>
              <w:jc w:val="left"/>
              <w:rPr>
                <w:sz w:val="16"/>
                <w:szCs w:val="16"/>
              </w:rPr>
            </w:pPr>
            <w:r w:rsidRPr="00756DA5">
              <w:rPr>
                <w:sz w:val="16"/>
                <w:szCs w:val="16"/>
              </w:rPr>
              <w:t>Average calculated over 5 years</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0,70</w:t>
            </w:r>
          </w:p>
        </w:tc>
        <w:tc>
          <w:tcPr>
            <w:tcW w:w="2271" w:type="dxa"/>
          </w:tcPr>
          <w:p w:rsidR="007B0BE2" w:rsidRPr="00756DA5" w:rsidP="007B0BE2">
            <w:pPr>
              <w:jc w:val="left"/>
              <w:rPr>
                <w:sz w:val="16"/>
                <w:szCs w:val="16"/>
              </w:rPr>
            </w:pPr>
            <w:r w:rsidRPr="00756DA5">
              <w:rPr>
                <w:sz w:val="16"/>
                <w:szCs w:val="16"/>
              </w:rPr>
              <w:t>0.70</w:t>
            </w:r>
          </w:p>
        </w:tc>
        <w:tc>
          <w:tcPr>
            <w:tcW w:w="2259" w:type="dxa"/>
          </w:tcPr>
          <w:p w:rsidR="007B0BE2" w:rsidRPr="00756DA5" w:rsidP="007B0BE2">
            <w:pPr>
              <w:jc w:val="left"/>
              <w:rPr>
                <w:sz w:val="16"/>
                <w:szCs w:val="16"/>
              </w:rPr>
            </w:pPr>
            <w:r w:rsidRPr="00756DA5">
              <w:rPr>
                <w:sz w:val="16"/>
                <w:szCs w:val="16"/>
              </w:rPr>
              <w:t>0,40</w:t>
            </w:r>
          </w:p>
        </w:tc>
        <w:tc>
          <w:tcPr>
            <w:tcW w:w="2277" w:type="dxa"/>
          </w:tcPr>
          <w:p w:rsidR="007B0BE2" w:rsidRPr="00756DA5" w:rsidP="007B0BE2">
            <w:pPr>
              <w:jc w:val="left"/>
              <w:rPr>
                <w:sz w:val="16"/>
                <w:szCs w:val="16"/>
              </w:rPr>
            </w:pPr>
            <w:r w:rsidRPr="00756DA5">
              <w:rPr>
                <w:sz w:val="16"/>
                <w:szCs w:val="16"/>
              </w:rPr>
              <w:t>0.40</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0,60</w:t>
            </w:r>
          </w:p>
        </w:tc>
        <w:tc>
          <w:tcPr>
            <w:tcW w:w="2271" w:type="dxa"/>
          </w:tcPr>
          <w:p w:rsidR="007B0BE2" w:rsidRPr="00756DA5" w:rsidP="007B0BE2">
            <w:pPr>
              <w:jc w:val="left"/>
              <w:rPr>
                <w:sz w:val="16"/>
                <w:szCs w:val="16"/>
              </w:rPr>
            </w:pPr>
            <w:r w:rsidRPr="00756DA5">
              <w:rPr>
                <w:sz w:val="16"/>
                <w:szCs w:val="16"/>
              </w:rPr>
              <w:t>0.60</w:t>
            </w:r>
          </w:p>
        </w:tc>
        <w:tc>
          <w:tcPr>
            <w:tcW w:w="2259" w:type="dxa"/>
          </w:tcPr>
          <w:p w:rsidR="007B0BE2" w:rsidRPr="00756DA5" w:rsidP="007B0BE2">
            <w:pPr>
              <w:jc w:val="left"/>
              <w:rPr>
                <w:sz w:val="16"/>
                <w:szCs w:val="16"/>
              </w:rPr>
            </w:pPr>
            <w:r w:rsidRPr="00756DA5">
              <w:rPr>
                <w:sz w:val="16"/>
                <w:szCs w:val="16"/>
              </w:rPr>
              <w:t>0,35</w:t>
            </w:r>
          </w:p>
        </w:tc>
        <w:tc>
          <w:tcPr>
            <w:tcW w:w="2277" w:type="dxa"/>
          </w:tcPr>
          <w:p w:rsidR="007B0BE2" w:rsidRPr="00756DA5" w:rsidP="007B0BE2">
            <w:pPr>
              <w:jc w:val="left"/>
              <w:rPr>
                <w:sz w:val="16"/>
                <w:szCs w:val="16"/>
              </w:rPr>
            </w:pPr>
            <w:r w:rsidRPr="00756DA5">
              <w:rPr>
                <w:sz w:val="16"/>
                <w:szCs w:val="16"/>
              </w:rPr>
              <w:t>0.35</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0,50</w:t>
            </w:r>
          </w:p>
        </w:tc>
        <w:tc>
          <w:tcPr>
            <w:tcW w:w="2271" w:type="dxa"/>
          </w:tcPr>
          <w:p w:rsidR="007B0BE2" w:rsidRPr="00756DA5" w:rsidP="007B0BE2">
            <w:pPr>
              <w:jc w:val="left"/>
              <w:rPr>
                <w:sz w:val="16"/>
                <w:szCs w:val="16"/>
              </w:rPr>
            </w:pPr>
            <w:r w:rsidRPr="00756DA5">
              <w:rPr>
                <w:sz w:val="16"/>
                <w:szCs w:val="16"/>
              </w:rPr>
              <w:t>0.50</w:t>
            </w:r>
          </w:p>
        </w:tc>
        <w:tc>
          <w:tcPr>
            <w:tcW w:w="2259" w:type="dxa"/>
          </w:tcPr>
          <w:p w:rsidR="007B0BE2" w:rsidRPr="00756DA5" w:rsidP="007B0BE2">
            <w:pPr>
              <w:jc w:val="left"/>
              <w:rPr>
                <w:sz w:val="16"/>
                <w:szCs w:val="16"/>
              </w:rPr>
            </w:pPr>
            <w:r w:rsidRPr="00756DA5">
              <w:rPr>
                <w:sz w:val="16"/>
                <w:szCs w:val="16"/>
              </w:rPr>
              <w:t>0,30</w:t>
            </w:r>
          </w:p>
        </w:tc>
        <w:tc>
          <w:tcPr>
            <w:tcW w:w="2277" w:type="dxa"/>
          </w:tcPr>
          <w:p w:rsidR="007B0BE2" w:rsidRPr="00756DA5" w:rsidP="007B0BE2">
            <w:pPr>
              <w:jc w:val="left"/>
              <w:rPr>
                <w:sz w:val="16"/>
                <w:szCs w:val="16"/>
              </w:rPr>
            </w:pPr>
            <w:r w:rsidRPr="00756DA5">
              <w:rPr>
                <w:sz w:val="16"/>
                <w:szCs w:val="16"/>
              </w:rPr>
              <w:t>0.30</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0,40</w:t>
            </w:r>
          </w:p>
        </w:tc>
        <w:tc>
          <w:tcPr>
            <w:tcW w:w="2271" w:type="dxa"/>
          </w:tcPr>
          <w:p w:rsidR="007B0BE2" w:rsidRPr="00756DA5" w:rsidP="007B0BE2">
            <w:pPr>
              <w:jc w:val="left"/>
              <w:rPr>
                <w:sz w:val="16"/>
                <w:szCs w:val="16"/>
              </w:rPr>
            </w:pPr>
            <w:r w:rsidRPr="00756DA5">
              <w:rPr>
                <w:sz w:val="16"/>
                <w:szCs w:val="16"/>
              </w:rPr>
              <w:t>0.40</w:t>
            </w:r>
          </w:p>
        </w:tc>
        <w:tc>
          <w:tcPr>
            <w:tcW w:w="2259" w:type="dxa"/>
          </w:tcPr>
          <w:p w:rsidR="007B0BE2" w:rsidRPr="00756DA5" w:rsidP="007B0BE2">
            <w:pPr>
              <w:jc w:val="left"/>
              <w:rPr>
                <w:sz w:val="16"/>
                <w:szCs w:val="16"/>
              </w:rPr>
            </w:pPr>
            <w:r w:rsidRPr="00756DA5">
              <w:rPr>
                <w:sz w:val="16"/>
                <w:szCs w:val="16"/>
              </w:rPr>
              <w:t>0,25</w:t>
            </w:r>
          </w:p>
        </w:tc>
        <w:tc>
          <w:tcPr>
            <w:tcW w:w="2277" w:type="dxa"/>
          </w:tcPr>
          <w:p w:rsidR="007B0BE2" w:rsidRPr="00756DA5" w:rsidP="007B0BE2">
            <w:pPr>
              <w:jc w:val="left"/>
              <w:rPr>
                <w:sz w:val="16"/>
                <w:szCs w:val="16"/>
              </w:rPr>
            </w:pPr>
            <w:r w:rsidRPr="00756DA5">
              <w:rPr>
                <w:sz w:val="16"/>
                <w:szCs w:val="16"/>
              </w:rPr>
              <w:t>0.25</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0,30</w:t>
            </w:r>
          </w:p>
        </w:tc>
        <w:tc>
          <w:tcPr>
            <w:tcW w:w="2271" w:type="dxa"/>
          </w:tcPr>
          <w:p w:rsidR="007B0BE2" w:rsidRPr="00756DA5" w:rsidP="007B0BE2">
            <w:pPr>
              <w:jc w:val="left"/>
              <w:rPr>
                <w:sz w:val="16"/>
                <w:szCs w:val="16"/>
              </w:rPr>
            </w:pPr>
            <w:r w:rsidRPr="00756DA5">
              <w:rPr>
                <w:sz w:val="16"/>
                <w:szCs w:val="16"/>
              </w:rPr>
              <w:t>0.30</w:t>
            </w:r>
          </w:p>
        </w:tc>
        <w:tc>
          <w:tcPr>
            <w:tcW w:w="2259" w:type="dxa"/>
          </w:tcPr>
          <w:p w:rsidR="007B0BE2" w:rsidRPr="00756DA5" w:rsidP="007B0BE2">
            <w:pPr>
              <w:jc w:val="left"/>
              <w:rPr>
                <w:sz w:val="16"/>
                <w:szCs w:val="16"/>
              </w:rPr>
            </w:pPr>
            <w:r w:rsidRPr="00756DA5">
              <w:rPr>
                <w:sz w:val="16"/>
                <w:szCs w:val="16"/>
              </w:rPr>
              <w:t>0,20</w:t>
            </w:r>
          </w:p>
        </w:tc>
        <w:tc>
          <w:tcPr>
            <w:tcW w:w="2277" w:type="dxa"/>
          </w:tcPr>
          <w:p w:rsidR="007B0BE2" w:rsidRPr="00756DA5" w:rsidP="007B0BE2">
            <w:pPr>
              <w:jc w:val="left"/>
              <w:rPr>
                <w:sz w:val="16"/>
                <w:szCs w:val="16"/>
              </w:rPr>
            </w:pPr>
            <w:r w:rsidRPr="00756DA5">
              <w:rPr>
                <w:sz w:val="16"/>
                <w:szCs w:val="16"/>
              </w:rPr>
              <w:t>0.20</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0,20</w:t>
            </w:r>
          </w:p>
        </w:tc>
        <w:tc>
          <w:tcPr>
            <w:tcW w:w="2271" w:type="dxa"/>
          </w:tcPr>
          <w:p w:rsidR="007B0BE2" w:rsidRPr="00756DA5" w:rsidP="007B0BE2">
            <w:pPr>
              <w:jc w:val="left"/>
              <w:rPr>
                <w:sz w:val="16"/>
                <w:szCs w:val="16"/>
              </w:rPr>
            </w:pPr>
            <w:r w:rsidRPr="00756DA5">
              <w:rPr>
                <w:sz w:val="16"/>
                <w:szCs w:val="16"/>
              </w:rPr>
              <w:t>0.20</w:t>
            </w:r>
          </w:p>
        </w:tc>
        <w:tc>
          <w:tcPr>
            <w:tcW w:w="2259" w:type="dxa"/>
          </w:tcPr>
          <w:p w:rsidR="007B0BE2" w:rsidRPr="00756DA5" w:rsidP="007B0BE2">
            <w:pPr>
              <w:jc w:val="left"/>
              <w:rPr>
                <w:sz w:val="16"/>
                <w:szCs w:val="16"/>
              </w:rPr>
            </w:pPr>
            <w:r w:rsidRPr="00756DA5">
              <w:rPr>
                <w:sz w:val="16"/>
                <w:szCs w:val="16"/>
              </w:rPr>
              <w:t>0,15</w:t>
            </w:r>
          </w:p>
        </w:tc>
        <w:tc>
          <w:tcPr>
            <w:tcW w:w="2277" w:type="dxa"/>
          </w:tcPr>
          <w:p w:rsidR="007B0BE2" w:rsidRPr="00756DA5" w:rsidP="007B0BE2">
            <w:pPr>
              <w:jc w:val="left"/>
              <w:rPr>
                <w:sz w:val="16"/>
                <w:szCs w:val="16"/>
              </w:rPr>
            </w:pPr>
            <w:r w:rsidRPr="00756DA5">
              <w:rPr>
                <w:sz w:val="16"/>
                <w:szCs w:val="16"/>
              </w:rPr>
              <w:t>0.15</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0,10</w:t>
            </w:r>
          </w:p>
        </w:tc>
        <w:tc>
          <w:tcPr>
            <w:tcW w:w="2271" w:type="dxa"/>
          </w:tcPr>
          <w:p w:rsidR="007B0BE2" w:rsidRPr="00756DA5" w:rsidP="007B0BE2">
            <w:pPr>
              <w:jc w:val="left"/>
              <w:rPr>
                <w:sz w:val="16"/>
                <w:szCs w:val="16"/>
              </w:rPr>
            </w:pPr>
            <w:r w:rsidRPr="00756DA5">
              <w:rPr>
                <w:sz w:val="16"/>
                <w:szCs w:val="16"/>
              </w:rPr>
              <w:t>0.10</w:t>
            </w:r>
          </w:p>
        </w:tc>
        <w:tc>
          <w:tcPr>
            <w:tcW w:w="2259" w:type="dxa"/>
          </w:tcPr>
          <w:p w:rsidR="007B0BE2" w:rsidRPr="00756DA5" w:rsidP="007B0BE2">
            <w:pPr>
              <w:jc w:val="left"/>
              <w:rPr>
                <w:sz w:val="16"/>
                <w:szCs w:val="16"/>
              </w:rPr>
            </w:pPr>
            <w:r w:rsidRPr="00756DA5">
              <w:rPr>
                <w:sz w:val="16"/>
                <w:szCs w:val="16"/>
              </w:rPr>
              <w:t>0,10</w:t>
            </w:r>
          </w:p>
        </w:tc>
        <w:tc>
          <w:tcPr>
            <w:tcW w:w="2277" w:type="dxa"/>
          </w:tcPr>
          <w:p w:rsidR="007B0BE2" w:rsidRPr="00756DA5" w:rsidP="007B0BE2">
            <w:pPr>
              <w:jc w:val="left"/>
              <w:rPr>
                <w:sz w:val="16"/>
                <w:szCs w:val="16"/>
              </w:rPr>
            </w:pPr>
            <w:r w:rsidRPr="00756DA5">
              <w:rPr>
                <w:sz w:val="16"/>
                <w:szCs w:val="16"/>
              </w:rPr>
              <w:t>0.10</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0,00</w:t>
            </w:r>
          </w:p>
        </w:tc>
        <w:tc>
          <w:tcPr>
            <w:tcW w:w="2271" w:type="dxa"/>
          </w:tcPr>
          <w:p w:rsidR="007B0BE2" w:rsidRPr="00756DA5" w:rsidP="007B0BE2">
            <w:pPr>
              <w:jc w:val="left"/>
              <w:rPr>
                <w:sz w:val="16"/>
                <w:szCs w:val="16"/>
              </w:rPr>
            </w:pPr>
            <w:r w:rsidRPr="00756DA5">
              <w:rPr>
                <w:sz w:val="16"/>
                <w:szCs w:val="16"/>
              </w:rPr>
              <w:t>0.00</w:t>
            </w:r>
          </w:p>
        </w:tc>
        <w:tc>
          <w:tcPr>
            <w:tcW w:w="2259" w:type="dxa"/>
          </w:tcPr>
          <w:p w:rsidR="007B0BE2" w:rsidRPr="00756DA5" w:rsidP="007B0BE2">
            <w:pPr>
              <w:jc w:val="left"/>
              <w:rPr>
                <w:sz w:val="16"/>
                <w:szCs w:val="16"/>
              </w:rPr>
            </w:pPr>
            <w:r w:rsidRPr="00756DA5">
              <w:rPr>
                <w:sz w:val="16"/>
                <w:szCs w:val="16"/>
              </w:rPr>
              <w:t>0,05</w:t>
            </w:r>
          </w:p>
        </w:tc>
        <w:tc>
          <w:tcPr>
            <w:tcW w:w="2277" w:type="dxa"/>
          </w:tcPr>
          <w:p w:rsidR="007B0BE2" w:rsidRPr="00756DA5" w:rsidP="007B0BE2">
            <w:pPr>
              <w:jc w:val="left"/>
              <w:rPr>
                <w:sz w:val="16"/>
                <w:szCs w:val="16"/>
              </w:rPr>
            </w:pPr>
            <w:r w:rsidRPr="00756DA5">
              <w:rPr>
                <w:sz w:val="16"/>
                <w:szCs w:val="16"/>
              </w:rPr>
              <w:t>0.05</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0,630</w:t>
            </w:r>
          </w:p>
        </w:tc>
        <w:tc>
          <w:tcPr>
            <w:tcW w:w="2271" w:type="dxa"/>
          </w:tcPr>
          <w:p w:rsidR="007B0BE2" w:rsidRPr="00756DA5" w:rsidP="007B0BE2">
            <w:pPr>
              <w:jc w:val="left"/>
              <w:rPr>
                <w:sz w:val="16"/>
                <w:szCs w:val="16"/>
              </w:rPr>
            </w:pPr>
            <w:r w:rsidRPr="00756DA5">
              <w:rPr>
                <w:sz w:val="16"/>
                <w:szCs w:val="16"/>
              </w:rPr>
              <w:t>0.630</w:t>
            </w:r>
          </w:p>
        </w:tc>
        <w:tc>
          <w:tcPr>
            <w:tcW w:w="2259" w:type="dxa"/>
          </w:tcPr>
          <w:p w:rsidR="007B0BE2" w:rsidRPr="00756DA5" w:rsidP="007B0BE2">
            <w:pPr>
              <w:jc w:val="left"/>
              <w:rPr>
                <w:sz w:val="16"/>
                <w:szCs w:val="16"/>
              </w:rPr>
            </w:pPr>
            <w:r w:rsidRPr="00756DA5">
              <w:rPr>
                <w:sz w:val="16"/>
                <w:szCs w:val="16"/>
              </w:rPr>
              <w:t>0,00</w:t>
            </w:r>
          </w:p>
        </w:tc>
        <w:tc>
          <w:tcPr>
            <w:tcW w:w="2277" w:type="dxa"/>
          </w:tcPr>
          <w:p w:rsidR="007B0BE2" w:rsidRPr="00756DA5" w:rsidP="007B0BE2">
            <w:pPr>
              <w:jc w:val="left"/>
              <w:rPr>
                <w:sz w:val="16"/>
                <w:szCs w:val="16"/>
              </w:rPr>
            </w:pPr>
            <w:r w:rsidRPr="00756DA5">
              <w:rPr>
                <w:sz w:val="16"/>
                <w:szCs w:val="16"/>
              </w:rPr>
              <w:t>0.00</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0,607</w:t>
            </w:r>
          </w:p>
        </w:tc>
        <w:tc>
          <w:tcPr>
            <w:tcW w:w="2271" w:type="dxa"/>
          </w:tcPr>
          <w:p w:rsidR="007B0BE2" w:rsidRPr="00756DA5" w:rsidP="007B0BE2">
            <w:pPr>
              <w:jc w:val="left"/>
              <w:rPr>
                <w:sz w:val="16"/>
                <w:szCs w:val="16"/>
              </w:rPr>
            </w:pPr>
            <w:r w:rsidRPr="00756DA5">
              <w:rPr>
                <w:sz w:val="16"/>
                <w:szCs w:val="16"/>
              </w:rPr>
              <w:t>0.607</w:t>
            </w:r>
          </w:p>
        </w:tc>
        <w:tc>
          <w:tcPr>
            <w:tcW w:w="2259" w:type="dxa"/>
          </w:tcPr>
          <w:p w:rsidR="007B0BE2" w:rsidRPr="00756DA5" w:rsidP="007B0BE2">
            <w:pPr>
              <w:jc w:val="left"/>
              <w:rPr>
                <w:sz w:val="16"/>
                <w:szCs w:val="16"/>
              </w:rPr>
            </w:pPr>
            <w:r w:rsidRPr="00756DA5">
              <w:rPr>
                <w:sz w:val="16"/>
                <w:szCs w:val="16"/>
              </w:rPr>
              <w:t>0,351</w:t>
            </w:r>
          </w:p>
        </w:tc>
        <w:tc>
          <w:tcPr>
            <w:tcW w:w="2277" w:type="dxa"/>
          </w:tcPr>
          <w:p w:rsidR="007B0BE2" w:rsidRPr="00756DA5" w:rsidP="007B0BE2">
            <w:pPr>
              <w:jc w:val="left"/>
              <w:rPr>
                <w:sz w:val="16"/>
                <w:szCs w:val="16"/>
              </w:rPr>
            </w:pPr>
            <w:r w:rsidRPr="00756DA5">
              <w:rPr>
                <w:sz w:val="16"/>
                <w:szCs w:val="16"/>
              </w:rPr>
              <w:t>0.351</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0,531</w:t>
            </w:r>
          </w:p>
        </w:tc>
        <w:tc>
          <w:tcPr>
            <w:tcW w:w="2271" w:type="dxa"/>
          </w:tcPr>
          <w:p w:rsidR="007B0BE2" w:rsidRPr="00756DA5" w:rsidP="007B0BE2">
            <w:pPr>
              <w:jc w:val="left"/>
              <w:rPr>
                <w:sz w:val="16"/>
                <w:szCs w:val="16"/>
              </w:rPr>
            </w:pPr>
            <w:r w:rsidRPr="00756DA5">
              <w:rPr>
                <w:sz w:val="16"/>
                <w:szCs w:val="16"/>
              </w:rPr>
              <w:t>0.531</w:t>
            </w:r>
          </w:p>
        </w:tc>
        <w:tc>
          <w:tcPr>
            <w:tcW w:w="2259" w:type="dxa"/>
          </w:tcPr>
          <w:p w:rsidR="007B0BE2" w:rsidRPr="00756DA5" w:rsidP="007B0BE2">
            <w:pPr>
              <w:jc w:val="left"/>
              <w:rPr>
                <w:sz w:val="16"/>
                <w:szCs w:val="16"/>
              </w:rPr>
            </w:pPr>
            <w:r w:rsidRPr="00756DA5">
              <w:rPr>
                <w:sz w:val="16"/>
                <w:szCs w:val="16"/>
              </w:rPr>
              <w:t>0,345</w:t>
            </w:r>
          </w:p>
        </w:tc>
        <w:tc>
          <w:tcPr>
            <w:tcW w:w="2277" w:type="dxa"/>
          </w:tcPr>
          <w:p w:rsidR="007B0BE2" w:rsidRPr="00756DA5" w:rsidP="007B0BE2">
            <w:pPr>
              <w:jc w:val="left"/>
              <w:rPr>
                <w:sz w:val="16"/>
                <w:szCs w:val="16"/>
              </w:rPr>
            </w:pPr>
            <w:r w:rsidRPr="00756DA5">
              <w:rPr>
                <w:sz w:val="16"/>
                <w:szCs w:val="16"/>
              </w:rPr>
              <w:t>0.345</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0,510</w:t>
            </w:r>
          </w:p>
        </w:tc>
        <w:tc>
          <w:tcPr>
            <w:tcW w:w="2271" w:type="dxa"/>
          </w:tcPr>
          <w:p w:rsidR="007B0BE2" w:rsidRPr="00756DA5" w:rsidP="007B0BE2">
            <w:pPr>
              <w:jc w:val="left"/>
              <w:rPr>
                <w:sz w:val="16"/>
                <w:szCs w:val="16"/>
              </w:rPr>
            </w:pPr>
            <w:r w:rsidRPr="00756DA5">
              <w:rPr>
                <w:sz w:val="16"/>
                <w:szCs w:val="16"/>
              </w:rPr>
              <w:t>0.510</w:t>
            </w:r>
          </w:p>
        </w:tc>
        <w:tc>
          <w:tcPr>
            <w:tcW w:w="2259" w:type="dxa"/>
          </w:tcPr>
          <w:p w:rsidR="007B0BE2" w:rsidRPr="00756DA5" w:rsidP="007B0BE2">
            <w:pPr>
              <w:jc w:val="left"/>
              <w:rPr>
                <w:sz w:val="16"/>
                <w:szCs w:val="16"/>
              </w:rPr>
            </w:pPr>
            <w:r w:rsidRPr="00756DA5">
              <w:rPr>
                <w:sz w:val="16"/>
                <w:szCs w:val="16"/>
              </w:rPr>
              <w:t>0,313</w:t>
            </w:r>
          </w:p>
        </w:tc>
        <w:tc>
          <w:tcPr>
            <w:tcW w:w="2277" w:type="dxa"/>
          </w:tcPr>
          <w:p w:rsidR="007B0BE2" w:rsidRPr="00756DA5" w:rsidP="007B0BE2">
            <w:pPr>
              <w:jc w:val="left"/>
              <w:rPr>
                <w:sz w:val="16"/>
                <w:szCs w:val="16"/>
              </w:rPr>
            </w:pPr>
            <w:r w:rsidRPr="00756DA5">
              <w:rPr>
                <w:sz w:val="16"/>
                <w:szCs w:val="16"/>
              </w:rPr>
              <w:t>0.313</w:t>
            </w:r>
          </w:p>
        </w:tc>
      </w:tr>
      <w:tr w:rsidTr="007B0BE2">
        <w:tblPrEx>
          <w:tblW w:w="9072" w:type="dxa"/>
          <w:tblLook w:val="04A0"/>
        </w:tblPrEx>
        <w:tc>
          <w:tcPr>
            <w:tcW w:w="2265" w:type="dxa"/>
          </w:tcPr>
          <w:p w:rsidR="007B0BE2" w:rsidRPr="00756DA5" w:rsidP="007B0BE2">
            <w:pPr>
              <w:jc w:val="left"/>
              <w:rPr>
                <w:sz w:val="16"/>
                <w:szCs w:val="16"/>
              </w:rPr>
            </w:pPr>
            <w:r w:rsidRPr="00756DA5">
              <w:rPr>
                <w:sz w:val="16"/>
                <w:szCs w:val="16"/>
              </w:rPr>
              <w:t>0,448</w:t>
            </w:r>
          </w:p>
        </w:tc>
        <w:tc>
          <w:tcPr>
            <w:tcW w:w="2271" w:type="dxa"/>
          </w:tcPr>
          <w:p w:rsidR="007B0BE2" w:rsidRPr="00756DA5" w:rsidP="007B0BE2">
            <w:pPr>
              <w:jc w:val="left"/>
              <w:rPr>
                <w:sz w:val="16"/>
                <w:szCs w:val="16"/>
              </w:rPr>
            </w:pPr>
            <w:r w:rsidRPr="00756DA5">
              <w:rPr>
                <w:sz w:val="16"/>
                <w:szCs w:val="16"/>
              </w:rPr>
              <w:t>0.448</w:t>
            </w:r>
          </w:p>
        </w:tc>
        <w:tc>
          <w:tcPr>
            <w:tcW w:w="2259" w:type="dxa"/>
          </w:tcPr>
          <w:p w:rsidR="007B0BE2" w:rsidRPr="00756DA5" w:rsidP="007B0BE2">
            <w:pPr>
              <w:jc w:val="left"/>
              <w:rPr>
                <w:sz w:val="16"/>
                <w:szCs w:val="16"/>
              </w:rPr>
            </w:pPr>
            <w:r w:rsidRPr="00756DA5">
              <w:rPr>
                <w:sz w:val="16"/>
                <w:szCs w:val="16"/>
              </w:rPr>
              <w:t>0,258</w:t>
            </w:r>
          </w:p>
        </w:tc>
        <w:tc>
          <w:tcPr>
            <w:tcW w:w="2277" w:type="dxa"/>
          </w:tcPr>
          <w:p w:rsidR="007B0BE2" w:rsidRPr="00756DA5" w:rsidP="007B0BE2">
            <w:pPr>
              <w:jc w:val="left"/>
              <w:rPr>
                <w:sz w:val="16"/>
                <w:szCs w:val="16"/>
              </w:rPr>
            </w:pPr>
            <w:r w:rsidRPr="00756DA5">
              <w:rPr>
                <w:sz w:val="16"/>
                <w:szCs w:val="16"/>
              </w:rPr>
              <w:t>0.258</w:t>
            </w:r>
          </w:p>
        </w:tc>
      </w:tr>
    </w:tbl>
    <w:tbl>
      <w:tblPr>
        <w:tblStyle w:val="Grilledutableau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3"/>
        <w:gridCol w:w="4529"/>
      </w:tblGrid>
      <w:tr w:rsidTr="003810A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3" w:type="dxa"/>
            <w:hideMark/>
          </w:tcPr>
          <w:p w:rsidR="00442B87" w:rsidRPr="00756DA5" w:rsidP="00C844BF">
            <w:pPr>
              <w:jc w:val="left"/>
            </w:pPr>
            <w:r w:rsidRPr="00756DA5">
              <w:rPr>
                <w:noProof/>
                <w:lang w:val="fr-FR" w:eastAsia="fr-FR"/>
              </w:rPr>
              <w:drawing>
                <wp:inline distT="0" distB="0" distL="0" distR="0">
                  <wp:extent cx="2701290" cy="2203481"/>
                  <wp:effectExtent l="0" t="0" r="3810" b="635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75134" name="Picture 26"/>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4446" cy="2214212"/>
                          </a:xfrm>
                          <a:prstGeom prst="rect">
                            <a:avLst/>
                          </a:prstGeom>
                          <a:noFill/>
                          <a:ln>
                            <a:noFill/>
                          </a:ln>
                        </pic:spPr>
                      </pic:pic>
                    </a:graphicData>
                  </a:graphic>
                </wp:inline>
              </w:drawing>
            </w:r>
          </w:p>
        </w:tc>
        <w:tc>
          <w:tcPr>
            <w:tcW w:w="4529" w:type="dxa"/>
            <w:hideMark/>
          </w:tcPr>
          <w:p w:rsidR="00442B87" w:rsidRPr="00756DA5" w:rsidP="00C844BF">
            <w:pPr>
              <w:jc w:val="left"/>
            </w:pPr>
            <w:r w:rsidRPr="00756DA5">
              <w:rPr>
                <w:noProof/>
                <w:lang w:val="fr-FR" w:eastAsia="fr-FR"/>
              </w:rPr>
              <w:drawing>
                <wp:inline distT="0" distB="0" distL="0" distR="0">
                  <wp:extent cx="2679811" cy="2185960"/>
                  <wp:effectExtent l="0" t="0" r="6350" b="508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07759" name="Picture 27"/>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1403" cy="2211730"/>
                          </a:xfrm>
                          <a:prstGeom prst="rect">
                            <a:avLst/>
                          </a:prstGeom>
                          <a:noFill/>
                          <a:ln>
                            <a:noFill/>
                          </a:ln>
                        </pic:spPr>
                      </pic:pic>
                    </a:graphicData>
                  </a:graphic>
                </wp:inline>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A2101A">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A2101A" w:rsidRPr="00756DA5" w:rsidP="00A2101A">
            <w:pPr>
              <w:jc w:val="left"/>
              <w:rPr>
                <w:sz w:val="16"/>
                <w:szCs w:val="16"/>
              </w:rPr>
            </w:pPr>
            <w:r w:rsidRPr="00756DA5">
              <w:rPr>
                <w:sz w:val="16"/>
                <w:szCs w:val="16"/>
              </w:rPr>
              <w:t>I13 : Nombre relatif de pannes de signalisation par million de train-km</w:t>
            </w:r>
          </w:p>
        </w:tc>
        <w:tc>
          <w:tcPr>
            <w:tcW w:w="2271" w:type="dxa"/>
          </w:tcPr>
          <w:p w:rsidR="00A2101A" w:rsidRPr="00756DA5" w:rsidP="00A2101A">
            <w:pPr>
              <w:jc w:val="left"/>
              <w:rPr>
                <w:sz w:val="16"/>
                <w:szCs w:val="16"/>
              </w:rPr>
            </w:pPr>
            <w:r w:rsidRPr="00756DA5">
              <w:rPr>
                <w:sz w:val="16"/>
                <w:szCs w:val="16"/>
              </w:rPr>
              <w:t>I13: Number of signalling failures per million train-km</w:t>
            </w:r>
          </w:p>
        </w:tc>
        <w:tc>
          <w:tcPr>
            <w:tcW w:w="2259" w:type="dxa"/>
          </w:tcPr>
          <w:p w:rsidR="00A2101A" w:rsidRPr="00756DA5" w:rsidP="00A2101A">
            <w:pPr>
              <w:jc w:val="left"/>
              <w:rPr>
                <w:sz w:val="16"/>
                <w:szCs w:val="16"/>
              </w:rPr>
            </w:pPr>
            <w:r w:rsidRPr="00756DA5">
              <w:rPr>
                <w:sz w:val="16"/>
                <w:szCs w:val="16"/>
              </w:rPr>
              <w:t>I14 : Nombre relatif de franchissements de signaux franchis fermés par million de train-km</w:t>
            </w:r>
          </w:p>
        </w:tc>
        <w:tc>
          <w:tcPr>
            <w:tcW w:w="2277" w:type="dxa"/>
          </w:tcPr>
          <w:p w:rsidR="00A2101A" w:rsidRPr="00756DA5" w:rsidP="00A2101A">
            <w:pPr>
              <w:jc w:val="left"/>
              <w:rPr>
                <w:sz w:val="16"/>
                <w:szCs w:val="16"/>
              </w:rPr>
            </w:pPr>
            <w:r w:rsidRPr="00756DA5">
              <w:rPr>
                <w:sz w:val="16"/>
                <w:szCs w:val="16"/>
              </w:rPr>
              <w:t>I14: Number of signals passed at danger per million train-km</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Moyenne calculée sur 5 ans</w:t>
            </w:r>
          </w:p>
        </w:tc>
        <w:tc>
          <w:tcPr>
            <w:tcW w:w="2271" w:type="dxa"/>
          </w:tcPr>
          <w:p w:rsidR="00A2101A" w:rsidRPr="00756DA5" w:rsidP="00A2101A">
            <w:pPr>
              <w:jc w:val="left"/>
              <w:rPr>
                <w:sz w:val="16"/>
                <w:szCs w:val="16"/>
              </w:rPr>
            </w:pPr>
            <w:r w:rsidRPr="00756DA5">
              <w:rPr>
                <w:sz w:val="16"/>
                <w:szCs w:val="16"/>
              </w:rPr>
              <w:t>Average calculated over 5 years</w:t>
            </w:r>
          </w:p>
        </w:tc>
        <w:tc>
          <w:tcPr>
            <w:tcW w:w="2259" w:type="dxa"/>
          </w:tcPr>
          <w:p w:rsidR="00A2101A" w:rsidRPr="00756DA5" w:rsidP="00A2101A">
            <w:pPr>
              <w:jc w:val="left"/>
              <w:rPr>
                <w:sz w:val="16"/>
                <w:szCs w:val="16"/>
              </w:rPr>
            </w:pPr>
            <w:r w:rsidRPr="00756DA5">
              <w:rPr>
                <w:sz w:val="16"/>
                <w:szCs w:val="16"/>
              </w:rPr>
              <w:t>Moyenne calculée sur 5 ans</w:t>
            </w:r>
          </w:p>
        </w:tc>
        <w:tc>
          <w:tcPr>
            <w:tcW w:w="2277" w:type="dxa"/>
          </w:tcPr>
          <w:p w:rsidR="00A2101A" w:rsidRPr="00756DA5" w:rsidP="00A2101A">
            <w:pPr>
              <w:jc w:val="left"/>
              <w:rPr>
                <w:sz w:val="16"/>
                <w:szCs w:val="16"/>
              </w:rPr>
            </w:pPr>
            <w:r w:rsidRPr="00756DA5">
              <w:rPr>
                <w:sz w:val="16"/>
                <w:szCs w:val="16"/>
              </w:rPr>
              <w:t>Average calculated over 5 years</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0,8</w:t>
            </w:r>
          </w:p>
        </w:tc>
        <w:tc>
          <w:tcPr>
            <w:tcW w:w="2271" w:type="dxa"/>
          </w:tcPr>
          <w:p w:rsidR="00A2101A" w:rsidRPr="00756DA5" w:rsidP="00A2101A">
            <w:pPr>
              <w:jc w:val="left"/>
              <w:rPr>
                <w:sz w:val="16"/>
                <w:szCs w:val="16"/>
              </w:rPr>
            </w:pPr>
            <w:r w:rsidRPr="00756DA5">
              <w:rPr>
                <w:sz w:val="16"/>
                <w:szCs w:val="16"/>
              </w:rPr>
              <w:t>0.8</w:t>
            </w:r>
          </w:p>
        </w:tc>
        <w:tc>
          <w:tcPr>
            <w:tcW w:w="2259" w:type="dxa"/>
          </w:tcPr>
          <w:p w:rsidR="00A2101A" w:rsidRPr="00756DA5" w:rsidP="00A2101A">
            <w:pPr>
              <w:jc w:val="left"/>
              <w:rPr>
                <w:sz w:val="16"/>
                <w:szCs w:val="16"/>
              </w:rPr>
            </w:pPr>
            <w:r w:rsidRPr="00756DA5">
              <w:rPr>
                <w:sz w:val="16"/>
                <w:szCs w:val="16"/>
              </w:rPr>
              <w:t>0,30</w:t>
            </w:r>
          </w:p>
        </w:tc>
        <w:tc>
          <w:tcPr>
            <w:tcW w:w="2277" w:type="dxa"/>
          </w:tcPr>
          <w:p w:rsidR="00A2101A" w:rsidRPr="00756DA5" w:rsidP="00A2101A">
            <w:pPr>
              <w:jc w:val="left"/>
              <w:rPr>
                <w:sz w:val="16"/>
                <w:szCs w:val="16"/>
              </w:rPr>
            </w:pPr>
            <w:r w:rsidRPr="00756DA5">
              <w:rPr>
                <w:sz w:val="16"/>
                <w:szCs w:val="16"/>
              </w:rPr>
              <w:t>0.30</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0,7</w:t>
            </w:r>
          </w:p>
        </w:tc>
        <w:tc>
          <w:tcPr>
            <w:tcW w:w="2271" w:type="dxa"/>
          </w:tcPr>
          <w:p w:rsidR="00A2101A" w:rsidRPr="00756DA5" w:rsidP="00A2101A">
            <w:pPr>
              <w:jc w:val="left"/>
              <w:rPr>
                <w:sz w:val="16"/>
                <w:szCs w:val="16"/>
              </w:rPr>
            </w:pPr>
            <w:r w:rsidRPr="00756DA5">
              <w:rPr>
                <w:sz w:val="16"/>
                <w:szCs w:val="16"/>
              </w:rPr>
              <w:t>0.7</w:t>
            </w:r>
          </w:p>
        </w:tc>
        <w:tc>
          <w:tcPr>
            <w:tcW w:w="2259" w:type="dxa"/>
          </w:tcPr>
          <w:p w:rsidR="00A2101A" w:rsidRPr="00756DA5" w:rsidP="00A2101A">
            <w:pPr>
              <w:jc w:val="left"/>
              <w:rPr>
                <w:sz w:val="16"/>
                <w:szCs w:val="16"/>
              </w:rPr>
            </w:pPr>
            <w:r w:rsidRPr="00756DA5">
              <w:rPr>
                <w:sz w:val="16"/>
                <w:szCs w:val="16"/>
              </w:rPr>
              <w:t>0,25</w:t>
            </w:r>
          </w:p>
        </w:tc>
        <w:tc>
          <w:tcPr>
            <w:tcW w:w="2277" w:type="dxa"/>
          </w:tcPr>
          <w:p w:rsidR="00A2101A" w:rsidRPr="00756DA5" w:rsidP="00A2101A">
            <w:pPr>
              <w:jc w:val="left"/>
              <w:rPr>
                <w:sz w:val="16"/>
                <w:szCs w:val="16"/>
              </w:rPr>
            </w:pPr>
            <w:r w:rsidRPr="00756DA5">
              <w:rPr>
                <w:sz w:val="16"/>
                <w:szCs w:val="16"/>
              </w:rPr>
              <w:t>0.25</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0,6</w:t>
            </w:r>
          </w:p>
        </w:tc>
        <w:tc>
          <w:tcPr>
            <w:tcW w:w="2271" w:type="dxa"/>
          </w:tcPr>
          <w:p w:rsidR="00A2101A" w:rsidRPr="00756DA5" w:rsidP="00A2101A">
            <w:pPr>
              <w:jc w:val="left"/>
              <w:rPr>
                <w:sz w:val="16"/>
                <w:szCs w:val="16"/>
              </w:rPr>
            </w:pPr>
            <w:r w:rsidRPr="00756DA5">
              <w:rPr>
                <w:sz w:val="16"/>
                <w:szCs w:val="16"/>
              </w:rPr>
              <w:t>0.6</w:t>
            </w:r>
          </w:p>
        </w:tc>
        <w:tc>
          <w:tcPr>
            <w:tcW w:w="2259" w:type="dxa"/>
          </w:tcPr>
          <w:p w:rsidR="00A2101A" w:rsidRPr="00756DA5" w:rsidP="00A2101A">
            <w:pPr>
              <w:jc w:val="left"/>
              <w:rPr>
                <w:sz w:val="16"/>
                <w:szCs w:val="16"/>
              </w:rPr>
            </w:pPr>
            <w:r w:rsidRPr="00756DA5">
              <w:rPr>
                <w:sz w:val="16"/>
                <w:szCs w:val="16"/>
              </w:rPr>
              <w:t>0,20</w:t>
            </w:r>
          </w:p>
        </w:tc>
        <w:tc>
          <w:tcPr>
            <w:tcW w:w="2277" w:type="dxa"/>
          </w:tcPr>
          <w:p w:rsidR="00A2101A" w:rsidRPr="00756DA5" w:rsidP="00A2101A">
            <w:pPr>
              <w:jc w:val="left"/>
              <w:rPr>
                <w:sz w:val="16"/>
                <w:szCs w:val="16"/>
              </w:rPr>
            </w:pPr>
            <w:r w:rsidRPr="00756DA5">
              <w:rPr>
                <w:sz w:val="16"/>
                <w:szCs w:val="16"/>
              </w:rPr>
              <w:t>0.20</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0,5</w:t>
            </w:r>
          </w:p>
        </w:tc>
        <w:tc>
          <w:tcPr>
            <w:tcW w:w="2271" w:type="dxa"/>
          </w:tcPr>
          <w:p w:rsidR="00A2101A" w:rsidRPr="00756DA5" w:rsidP="00A2101A">
            <w:pPr>
              <w:jc w:val="left"/>
              <w:rPr>
                <w:sz w:val="16"/>
                <w:szCs w:val="16"/>
              </w:rPr>
            </w:pPr>
            <w:r w:rsidRPr="00756DA5">
              <w:rPr>
                <w:sz w:val="16"/>
                <w:szCs w:val="16"/>
              </w:rPr>
              <w:t>0.5</w:t>
            </w:r>
          </w:p>
        </w:tc>
        <w:tc>
          <w:tcPr>
            <w:tcW w:w="2259" w:type="dxa"/>
          </w:tcPr>
          <w:p w:rsidR="00A2101A" w:rsidRPr="00756DA5" w:rsidP="00A2101A">
            <w:pPr>
              <w:jc w:val="left"/>
              <w:rPr>
                <w:sz w:val="16"/>
                <w:szCs w:val="16"/>
              </w:rPr>
            </w:pPr>
            <w:r w:rsidRPr="00756DA5">
              <w:rPr>
                <w:sz w:val="16"/>
                <w:szCs w:val="16"/>
              </w:rPr>
              <w:t>0,15</w:t>
            </w:r>
          </w:p>
        </w:tc>
        <w:tc>
          <w:tcPr>
            <w:tcW w:w="2277" w:type="dxa"/>
          </w:tcPr>
          <w:p w:rsidR="00A2101A" w:rsidRPr="00756DA5" w:rsidP="00A2101A">
            <w:pPr>
              <w:jc w:val="left"/>
              <w:rPr>
                <w:sz w:val="16"/>
                <w:szCs w:val="16"/>
              </w:rPr>
            </w:pPr>
            <w:r w:rsidRPr="00756DA5">
              <w:rPr>
                <w:sz w:val="16"/>
                <w:szCs w:val="16"/>
              </w:rPr>
              <w:t>0.15</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0,4</w:t>
            </w:r>
          </w:p>
        </w:tc>
        <w:tc>
          <w:tcPr>
            <w:tcW w:w="2271" w:type="dxa"/>
          </w:tcPr>
          <w:p w:rsidR="00A2101A" w:rsidRPr="00756DA5" w:rsidP="00A2101A">
            <w:pPr>
              <w:jc w:val="left"/>
              <w:rPr>
                <w:sz w:val="16"/>
                <w:szCs w:val="16"/>
              </w:rPr>
            </w:pPr>
            <w:r w:rsidRPr="00756DA5">
              <w:rPr>
                <w:sz w:val="16"/>
                <w:szCs w:val="16"/>
              </w:rPr>
              <w:t>0.4</w:t>
            </w:r>
          </w:p>
        </w:tc>
        <w:tc>
          <w:tcPr>
            <w:tcW w:w="2259" w:type="dxa"/>
          </w:tcPr>
          <w:p w:rsidR="00A2101A" w:rsidRPr="00756DA5" w:rsidP="00A2101A">
            <w:pPr>
              <w:jc w:val="left"/>
              <w:rPr>
                <w:sz w:val="16"/>
                <w:szCs w:val="16"/>
              </w:rPr>
            </w:pPr>
            <w:r w:rsidRPr="00756DA5">
              <w:rPr>
                <w:sz w:val="16"/>
                <w:szCs w:val="16"/>
              </w:rPr>
              <w:t>0,10</w:t>
            </w:r>
          </w:p>
        </w:tc>
        <w:tc>
          <w:tcPr>
            <w:tcW w:w="2277" w:type="dxa"/>
          </w:tcPr>
          <w:p w:rsidR="00A2101A" w:rsidRPr="00756DA5" w:rsidP="00A2101A">
            <w:pPr>
              <w:jc w:val="left"/>
              <w:rPr>
                <w:sz w:val="16"/>
                <w:szCs w:val="16"/>
              </w:rPr>
            </w:pPr>
            <w:r w:rsidRPr="00756DA5">
              <w:rPr>
                <w:sz w:val="16"/>
                <w:szCs w:val="16"/>
              </w:rPr>
              <w:t>0.10</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0,3</w:t>
            </w:r>
          </w:p>
        </w:tc>
        <w:tc>
          <w:tcPr>
            <w:tcW w:w="2271" w:type="dxa"/>
          </w:tcPr>
          <w:p w:rsidR="00A2101A" w:rsidRPr="00756DA5" w:rsidP="00A2101A">
            <w:pPr>
              <w:jc w:val="left"/>
              <w:rPr>
                <w:sz w:val="16"/>
                <w:szCs w:val="16"/>
              </w:rPr>
            </w:pPr>
            <w:r w:rsidRPr="00756DA5">
              <w:rPr>
                <w:sz w:val="16"/>
                <w:szCs w:val="16"/>
              </w:rPr>
              <w:t>0.3</w:t>
            </w:r>
          </w:p>
        </w:tc>
        <w:tc>
          <w:tcPr>
            <w:tcW w:w="2259" w:type="dxa"/>
          </w:tcPr>
          <w:p w:rsidR="00A2101A" w:rsidRPr="00756DA5" w:rsidP="00A2101A">
            <w:pPr>
              <w:jc w:val="left"/>
              <w:rPr>
                <w:sz w:val="16"/>
                <w:szCs w:val="16"/>
              </w:rPr>
            </w:pPr>
            <w:r w:rsidRPr="00756DA5">
              <w:rPr>
                <w:sz w:val="16"/>
                <w:szCs w:val="16"/>
              </w:rPr>
              <w:t>0,05</w:t>
            </w:r>
          </w:p>
        </w:tc>
        <w:tc>
          <w:tcPr>
            <w:tcW w:w="2277" w:type="dxa"/>
          </w:tcPr>
          <w:p w:rsidR="00A2101A" w:rsidRPr="00756DA5" w:rsidP="00A2101A">
            <w:pPr>
              <w:jc w:val="left"/>
              <w:rPr>
                <w:sz w:val="16"/>
                <w:szCs w:val="16"/>
              </w:rPr>
            </w:pPr>
            <w:r w:rsidRPr="00756DA5">
              <w:rPr>
                <w:sz w:val="16"/>
                <w:szCs w:val="16"/>
              </w:rPr>
              <w:t>0.05</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0,2</w:t>
            </w:r>
          </w:p>
        </w:tc>
        <w:tc>
          <w:tcPr>
            <w:tcW w:w="2271" w:type="dxa"/>
          </w:tcPr>
          <w:p w:rsidR="00A2101A" w:rsidRPr="00756DA5" w:rsidP="00A2101A">
            <w:pPr>
              <w:jc w:val="left"/>
              <w:rPr>
                <w:sz w:val="16"/>
                <w:szCs w:val="16"/>
              </w:rPr>
            </w:pPr>
            <w:r w:rsidRPr="00756DA5">
              <w:rPr>
                <w:sz w:val="16"/>
                <w:szCs w:val="16"/>
              </w:rPr>
              <w:t>0.2</w:t>
            </w:r>
          </w:p>
        </w:tc>
        <w:tc>
          <w:tcPr>
            <w:tcW w:w="2259" w:type="dxa"/>
          </w:tcPr>
          <w:p w:rsidR="00A2101A" w:rsidRPr="00756DA5" w:rsidP="00A2101A">
            <w:pPr>
              <w:jc w:val="left"/>
              <w:rPr>
                <w:sz w:val="16"/>
                <w:szCs w:val="16"/>
              </w:rPr>
            </w:pPr>
            <w:r w:rsidRPr="00756DA5">
              <w:rPr>
                <w:sz w:val="16"/>
                <w:szCs w:val="16"/>
              </w:rPr>
              <w:t>0,00</w:t>
            </w:r>
          </w:p>
        </w:tc>
        <w:tc>
          <w:tcPr>
            <w:tcW w:w="2277" w:type="dxa"/>
          </w:tcPr>
          <w:p w:rsidR="00A2101A" w:rsidRPr="00756DA5" w:rsidP="00A2101A">
            <w:pPr>
              <w:jc w:val="left"/>
              <w:rPr>
                <w:sz w:val="16"/>
                <w:szCs w:val="16"/>
              </w:rPr>
            </w:pPr>
            <w:r w:rsidRPr="00756DA5">
              <w:rPr>
                <w:sz w:val="16"/>
                <w:szCs w:val="16"/>
              </w:rPr>
              <w:t>0.00</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0,1</w:t>
            </w:r>
          </w:p>
        </w:tc>
        <w:tc>
          <w:tcPr>
            <w:tcW w:w="2271" w:type="dxa"/>
          </w:tcPr>
          <w:p w:rsidR="00A2101A" w:rsidRPr="00756DA5" w:rsidP="00A2101A">
            <w:pPr>
              <w:jc w:val="left"/>
              <w:rPr>
                <w:sz w:val="16"/>
                <w:szCs w:val="16"/>
              </w:rPr>
            </w:pPr>
            <w:r w:rsidRPr="00756DA5">
              <w:rPr>
                <w:sz w:val="16"/>
                <w:szCs w:val="16"/>
              </w:rPr>
              <w:t>0.1</w:t>
            </w:r>
          </w:p>
        </w:tc>
        <w:tc>
          <w:tcPr>
            <w:tcW w:w="2259" w:type="dxa"/>
          </w:tcPr>
          <w:p w:rsidR="00A2101A" w:rsidRPr="00756DA5" w:rsidP="00A2101A">
            <w:pPr>
              <w:jc w:val="left"/>
              <w:rPr>
                <w:sz w:val="16"/>
                <w:szCs w:val="16"/>
              </w:rPr>
            </w:pPr>
            <w:r w:rsidRPr="00756DA5">
              <w:rPr>
                <w:sz w:val="16"/>
                <w:szCs w:val="16"/>
              </w:rPr>
              <w:t>0,261</w:t>
            </w:r>
          </w:p>
        </w:tc>
        <w:tc>
          <w:tcPr>
            <w:tcW w:w="2277" w:type="dxa"/>
          </w:tcPr>
          <w:p w:rsidR="00A2101A" w:rsidRPr="00756DA5" w:rsidP="00A2101A">
            <w:pPr>
              <w:jc w:val="left"/>
              <w:rPr>
                <w:sz w:val="16"/>
                <w:szCs w:val="16"/>
              </w:rPr>
            </w:pPr>
            <w:r w:rsidRPr="00756DA5">
              <w:rPr>
                <w:sz w:val="16"/>
                <w:szCs w:val="16"/>
              </w:rPr>
              <w:t>0.261</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0,0</w:t>
            </w:r>
          </w:p>
        </w:tc>
        <w:tc>
          <w:tcPr>
            <w:tcW w:w="2271" w:type="dxa"/>
          </w:tcPr>
          <w:p w:rsidR="00A2101A" w:rsidRPr="00756DA5" w:rsidP="00A2101A">
            <w:pPr>
              <w:jc w:val="left"/>
              <w:rPr>
                <w:sz w:val="16"/>
                <w:szCs w:val="16"/>
              </w:rPr>
            </w:pPr>
            <w:r w:rsidRPr="00756DA5">
              <w:rPr>
                <w:sz w:val="16"/>
                <w:szCs w:val="16"/>
              </w:rPr>
              <w:t>0.0</w:t>
            </w:r>
          </w:p>
        </w:tc>
        <w:tc>
          <w:tcPr>
            <w:tcW w:w="2259" w:type="dxa"/>
          </w:tcPr>
          <w:p w:rsidR="00A2101A" w:rsidRPr="00756DA5" w:rsidP="00A2101A">
            <w:pPr>
              <w:jc w:val="left"/>
              <w:rPr>
                <w:sz w:val="16"/>
                <w:szCs w:val="16"/>
              </w:rPr>
            </w:pPr>
            <w:r w:rsidRPr="00756DA5">
              <w:rPr>
                <w:sz w:val="16"/>
                <w:szCs w:val="16"/>
              </w:rPr>
              <w:t>0,277</w:t>
            </w:r>
          </w:p>
        </w:tc>
        <w:tc>
          <w:tcPr>
            <w:tcW w:w="2277" w:type="dxa"/>
          </w:tcPr>
          <w:p w:rsidR="00A2101A" w:rsidRPr="00756DA5" w:rsidP="00A2101A">
            <w:pPr>
              <w:jc w:val="left"/>
              <w:rPr>
                <w:sz w:val="16"/>
                <w:szCs w:val="16"/>
              </w:rPr>
            </w:pPr>
            <w:r w:rsidRPr="00756DA5">
              <w:rPr>
                <w:sz w:val="16"/>
                <w:szCs w:val="16"/>
              </w:rPr>
              <w:t>0.277</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0,675</w:t>
            </w:r>
          </w:p>
        </w:tc>
        <w:tc>
          <w:tcPr>
            <w:tcW w:w="2271" w:type="dxa"/>
          </w:tcPr>
          <w:p w:rsidR="00A2101A" w:rsidRPr="00756DA5" w:rsidP="00A2101A">
            <w:pPr>
              <w:jc w:val="left"/>
              <w:rPr>
                <w:sz w:val="16"/>
                <w:szCs w:val="16"/>
              </w:rPr>
            </w:pPr>
            <w:r w:rsidRPr="00756DA5">
              <w:rPr>
                <w:sz w:val="16"/>
                <w:szCs w:val="16"/>
              </w:rPr>
              <w:t>0.675</w:t>
            </w:r>
          </w:p>
        </w:tc>
        <w:tc>
          <w:tcPr>
            <w:tcW w:w="2259" w:type="dxa"/>
          </w:tcPr>
          <w:p w:rsidR="00A2101A" w:rsidRPr="00756DA5" w:rsidP="00A2101A">
            <w:pPr>
              <w:jc w:val="left"/>
              <w:rPr>
                <w:sz w:val="16"/>
                <w:szCs w:val="16"/>
              </w:rPr>
            </w:pPr>
            <w:r w:rsidRPr="00756DA5">
              <w:rPr>
                <w:sz w:val="16"/>
                <w:szCs w:val="16"/>
              </w:rPr>
              <w:t>0,270</w:t>
            </w:r>
          </w:p>
        </w:tc>
        <w:tc>
          <w:tcPr>
            <w:tcW w:w="2277" w:type="dxa"/>
          </w:tcPr>
          <w:p w:rsidR="00A2101A" w:rsidRPr="00756DA5" w:rsidP="00A2101A">
            <w:pPr>
              <w:jc w:val="left"/>
              <w:rPr>
                <w:sz w:val="16"/>
                <w:szCs w:val="16"/>
              </w:rPr>
            </w:pPr>
            <w:r w:rsidRPr="00756DA5">
              <w:rPr>
                <w:sz w:val="16"/>
                <w:szCs w:val="16"/>
              </w:rPr>
              <w:t>0.270</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0,726</w:t>
            </w:r>
          </w:p>
        </w:tc>
        <w:tc>
          <w:tcPr>
            <w:tcW w:w="2271" w:type="dxa"/>
          </w:tcPr>
          <w:p w:rsidR="00A2101A" w:rsidRPr="00756DA5" w:rsidP="00A2101A">
            <w:pPr>
              <w:jc w:val="left"/>
              <w:rPr>
                <w:sz w:val="16"/>
                <w:szCs w:val="16"/>
              </w:rPr>
            </w:pPr>
            <w:r w:rsidRPr="00756DA5">
              <w:rPr>
                <w:sz w:val="16"/>
                <w:szCs w:val="16"/>
              </w:rPr>
              <w:t>0.726</w:t>
            </w:r>
          </w:p>
        </w:tc>
        <w:tc>
          <w:tcPr>
            <w:tcW w:w="2259" w:type="dxa"/>
          </w:tcPr>
          <w:p w:rsidR="00A2101A" w:rsidRPr="00756DA5" w:rsidP="00A2101A">
            <w:pPr>
              <w:jc w:val="left"/>
              <w:rPr>
                <w:sz w:val="16"/>
                <w:szCs w:val="16"/>
              </w:rPr>
            </w:pPr>
            <w:r w:rsidRPr="00756DA5">
              <w:rPr>
                <w:sz w:val="16"/>
                <w:szCs w:val="16"/>
              </w:rPr>
              <w:t>0,292</w:t>
            </w:r>
          </w:p>
        </w:tc>
        <w:tc>
          <w:tcPr>
            <w:tcW w:w="2277" w:type="dxa"/>
          </w:tcPr>
          <w:p w:rsidR="00A2101A" w:rsidRPr="00756DA5" w:rsidP="00A2101A">
            <w:pPr>
              <w:jc w:val="left"/>
              <w:rPr>
                <w:sz w:val="16"/>
                <w:szCs w:val="16"/>
              </w:rPr>
            </w:pPr>
            <w:r w:rsidRPr="00756DA5">
              <w:rPr>
                <w:sz w:val="16"/>
                <w:szCs w:val="16"/>
              </w:rPr>
              <w:t>0.292</w:t>
            </w: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0,729</w:t>
            </w:r>
          </w:p>
        </w:tc>
        <w:tc>
          <w:tcPr>
            <w:tcW w:w="2271" w:type="dxa"/>
          </w:tcPr>
          <w:p w:rsidR="00A2101A" w:rsidRPr="00756DA5" w:rsidP="00A2101A">
            <w:pPr>
              <w:jc w:val="left"/>
              <w:rPr>
                <w:sz w:val="16"/>
                <w:szCs w:val="16"/>
              </w:rPr>
            </w:pPr>
            <w:r w:rsidRPr="00756DA5">
              <w:rPr>
                <w:sz w:val="16"/>
                <w:szCs w:val="16"/>
              </w:rPr>
              <w:t>0.729</w:t>
            </w:r>
          </w:p>
        </w:tc>
        <w:tc>
          <w:tcPr>
            <w:tcW w:w="2259" w:type="dxa"/>
          </w:tcPr>
          <w:p w:rsidR="00A2101A" w:rsidRPr="00756DA5" w:rsidP="00A2101A">
            <w:pPr>
              <w:jc w:val="left"/>
              <w:rPr>
                <w:sz w:val="16"/>
                <w:szCs w:val="16"/>
              </w:rPr>
            </w:pPr>
          </w:p>
        </w:tc>
        <w:tc>
          <w:tcPr>
            <w:tcW w:w="2277" w:type="dxa"/>
          </w:tcPr>
          <w:p w:rsidR="00A2101A" w:rsidRPr="00756DA5" w:rsidP="00A2101A">
            <w:pPr>
              <w:jc w:val="left"/>
              <w:rPr>
                <w:sz w:val="16"/>
                <w:szCs w:val="16"/>
              </w:rPr>
            </w:pP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0,713</w:t>
            </w:r>
          </w:p>
        </w:tc>
        <w:tc>
          <w:tcPr>
            <w:tcW w:w="2271" w:type="dxa"/>
          </w:tcPr>
          <w:p w:rsidR="00A2101A" w:rsidRPr="00756DA5" w:rsidP="00A2101A">
            <w:pPr>
              <w:jc w:val="left"/>
              <w:rPr>
                <w:sz w:val="16"/>
                <w:szCs w:val="16"/>
              </w:rPr>
            </w:pPr>
            <w:r w:rsidRPr="00756DA5">
              <w:rPr>
                <w:sz w:val="16"/>
                <w:szCs w:val="16"/>
              </w:rPr>
              <w:t>0.713</w:t>
            </w:r>
          </w:p>
        </w:tc>
        <w:tc>
          <w:tcPr>
            <w:tcW w:w="2259" w:type="dxa"/>
          </w:tcPr>
          <w:p w:rsidR="00A2101A" w:rsidRPr="00756DA5" w:rsidP="00A2101A">
            <w:pPr>
              <w:jc w:val="left"/>
              <w:rPr>
                <w:sz w:val="16"/>
                <w:szCs w:val="16"/>
              </w:rPr>
            </w:pPr>
          </w:p>
        </w:tc>
        <w:tc>
          <w:tcPr>
            <w:tcW w:w="2277" w:type="dxa"/>
          </w:tcPr>
          <w:p w:rsidR="00A2101A" w:rsidRPr="00756DA5" w:rsidP="00A2101A">
            <w:pPr>
              <w:jc w:val="left"/>
              <w:rPr>
                <w:sz w:val="16"/>
                <w:szCs w:val="16"/>
              </w:rPr>
            </w:pPr>
          </w:p>
        </w:tc>
      </w:tr>
      <w:tr w:rsidTr="00A2101A">
        <w:tblPrEx>
          <w:tblW w:w="9072" w:type="dxa"/>
          <w:tblLook w:val="04A0"/>
        </w:tblPrEx>
        <w:tc>
          <w:tcPr>
            <w:tcW w:w="2265" w:type="dxa"/>
          </w:tcPr>
          <w:p w:rsidR="00A2101A" w:rsidRPr="00756DA5" w:rsidP="00A2101A">
            <w:pPr>
              <w:jc w:val="left"/>
              <w:rPr>
                <w:sz w:val="16"/>
                <w:szCs w:val="16"/>
              </w:rPr>
            </w:pPr>
            <w:r w:rsidRPr="00756DA5">
              <w:rPr>
                <w:sz w:val="16"/>
                <w:szCs w:val="16"/>
              </w:rPr>
              <w:t>0,682</w:t>
            </w:r>
          </w:p>
        </w:tc>
        <w:tc>
          <w:tcPr>
            <w:tcW w:w="2271" w:type="dxa"/>
          </w:tcPr>
          <w:p w:rsidR="00A2101A" w:rsidRPr="00756DA5" w:rsidP="00A2101A">
            <w:pPr>
              <w:jc w:val="left"/>
              <w:rPr>
                <w:sz w:val="16"/>
                <w:szCs w:val="16"/>
              </w:rPr>
            </w:pPr>
            <w:r w:rsidRPr="00756DA5">
              <w:rPr>
                <w:sz w:val="16"/>
                <w:szCs w:val="16"/>
              </w:rPr>
              <w:t>0.682</w:t>
            </w:r>
          </w:p>
        </w:tc>
        <w:tc>
          <w:tcPr>
            <w:tcW w:w="2259" w:type="dxa"/>
          </w:tcPr>
          <w:p w:rsidR="00A2101A" w:rsidRPr="00756DA5" w:rsidP="00A2101A">
            <w:pPr>
              <w:jc w:val="left"/>
              <w:rPr>
                <w:sz w:val="16"/>
                <w:szCs w:val="16"/>
              </w:rPr>
            </w:pPr>
          </w:p>
        </w:tc>
        <w:tc>
          <w:tcPr>
            <w:tcW w:w="2277" w:type="dxa"/>
          </w:tcPr>
          <w:p w:rsidR="00A2101A" w:rsidRPr="00756DA5" w:rsidP="00A2101A">
            <w:pPr>
              <w:jc w:val="left"/>
              <w:rPr>
                <w:sz w:val="16"/>
                <w:szCs w:val="16"/>
              </w:rPr>
            </w:pPr>
          </w:p>
        </w:tc>
      </w:tr>
    </w:tbl>
    <w:tbl>
      <w:tblPr>
        <w:tblStyle w:val="Grilledutableau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3"/>
        <w:gridCol w:w="4529"/>
      </w:tblGrid>
      <w:tr w:rsidTr="003810A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3" w:type="dxa"/>
            <w:hideMark/>
          </w:tcPr>
          <w:p w:rsidR="00442B87" w:rsidRPr="00756DA5" w:rsidP="00C844BF">
            <w:pPr>
              <w:jc w:val="left"/>
            </w:pPr>
            <w:r w:rsidRPr="00756DA5">
              <w:rPr>
                <w:noProof/>
                <w:lang w:val="fr-FR" w:eastAsia="fr-FR"/>
              </w:rPr>
              <w:drawing>
                <wp:inline distT="0" distB="0" distL="0" distR="0">
                  <wp:extent cx="2647315" cy="2158545"/>
                  <wp:effectExtent l="0" t="0" r="635"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99861" name="Picture 30"/>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0390" cy="2185513"/>
                          </a:xfrm>
                          <a:prstGeom prst="rect">
                            <a:avLst/>
                          </a:prstGeom>
                          <a:noFill/>
                          <a:ln>
                            <a:noFill/>
                          </a:ln>
                        </pic:spPr>
                      </pic:pic>
                    </a:graphicData>
                  </a:graphic>
                </wp:inline>
              </w:drawing>
            </w:r>
          </w:p>
        </w:tc>
        <w:tc>
          <w:tcPr>
            <w:tcW w:w="4529" w:type="dxa"/>
            <w:hideMark/>
          </w:tcPr>
          <w:p w:rsidR="00442B87" w:rsidRPr="00756DA5" w:rsidP="00C844BF">
            <w:pPr>
              <w:jc w:val="left"/>
            </w:pPr>
            <w:r w:rsidRPr="00756DA5">
              <w:rPr>
                <w:noProof/>
                <w:lang w:val="fr-FR" w:eastAsia="fr-FR"/>
              </w:rPr>
              <w:drawing>
                <wp:inline distT="0" distB="0" distL="0" distR="0">
                  <wp:extent cx="2645980" cy="2158365"/>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94127" name="Picture 29"/>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4259" cy="2173275"/>
                          </a:xfrm>
                          <a:prstGeom prst="rect">
                            <a:avLst/>
                          </a:prstGeom>
                          <a:noFill/>
                          <a:ln>
                            <a:noFill/>
                          </a:ln>
                        </pic:spPr>
                      </pic:pic>
                    </a:graphicData>
                  </a:graphic>
                </wp:inline>
              </w:drawing>
            </w:r>
          </w:p>
        </w:tc>
      </w:tr>
    </w:tb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5"/>
        <w:gridCol w:w="2271"/>
        <w:gridCol w:w="2259"/>
        <w:gridCol w:w="2277"/>
      </w:tblGrid>
      <w:tr w:rsidTr="00761D19">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5" w:type="dxa"/>
          </w:tcPr>
          <w:p w:rsidR="00761D19" w:rsidRPr="00756DA5" w:rsidP="00761D19">
            <w:pPr>
              <w:jc w:val="left"/>
              <w:rPr>
                <w:sz w:val="16"/>
                <w:szCs w:val="16"/>
              </w:rPr>
            </w:pPr>
            <w:r w:rsidRPr="00756DA5">
              <w:rPr>
                <w:sz w:val="16"/>
                <w:szCs w:val="16"/>
              </w:rPr>
              <w:t>I15 : Nombre relatif de roues cassées sur du matériel roulant en service par million de train-km</w:t>
            </w:r>
          </w:p>
        </w:tc>
        <w:tc>
          <w:tcPr>
            <w:tcW w:w="2271" w:type="dxa"/>
          </w:tcPr>
          <w:p w:rsidR="00761D19" w:rsidRPr="00756DA5" w:rsidP="00761D19">
            <w:pPr>
              <w:jc w:val="left"/>
              <w:rPr>
                <w:sz w:val="16"/>
                <w:szCs w:val="16"/>
              </w:rPr>
            </w:pPr>
            <w:r w:rsidRPr="00756DA5">
              <w:rPr>
                <w:sz w:val="16"/>
                <w:szCs w:val="16"/>
              </w:rPr>
              <w:t>I15: Number of broken wheels on rolling stock in service per million train-km</w:t>
            </w:r>
          </w:p>
        </w:tc>
        <w:tc>
          <w:tcPr>
            <w:tcW w:w="2259" w:type="dxa"/>
          </w:tcPr>
          <w:p w:rsidR="00761D19" w:rsidRPr="00756DA5" w:rsidP="00761D19">
            <w:pPr>
              <w:jc w:val="left"/>
              <w:rPr>
                <w:sz w:val="16"/>
                <w:szCs w:val="16"/>
              </w:rPr>
            </w:pPr>
            <w:r w:rsidRPr="00756DA5">
              <w:rPr>
                <w:sz w:val="16"/>
                <w:szCs w:val="16"/>
              </w:rPr>
              <w:t>I16 : Nombre relatif d’essieux cassés sur du matériel roulant en service par million de train-km</w:t>
            </w:r>
          </w:p>
        </w:tc>
        <w:tc>
          <w:tcPr>
            <w:tcW w:w="2277" w:type="dxa"/>
          </w:tcPr>
          <w:p w:rsidR="00761D19" w:rsidRPr="00756DA5" w:rsidP="00761D19">
            <w:pPr>
              <w:jc w:val="left"/>
              <w:rPr>
                <w:sz w:val="16"/>
                <w:szCs w:val="16"/>
              </w:rPr>
            </w:pPr>
            <w:r w:rsidRPr="00756DA5">
              <w:rPr>
                <w:sz w:val="16"/>
                <w:szCs w:val="16"/>
              </w:rPr>
              <w:t>I16: Number of broken axles on rolling stock in service per million train-km</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Moyenne calculée sur 5 ans</w:t>
            </w:r>
          </w:p>
        </w:tc>
        <w:tc>
          <w:tcPr>
            <w:tcW w:w="2271" w:type="dxa"/>
          </w:tcPr>
          <w:p w:rsidR="00761D19" w:rsidRPr="00756DA5" w:rsidP="00761D19">
            <w:pPr>
              <w:jc w:val="left"/>
              <w:rPr>
                <w:sz w:val="16"/>
                <w:szCs w:val="16"/>
              </w:rPr>
            </w:pPr>
            <w:r w:rsidRPr="00756DA5">
              <w:rPr>
                <w:sz w:val="16"/>
                <w:szCs w:val="16"/>
              </w:rPr>
              <w:t>Average calculated over 5 years</w:t>
            </w:r>
          </w:p>
        </w:tc>
        <w:tc>
          <w:tcPr>
            <w:tcW w:w="2259" w:type="dxa"/>
          </w:tcPr>
          <w:p w:rsidR="00761D19" w:rsidRPr="00756DA5" w:rsidP="00761D19">
            <w:pPr>
              <w:jc w:val="left"/>
              <w:rPr>
                <w:sz w:val="16"/>
                <w:szCs w:val="16"/>
              </w:rPr>
            </w:pPr>
            <w:r w:rsidRPr="00756DA5">
              <w:rPr>
                <w:sz w:val="16"/>
                <w:szCs w:val="16"/>
              </w:rPr>
              <w:t>Moyenne calculée sur 5 ans</w:t>
            </w:r>
          </w:p>
        </w:tc>
        <w:tc>
          <w:tcPr>
            <w:tcW w:w="2277" w:type="dxa"/>
          </w:tcPr>
          <w:p w:rsidR="00761D19" w:rsidRPr="00756DA5" w:rsidP="00761D19">
            <w:pPr>
              <w:jc w:val="left"/>
              <w:rPr>
                <w:sz w:val="16"/>
                <w:szCs w:val="16"/>
              </w:rPr>
            </w:pPr>
            <w:r w:rsidRPr="00756DA5">
              <w:rPr>
                <w:sz w:val="16"/>
                <w:szCs w:val="16"/>
              </w:rPr>
              <w:t>Average calculated over 5 years</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0,0009</w:t>
            </w:r>
          </w:p>
        </w:tc>
        <w:tc>
          <w:tcPr>
            <w:tcW w:w="2271" w:type="dxa"/>
          </w:tcPr>
          <w:p w:rsidR="00761D19" w:rsidRPr="00756DA5" w:rsidP="00761D19">
            <w:pPr>
              <w:jc w:val="left"/>
              <w:rPr>
                <w:sz w:val="16"/>
                <w:szCs w:val="16"/>
              </w:rPr>
            </w:pPr>
            <w:r w:rsidRPr="00756DA5">
              <w:rPr>
                <w:sz w:val="16"/>
                <w:szCs w:val="16"/>
              </w:rPr>
              <w:t>0.0009</w:t>
            </w:r>
          </w:p>
        </w:tc>
        <w:tc>
          <w:tcPr>
            <w:tcW w:w="2259" w:type="dxa"/>
          </w:tcPr>
          <w:p w:rsidR="00761D19" w:rsidRPr="00756DA5" w:rsidP="00761D19">
            <w:pPr>
              <w:jc w:val="left"/>
              <w:rPr>
                <w:sz w:val="16"/>
                <w:szCs w:val="16"/>
              </w:rPr>
            </w:pPr>
            <w:r w:rsidRPr="00756DA5">
              <w:rPr>
                <w:sz w:val="16"/>
                <w:szCs w:val="16"/>
              </w:rPr>
              <w:t>0,0030</w:t>
            </w:r>
          </w:p>
        </w:tc>
        <w:tc>
          <w:tcPr>
            <w:tcW w:w="2277" w:type="dxa"/>
          </w:tcPr>
          <w:p w:rsidR="00761D19" w:rsidRPr="00756DA5" w:rsidP="00761D19">
            <w:pPr>
              <w:jc w:val="left"/>
              <w:rPr>
                <w:sz w:val="16"/>
                <w:szCs w:val="16"/>
              </w:rPr>
            </w:pPr>
            <w:r w:rsidRPr="00756DA5">
              <w:rPr>
                <w:sz w:val="16"/>
                <w:szCs w:val="16"/>
              </w:rPr>
              <w:t>0.0030</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0,0008</w:t>
            </w:r>
          </w:p>
        </w:tc>
        <w:tc>
          <w:tcPr>
            <w:tcW w:w="2271" w:type="dxa"/>
          </w:tcPr>
          <w:p w:rsidR="00761D19" w:rsidRPr="00756DA5" w:rsidP="00761D19">
            <w:pPr>
              <w:jc w:val="left"/>
              <w:rPr>
                <w:sz w:val="16"/>
                <w:szCs w:val="16"/>
              </w:rPr>
            </w:pPr>
            <w:r w:rsidRPr="00756DA5">
              <w:rPr>
                <w:sz w:val="16"/>
                <w:szCs w:val="16"/>
              </w:rPr>
              <w:t>0.0008</w:t>
            </w:r>
          </w:p>
        </w:tc>
        <w:tc>
          <w:tcPr>
            <w:tcW w:w="2259" w:type="dxa"/>
          </w:tcPr>
          <w:p w:rsidR="00761D19" w:rsidRPr="00756DA5" w:rsidP="00761D19">
            <w:pPr>
              <w:jc w:val="left"/>
              <w:rPr>
                <w:sz w:val="16"/>
                <w:szCs w:val="16"/>
              </w:rPr>
            </w:pPr>
            <w:r w:rsidRPr="00756DA5">
              <w:rPr>
                <w:sz w:val="16"/>
                <w:szCs w:val="16"/>
              </w:rPr>
              <w:t>0,0025</w:t>
            </w:r>
          </w:p>
        </w:tc>
        <w:tc>
          <w:tcPr>
            <w:tcW w:w="2277" w:type="dxa"/>
          </w:tcPr>
          <w:p w:rsidR="00761D19" w:rsidRPr="00756DA5" w:rsidP="00761D19">
            <w:pPr>
              <w:jc w:val="left"/>
              <w:rPr>
                <w:sz w:val="16"/>
                <w:szCs w:val="16"/>
              </w:rPr>
            </w:pPr>
            <w:r w:rsidRPr="00756DA5">
              <w:rPr>
                <w:sz w:val="16"/>
                <w:szCs w:val="16"/>
              </w:rPr>
              <w:t>0.0025</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0,0007</w:t>
            </w:r>
          </w:p>
        </w:tc>
        <w:tc>
          <w:tcPr>
            <w:tcW w:w="2271" w:type="dxa"/>
          </w:tcPr>
          <w:p w:rsidR="00761D19" w:rsidRPr="00756DA5" w:rsidP="00761D19">
            <w:pPr>
              <w:jc w:val="left"/>
              <w:rPr>
                <w:sz w:val="16"/>
                <w:szCs w:val="16"/>
              </w:rPr>
            </w:pPr>
            <w:r w:rsidRPr="00756DA5">
              <w:rPr>
                <w:sz w:val="16"/>
                <w:szCs w:val="16"/>
              </w:rPr>
              <w:t>0.0007</w:t>
            </w:r>
          </w:p>
        </w:tc>
        <w:tc>
          <w:tcPr>
            <w:tcW w:w="2259" w:type="dxa"/>
          </w:tcPr>
          <w:p w:rsidR="00761D19" w:rsidRPr="00756DA5" w:rsidP="00761D19">
            <w:pPr>
              <w:jc w:val="left"/>
              <w:rPr>
                <w:sz w:val="16"/>
                <w:szCs w:val="16"/>
              </w:rPr>
            </w:pPr>
            <w:r w:rsidRPr="00756DA5">
              <w:rPr>
                <w:sz w:val="16"/>
                <w:szCs w:val="16"/>
              </w:rPr>
              <w:t>0,0020</w:t>
            </w:r>
          </w:p>
        </w:tc>
        <w:tc>
          <w:tcPr>
            <w:tcW w:w="2277" w:type="dxa"/>
          </w:tcPr>
          <w:p w:rsidR="00761D19" w:rsidRPr="00756DA5" w:rsidP="00761D19">
            <w:pPr>
              <w:jc w:val="left"/>
              <w:rPr>
                <w:sz w:val="16"/>
                <w:szCs w:val="16"/>
              </w:rPr>
            </w:pPr>
            <w:r w:rsidRPr="00756DA5">
              <w:rPr>
                <w:sz w:val="16"/>
                <w:szCs w:val="16"/>
              </w:rPr>
              <w:t>0.0020</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0,0006</w:t>
            </w:r>
          </w:p>
        </w:tc>
        <w:tc>
          <w:tcPr>
            <w:tcW w:w="2271" w:type="dxa"/>
          </w:tcPr>
          <w:p w:rsidR="00761D19" w:rsidRPr="00756DA5" w:rsidP="00761D19">
            <w:pPr>
              <w:jc w:val="left"/>
              <w:rPr>
                <w:sz w:val="16"/>
                <w:szCs w:val="16"/>
              </w:rPr>
            </w:pPr>
            <w:r w:rsidRPr="00756DA5">
              <w:rPr>
                <w:sz w:val="16"/>
                <w:szCs w:val="16"/>
              </w:rPr>
              <w:t>0.0006</w:t>
            </w:r>
          </w:p>
        </w:tc>
        <w:tc>
          <w:tcPr>
            <w:tcW w:w="2259" w:type="dxa"/>
          </w:tcPr>
          <w:p w:rsidR="00761D19" w:rsidRPr="00756DA5" w:rsidP="00761D19">
            <w:pPr>
              <w:jc w:val="left"/>
              <w:rPr>
                <w:sz w:val="16"/>
                <w:szCs w:val="16"/>
              </w:rPr>
            </w:pPr>
            <w:r w:rsidRPr="00756DA5">
              <w:rPr>
                <w:sz w:val="16"/>
                <w:szCs w:val="16"/>
              </w:rPr>
              <w:t>0,0015</w:t>
            </w:r>
          </w:p>
        </w:tc>
        <w:tc>
          <w:tcPr>
            <w:tcW w:w="2277" w:type="dxa"/>
          </w:tcPr>
          <w:p w:rsidR="00761D19" w:rsidRPr="00756DA5" w:rsidP="00761D19">
            <w:pPr>
              <w:jc w:val="left"/>
              <w:rPr>
                <w:sz w:val="16"/>
                <w:szCs w:val="16"/>
              </w:rPr>
            </w:pPr>
            <w:r w:rsidRPr="00756DA5">
              <w:rPr>
                <w:sz w:val="16"/>
                <w:szCs w:val="16"/>
              </w:rPr>
              <w:t>0.0015</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0,0005</w:t>
            </w:r>
          </w:p>
        </w:tc>
        <w:tc>
          <w:tcPr>
            <w:tcW w:w="2271" w:type="dxa"/>
          </w:tcPr>
          <w:p w:rsidR="00761D19" w:rsidRPr="00756DA5" w:rsidP="00761D19">
            <w:pPr>
              <w:jc w:val="left"/>
              <w:rPr>
                <w:sz w:val="16"/>
                <w:szCs w:val="16"/>
              </w:rPr>
            </w:pPr>
            <w:r w:rsidRPr="00756DA5">
              <w:rPr>
                <w:sz w:val="16"/>
                <w:szCs w:val="16"/>
              </w:rPr>
              <w:t>0.0005</w:t>
            </w:r>
          </w:p>
        </w:tc>
        <w:tc>
          <w:tcPr>
            <w:tcW w:w="2259" w:type="dxa"/>
          </w:tcPr>
          <w:p w:rsidR="00761D19" w:rsidRPr="00756DA5" w:rsidP="00761D19">
            <w:pPr>
              <w:jc w:val="left"/>
              <w:rPr>
                <w:sz w:val="16"/>
                <w:szCs w:val="16"/>
              </w:rPr>
            </w:pPr>
            <w:r w:rsidRPr="00756DA5">
              <w:rPr>
                <w:sz w:val="16"/>
                <w:szCs w:val="16"/>
              </w:rPr>
              <w:t>0,0010</w:t>
            </w:r>
          </w:p>
        </w:tc>
        <w:tc>
          <w:tcPr>
            <w:tcW w:w="2277" w:type="dxa"/>
          </w:tcPr>
          <w:p w:rsidR="00761D19" w:rsidRPr="00756DA5" w:rsidP="00761D19">
            <w:pPr>
              <w:jc w:val="left"/>
              <w:rPr>
                <w:sz w:val="16"/>
                <w:szCs w:val="16"/>
              </w:rPr>
            </w:pPr>
            <w:r w:rsidRPr="00756DA5">
              <w:rPr>
                <w:sz w:val="16"/>
                <w:szCs w:val="16"/>
              </w:rPr>
              <w:t>0.0010</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0,0004</w:t>
            </w:r>
          </w:p>
        </w:tc>
        <w:tc>
          <w:tcPr>
            <w:tcW w:w="2271" w:type="dxa"/>
          </w:tcPr>
          <w:p w:rsidR="00761D19" w:rsidRPr="00756DA5" w:rsidP="00761D19">
            <w:pPr>
              <w:jc w:val="left"/>
              <w:rPr>
                <w:sz w:val="16"/>
                <w:szCs w:val="16"/>
              </w:rPr>
            </w:pPr>
            <w:r w:rsidRPr="00756DA5">
              <w:rPr>
                <w:sz w:val="16"/>
                <w:szCs w:val="16"/>
              </w:rPr>
              <w:t>0.0004</w:t>
            </w:r>
          </w:p>
        </w:tc>
        <w:tc>
          <w:tcPr>
            <w:tcW w:w="2259" w:type="dxa"/>
          </w:tcPr>
          <w:p w:rsidR="00761D19" w:rsidRPr="00756DA5" w:rsidP="00761D19">
            <w:pPr>
              <w:jc w:val="left"/>
              <w:rPr>
                <w:sz w:val="16"/>
                <w:szCs w:val="16"/>
              </w:rPr>
            </w:pPr>
            <w:r w:rsidRPr="00756DA5">
              <w:rPr>
                <w:sz w:val="16"/>
                <w:szCs w:val="16"/>
              </w:rPr>
              <w:t>0,0005</w:t>
            </w:r>
          </w:p>
        </w:tc>
        <w:tc>
          <w:tcPr>
            <w:tcW w:w="2277" w:type="dxa"/>
          </w:tcPr>
          <w:p w:rsidR="00761D19" w:rsidRPr="00756DA5" w:rsidP="00761D19">
            <w:pPr>
              <w:jc w:val="left"/>
              <w:rPr>
                <w:sz w:val="16"/>
                <w:szCs w:val="16"/>
              </w:rPr>
            </w:pPr>
            <w:r w:rsidRPr="00756DA5">
              <w:rPr>
                <w:sz w:val="16"/>
                <w:szCs w:val="16"/>
              </w:rPr>
              <w:t>0.0005</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0,0003</w:t>
            </w:r>
          </w:p>
        </w:tc>
        <w:tc>
          <w:tcPr>
            <w:tcW w:w="2271" w:type="dxa"/>
          </w:tcPr>
          <w:p w:rsidR="00761D19" w:rsidRPr="00756DA5" w:rsidP="00761D19">
            <w:pPr>
              <w:jc w:val="left"/>
              <w:rPr>
                <w:sz w:val="16"/>
                <w:szCs w:val="16"/>
              </w:rPr>
            </w:pPr>
            <w:r w:rsidRPr="00756DA5">
              <w:rPr>
                <w:sz w:val="16"/>
                <w:szCs w:val="16"/>
              </w:rPr>
              <w:t>0.0003</w:t>
            </w:r>
          </w:p>
        </w:tc>
        <w:tc>
          <w:tcPr>
            <w:tcW w:w="2259" w:type="dxa"/>
          </w:tcPr>
          <w:p w:rsidR="00761D19" w:rsidRPr="00756DA5" w:rsidP="00761D19">
            <w:pPr>
              <w:jc w:val="left"/>
              <w:rPr>
                <w:sz w:val="16"/>
                <w:szCs w:val="16"/>
              </w:rPr>
            </w:pPr>
            <w:r w:rsidRPr="00756DA5">
              <w:rPr>
                <w:sz w:val="16"/>
                <w:szCs w:val="16"/>
              </w:rPr>
              <w:t>0,0000</w:t>
            </w:r>
          </w:p>
        </w:tc>
        <w:tc>
          <w:tcPr>
            <w:tcW w:w="2277" w:type="dxa"/>
          </w:tcPr>
          <w:p w:rsidR="00761D19" w:rsidRPr="00756DA5" w:rsidP="00761D19">
            <w:pPr>
              <w:jc w:val="left"/>
              <w:rPr>
                <w:sz w:val="16"/>
                <w:szCs w:val="16"/>
              </w:rPr>
            </w:pPr>
            <w:r w:rsidRPr="00756DA5">
              <w:rPr>
                <w:sz w:val="16"/>
                <w:szCs w:val="16"/>
              </w:rPr>
              <w:t>0.0000</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0,0002</w:t>
            </w:r>
          </w:p>
        </w:tc>
        <w:tc>
          <w:tcPr>
            <w:tcW w:w="2271" w:type="dxa"/>
          </w:tcPr>
          <w:p w:rsidR="00761D19" w:rsidRPr="00756DA5" w:rsidP="00761D19">
            <w:pPr>
              <w:jc w:val="left"/>
              <w:rPr>
                <w:sz w:val="16"/>
                <w:szCs w:val="16"/>
              </w:rPr>
            </w:pPr>
            <w:r w:rsidRPr="00756DA5">
              <w:rPr>
                <w:sz w:val="16"/>
                <w:szCs w:val="16"/>
              </w:rPr>
              <w:t>0.0002</w:t>
            </w:r>
          </w:p>
        </w:tc>
        <w:tc>
          <w:tcPr>
            <w:tcW w:w="2259" w:type="dxa"/>
          </w:tcPr>
          <w:p w:rsidR="00761D19" w:rsidRPr="00756DA5" w:rsidP="00761D19">
            <w:pPr>
              <w:jc w:val="left"/>
              <w:rPr>
                <w:sz w:val="16"/>
                <w:szCs w:val="16"/>
              </w:rPr>
            </w:pPr>
            <w:r w:rsidRPr="00756DA5">
              <w:rPr>
                <w:sz w:val="16"/>
                <w:szCs w:val="16"/>
              </w:rPr>
              <w:t>0,0024</w:t>
            </w:r>
          </w:p>
        </w:tc>
        <w:tc>
          <w:tcPr>
            <w:tcW w:w="2277" w:type="dxa"/>
          </w:tcPr>
          <w:p w:rsidR="00761D19" w:rsidRPr="00756DA5" w:rsidP="00761D19">
            <w:pPr>
              <w:jc w:val="left"/>
              <w:rPr>
                <w:sz w:val="16"/>
                <w:szCs w:val="16"/>
              </w:rPr>
            </w:pPr>
            <w:r w:rsidRPr="00756DA5">
              <w:rPr>
                <w:sz w:val="16"/>
                <w:szCs w:val="16"/>
              </w:rPr>
              <w:t>0.0024</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0,0001</w:t>
            </w:r>
          </w:p>
        </w:tc>
        <w:tc>
          <w:tcPr>
            <w:tcW w:w="2271" w:type="dxa"/>
          </w:tcPr>
          <w:p w:rsidR="00761D19" w:rsidRPr="00756DA5" w:rsidP="00761D19">
            <w:pPr>
              <w:jc w:val="left"/>
              <w:rPr>
                <w:sz w:val="16"/>
                <w:szCs w:val="16"/>
              </w:rPr>
            </w:pPr>
            <w:r w:rsidRPr="00756DA5">
              <w:rPr>
                <w:sz w:val="16"/>
                <w:szCs w:val="16"/>
              </w:rPr>
              <w:t>0.0001</w:t>
            </w:r>
          </w:p>
        </w:tc>
        <w:tc>
          <w:tcPr>
            <w:tcW w:w="2259" w:type="dxa"/>
          </w:tcPr>
          <w:p w:rsidR="00761D19" w:rsidRPr="00756DA5" w:rsidP="00761D19">
            <w:pPr>
              <w:jc w:val="left"/>
              <w:rPr>
                <w:sz w:val="16"/>
                <w:szCs w:val="16"/>
              </w:rPr>
            </w:pPr>
            <w:r w:rsidRPr="00756DA5">
              <w:rPr>
                <w:sz w:val="16"/>
                <w:szCs w:val="16"/>
              </w:rPr>
              <w:t>0,0016</w:t>
            </w:r>
          </w:p>
        </w:tc>
        <w:tc>
          <w:tcPr>
            <w:tcW w:w="2277" w:type="dxa"/>
          </w:tcPr>
          <w:p w:rsidR="00761D19" w:rsidRPr="00756DA5" w:rsidP="00761D19">
            <w:pPr>
              <w:jc w:val="left"/>
              <w:rPr>
                <w:sz w:val="16"/>
                <w:szCs w:val="16"/>
              </w:rPr>
            </w:pPr>
            <w:r w:rsidRPr="00756DA5">
              <w:rPr>
                <w:sz w:val="16"/>
                <w:szCs w:val="16"/>
              </w:rPr>
              <w:t>0.0016</w:t>
            </w:r>
          </w:p>
        </w:tc>
      </w:tr>
      <w:tr w:rsidTr="00761D19">
        <w:tblPrEx>
          <w:tblW w:w="9072" w:type="dxa"/>
          <w:tblLook w:val="04A0"/>
        </w:tblPrEx>
        <w:tc>
          <w:tcPr>
            <w:tcW w:w="2265" w:type="dxa"/>
          </w:tcPr>
          <w:p w:rsidR="00761D19" w:rsidRPr="00756DA5" w:rsidP="00761D19">
            <w:pPr>
              <w:jc w:val="left"/>
              <w:rPr>
                <w:sz w:val="16"/>
                <w:szCs w:val="16"/>
              </w:rPr>
            </w:pPr>
            <w:r w:rsidRPr="00756DA5">
              <w:rPr>
                <w:sz w:val="16"/>
                <w:szCs w:val="16"/>
              </w:rPr>
              <w:t>0,0000</w:t>
            </w:r>
          </w:p>
        </w:tc>
        <w:tc>
          <w:tcPr>
            <w:tcW w:w="2271" w:type="dxa"/>
          </w:tcPr>
          <w:p w:rsidR="00761D19" w:rsidRPr="00756DA5" w:rsidP="00761D19">
            <w:pPr>
              <w:jc w:val="left"/>
              <w:rPr>
                <w:sz w:val="16"/>
                <w:szCs w:val="16"/>
              </w:rPr>
            </w:pPr>
            <w:r w:rsidRPr="00756DA5">
              <w:rPr>
                <w:sz w:val="16"/>
                <w:szCs w:val="16"/>
              </w:rPr>
              <w:t>0.0000</w:t>
            </w:r>
          </w:p>
        </w:tc>
        <w:tc>
          <w:tcPr>
            <w:tcW w:w="2259" w:type="dxa"/>
          </w:tcPr>
          <w:p w:rsidR="00761D19" w:rsidRPr="00756DA5" w:rsidP="00761D19">
            <w:pPr>
              <w:jc w:val="left"/>
              <w:rPr>
                <w:sz w:val="16"/>
                <w:szCs w:val="16"/>
              </w:rPr>
            </w:pPr>
            <w:r w:rsidRPr="00756DA5">
              <w:rPr>
                <w:sz w:val="16"/>
                <w:szCs w:val="16"/>
              </w:rPr>
              <w:t>0,0012</w:t>
            </w:r>
          </w:p>
        </w:tc>
        <w:tc>
          <w:tcPr>
            <w:tcW w:w="2277" w:type="dxa"/>
          </w:tcPr>
          <w:p w:rsidR="00761D19" w:rsidRPr="00756DA5" w:rsidP="00761D19">
            <w:pPr>
              <w:jc w:val="left"/>
              <w:rPr>
                <w:sz w:val="16"/>
                <w:szCs w:val="16"/>
              </w:rPr>
            </w:pPr>
            <w:r w:rsidRPr="00756DA5">
              <w:rPr>
                <w:sz w:val="16"/>
                <w:szCs w:val="16"/>
              </w:rPr>
              <w:t>0.0012</w:t>
            </w:r>
          </w:p>
        </w:tc>
      </w:tr>
      <w:tr w:rsidTr="00761D19">
        <w:tblPrEx>
          <w:tblW w:w="9072" w:type="dxa"/>
          <w:tblLook w:val="04A0"/>
        </w:tblPrEx>
        <w:tc>
          <w:tcPr>
            <w:tcW w:w="2265" w:type="dxa"/>
          </w:tcPr>
          <w:p w:rsidR="00761D19" w:rsidRPr="00756DA5" w:rsidP="00761D19">
            <w:pPr>
              <w:jc w:val="left"/>
              <w:rPr>
                <w:sz w:val="16"/>
                <w:szCs w:val="16"/>
              </w:rPr>
            </w:pPr>
          </w:p>
        </w:tc>
        <w:tc>
          <w:tcPr>
            <w:tcW w:w="2271" w:type="dxa"/>
          </w:tcPr>
          <w:p w:rsidR="00761D19" w:rsidRPr="00756DA5" w:rsidP="00761D19">
            <w:pPr>
              <w:jc w:val="left"/>
              <w:rPr>
                <w:sz w:val="16"/>
                <w:szCs w:val="16"/>
              </w:rPr>
            </w:pPr>
          </w:p>
        </w:tc>
        <w:tc>
          <w:tcPr>
            <w:tcW w:w="2259" w:type="dxa"/>
          </w:tcPr>
          <w:p w:rsidR="00761D19" w:rsidRPr="00756DA5" w:rsidP="00761D19">
            <w:pPr>
              <w:jc w:val="left"/>
              <w:rPr>
                <w:sz w:val="16"/>
                <w:szCs w:val="16"/>
              </w:rPr>
            </w:pPr>
            <w:r w:rsidRPr="00756DA5">
              <w:rPr>
                <w:sz w:val="16"/>
                <w:szCs w:val="16"/>
              </w:rPr>
              <w:t>0,0008</w:t>
            </w:r>
          </w:p>
        </w:tc>
        <w:tc>
          <w:tcPr>
            <w:tcW w:w="2277" w:type="dxa"/>
          </w:tcPr>
          <w:p w:rsidR="00761D19" w:rsidRPr="00756DA5" w:rsidP="00761D19">
            <w:pPr>
              <w:jc w:val="left"/>
              <w:rPr>
                <w:sz w:val="16"/>
                <w:szCs w:val="16"/>
              </w:rPr>
            </w:pPr>
            <w:r w:rsidRPr="00756DA5">
              <w:rPr>
                <w:sz w:val="16"/>
                <w:szCs w:val="16"/>
              </w:rPr>
              <w:t>0.0008</w:t>
            </w:r>
          </w:p>
        </w:tc>
      </w:tr>
    </w:tbl>
    <w:p w:rsidR="00D20FC4" w:rsidRPr="00756DA5" w:rsidP="00134B69">
      <w:pPr>
        <w:pStyle w:val="Heading1"/>
        <w:pageBreakBefore/>
        <w:rPr>
          <w:rFonts w:cs="Arial"/>
          <w:szCs w:val="44"/>
        </w:rPr>
      </w:pPr>
      <w:bookmarkStart w:id="100" w:name="_Toc494469639"/>
      <w:bookmarkStart w:id="101" w:name="_Toc533153885"/>
      <w:r w:rsidRPr="00756DA5">
        <w:t>Annex 3 – Summary of regulatory changes</w:t>
      </w:r>
      <w:bookmarkEnd w:id="100"/>
      <w:bookmarkEnd w:id="101"/>
    </w:p>
    <w:p w:rsidR="00D20FC4" w:rsidRPr="00756DA5" w:rsidP="00D20FC4">
      <w:pPr>
        <w:spacing w:after="0" w:line="280" w:lineRule="exact"/>
        <w:rPr>
          <w:rFonts w:cs="Arial"/>
          <w:b/>
          <w:szCs w:val="20"/>
        </w:rPr>
      </w:pPr>
      <w:bookmarkStart w:id="102" w:name="_Toc494469640"/>
      <w:r w:rsidRPr="00756DA5">
        <w:rPr>
          <w:b/>
          <w:szCs w:val="20"/>
        </w:rPr>
        <w:t>EU REGULATIONS</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cs="Arial"/>
          <w:b/>
          <w:szCs w:val="20"/>
        </w:rPr>
      </w:pPr>
      <w:r w:rsidRPr="00756DA5">
        <w:rPr>
          <w:b/>
          <w:bCs/>
          <w:szCs w:val="20"/>
        </w:rPr>
        <w:t xml:space="preserve">■ </w:t>
      </w:r>
      <w:r w:rsidRPr="00756DA5">
        <w:rPr>
          <w:b/>
          <w:szCs w:val="20"/>
        </w:rPr>
        <w:t xml:space="preserve">Legal acts published in the </w:t>
      </w:r>
      <w:r w:rsidRPr="00756DA5">
        <w:rPr>
          <w:b/>
          <w:i/>
          <w:szCs w:val="20"/>
        </w:rPr>
        <w:t>Official Journal of the European Union</w:t>
      </w:r>
    </w:p>
    <w:p w:rsidR="00D20FC4" w:rsidRPr="00756DA5" w:rsidP="00D20FC4">
      <w:pPr>
        <w:spacing w:after="0" w:line="280" w:lineRule="exact"/>
        <w:rPr>
          <w:rFonts w:cs="Arial"/>
          <w:b/>
          <w:color w:val="A6A6A6" w:themeColor="background1" w:themeShade="A6"/>
          <w:sz w:val="22"/>
        </w:rPr>
      </w:pPr>
    </w:p>
    <w:p w:rsidR="00D20FC4" w:rsidRPr="00756DA5" w:rsidP="00D20FC4">
      <w:pPr>
        <w:spacing w:after="0" w:line="280" w:lineRule="exact"/>
        <w:rPr>
          <w:rFonts w:cs="Arial"/>
          <w:b/>
          <w:szCs w:val="20"/>
        </w:rPr>
      </w:pPr>
      <w:r w:rsidRPr="00756DA5">
        <w:rPr>
          <w:b/>
          <w:szCs w:val="20"/>
        </w:rPr>
        <w:t>Commission Delegated Decision (EU) 2017/1474 of 8 June 2017 supplementing Directive (EU) 2016/797 of the European Parliament and of the Council with regard to specific objectives for the drafting, adopting and review of technical specifications for interoperability (TSIs)</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eastAsia="Calibri" w:cs="Arial"/>
          <w:szCs w:val="20"/>
        </w:rPr>
      </w:pPr>
      <w:r w:rsidRPr="00756DA5">
        <w:t xml:space="preserve">The purpose of this decision, adopted to supplement Directive (EU) 2016/797 of the European Parliament and of the Council of 11 May 2016 on the interoperability of the railway system within the European Union, is to set out some general objectives to </w:t>
      </w:r>
      <w:r w:rsidRPr="00756DA5">
        <w:t>be achieved</w:t>
      </w:r>
      <w:r w:rsidRPr="00756DA5">
        <w:t xml:space="preserve"> during the drafting, adopting and review of any technical specifications for interoperability.</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eastAsia="Calibri" w:cs="Arial"/>
          <w:szCs w:val="20"/>
        </w:rPr>
      </w:pPr>
      <w:r w:rsidRPr="00756DA5">
        <w:t>Article </w:t>
      </w:r>
      <w:r w:rsidRPr="00756DA5">
        <w:t>3</w:t>
      </w:r>
      <w:r w:rsidRPr="00756DA5">
        <w:t xml:space="preserve"> sets out the common objectives for all TSIs. This Article lists the types of provisions that may appear in TSIs </w:t>
      </w:r>
      <w:r w:rsidRPr="00756DA5">
        <w:t>and also</w:t>
      </w:r>
      <w:r w:rsidRPr="00756DA5">
        <w:t xml:space="preserve"> the structure of the study for possible revisions of their content.</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eastAsia="Calibri" w:cs="Arial"/>
          <w:szCs w:val="20"/>
        </w:rPr>
      </w:pPr>
      <w:r w:rsidRPr="00756DA5">
        <w:t>Articles 4 to 14 establish the objectives for each of the existing TSIs:</w:t>
      </w:r>
    </w:p>
    <w:p w:rsidR="00D20FC4" w:rsidRPr="00756DA5" w:rsidP="00D20FC4">
      <w:pPr>
        <w:pStyle w:val="ListParagraph"/>
        <w:numPr>
          <w:ilvl w:val="0"/>
          <w:numId w:val="29"/>
        </w:numPr>
        <w:spacing w:line="280" w:lineRule="exact"/>
      </w:pPr>
      <w:r w:rsidRPr="00756DA5">
        <w:t>Locomotives and passenger rolling stock (Loc&amp;Pas);</w:t>
      </w:r>
    </w:p>
    <w:p w:rsidR="00D20FC4" w:rsidRPr="00756DA5" w:rsidP="00D20FC4">
      <w:pPr>
        <w:pStyle w:val="ListParagraph"/>
        <w:numPr>
          <w:ilvl w:val="0"/>
          <w:numId w:val="29"/>
        </w:numPr>
        <w:spacing w:line="280" w:lineRule="exact"/>
      </w:pPr>
      <w:r w:rsidRPr="00756DA5">
        <w:t>Freight wagons (WAG);</w:t>
      </w:r>
    </w:p>
    <w:p w:rsidR="00D20FC4" w:rsidRPr="00756DA5" w:rsidP="00D20FC4">
      <w:pPr>
        <w:pStyle w:val="ListParagraph"/>
        <w:numPr>
          <w:ilvl w:val="0"/>
          <w:numId w:val="29"/>
        </w:numPr>
        <w:spacing w:line="280" w:lineRule="exact"/>
      </w:pPr>
      <w:r w:rsidRPr="00756DA5">
        <w:t>Noise (NOI);</w:t>
      </w:r>
    </w:p>
    <w:p w:rsidR="00D20FC4" w:rsidRPr="00756DA5" w:rsidP="00D20FC4">
      <w:pPr>
        <w:pStyle w:val="ListParagraph"/>
        <w:numPr>
          <w:ilvl w:val="0"/>
          <w:numId w:val="29"/>
        </w:numPr>
        <w:spacing w:line="280" w:lineRule="exact"/>
      </w:pPr>
      <w:r w:rsidRPr="00756DA5">
        <w:t>Control-command and signalling (CCS);</w:t>
      </w:r>
    </w:p>
    <w:p w:rsidR="00D20FC4" w:rsidRPr="00756DA5" w:rsidP="00D20FC4">
      <w:pPr>
        <w:pStyle w:val="ListParagraph"/>
        <w:numPr>
          <w:ilvl w:val="0"/>
          <w:numId w:val="29"/>
        </w:numPr>
        <w:spacing w:line="280" w:lineRule="exact"/>
      </w:pPr>
      <w:r w:rsidRPr="00756DA5">
        <w:t>Energy (ENE);</w:t>
      </w:r>
    </w:p>
    <w:p w:rsidR="00D20FC4" w:rsidRPr="00756DA5" w:rsidP="00D20FC4">
      <w:pPr>
        <w:pStyle w:val="ListParagraph"/>
        <w:numPr>
          <w:ilvl w:val="0"/>
          <w:numId w:val="29"/>
        </w:numPr>
        <w:spacing w:line="280" w:lineRule="exact"/>
      </w:pPr>
      <w:r w:rsidRPr="00756DA5">
        <w:t>Infrastructure (INF);</w:t>
      </w:r>
    </w:p>
    <w:p w:rsidR="00D20FC4" w:rsidRPr="00756DA5" w:rsidP="00D20FC4">
      <w:pPr>
        <w:pStyle w:val="ListParagraph"/>
        <w:numPr>
          <w:ilvl w:val="0"/>
          <w:numId w:val="29"/>
        </w:numPr>
        <w:spacing w:line="280" w:lineRule="exact"/>
      </w:pPr>
      <w:r w:rsidRPr="00756DA5">
        <w:t>Person with reduced mobility (PRM);</w:t>
      </w:r>
    </w:p>
    <w:p w:rsidR="00D20FC4" w:rsidRPr="00756DA5" w:rsidP="00D20FC4">
      <w:pPr>
        <w:pStyle w:val="ListParagraph"/>
        <w:numPr>
          <w:ilvl w:val="0"/>
          <w:numId w:val="29"/>
        </w:numPr>
        <w:spacing w:line="280" w:lineRule="exact"/>
      </w:pPr>
      <w:r w:rsidRPr="00756DA5">
        <w:t>Operation and traffic management (OPE);</w:t>
      </w:r>
    </w:p>
    <w:p w:rsidR="00D20FC4" w:rsidRPr="00756DA5" w:rsidP="00D20FC4">
      <w:pPr>
        <w:pStyle w:val="ListParagraph"/>
        <w:numPr>
          <w:ilvl w:val="0"/>
          <w:numId w:val="29"/>
        </w:numPr>
        <w:spacing w:line="280" w:lineRule="exact"/>
      </w:pPr>
      <w:r w:rsidRPr="00756DA5">
        <w:t>Safety in railway tunnels (SRT);</w:t>
      </w:r>
    </w:p>
    <w:p w:rsidR="00D20FC4" w:rsidRPr="00756DA5" w:rsidP="00D20FC4">
      <w:pPr>
        <w:pStyle w:val="ListParagraph"/>
        <w:numPr>
          <w:ilvl w:val="0"/>
          <w:numId w:val="29"/>
        </w:numPr>
        <w:spacing w:line="280" w:lineRule="exact"/>
      </w:pPr>
      <w:r w:rsidRPr="00756DA5">
        <w:t>Telematics applications for freight (TAF);</w:t>
      </w:r>
    </w:p>
    <w:p w:rsidR="00D20FC4" w:rsidRPr="00756DA5" w:rsidP="00D20FC4">
      <w:pPr>
        <w:pStyle w:val="ListParagraph"/>
        <w:numPr>
          <w:ilvl w:val="0"/>
          <w:numId w:val="29"/>
        </w:numPr>
        <w:spacing w:line="280" w:lineRule="exact"/>
      </w:pPr>
      <w:r w:rsidRPr="00756DA5">
        <w:t>Telematics applications for passenger services (TAP);</w:t>
      </w:r>
    </w:p>
    <w:p w:rsidR="00D20FC4" w:rsidRPr="00756DA5" w:rsidP="00D20FC4">
      <w:pPr>
        <w:spacing w:after="0" w:line="280" w:lineRule="exact"/>
        <w:rPr>
          <w:rFonts w:eastAsia="Calibri" w:cs="Arial"/>
          <w:szCs w:val="20"/>
        </w:rPr>
      </w:pPr>
      <w:r w:rsidRPr="00756DA5">
        <w:t>This decision entered into force on 4 September 2017.</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eastAsia="Calibri" w:cs="Arial"/>
          <w:szCs w:val="20"/>
        </w:rPr>
      </w:pPr>
      <w:r w:rsidRPr="00756DA5">
        <w:t>The identification of the essential design features of vehicles, the management of authorised vehicle modifications and the compatibility of rolling stock with the route are among the major issues in the recommendations that the Agency is now invited to send to the European Commission in the context of the revision of the TSIs, in line with a timetable spread over 3 years, until the end of 2020.</w:t>
      </w:r>
    </w:p>
    <w:p w:rsidR="00D20FC4" w:rsidRPr="00756DA5" w:rsidP="00D20FC4">
      <w:pPr>
        <w:spacing w:after="0" w:line="280" w:lineRule="exact"/>
        <w:rPr>
          <w:rFonts w:eastAsia="Calibri" w:cs="Arial"/>
          <w:szCs w:val="20"/>
        </w:rPr>
      </w:pPr>
    </w:p>
    <w:p w:rsidR="00D20FC4" w:rsidRPr="00756DA5" w:rsidP="00D20FC4">
      <w:pPr>
        <w:spacing w:after="0" w:line="280" w:lineRule="exact"/>
        <w:rPr>
          <w:b/>
          <w:bCs/>
          <w:szCs w:val="20"/>
        </w:rPr>
      </w:pPr>
      <w:r w:rsidRPr="00756DA5">
        <w:rPr>
          <w:b/>
          <w:bCs/>
          <w:szCs w:val="20"/>
        </w:rPr>
        <w:t>■ Legal acts adopted in 2017 by the Railway Interoperability and Safety Committee (RISC)</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eastAsia="Calibri" w:cs="Arial"/>
          <w:szCs w:val="20"/>
        </w:rPr>
      </w:pPr>
      <w:r w:rsidRPr="00756DA5">
        <w:t xml:space="preserve">The following legal acts, adopted in 2017 by the RISC Committee, will however be formally published in the </w:t>
      </w:r>
      <w:r w:rsidRPr="00756DA5">
        <w:rPr>
          <w:i/>
        </w:rPr>
        <w:t>Official Journal of the European Union</w:t>
      </w:r>
      <w:r w:rsidRPr="00756DA5">
        <w:t xml:space="preserve"> in 2018. They will apply from 16 June 2019:</w:t>
      </w:r>
    </w:p>
    <w:p w:rsidR="00D20FC4" w:rsidRPr="00756DA5" w:rsidP="00D20FC4">
      <w:pPr>
        <w:spacing w:after="0" w:line="280" w:lineRule="exact"/>
        <w:rPr>
          <w:rFonts w:cs="Arial"/>
          <w:b/>
          <w:szCs w:val="20"/>
        </w:rPr>
      </w:pPr>
      <w:r w:rsidRPr="00756DA5">
        <w:rPr>
          <w:b/>
          <w:bCs/>
          <w:szCs w:val="20"/>
        </w:rPr>
        <w:t xml:space="preserve">■ </w:t>
      </w:r>
      <w:r w:rsidRPr="00756DA5">
        <w:rPr>
          <w:b/>
          <w:szCs w:val="20"/>
        </w:rPr>
        <w:t>European Commission Implementing Regulation on the practical arrangements for issuing single safety certificates</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eastAsia="Calibri" w:cs="Arial"/>
          <w:szCs w:val="20"/>
        </w:rPr>
      </w:pPr>
      <w:r w:rsidRPr="00756DA5">
        <w:t>This Regulation sets out the practical arrangements to be applied by railway undertakings, safety certification bodies (the national safety agency or authorities [NSAs] as appropriate), and the NSAs concerned with the area of operation in the case of the submission of new applications for, renewals of or updates to single safety certificates.</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cs="Arial"/>
          <w:b/>
          <w:szCs w:val="20"/>
        </w:rPr>
      </w:pPr>
      <w:r w:rsidRPr="00756DA5">
        <w:rPr>
          <w:b/>
          <w:bCs/>
          <w:szCs w:val="20"/>
        </w:rPr>
        <w:t xml:space="preserve">■ </w:t>
      </w:r>
      <w:r w:rsidRPr="00756DA5">
        <w:rPr>
          <w:b/>
          <w:szCs w:val="20"/>
        </w:rPr>
        <w:t>European Commission Implementing Regulation on the practical arrangements for issuing vehicle authorisations</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cs="Arial"/>
          <w:b/>
          <w:szCs w:val="20"/>
        </w:rPr>
      </w:pPr>
      <w:r w:rsidRPr="00756DA5">
        <w:t xml:space="preserve">This Regulation lays down the requirements to </w:t>
      </w:r>
      <w:r w:rsidRPr="00756DA5">
        <w:t>be complied</w:t>
      </w:r>
      <w:r w:rsidRPr="00756DA5">
        <w:t xml:space="preserve"> with by:</w:t>
      </w:r>
    </w:p>
    <w:p w:rsidR="00D20FC4" w:rsidRPr="00756DA5" w:rsidP="00D20FC4">
      <w:pPr>
        <w:pStyle w:val="ListParagraph"/>
        <w:numPr>
          <w:ilvl w:val="0"/>
          <w:numId w:val="29"/>
        </w:numPr>
        <w:spacing w:line="280" w:lineRule="exact"/>
      </w:pPr>
      <w:r w:rsidRPr="00756DA5">
        <w:t>the applicant, when submitting, through the one-stop shop referred to in Article 12 of Regulation (EU) 2016/796 of the European Parliament and of the Council, an application for vehicle type authorisation and/or vehicle authorisation for placing on the market;</w:t>
      </w:r>
    </w:p>
    <w:p w:rsidR="00D20FC4" w:rsidRPr="00756DA5" w:rsidP="00D20FC4">
      <w:pPr>
        <w:pStyle w:val="ListParagraph"/>
        <w:numPr>
          <w:ilvl w:val="0"/>
          <w:numId w:val="29"/>
        </w:numPr>
        <w:spacing w:line="280" w:lineRule="exact"/>
      </w:pPr>
      <w:r w:rsidRPr="00756DA5">
        <w:t>the Agency and the NSAs, when processing an application for vehicle type authorisation and/or vehicle authorisation for placing on the market;</w:t>
      </w:r>
    </w:p>
    <w:p w:rsidR="00D20FC4" w:rsidRPr="00756DA5" w:rsidP="00D20FC4">
      <w:pPr>
        <w:pStyle w:val="ListParagraph"/>
        <w:numPr>
          <w:ilvl w:val="0"/>
          <w:numId w:val="29"/>
        </w:numPr>
        <w:spacing w:line="280" w:lineRule="exact"/>
      </w:pPr>
      <w:r w:rsidRPr="00756DA5">
        <w:t>the authorising entity, when deciding on the issuing of vehicle type authorisations or vehicle authorisations for placing on the market;</w:t>
      </w:r>
    </w:p>
    <w:p w:rsidR="00D20FC4" w:rsidRPr="00756DA5" w:rsidP="00D20FC4">
      <w:pPr>
        <w:pStyle w:val="ListParagraph"/>
        <w:numPr>
          <w:ilvl w:val="0"/>
          <w:numId w:val="29"/>
        </w:numPr>
        <w:spacing w:line="280" w:lineRule="exact"/>
      </w:pPr>
      <w:r w:rsidRPr="00756DA5">
        <w:t>the</w:t>
      </w:r>
      <w:r w:rsidRPr="00756DA5">
        <w:t xml:space="preserve"> infrastructure managers, when providing conditions for the carrying out of tests in their network(s).</w:t>
      </w:r>
    </w:p>
    <w:p w:rsidR="00D20FC4" w:rsidRPr="00756DA5" w:rsidP="00D20FC4">
      <w:pPr>
        <w:spacing w:after="0" w:line="280" w:lineRule="exact"/>
        <w:rPr>
          <w:rFonts w:cs="Arial"/>
          <w:b/>
          <w:szCs w:val="20"/>
        </w:rPr>
      </w:pPr>
      <w:r w:rsidRPr="00756DA5">
        <w:rPr>
          <w:b/>
          <w:bCs/>
          <w:szCs w:val="20"/>
        </w:rPr>
        <w:t xml:space="preserve">■ </w:t>
      </w:r>
      <w:r w:rsidRPr="00756DA5">
        <w:rPr>
          <w:b/>
          <w:szCs w:val="20"/>
        </w:rPr>
        <w:t>European Commission Delegated Regulation establishing common safety methods on safety management system requirements pursuant to Directive (EU) 2016/798 of the European Parliament and of the Council and repealing European Commission Regulations (EU) 1158/2010 and (EU) 1169/2010</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eastAsia="Calibri" w:cs="Arial"/>
          <w:szCs w:val="20"/>
        </w:rPr>
      </w:pPr>
      <w:r w:rsidRPr="00756DA5">
        <w:t>The purpose of this Regulation is to establish common safety methods on safety management system requirements related to railway undertakings and infrastructure managers, as referred to in point (f) of Article 6(1) of the ‘Safety’ Directive (EU) 2016/798.</w:t>
      </w:r>
    </w:p>
    <w:p w:rsidR="00D20FC4" w:rsidRPr="00756DA5" w:rsidP="00D20FC4">
      <w:pPr>
        <w:spacing w:after="0" w:line="280" w:lineRule="exact"/>
        <w:rPr>
          <w:rFonts w:eastAsia="Calibri" w:cs="Arial"/>
          <w:szCs w:val="20"/>
        </w:rPr>
      </w:pPr>
      <w:r w:rsidRPr="00756DA5">
        <w:t>To be able to obtain a single safety certificate or a safety authorisation, railway undertakings and infrastructure managers must establish their safety management system in accordance with the requirements set out in Annex I and Annex II to this Regulation respectively.</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cs="Arial"/>
          <w:b/>
          <w:szCs w:val="20"/>
        </w:rPr>
      </w:pPr>
      <w:r w:rsidRPr="00756DA5">
        <w:rPr>
          <w:b/>
          <w:bCs/>
          <w:szCs w:val="20"/>
        </w:rPr>
        <w:t xml:space="preserve">■ </w:t>
      </w:r>
      <w:r w:rsidRPr="00756DA5">
        <w:rPr>
          <w:b/>
          <w:szCs w:val="20"/>
        </w:rPr>
        <w:t>European Commission Delegated Regulation establishing common safety methods for supervision by NSAs after the issue of a single safety certificate or a safety authorisation pursuant to the ‘Safety’ Directive (EU) and repealing Regulation (EU) No 1077/2012</w:t>
      </w:r>
    </w:p>
    <w:p w:rsidR="00D20FC4" w:rsidRPr="00756DA5" w:rsidP="00D20FC4">
      <w:pPr>
        <w:spacing w:after="0" w:line="280" w:lineRule="exact"/>
        <w:rPr>
          <w:rFonts w:eastAsia="Calibri" w:cs="Arial"/>
          <w:szCs w:val="20"/>
        </w:rPr>
      </w:pPr>
    </w:p>
    <w:p w:rsidR="00D20FC4" w:rsidRPr="00756DA5" w:rsidP="00D20FC4">
      <w:pPr>
        <w:spacing w:after="0" w:line="280" w:lineRule="exact"/>
        <w:rPr>
          <w:rFonts w:eastAsia="Calibri" w:cs="Arial"/>
          <w:szCs w:val="20"/>
        </w:rPr>
      </w:pPr>
      <w:r w:rsidRPr="00756DA5">
        <w:t>This Regulation establishes the common safety method for the supervision, by NSAs, of compliance with the safety management obligations on railway undertakings and infrastructure managers.</w:t>
      </w:r>
    </w:p>
    <w:p w:rsidR="00D20FC4" w:rsidRPr="00756DA5" w:rsidP="00134B69">
      <w:pPr>
        <w:pageBreakBefore/>
        <w:spacing w:after="0" w:line="280" w:lineRule="exact"/>
        <w:rPr>
          <w:rFonts w:cs="Arial"/>
          <w:b/>
          <w:szCs w:val="20"/>
        </w:rPr>
      </w:pPr>
      <w:r w:rsidRPr="00756DA5">
        <w:rPr>
          <w:b/>
          <w:szCs w:val="20"/>
        </w:rPr>
        <w:t>NATIONAL REGULATIONS</w:t>
      </w:r>
    </w:p>
    <w:p w:rsidR="00D20FC4" w:rsidRPr="00756DA5" w:rsidP="00D20FC4">
      <w:pPr>
        <w:spacing w:after="0" w:line="280" w:lineRule="exact"/>
        <w:rPr>
          <w:rFonts w:cs="Arial"/>
          <w:szCs w:val="20"/>
        </w:rPr>
      </w:pPr>
    </w:p>
    <w:p w:rsidR="00D20FC4" w:rsidRPr="00756DA5" w:rsidP="00D20FC4">
      <w:pPr>
        <w:spacing w:after="0" w:line="280" w:lineRule="exact"/>
        <w:rPr>
          <w:rFonts w:cs="Arial"/>
          <w:b/>
          <w:szCs w:val="20"/>
        </w:rPr>
      </w:pPr>
      <w:r w:rsidRPr="00756DA5">
        <w:rPr>
          <w:b/>
          <w:bCs/>
          <w:szCs w:val="20"/>
        </w:rPr>
        <w:t xml:space="preserve">■ </w:t>
      </w:r>
      <w:r w:rsidRPr="00756DA5">
        <w:rPr>
          <w:b/>
          <w:szCs w:val="20"/>
        </w:rPr>
        <w:t>Performance of essential safety tasks (TES) other than train operation</w:t>
      </w:r>
    </w:p>
    <w:p w:rsidR="00D20FC4" w:rsidRPr="00756DA5" w:rsidP="00D20FC4">
      <w:pPr>
        <w:spacing w:after="0" w:line="280" w:lineRule="exact"/>
        <w:rPr>
          <w:rFonts w:cs="Arial"/>
          <w:b/>
          <w:color w:val="A6A6A6" w:themeColor="background1" w:themeShade="A6"/>
          <w:sz w:val="22"/>
        </w:rPr>
      </w:pPr>
    </w:p>
    <w:p w:rsidR="00D20FC4" w:rsidRPr="00756DA5" w:rsidP="00D20FC4">
      <w:pPr>
        <w:spacing w:after="0" w:line="280" w:lineRule="exact"/>
      </w:pPr>
      <w:r w:rsidRPr="00756DA5">
        <w:t>Adoption of two decrees and one order to establish statutory physical and psychological fitness requirements:</w:t>
      </w:r>
    </w:p>
    <w:p w:rsidR="00D20FC4" w:rsidRPr="00756DA5" w:rsidP="00D20FC4">
      <w:pPr>
        <w:pStyle w:val="ListParagraph"/>
        <w:numPr>
          <w:ilvl w:val="0"/>
          <w:numId w:val="41"/>
        </w:numPr>
        <w:spacing w:after="0" w:line="280" w:lineRule="exact"/>
      </w:pPr>
      <w:r w:rsidRPr="00756DA5">
        <w:rPr>
          <w:b/>
        </w:rPr>
        <w:t>the Decree No 2017-527 of 12 April 2017</w:t>
      </w:r>
      <w:r w:rsidRPr="00756DA5">
        <w:t xml:space="preserve"> lays down the physical and psychological fitness requirements, ensures the consistency of Decree No 2006-1279 and amends Decree No 2010-708 to extend the competence of the </w:t>
      </w:r>
      <w:r w:rsidRPr="00756DA5">
        <w:rPr>
          <w:i/>
        </w:rPr>
        <w:t>Commission ferroviaire d’aptitude</w:t>
      </w:r>
      <w:r w:rsidRPr="00756DA5">
        <w:t xml:space="preserve"> (Railway Fitness Commission) to this area;</w:t>
      </w:r>
    </w:p>
    <w:p w:rsidR="00D20FC4" w:rsidRPr="00756DA5" w:rsidP="00D20FC4">
      <w:pPr>
        <w:pStyle w:val="ListParagraph"/>
        <w:numPr>
          <w:ilvl w:val="0"/>
          <w:numId w:val="41"/>
        </w:numPr>
        <w:spacing w:after="0" w:line="280" w:lineRule="exact"/>
      </w:pPr>
      <w:r w:rsidRPr="00756DA5">
        <w:rPr>
          <w:b/>
        </w:rPr>
        <w:t>the Decree No 2017-528 of 12 April 2017</w:t>
      </w:r>
      <w:r w:rsidRPr="00756DA5">
        <w:t xml:space="preserve"> lays down the conditions for the recognition of physical and psychological fitness certificates issued abroad;</w:t>
      </w:r>
    </w:p>
    <w:p w:rsidR="00D20FC4" w:rsidRPr="00756DA5" w:rsidP="00D20FC4">
      <w:pPr>
        <w:pStyle w:val="ListParagraph"/>
        <w:numPr>
          <w:ilvl w:val="0"/>
          <w:numId w:val="41"/>
        </w:numPr>
        <w:spacing w:after="0" w:line="280" w:lineRule="exact"/>
      </w:pPr>
      <w:r w:rsidRPr="00756DA5">
        <w:rPr>
          <w:b/>
        </w:rPr>
        <w:t>the</w:t>
      </w:r>
      <w:r w:rsidRPr="00756DA5">
        <w:rPr>
          <w:b/>
        </w:rPr>
        <w:t xml:space="preserve"> Order of 13 July 2017 </w:t>
      </w:r>
      <w:r w:rsidRPr="00756DA5">
        <w:t>amends the Order of 7 May 2015 to lay down the aforementioned fitness requirements, the arrangements for the examination of fitness, the conditions for the clearance of employees and the conditions for the granting of approval to training bodies. It also amends the Order of 6 August 2010 in order to extend the competence of doctors and psychologists to this area.</w:t>
      </w:r>
    </w:p>
    <w:p w:rsidR="00D20FC4" w:rsidRPr="00756DA5" w:rsidP="00D20FC4">
      <w:pPr>
        <w:pStyle w:val="ListParagraph"/>
        <w:spacing w:after="0" w:line="280" w:lineRule="exact"/>
      </w:pPr>
    </w:p>
    <w:p w:rsidR="00D20FC4" w:rsidRPr="00756DA5" w:rsidP="00D20FC4">
      <w:pPr>
        <w:spacing w:after="0" w:line="280" w:lineRule="exact"/>
        <w:rPr>
          <w:rFonts w:cs="Arial"/>
          <w:b/>
          <w:szCs w:val="20"/>
        </w:rPr>
      </w:pPr>
      <w:r w:rsidRPr="00756DA5">
        <w:rPr>
          <w:b/>
          <w:bCs/>
          <w:szCs w:val="20"/>
        </w:rPr>
        <w:t xml:space="preserve">■ </w:t>
      </w:r>
      <w:r w:rsidRPr="00756DA5">
        <w:rPr>
          <w:b/>
          <w:szCs w:val="20"/>
        </w:rPr>
        <w:t>Local railways</w:t>
      </w:r>
    </w:p>
    <w:p w:rsidR="00D20FC4" w:rsidRPr="00756DA5" w:rsidP="00D20FC4">
      <w:pPr>
        <w:spacing w:after="0" w:line="280" w:lineRule="exact"/>
        <w:rPr>
          <w:rFonts w:cs="Arial"/>
          <w:b/>
          <w:color w:val="A6A6A6" w:themeColor="background1" w:themeShade="A6"/>
          <w:sz w:val="22"/>
        </w:rPr>
      </w:pPr>
    </w:p>
    <w:p w:rsidR="00D20FC4" w:rsidRPr="00756DA5" w:rsidP="00D20FC4">
      <w:pPr>
        <w:spacing w:line="280" w:lineRule="exact"/>
        <w:rPr>
          <w:b/>
        </w:rPr>
      </w:pPr>
      <w:r w:rsidRPr="00756DA5">
        <w:rPr>
          <w:b/>
        </w:rPr>
        <w:t>Decree No 2017-439 of 30 March 2017 on the safety of railway traffic on certain local railways carrying freight transport</w:t>
      </w:r>
    </w:p>
    <w:p w:rsidR="00D20FC4" w:rsidRPr="00756DA5" w:rsidP="00D20FC4">
      <w:pPr>
        <w:spacing w:line="280" w:lineRule="exact"/>
      </w:pPr>
      <w:r w:rsidRPr="00756DA5">
        <w:t xml:space="preserve">The purpose of this Decree is to define the regime applicable to local railway transport exclusively carrying freight transport. It creates a third railway regime alongside Decree No 2006/1279 relating to the safety of railway traffic and to the interoperability of the railway system and Decree No 2017-440 relating to the safety of track-guided public transport. The arrangements for the implementation of this Decree </w:t>
      </w:r>
      <w:r w:rsidRPr="00756DA5">
        <w:t>are specified</w:t>
      </w:r>
      <w:r w:rsidRPr="00756DA5">
        <w:t xml:space="preserve"> by the implementing Order of 30 March 2017.</w:t>
      </w:r>
    </w:p>
    <w:p w:rsidR="00D20FC4" w:rsidRPr="00756DA5" w:rsidP="00D20FC4">
      <w:pPr>
        <w:spacing w:after="0" w:line="280" w:lineRule="exact"/>
        <w:rPr>
          <w:rFonts w:cs="Arial"/>
          <w:b/>
          <w:szCs w:val="20"/>
        </w:rPr>
      </w:pPr>
      <w:r w:rsidRPr="00756DA5">
        <w:rPr>
          <w:b/>
          <w:bCs/>
          <w:szCs w:val="20"/>
        </w:rPr>
        <w:t xml:space="preserve">■ </w:t>
      </w:r>
      <w:r w:rsidRPr="00756DA5">
        <w:rPr>
          <w:b/>
          <w:szCs w:val="20"/>
        </w:rPr>
        <w:t>Mixed systems</w:t>
      </w:r>
    </w:p>
    <w:p w:rsidR="00D20FC4" w:rsidRPr="00756DA5" w:rsidP="00D20FC4">
      <w:pPr>
        <w:spacing w:after="0" w:line="280" w:lineRule="exact"/>
        <w:rPr>
          <w:rFonts w:cs="Arial"/>
          <w:b/>
          <w:color w:val="A6A6A6" w:themeColor="background1" w:themeShade="A6"/>
          <w:sz w:val="22"/>
        </w:rPr>
      </w:pPr>
    </w:p>
    <w:p w:rsidR="00D20FC4" w:rsidRPr="00756DA5" w:rsidP="00D20FC4">
      <w:pPr>
        <w:spacing w:line="280" w:lineRule="exact"/>
        <w:rPr>
          <w:b/>
        </w:rPr>
      </w:pPr>
      <w:r w:rsidRPr="00756DA5">
        <w:rPr>
          <w:b/>
        </w:rPr>
        <w:t>Decree No 2017-440 of 30 March 2017 on the safety of track-guided public transport</w:t>
      </w:r>
    </w:p>
    <w:p w:rsidR="00D20FC4" w:rsidRPr="00756DA5" w:rsidP="00D20FC4">
      <w:pPr>
        <w:spacing w:line="280" w:lineRule="exact"/>
      </w:pPr>
      <w:r w:rsidRPr="00756DA5">
        <w:t xml:space="preserve">This Decree repeals Decree No 2003-425 on the safety of track-guided public transport. It provides for a new mixed systems regime (systems covered </w:t>
      </w:r>
      <w:r w:rsidRPr="00756DA5">
        <w:t>both by track-guided transport regulations and Decree</w:t>
      </w:r>
      <w:r w:rsidRPr="00756DA5">
        <w:t xml:space="preserve"> No 2006-1279). This Decree </w:t>
      </w:r>
      <w:r w:rsidRPr="00756DA5">
        <w:t>is supplemented</w:t>
      </w:r>
      <w:r w:rsidRPr="00756DA5">
        <w:t xml:space="preserve"> by several orders published on 30 March 2017 one of which relates to the safety files for mixed systems in order to specify the content and arrangements for the examination of common safety files relating to the vehicles travelling on these systems.</w:t>
      </w:r>
    </w:p>
    <w:p w:rsidR="00D20FC4" w:rsidRPr="00756DA5" w:rsidP="00D20FC4">
      <w:pPr>
        <w:spacing w:after="0" w:line="280" w:lineRule="exact"/>
        <w:rPr>
          <w:rFonts w:cs="Arial"/>
          <w:b/>
          <w:szCs w:val="20"/>
        </w:rPr>
      </w:pPr>
      <w:r w:rsidRPr="00756DA5">
        <w:rPr>
          <w:b/>
          <w:bCs/>
          <w:szCs w:val="20"/>
        </w:rPr>
        <w:t xml:space="preserve">■ </w:t>
      </w:r>
      <w:r w:rsidRPr="00756DA5">
        <w:rPr>
          <w:b/>
          <w:szCs w:val="20"/>
        </w:rPr>
        <w:t>Level crossings</w:t>
      </w:r>
    </w:p>
    <w:p w:rsidR="00D20FC4" w:rsidRPr="00756DA5" w:rsidP="00D20FC4">
      <w:pPr>
        <w:spacing w:after="0" w:line="280" w:lineRule="exact"/>
        <w:rPr>
          <w:rFonts w:cs="Arial"/>
          <w:b/>
          <w:color w:val="A6A6A6" w:themeColor="background1" w:themeShade="A6"/>
          <w:sz w:val="22"/>
        </w:rPr>
      </w:pPr>
    </w:p>
    <w:p w:rsidR="00D20FC4" w:rsidRPr="00756DA5" w:rsidP="00D20FC4">
      <w:pPr>
        <w:spacing w:line="280" w:lineRule="exact"/>
        <w:rPr>
          <w:b/>
        </w:rPr>
      </w:pPr>
      <w:r w:rsidRPr="00756DA5">
        <w:rPr>
          <w:b/>
        </w:rPr>
        <w:t>Order of 19 April 2017 amending the Order of 18 March 1991 on the classification, regulation and equipment of level crossings</w:t>
      </w:r>
    </w:p>
    <w:p w:rsidR="00D20FC4" w:rsidRPr="00756DA5" w:rsidP="00D20FC4">
      <w:pPr>
        <w:spacing w:line="280" w:lineRule="exact"/>
      </w:pPr>
      <w:r w:rsidRPr="00756DA5">
        <w:t>This Order defines the categorisation of level crossings. It specifies the applicable regulations and equipment. Its amendment is part of the implementation of the recommendations of the technical investigation report of the BEA-TT on the collision in Allinges (department 74) of 2 June 2008 and the decisions taken during the Ministerial Committees on Safety at LCs of 3 June 2015 and 13 October 2016. The Order of 19 April 2017 also repealed the Circular of 18 March 1991 on the classification, regulation and equipment of level crossings.</w:t>
      </w:r>
    </w:p>
    <w:p w:rsidR="00D20FC4" w:rsidRPr="00756DA5" w:rsidP="00D20FC4">
      <w:pPr>
        <w:spacing w:after="0" w:line="280" w:lineRule="exact"/>
        <w:rPr>
          <w:rFonts w:cs="Arial"/>
          <w:b/>
          <w:szCs w:val="20"/>
        </w:rPr>
      </w:pPr>
      <w:r w:rsidRPr="00756DA5">
        <w:rPr>
          <w:b/>
          <w:bCs/>
          <w:szCs w:val="20"/>
        </w:rPr>
        <w:t xml:space="preserve">■ </w:t>
      </w:r>
      <w:r w:rsidRPr="00756DA5">
        <w:rPr>
          <w:b/>
          <w:szCs w:val="20"/>
        </w:rPr>
        <w:t>Transport of dangerous materials</w:t>
      </w:r>
    </w:p>
    <w:p w:rsidR="00D20FC4" w:rsidRPr="00756DA5" w:rsidP="00D20FC4">
      <w:pPr>
        <w:spacing w:after="0" w:line="280" w:lineRule="exact"/>
        <w:rPr>
          <w:rFonts w:cs="Arial"/>
          <w:b/>
          <w:color w:val="A6A6A6" w:themeColor="background1" w:themeShade="A6"/>
          <w:sz w:val="22"/>
        </w:rPr>
      </w:pPr>
    </w:p>
    <w:p w:rsidR="00D20FC4" w:rsidRPr="00756DA5" w:rsidP="00D20FC4">
      <w:pPr>
        <w:spacing w:line="280" w:lineRule="exact"/>
        <w:rPr>
          <w:b/>
        </w:rPr>
      </w:pPr>
      <w:r w:rsidRPr="00756DA5">
        <w:rPr>
          <w:b/>
        </w:rPr>
        <w:t>Order of 30 January 2017 amending the Order of 29 May 2009 on the inland transport of dangerous goods known as the ‘TMD Order’</w:t>
      </w:r>
    </w:p>
    <w:p w:rsidR="00D20FC4" w:rsidRPr="00756DA5" w:rsidP="00D20FC4">
      <w:pPr>
        <w:spacing w:after="0" w:line="280" w:lineRule="exact"/>
      </w:pPr>
      <w:r w:rsidRPr="00756DA5">
        <w:t xml:space="preserve">This Order sets out the specific rules for the inland transport of dangerous goods </w:t>
      </w:r>
      <w:r w:rsidRPr="00756DA5">
        <w:t>and also</w:t>
      </w:r>
      <w:r w:rsidRPr="00756DA5">
        <w:t xml:space="preserve"> clarifies concepts contained in the international treaties. The key amendments made are the following:</w:t>
      </w:r>
    </w:p>
    <w:p w:rsidR="00D20FC4" w:rsidRPr="00756DA5" w:rsidP="00D20FC4">
      <w:pPr>
        <w:pStyle w:val="ListParagraph"/>
        <w:numPr>
          <w:ilvl w:val="0"/>
          <w:numId w:val="42"/>
        </w:numPr>
        <w:spacing w:after="0" w:line="280" w:lineRule="exact"/>
      </w:pPr>
      <w:r w:rsidRPr="00756DA5">
        <w:t>Classification of safety events into two types:</w:t>
      </w:r>
    </w:p>
    <w:p w:rsidR="00D20FC4" w:rsidRPr="00756DA5" w:rsidP="00D20FC4">
      <w:pPr>
        <w:spacing w:after="0" w:line="280" w:lineRule="exact"/>
        <w:ind w:left="993" w:hanging="142"/>
      </w:pPr>
      <w:r w:rsidRPr="00756DA5">
        <w:t xml:space="preserve">– </w:t>
      </w:r>
      <w:r w:rsidRPr="00756DA5">
        <w:t>type</w:t>
      </w:r>
      <w:r w:rsidRPr="00756DA5">
        <w:t xml:space="preserve"> 1: safety event managed by railway operators with their own means. These events do not systematically require the assistance of the public emergency services</w:t>
      </w:r>
      <w:r w:rsidRPr="00756DA5">
        <w:t>;</w:t>
      </w:r>
    </w:p>
    <w:p w:rsidR="00D20FC4" w:rsidRPr="00756DA5" w:rsidP="00D20FC4">
      <w:pPr>
        <w:spacing w:after="0" w:line="280" w:lineRule="exact"/>
        <w:ind w:left="993" w:hanging="142"/>
      </w:pPr>
      <w:r w:rsidRPr="00756DA5">
        <w:t>type</w:t>
      </w:r>
      <w:r w:rsidRPr="00756DA5">
        <w:t xml:space="preserve"> 2: safety event systematically requiring the assistance of the public emergency services;</w:t>
      </w:r>
    </w:p>
    <w:p w:rsidR="00D20FC4" w:rsidRPr="00756DA5" w:rsidP="00D20FC4">
      <w:pPr>
        <w:pStyle w:val="ListParagraph"/>
        <w:numPr>
          <w:ilvl w:val="0"/>
          <w:numId w:val="42"/>
        </w:numPr>
        <w:spacing w:after="0" w:line="280" w:lineRule="exact"/>
      </w:pPr>
      <w:r w:rsidRPr="00756DA5">
        <w:t>establishment</w:t>
      </w:r>
      <w:r w:rsidRPr="00756DA5">
        <w:t xml:space="preserve"> of an exhaustive list of type 2 events.</w:t>
      </w:r>
    </w:p>
    <w:p w:rsidR="00D20FC4" w:rsidRPr="00756DA5" w:rsidP="00D20FC4">
      <w:pPr>
        <w:pStyle w:val="ListParagraph"/>
        <w:spacing w:after="0" w:line="280" w:lineRule="exact"/>
      </w:pPr>
    </w:p>
    <w:p w:rsidR="00D20FC4" w:rsidRPr="00756DA5" w:rsidP="00D20FC4">
      <w:pPr>
        <w:spacing w:after="0" w:line="280" w:lineRule="exact"/>
        <w:rPr>
          <w:rFonts w:cs="Arial"/>
          <w:b/>
          <w:szCs w:val="20"/>
        </w:rPr>
      </w:pPr>
      <w:r w:rsidRPr="00756DA5">
        <w:rPr>
          <w:b/>
          <w:bCs/>
          <w:szCs w:val="20"/>
        </w:rPr>
        <w:t xml:space="preserve">■ </w:t>
      </w:r>
      <w:r w:rsidRPr="00756DA5">
        <w:rPr>
          <w:b/>
          <w:szCs w:val="20"/>
        </w:rPr>
        <w:t>Intervention and safety plan</w:t>
      </w:r>
    </w:p>
    <w:p w:rsidR="00D20FC4" w:rsidRPr="00756DA5" w:rsidP="00D20FC4">
      <w:pPr>
        <w:spacing w:after="0" w:line="280" w:lineRule="exact"/>
        <w:rPr>
          <w:rFonts w:cs="Arial"/>
          <w:b/>
          <w:color w:val="A6A6A6" w:themeColor="background1" w:themeShade="A6"/>
          <w:sz w:val="22"/>
        </w:rPr>
      </w:pPr>
    </w:p>
    <w:p w:rsidR="00D20FC4" w:rsidRPr="00756DA5" w:rsidP="00D20FC4">
      <w:pPr>
        <w:spacing w:line="280" w:lineRule="exact"/>
        <w:rPr>
          <w:b/>
        </w:rPr>
      </w:pPr>
      <w:r w:rsidRPr="00756DA5">
        <w:rPr>
          <w:b/>
        </w:rPr>
        <w:t>Order of 30 January 2017 amending the Order of 12 August 2008 pursuant to Article 13 of Decree No 2006-1279 of 19 October 2006 and relating to intervention and safety plans</w:t>
      </w:r>
    </w:p>
    <w:p w:rsidR="00D20FC4" w:rsidRPr="00756DA5" w:rsidP="00D20FC4">
      <w:pPr>
        <w:spacing w:after="0" w:line="280" w:lineRule="exact"/>
      </w:pPr>
      <w:r w:rsidRPr="00756DA5">
        <w:t>This Order sets out the requirements relating to the development, updating and content of the intervention and safety plans to be implemented on the RFN, as well as the conditions for the activation of these plans. The key amendments made are the following:</w:t>
      </w:r>
    </w:p>
    <w:p w:rsidR="00D20FC4" w:rsidRPr="00756DA5" w:rsidP="00D20FC4">
      <w:pPr>
        <w:pStyle w:val="ListParagraph"/>
        <w:numPr>
          <w:ilvl w:val="0"/>
          <w:numId w:val="42"/>
        </w:numPr>
        <w:spacing w:after="0" w:line="280" w:lineRule="exact"/>
      </w:pPr>
      <w:r w:rsidRPr="00756DA5">
        <w:t>concerning safety events involving dangerous goods, the Order, known as the ‘PIS Order’, expressly refers to the Order of 29 May 2009 known as the ‘TMD Order’, which defines them;</w:t>
      </w:r>
    </w:p>
    <w:p w:rsidR="00D20FC4" w:rsidRPr="00756DA5" w:rsidP="00D20FC4">
      <w:pPr>
        <w:pStyle w:val="ListParagraph"/>
        <w:numPr>
          <w:ilvl w:val="0"/>
          <w:numId w:val="42"/>
        </w:numPr>
        <w:spacing w:after="0" w:line="280" w:lineRule="exact"/>
      </w:pPr>
      <w:r w:rsidRPr="00756DA5">
        <w:t>the</w:t>
      </w:r>
      <w:r w:rsidRPr="00756DA5">
        <w:t xml:space="preserve"> classification of events into two types makes it possible avoid the systematic intervention of the public emergency services for type 1 events, which are to be managed by railway operators with their own means.</w:t>
      </w:r>
    </w:p>
    <w:p w:rsidR="00D20FC4" w:rsidRPr="00756DA5" w:rsidP="00D20FC4">
      <w:pPr>
        <w:spacing w:after="0" w:line="280" w:lineRule="exact"/>
        <w:ind w:left="360"/>
      </w:pPr>
    </w:p>
    <w:p w:rsidR="00D20FC4" w:rsidRPr="00756DA5" w:rsidP="00D20FC4">
      <w:pPr>
        <w:spacing w:after="0" w:line="280" w:lineRule="exact"/>
        <w:rPr>
          <w:rFonts w:cs="Arial"/>
          <w:b/>
          <w:szCs w:val="20"/>
        </w:rPr>
      </w:pPr>
      <w:r w:rsidRPr="00756DA5">
        <w:rPr>
          <w:b/>
          <w:bCs/>
          <w:szCs w:val="20"/>
        </w:rPr>
        <w:t xml:space="preserve">■ </w:t>
      </w:r>
      <w:r w:rsidRPr="00756DA5">
        <w:rPr>
          <w:b/>
          <w:szCs w:val="20"/>
        </w:rPr>
        <w:t>Comparable networks</w:t>
      </w:r>
    </w:p>
    <w:p w:rsidR="00D20FC4" w:rsidRPr="00756DA5" w:rsidP="00D20FC4">
      <w:pPr>
        <w:spacing w:after="0" w:line="280" w:lineRule="exact"/>
        <w:rPr>
          <w:rFonts w:cs="Arial"/>
          <w:b/>
          <w:color w:val="A6A6A6" w:themeColor="background1" w:themeShade="A6"/>
          <w:sz w:val="22"/>
        </w:rPr>
      </w:pPr>
    </w:p>
    <w:p w:rsidR="00D20FC4" w:rsidRPr="00756DA5" w:rsidP="00D20FC4">
      <w:pPr>
        <w:spacing w:line="280" w:lineRule="exact"/>
        <w:rPr>
          <w:b/>
        </w:rPr>
      </w:pPr>
      <w:r w:rsidRPr="00756DA5">
        <w:rPr>
          <w:b/>
        </w:rPr>
        <w:t>Decree No 2017-674 of 28 April 2017 establishing the list of railway networks with operating characteristics comparable to those of the national railway network (RFN)</w:t>
      </w:r>
    </w:p>
    <w:p w:rsidR="00D20FC4" w:rsidRPr="00756DA5" w:rsidP="00D20FC4">
      <w:pPr>
        <w:spacing w:line="280" w:lineRule="exact"/>
      </w:pPr>
      <w:r w:rsidRPr="00756DA5">
        <w:t xml:space="preserve">This Decree known as the ‘Comparable Networks Decree’ presents the list of railway networks with operating characteristics comparable to those of the RFN. The result is the application of the safety rules in force on the RFN to these networks subject to certain special conditions that </w:t>
      </w:r>
      <w:r w:rsidRPr="00756DA5">
        <w:t>are set out</w:t>
      </w:r>
      <w:r w:rsidRPr="00756DA5">
        <w:t xml:space="preserve"> by an order. Thus, competence </w:t>
      </w:r>
      <w:r w:rsidRPr="00756DA5">
        <w:t>is given</w:t>
      </w:r>
      <w:r w:rsidRPr="00756DA5">
        <w:t xml:space="preserve"> to the EPSF to grant railway operators the necessary safety authorisations for carrying out their activities and for exercising the necessary controls. It repeals Decree No 2015-84 of 28 January 2015 by expanding the list of ’comparable networks’ to the French part of the cross-border section of the new Lyon-Turin line.</w:t>
      </w:r>
    </w:p>
    <w:p w:rsidR="00D20FC4" w:rsidRPr="00756DA5" w:rsidP="00D20FC4">
      <w:pPr>
        <w:spacing w:line="280" w:lineRule="exact"/>
        <w:rPr>
          <w:rFonts w:cs="Arial"/>
          <w:szCs w:val="44"/>
        </w:rPr>
      </w:pPr>
      <w:r w:rsidRPr="00756DA5">
        <w:t>The publication of this Decree is accompanied by that of the Order of 28 April 2017 amending the Order of 13 April 2015 laying down the specific arrangements for the application to networks with operating characteristics comparable to those of the RFN, of the provisions of Titles II and V of the ‘Safety and Interoperability’ Decree No 2006-1279 of 19 October 2006.</w:t>
      </w:r>
    </w:p>
    <w:p w:rsidR="00D20FC4" w:rsidRPr="00756DA5" w:rsidP="00134B69">
      <w:pPr>
        <w:pStyle w:val="Heading1"/>
        <w:pageBreakBefore/>
        <w:rPr>
          <w:rFonts w:cs="Arial"/>
          <w:szCs w:val="44"/>
        </w:rPr>
      </w:pPr>
      <w:bookmarkStart w:id="103" w:name="_Toc533153886"/>
      <w:r w:rsidRPr="00756DA5">
        <w:t>Annex 4 – Technical publications</w:t>
      </w:r>
      <w:bookmarkEnd w:id="102"/>
      <w:bookmarkEnd w:id="103"/>
    </w:p>
    <w:p w:rsidR="00D20FC4" w:rsidRPr="00756DA5" w:rsidP="00D20FC4">
      <w:pPr>
        <w:ind w:firstLine="708"/>
        <w:rPr>
          <w:b/>
          <w:color w:val="808080" w:themeColor="background1" w:themeShade="80"/>
          <w:sz w:val="32"/>
          <w:szCs w:val="32"/>
        </w:rPr>
      </w:pPr>
      <w:r w:rsidRPr="00756DA5">
        <w:rPr>
          <w:b/>
          <w:color w:val="808080" w:themeColor="background1" w:themeShade="80"/>
          <w:sz w:val="32"/>
          <w:szCs w:val="32"/>
        </w:rPr>
        <w:t>4.1</w:t>
      </w:r>
      <w:r w:rsidRPr="00756DA5">
        <w:rPr>
          <w:b/>
          <w:color w:val="808080" w:themeColor="background1" w:themeShade="80"/>
          <w:sz w:val="32"/>
          <w:szCs w:val="32"/>
        </w:rPr>
        <w:tab/>
        <w:t>EPSF publications</w:t>
      </w:r>
    </w:p>
    <w:p w:rsidR="00D20FC4" w:rsidRPr="00756DA5" w:rsidP="00D20FC4">
      <w:pPr>
        <w:spacing w:after="0" w:line="280" w:lineRule="exact"/>
        <w:rPr>
          <w:rFonts w:cs="Arial"/>
          <w:b/>
          <w:szCs w:val="18"/>
        </w:rPr>
      </w:pPr>
      <w:r w:rsidRPr="00756DA5">
        <w:rPr>
          <w:color w:val="808080" w:themeColor="background1" w:themeShade="80"/>
          <w:sz w:val="24"/>
          <w:szCs w:val="24"/>
        </w:rPr>
        <w:br/>
      </w:r>
      <w:r w:rsidRPr="00756DA5">
        <w:rPr>
          <w:b/>
          <w:bCs/>
          <w:szCs w:val="20"/>
        </w:rPr>
        <w:t xml:space="preserve">■ </w:t>
      </w:r>
      <w:r w:rsidRPr="00756DA5">
        <w:rPr>
          <w:b/>
          <w:szCs w:val="18"/>
        </w:rPr>
        <w:t>Operational texts</w:t>
      </w:r>
    </w:p>
    <w:p w:rsidR="00D20FC4" w:rsidRPr="00756DA5" w:rsidP="00D20FC4">
      <w:pPr>
        <w:spacing w:after="0"/>
        <w:rPr>
          <w:rFonts w:cs="Arial"/>
          <w:b/>
          <w:sz w:val="18"/>
          <w:szCs w:val="18"/>
        </w:rPr>
      </w:pPr>
    </w:p>
    <w:tbl>
      <w:tblPr>
        <w:tblStyle w:val="TableGrid"/>
        <w:tblW w:w="9639" w:type="dxa"/>
        <w:tblInd w:w="-5" w:type="dxa"/>
        <w:tblLook w:val="04A0"/>
      </w:tblPr>
      <w:tblGrid>
        <w:gridCol w:w="1991"/>
        <w:gridCol w:w="2918"/>
        <w:gridCol w:w="877"/>
        <w:gridCol w:w="1926"/>
        <w:gridCol w:w="1927"/>
      </w:tblGrid>
      <w:tr w:rsidTr="005202AF">
        <w:tblPrEx>
          <w:tblW w:w="9639" w:type="dxa"/>
          <w:tblInd w:w="-5" w:type="dxa"/>
          <w:tblLook w:val="04A0"/>
        </w:tblPrEx>
        <w:trPr>
          <w:trHeight w:val="1134"/>
        </w:trPr>
        <w:tc>
          <w:tcPr>
            <w:tcW w:w="1991" w:type="dxa"/>
            <w:shd w:val="clear" w:color="auto" w:fill="808080" w:themeFill="background1" w:themeFillShade="80"/>
            <w:noWrap/>
            <w:vAlign w:val="center"/>
            <w:hideMark/>
          </w:tcPr>
          <w:p w:rsidR="00D20FC4" w:rsidRPr="00756DA5" w:rsidP="005202AF">
            <w:pPr>
              <w:jc w:val="center"/>
              <w:rPr>
                <w:rFonts w:cs="Arial"/>
                <w:b/>
                <w:bCs/>
                <w:color w:val="FFFFFF" w:themeColor="background1"/>
                <w:sz w:val="18"/>
                <w:szCs w:val="18"/>
              </w:rPr>
            </w:pPr>
            <w:bookmarkStart w:id="104" w:name="_Hlk520186148"/>
            <w:r w:rsidRPr="00756DA5">
              <w:rPr>
                <w:b/>
                <w:bCs/>
                <w:color w:val="FFFFFF" w:themeColor="background1"/>
                <w:sz w:val="18"/>
                <w:szCs w:val="18"/>
              </w:rPr>
              <w:t>Reference</w:t>
            </w:r>
          </w:p>
        </w:tc>
        <w:tc>
          <w:tcPr>
            <w:tcW w:w="2918" w:type="dxa"/>
            <w:shd w:val="clear" w:color="auto" w:fill="808080" w:themeFill="background1" w:themeFillShade="80"/>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Title</w:t>
            </w:r>
          </w:p>
        </w:tc>
        <w:tc>
          <w:tcPr>
            <w:tcW w:w="877" w:type="dxa"/>
            <w:shd w:val="clear" w:color="auto" w:fill="808080" w:themeFill="background1" w:themeFillShade="80"/>
            <w:vAlign w:val="center"/>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Version</w:t>
            </w:r>
          </w:p>
        </w:tc>
        <w:tc>
          <w:tcPr>
            <w:tcW w:w="1926" w:type="dxa"/>
            <w:shd w:val="clear" w:color="auto" w:fill="808080" w:themeFill="background1" w:themeFillShade="80"/>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Publication date</w:t>
            </w:r>
          </w:p>
        </w:tc>
        <w:tc>
          <w:tcPr>
            <w:tcW w:w="1927" w:type="dxa"/>
            <w:shd w:val="clear" w:color="auto" w:fill="808080" w:themeFill="background1" w:themeFillShade="80"/>
            <w:vAlign w:val="center"/>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Application date</w:t>
            </w:r>
          </w:p>
        </w:tc>
      </w:tr>
      <w:tr w:rsidTr="005202AF">
        <w:tblPrEx>
          <w:tblW w:w="9639" w:type="dxa"/>
          <w:tblInd w:w="-5" w:type="dxa"/>
          <w:tblLook w:val="04A0"/>
        </w:tblPrEx>
        <w:trPr>
          <w:trHeight w:val="1134"/>
        </w:trPr>
        <w:tc>
          <w:tcPr>
            <w:tcW w:w="1991" w:type="dxa"/>
            <w:vAlign w:val="center"/>
          </w:tcPr>
          <w:p w:rsidR="00D20FC4" w:rsidRPr="00756DA5" w:rsidP="005202AF">
            <w:pPr>
              <w:jc w:val="center"/>
              <w:rPr>
                <w:rFonts w:cs="Arial"/>
                <w:bCs/>
                <w:sz w:val="18"/>
                <w:szCs w:val="18"/>
              </w:rPr>
            </w:pPr>
            <w:r w:rsidRPr="00756DA5">
              <w:rPr>
                <w:color w:val="333333"/>
                <w:szCs w:val="20"/>
              </w:rPr>
              <w:t>Training document</w:t>
            </w:r>
          </w:p>
        </w:tc>
        <w:tc>
          <w:tcPr>
            <w:tcW w:w="2918" w:type="dxa"/>
            <w:vAlign w:val="center"/>
          </w:tcPr>
          <w:p w:rsidR="00D20FC4" w:rsidRPr="00756DA5" w:rsidP="005202AF">
            <w:pPr>
              <w:rPr>
                <w:rFonts w:cs="Arial"/>
                <w:sz w:val="18"/>
                <w:szCs w:val="18"/>
              </w:rPr>
            </w:pPr>
            <w:r w:rsidRPr="00756DA5">
              <w:rPr>
                <w:color w:val="333333"/>
                <w:szCs w:val="20"/>
              </w:rPr>
              <w:t>Signals – Line operation regimes – Train spacing systems</w:t>
            </w:r>
          </w:p>
        </w:tc>
        <w:tc>
          <w:tcPr>
            <w:tcW w:w="877" w:type="dxa"/>
            <w:vAlign w:val="center"/>
          </w:tcPr>
          <w:p w:rsidR="00D20FC4" w:rsidRPr="00756DA5" w:rsidP="005202AF">
            <w:pPr>
              <w:jc w:val="center"/>
              <w:rPr>
                <w:rFonts w:cs="Arial"/>
                <w:sz w:val="18"/>
                <w:szCs w:val="18"/>
              </w:rPr>
            </w:pPr>
            <w:r w:rsidRPr="00756DA5">
              <w:rPr>
                <w:color w:val="333333"/>
                <w:szCs w:val="20"/>
              </w:rPr>
              <w:t>V1</w:t>
            </w:r>
          </w:p>
        </w:tc>
        <w:tc>
          <w:tcPr>
            <w:tcW w:w="1926" w:type="dxa"/>
            <w:noWrap/>
            <w:vAlign w:val="center"/>
          </w:tcPr>
          <w:p w:rsidR="00D20FC4" w:rsidRPr="00756DA5" w:rsidP="005202AF">
            <w:pPr>
              <w:jc w:val="center"/>
              <w:rPr>
                <w:rFonts w:cs="Arial"/>
                <w:sz w:val="18"/>
                <w:szCs w:val="18"/>
              </w:rPr>
            </w:pPr>
            <w:r w:rsidRPr="00756DA5">
              <w:rPr>
                <w:color w:val="333333"/>
                <w:szCs w:val="20"/>
              </w:rPr>
              <w:t>10 July 2017</w:t>
            </w:r>
          </w:p>
        </w:tc>
        <w:tc>
          <w:tcPr>
            <w:tcW w:w="1927" w:type="dxa"/>
            <w:vAlign w:val="center"/>
          </w:tcPr>
          <w:p w:rsidR="00D20FC4" w:rsidRPr="00756DA5" w:rsidP="005202AF">
            <w:pPr>
              <w:jc w:val="center"/>
              <w:rPr>
                <w:rFonts w:cs="Arial"/>
                <w:sz w:val="18"/>
                <w:szCs w:val="18"/>
              </w:rPr>
            </w:pPr>
            <w:r w:rsidRPr="00756DA5">
              <w:rPr>
                <w:color w:val="333333"/>
                <w:szCs w:val="20"/>
              </w:rPr>
              <w:t>10 July 2017</w:t>
            </w:r>
          </w:p>
        </w:tc>
      </w:tr>
      <w:tr w:rsidTr="005202AF">
        <w:tblPrEx>
          <w:tblW w:w="9639" w:type="dxa"/>
          <w:tblInd w:w="-5" w:type="dxa"/>
          <w:tblLook w:val="04A0"/>
        </w:tblPrEx>
        <w:trPr>
          <w:trHeight w:val="1020"/>
        </w:trPr>
        <w:tc>
          <w:tcPr>
            <w:tcW w:w="1991" w:type="dxa"/>
            <w:vAlign w:val="center"/>
          </w:tcPr>
          <w:p w:rsidR="00D20FC4" w:rsidRPr="00756DA5" w:rsidP="005202AF">
            <w:pPr>
              <w:jc w:val="center"/>
              <w:rPr>
                <w:rFonts w:cs="Arial"/>
                <w:bCs/>
                <w:sz w:val="18"/>
                <w:szCs w:val="18"/>
              </w:rPr>
            </w:pPr>
            <w:r w:rsidRPr="00756DA5">
              <w:rPr>
                <w:color w:val="333333"/>
                <w:szCs w:val="20"/>
              </w:rPr>
              <w:t>RC A 7d No 8</w:t>
            </w:r>
          </w:p>
        </w:tc>
        <w:tc>
          <w:tcPr>
            <w:tcW w:w="2918" w:type="dxa"/>
            <w:vAlign w:val="center"/>
          </w:tcPr>
          <w:p w:rsidR="00D20FC4" w:rsidRPr="00756DA5" w:rsidP="005202AF">
            <w:pPr>
              <w:rPr>
                <w:rFonts w:cs="Arial"/>
                <w:sz w:val="18"/>
                <w:szCs w:val="18"/>
              </w:rPr>
            </w:pPr>
            <w:r w:rsidRPr="00756DA5">
              <w:rPr>
                <w:color w:val="333333"/>
                <w:szCs w:val="20"/>
              </w:rPr>
              <w:t>Incorporation of vehicles with traffic approval in a train</w:t>
            </w:r>
          </w:p>
        </w:tc>
        <w:tc>
          <w:tcPr>
            <w:tcW w:w="877" w:type="dxa"/>
            <w:vAlign w:val="center"/>
          </w:tcPr>
          <w:p w:rsidR="00D20FC4" w:rsidRPr="00756DA5" w:rsidP="005202AF">
            <w:pPr>
              <w:jc w:val="center"/>
              <w:rPr>
                <w:rFonts w:cs="Arial"/>
                <w:sz w:val="18"/>
                <w:szCs w:val="18"/>
              </w:rPr>
            </w:pPr>
            <w:r w:rsidRPr="00756DA5">
              <w:rPr>
                <w:color w:val="333333"/>
                <w:szCs w:val="20"/>
              </w:rPr>
              <w:t>V1a</w:t>
            </w:r>
          </w:p>
        </w:tc>
        <w:tc>
          <w:tcPr>
            <w:tcW w:w="1926" w:type="dxa"/>
            <w:vAlign w:val="center"/>
          </w:tcPr>
          <w:p w:rsidR="00D20FC4" w:rsidRPr="00756DA5" w:rsidP="005202AF">
            <w:pPr>
              <w:jc w:val="center"/>
              <w:rPr>
                <w:rFonts w:cs="Arial"/>
                <w:sz w:val="18"/>
                <w:szCs w:val="18"/>
              </w:rPr>
            </w:pPr>
            <w:r w:rsidRPr="00756DA5">
              <w:rPr>
                <w:color w:val="333333"/>
                <w:szCs w:val="20"/>
              </w:rPr>
              <w:t>26 April 2017</w:t>
            </w:r>
          </w:p>
        </w:tc>
        <w:tc>
          <w:tcPr>
            <w:tcW w:w="1927" w:type="dxa"/>
            <w:vAlign w:val="center"/>
          </w:tcPr>
          <w:p w:rsidR="00D20FC4" w:rsidRPr="00756DA5" w:rsidP="005202AF">
            <w:pPr>
              <w:jc w:val="center"/>
              <w:rPr>
                <w:rFonts w:cs="Arial"/>
                <w:sz w:val="18"/>
                <w:szCs w:val="18"/>
              </w:rPr>
            </w:pPr>
            <w:r w:rsidRPr="00756DA5">
              <w:rPr>
                <w:color w:val="333333"/>
                <w:szCs w:val="20"/>
              </w:rPr>
              <w:t>26 April 2017</w:t>
            </w:r>
          </w:p>
        </w:tc>
      </w:tr>
      <w:tr w:rsidTr="005202AF">
        <w:tblPrEx>
          <w:tblW w:w="9639" w:type="dxa"/>
          <w:tblInd w:w="-5" w:type="dxa"/>
          <w:tblLook w:val="04A0"/>
        </w:tblPrEx>
        <w:trPr>
          <w:trHeight w:val="1928"/>
        </w:trPr>
        <w:tc>
          <w:tcPr>
            <w:tcW w:w="1991" w:type="dxa"/>
            <w:vAlign w:val="center"/>
          </w:tcPr>
          <w:p w:rsidR="00D20FC4" w:rsidRPr="00756DA5" w:rsidP="005202AF">
            <w:pPr>
              <w:jc w:val="center"/>
              <w:rPr>
                <w:rFonts w:cs="Arial"/>
                <w:color w:val="333333"/>
                <w:szCs w:val="20"/>
              </w:rPr>
            </w:pPr>
            <w:r w:rsidRPr="00756DA5">
              <w:rPr>
                <w:color w:val="333333"/>
                <w:szCs w:val="20"/>
              </w:rPr>
              <w:t>RC A 7d No 1</w:t>
            </w:r>
          </w:p>
        </w:tc>
        <w:tc>
          <w:tcPr>
            <w:tcW w:w="2918"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Acceptance of rolling stock not carrying out any public transport activity and that does not have an AMEC or so-called ‘rolling goods’ traffic approval</w:t>
            </w:r>
          </w:p>
        </w:tc>
        <w:tc>
          <w:tcPr>
            <w:tcW w:w="877" w:type="dxa"/>
            <w:vAlign w:val="center"/>
          </w:tcPr>
          <w:p w:rsidR="00D20FC4" w:rsidRPr="00756DA5" w:rsidP="005202AF">
            <w:pPr>
              <w:shd w:val="clear" w:color="auto" w:fill="FFFFFF"/>
              <w:jc w:val="center"/>
              <w:rPr>
                <w:rFonts w:cs="Arial"/>
                <w:color w:val="333333"/>
                <w:szCs w:val="20"/>
              </w:rPr>
            </w:pPr>
            <w:r w:rsidRPr="00756DA5">
              <w:rPr>
                <w:color w:val="333333"/>
                <w:szCs w:val="20"/>
              </w:rPr>
              <w:t>V1a</w:t>
            </w:r>
          </w:p>
        </w:tc>
        <w:tc>
          <w:tcPr>
            <w:tcW w:w="1926" w:type="dxa"/>
            <w:vAlign w:val="center"/>
          </w:tcPr>
          <w:p w:rsidR="00D20FC4" w:rsidRPr="00756DA5" w:rsidP="005202AF">
            <w:pPr>
              <w:jc w:val="center"/>
              <w:rPr>
                <w:rFonts w:cs="Arial"/>
                <w:color w:val="333333"/>
                <w:szCs w:val="20"/>
              </w:rPr>
            </w:pPr>
            <w:r w:rsidRPr="00756DA5">
              <w:rPr>
                <w:color w:val="333333"/>
                <w:szCs w:val="20"/>
              </w:rPr>
              <w:t>26 April 2017</w:t>
            </w:r>
          </w:p>
        </w:tc>
        <w:tc>
          <w:tcPr>
            <w:tcW w:w="1927" w:type="dxa"/>
            <w:vAlign w:val="center"/>
          </w:tcPr>
          <w:p w:rsidR="00D20FC4" w:rsidRPr="00756DA5" w:rsidP="005202AF">
            <w:pPr>
              <w:jc w:val="center"/>
              <w:rPr>
                <w:rFonts w:cs="Arial"/>
                <w:color w:val="333333"/>
                <w:szCs w:val="20"/>
              </w:rPr>
            </w:pPr>
            <w:r w:rsidRPr="00756DA5">
              <w:rPr>
                <w:color w:val="333333"/>
                <w:szCs w:val="20"/>
              </w:rPr>
              <w:t>26 April 2017</w:t>
            </w:r>
          </w:p>
        </w:tc>
      </w:tr>
      <w:tr w:rsidTr="005202AF">
        <w:tblPrEx>
          <w:tblW w:w="9639" w:type="dxa"/>
          <w:tblInd w:w="-5" w:type="dxa"/>
          <w:tblLook w:val="04A0"/>
        </w:tblPrEx>
        <w:trPr>
          <w:trHeight w:val="1077"/>
        </w:trPr>
        <w:tc>
          <w:tcPr>
            <w:tcW w:w="1991" w:type="dxa"/>
            <w:vAlign w:val="center"/>
          </w:tcPr>
          <w:p w:rsidR="00D20FC4" w:rsidRPr="00756DA5" w:rsidP="005202AF">
            <w:pPr>
              <w:jc w:val="center"/>
              <w:rPr>
                <w:rFonts w:cs="Arial"/>
                <w:color w:val="333333"/>
                <w:szCs w:val="20"/>
              </w:rPr>
            </w:pPr>
            <w:r w:rsidRPr="00756DA5">
              <w:rPr>
                <w:color w:val="333333"/>
                <w:szCs w:val="20"/>
              </w:rPr>
              <w:t>RC A 7d No 2</w:t>
            </w:r>
          </w:p>
        </w:tc>
        <w:tc>
          <w:tcPr>
            <w:tcW w:w="2918"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Conditions for the admission and dispatching of intermodal transport units</w:t>
            </w:r>
          </w:p>
        </w:tc>
        <w:tc>
          <w:tcPr>
            <w:tcW w:w="877" w:type="dxa"/>
            <w:vAlign w:val="center"/>
          </w:tcPr>
          <w:p w:rsidR="00D20FC4" w:rsidRPr="00756DA5" w:rsidP="005202AF">
            <w:pPr>
              <w:shd w:val="clear" w:color="auto" w:fill="FFFFFF"/>
              <w:jc w:val="center"/>
              <w:rPr>
                <w:rFonts w:cs="Arial"/>
                <w:color w:val="333333"/>
                <w:szCs w:val="20"/>
              </w:rPr>
            </w:pPr>
            <w:r w:rsidRPr="00756DA5">
              <w:rPr>
                <w:color w:val="333333"/>
                <w:szCs w:val="20"/>
              </w:rPr>
              <w:t>V1a</w:t>
            </w:r>
          </w:p>
        </w:tc>
        <w:tc>
          <w:tcPr>
            <w:tcW w:w="1926" w:type="dxa"/>
            <w:vAlign w:val="center"/>
          </w:tcPr>
          <w:p w:rsidR="00D20FC4" w:rsidRPr="00380326" w:rsidP="00380326">
            <w:pPr>
              <w:jc w:val="center"/>
              <w:rPr>
                <w:rFonts w:cs="Arial"/>
                <w:color w:val="333333"/>
                <w:szCs w:val="20"/>
              </w:rPr>
            </w:pPr>
            <w:r>
              <w:rPr>
                <w:color w:val="333333"/>
                <w:szCs w:val="20"/>
              </w:rPr>
              <w:t xml:space="preserve">10 </w:t>
            </w:r>
            <w:r w:rsidRPr="00380326" w:rsidR="009350B4">
              <w:rPr>
                <w:color w:val="333333"/>
                <w:szCs w:val="20"/>
              </w:rPr>
              <w:t>March 2017</w:t>
            </w:r>
          </w:p>
        </w:tc>
        <w:tc>
          <w:tcPr>
            <w:tcW w:w="1927" w:type="dxa"/>
            <w:vAlign w:val="center"/>
          </w:tcPr>
          <w:p w:rsidR="00D20FC4" w:rsidRPr="00756DA5" w:rsidP="00380326">
            <w:pPr>
              <w:pStyle w:val="ListParagraph"/>
              <w:ind w:left="0"/>
              <w:jc w:val="center"/>
              <w:rPr>
                <w:rFonts w:cs="Arial"/>
                <w:color w:val="333333"/>
                <w:szCs w:val="20"/>
              </w:rPr>
            </w:pPr>
            <w:r>
              <w:rPr>
                <w:color w:val="333333"/>
                <w:szCs w:val="20"/>
              </w:rPr>
              <w:t xml:space="preserve">10 </w:t>
            </w:r>
            <w:r w:rsidRPr="00756DA5" w:rsidR="009350B4">
              <w:rPr>
                <w:color w:val="333333"/>
                <w:szCs w:val="20"/>
              </w:rPr>
              <w:t>March 2017</w:t>
            </w:r>
          </w:p>
        </w:tc>
      </w:tr>
    </w:tbl>
    <w:p w:rsidR="00D20FC4" w:rsidRPr="00756DA5" w:rsidP="00D20FC4">
      <w:pPr>
        <w:spacing w:after="0"/>
        <w:rPr>
          <w:rFonts w:cs="Arial"/>
          <w:b/>
          <w:sz w:val="18"/>
          <w:szCs w:val="18"/>
        </w:rPr>
      </w:pPr>
      <w:bookmarkEnd w:id="104"/>
    </w:p>
    <w:p w:rsidR="00D20FC4" w:rsidRPr="00756DA5" w:rsidP="00D20FC4">
      <w:pPr>
        <w:spacing w:after="0" w:line="280" w:lineRule="exact"/>
        <w:rPr>
          <w:rFonts w:cs="Arial"/>
          <w:b/>
          <w:szCs w:val="18"/>
        </w:rPr>
      </w:pPr>
      <w:r w:rsidRPr="00756DA5">
        <w:rPr>
          <w:b/>
          <w:bCs/>
          <w:szCs w:val="20"/>
        </w:rPr>
        <w:t xml:space="preserve">■ </w:t>
      </w:r>
      <w:r w:rsidRPr="00756DA5">
        <w:rPr>
          <w:b/>
          <w:szCs w:val="18"/>
        </w:rPr>
        <w:t>Revised rolling stock authorisation specifications (SAM)</w:t>
      </w:r>
    </w:p>
    <w:p w:rsidR="00D20FC4" w:rsidRPr="00756DA5" w:rsidP="00D20FC4">
      <w:pPr>
        <w:spacing w:after="0"/>
        <w:rPr>
          <w:rFonts w:cs="Arial"/>
          <w:b/>
          <w:sz w:val="18"/>
          <w:szCs w:val="18"/>
        </w:rPr>
      </w:pPr>
    </w:p>
    <w:tbl>
      <w:tblPr>
        <w:tblStyle w:val="TableGrid"/>
        <w:tblW w:w="9639" w:type="dxa"/>
        <w:tblInd w:w="-5" w:type="dxa"/>
        <w:tblLook w:val="04A0"/>
      </w:tblPr>
      <w:tblGrid>
        <w:gridCol w:w="1991"/>
        <w:gridCol w:w="4246"/>
        <w:gridCol w:w="1418"/>
        <w:gridCol w:w="1984"/>
      </w:tblGrid>
      <w:tr w:rsidTr="005202AF">
        <w:tblPrEx>
          <w:tblW w:w="9639" w:type="dxa"/>
          <w:tblInd w:w="-5" w:type="dxa"/>
          <w:tblLook w:val="04A0"/>
        </w:tblPrEx>
        <w:trPr>
          <w:trHeight w:val="1134"/>
        </w:trPr>
        <w:tc>
          <w:tcPr>
            <w:tcW w:w="1991" w:type="dxa"/>
            <w:shd w:val="clear" w:color="auto" w:fill="808080" w:themeFill="background1" w:themeFillShade="80"/>
            <w:noWrap/>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Reference</w:t>
            </w:r>
          </w:p>
        </w:tc>
        <w:tc>
          <w:tcPr>
            <w:tcW w:w="4246" w:type="dxa"/>
            <w:shd w:val="clear" w:color="auto" w:fill="808080" w:themeFill="background1" w:themeFillShade="80"/>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Title</w:t>
            </w:r>
          </w:p>
        </w:tc>
        <w:tc>
          <w:tcPr>
            <w:tcW w:w="1418" w:type="dxa"/>
            <w:shd w:val="clear" w:color="auto" w:fill="808080" w:themeFill="background1" w:themeFillShade="80"/>
            <w:vAlign w:val="center"/>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Version</w:t>
            </w:r>
          </w:p>
        </w:tc>
        <w:tc>
          <w:tcPr>
            <w:tcW w:w="1984" w:type="dxa"/>
            <w:shd w:val="clear" w:color="auto" w:fill="808080" w:themeFill="background1" w:themeFillShade="80"/>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Publication date</w:t>
            </w:r>
          </w:p>
        </w:tc>
      </w:tr>
      <w:tr w:rsidTr="005202AF">
        <w:tblPrEx>
          <w:tblW w:w="9639" w:type="dxa"/>
          <w:tblInd w:w="-5" w:type="dxa"/>
          <w:tblLook w:val="04A0"/>
        </w:tblPrEx>
        <w:trPr>
          <w:trHeight w:val="315"/>
        </w:trPr>
        <w:tc>
          <w:tcPr>
            <w:tcW w:w="1991" w:type="dxa"/>
            <w:hideMark/>
          </w:tcPr>
          <w:p w:rsidR="00D20FC4" w:rsidRPr="00756DA5" w:rsidP="005202AF">
            <w:pPr>
              <w:shd w:val="clear" w:color="auto" w:fill="FFFFFF"/>
              <w:spacing w:line="280" w:lineRule="atLeast"/>
              <w:jc w:val="center"/>
              <w:rPr>
                <w:rFonts w:cs="Arial"/>
                <w:color w:val="333333"/>
                <w:szCs w:val="20"/>
              </w:rPr>
            </w:pPr>
            <w:r w:rsidRPr="00756DA5">
              <w:rPr>
                <w:color w:val="333333"/>
                <w:szCs w:val="20"/>
              </w:rPr>
              <w:t>SAM F 005</w:t>
            </w:r>
          </w:p>
        </w:tc>
        <w:tc>
          <w:tcPr>
            <w:tcW w:w="4246" w:type="dxa"/>
          </w:tcPr>
          <w:p w:rsidR="00D20FC4" w:rsidRPr="00756DA5" w:rsidP="005202AF">
            <w:pPr>
              <w:shd w:val="clear" w:color="auto" w:fill="FFFFFF"/>
              <w:spacing w:line="280" w:lineRule="atLeast"/>
              <w:rPr>
                <w:rFonts w:cs="Arial"/>
                <w:color w:val="333333"/>
                <w:szCs w:val="20"/>
              </w:rPr>
            </w:pPr>
            <w:r w:rsidRPr="00756DA5">
              <w:rPr>
                <w:color w:val="333333"/>
                <w:szCs w:val="20"/>
              </w:rPr>
              <w:t>Braking performance of rolling stock on lines equipped with ground signalling</w:t>
            </w:r>
          </w:p>
          <w:p w:rsidR="00D20FC4" w:rsidRPr="00756DA5" w:rsidP="005202AF">
            <w:pPr>
              <w:shd w:val="clear" w:color="auto" w:fill="FFFFFF"/>
              <w:spacing w:line="280" w:lineRule="atLeast"/>
              <w:rPr>
                <w:rFonts w:cs="Arial"/>
                <w:color w:val="333333"/>
                <w:szCs w:val="20"/>
              </w:rPr>
            </w:pPr>
          </w:p>
        </w:tc>
        <w:tc>
          <w:tcPr>
            <w:tcW w:w="1418" w:type="dxa"/>
            <w:hideMark/>
          </w:tcPr>
          <w:p w:rsidR="00D20FC4" w:rsidRPr="00756DA5" w:rsidP="005202AF">
            <w:pPr>
              <w:shd w:val="clear" w:color="auto" w:fill="FFFFFF"/>
              <w:spacing w:line="280" w:lineRule="atLeast"/>
              <w:jc w:val="center"/>
              <w:rPr>
                <w:rFonts w:cs="Arial"/>
                <w:color w:val="333333"/>
                <w:szCs w:val="20"/>
              </w:rPr>
            </w:pPr>
            <w:r w:rsidRPr="00756DA5">
              <w:rPr>
                <w:color w:val="333333"/>
                <w:szCs w:val="20"/>
              </w:rPr>
              <w:t>V2</w:t>
            </w:r>
          </w:p>
        </w:tc>
        <w:tc>
          <w:tcPr>
            <w:tcW w:w="1984" w:type="dxa"/>
            <w:hideMark/>
          </w:tcPr>
          <w:p w:rsidR="00D20FC4" w:rsidRPr="00756DA5" w:rsidP="005202AF">
            <w:pPr>
              <w:shd w:val="clear" w:color="auto" w:fill="FFFFFF"/>
              <w:spacing w:line="280" w:lineRule="atLeast"/>
              <w:jc w:val="center"/>
              <w:rPr>
                <w:rFonts w:cs="Arial"/>
                <w:color w:val="333333"/>
                <w:szCs w:val="20"/>
              </w:rPr>
            </w:pPr>
            <w:r w:rsidRPr="00756DA5">
              <w:rPr>
                <w:color w:val="333333"/>
                <w:szCs w:val="20"/>
              </w:rPr>
              <w:t>20 January 2017</w:t>
            </w:r>
          </w:p>
        </w:tc>
      </w:tr>
      <w:tr w:rsidTr="005202AF">
        <w:tblPrEx>
          <w:tblW w:w="9639" w:type="dxa"/>
          <w:tblInd w:w="-5" w:type="dxa"/>
          <w:tblLook w:val="04A0"/>
        </w:tblPrEx>
        <w:trPr>
          <w:trHeight w:val="634"/>
        </w:trPr>
        <w:tc>
          <w:tcPr>
            <w:tcW w:w="1991" w:type="dxa"/>
          </w:tcPr>
          <w:p w:rsidR="00D20FC4" w:rsidRPr="00756DA5" w:rsidP="005202AF">
            <w:pPr>
              <w:jc w:val="center"/>
              <w:rPr>
                <w:rFonts w:cs="Arial"/>
                <w:color w:val="333333"/>
                <w:szCs w:val="20"/>
              </w:rPr>
            </w:pPr>
            <w:r w:rsidRPr="00756DA5">
              <w:rPr>
                <w:color w:val="333333"/>
                <w:szCs w:val="20"/>
              </w:rPr>
              <w:t>DRN</w:t>
            </w:r>
          </w:p>
        </w:tc>
        <w:tc>
          <w:tcPr>
            <w:tcW w:w="4246" w:type="dxa"/>
          </w:tcPr>
          <w:p w:rsidR="00D20FC4" w:rsidRPr="00756DA5" w:rsidP="005202AF">
            <w:pPr>
              <w:shd w:val="clear" w:color="auto" w:fill="FFFFFF"/>
              <w:spacing w:line="280" w:lineRule="atLeast"/>
              <w:rPr>
                <w:rFonts w:cs="Arial"/>
                <w:color w:val="333333"/>
                <w:szCs w:val="20"/>
              </w:rPr>
            </w:pPr>
            <w:r w:rsidRPr="00756DA5">
              <w:rPr>
                <w:color w:val="333333"/>
                <w:szCs w:val="20"/>
              </w:rPr>
              <w:t>National references document (DRN)</w:t>
            </w:r>
          </w:p>
        </w:tc>
        <w:tc>
          <w:tcPr>
            <w:tcW w:w="1418" w:type="dxa"/>
          </w:tcPr>
          <w:p w:rsidR="00D20FC4" w:rsidRPr="00756DA5" w:rsidP="005202AF">
            <w:pPr>
              <w:shd w:val="clear" w:color="auto" w:fill="FFFFFF"/>
              <w:jc w:val="center"/>
              <w:rPr>
                <w:rFonts w:cs="Arial"/>
                <w:color w:val="333333"/>
                <w:szCs w:val="20"/>
              </w:rPr>
            </w:pPr>
            <w:r w:rsidRPr="00756DA5">
              <w:rPr>
                <w:color w:val="333333"/>
                <w:szCs w:val="20"/>
              </w:rPr>
              <w:t>V4</w:t>
            </w:r>
          </w:p>
        </w:tc>
        <w:tc>
          <w:tcPr>
            <w:tcW w:w="1984" w:type="dxa"/>
          </w:tcPr>
          <w:p w:rsidR="00D20FC4" w:rsidRPr="00756DA5" w:rsidP="005202AF">
            <w:pPr>
              <w:jc w:val="center"/>
              <w:rPr>
                <w:rFonts w:cs="Arial"/>
                <w:color w:val="333333"/>
                <w:szCs w:val="20"/>
              </w:rPr>
            </w:pPr>
            <w:r w:rsidRPr="00756DA5">
              <w:rPr>
                <w:color w:val="333333"/>
                <w:szCs w:val="20"/>
              </w:rPr>
              <w:t>10 May 2017</w:t>
            </w:r>
          </w:p>
        </w:tc>
      </w:tr>
    </w:tbl>
    <w:p w:rsidR="00D20FC4" w:rsidRPr="00756DA5" w:rsidP="008E7308">
      <w:pPr>
        <w:keepNext/>
        <w:shd w:val="clear" w:color="auto" w:fill="FFFFFF"/>
        <w:spacing w:after="0" w:line="280" w:lineRule="exact"/>
        <w:rPr>
          <w:rFonts w:cs="Arial"/>
          <w:b/>
          <w:color w:val="333333"/>
          <w:szCs w:val="20"/>
        </w:rPr>
      </w:pPr>
      <w:r w:rsidRPr="00756DA5">
        <w:rPr>
          <w:b/>
          <w:bCs/>
          <w:szCs w:val="20"/>
        </w:rPr>
        <w:t xml:space="preserve">■ </w:t>
      </w:r>
      <w:r w:rsidRPr="00756DA5">
        <w:rPr>
          <w:b/>
          <w:color w:val="333333"/>
          <w:szCs w:val="20"/>
        </w:rPr>
        <w:t>SAMs withdrawn from the DRN for TSI rolling stock:</w:t>
      </w:r>
    </w:p>
    <w:p w:rsidR="00D20FC4" w:rsidRPr="00756DA5" w:rsidP="008E7308">
      <w:pPr>
        <w:keepNext/>
        <w:spacing w:after="0"/>
        <w:rPr>
          <w:rFonts w:cs="Arial"/>
          <w:b/>
          <w:sz w:val="18"/>
          <w:szCs w:val="18"/>
        </w:rPr>
      </w:pPr>
    </w:p>
    <w:tbl>
      <w:tblPr>
        <w:tblStyle w:val="TableGrid"/>
        <w:tblW w:w="9677" w:type="dxa"/>
        <w:tblLook w:val="04A0"/>
      </w:tblPr>
      <w:tblGrid>
        <w:gridCol w:w="1830"/>
        <w:gridCol w:w="4402"/>
        <w:gridCol w:w="1134"/>
        <w:gridCol w:w="2311"/>
      </w:tblGrid>
      <w:tr w:rsidTr="005202AF">
        <w:tblPrEx>
          <w:tblW w:w="9677" w:type="dxa"/>
          <w:tblLook w:val="04A0"/>
        </w:tblPrEx>
        <w:trPr>
          <w:trHeight w:val="1144"/>
        </w:trPr>
        <w:tc>
          <w:tcPr>
            <w:tcW w:w="1830" w:type="dxa"/>
            <w:shd w:val="clear" w:color="auto" w:fill="808080" w:themeFill="background1" w:themeFillShade="80"/>
            <w:noWrap/>
            <w:vAlign w:val="center"/>
            <w:hideMark/>
          </w:tcPr>
          <w:p w:rsidR="00D20FC4" w:rsidRPr="00756DA5" w:rsidP="008E7308">
            <w:pPr>
              <w:keepNext/>
              <w:jc w:val="center"/>
              <w:rPr>
                <w:rFonts w:cs="Arial"/>
                <w:b/>
                <w:bCs/>
                <w:color w:val="FFFFFF" w:themeColor="background1"/>
                <w:sz w:val="18"/>
                <w:szCs w:val="18"/>
              </w:rPr>
            </w:pPr>
            <w:bookmarkStart w:id="105" w:name="_Hlk520187099"/>
            <w:r w:rsidRPr="00756DA5">
              <w:rPr>
                <w:b/>
                <w:bCs/>
                <w:color w:val="FFFFFF" w:themeColor="background1"/>
                <w:sz w:val="18"/>
                <w:szCs w:val="18"/>
              </w:rPr>
              <w:t>Reference</w:t>
            </w:r>
          </w:p>
        </w:tc>
        <w:tc>
          <w:tcPr>
            <w:tcW w:w="4402" w:type="dxa"/>
            <w:shd w:val="clear" w:color="auto" w:fill="808080" w:themeFill="background1" w:themeFillShade="80"/>
            <w:vAlign w:val="center"/>
            <w:hideMark/>
          </w:tcPr>
          <w:p w:rsidR="00D20FC4" w:rsidRPr="00756DA5" w:rsidP="008E7308">
            <w:pPr>
              <w:keepNext/>
              <w:jc w:val="center"/>
              <w:rPr>
                <w:rFonts w:cs="Arial"/>
                <w:b/>
                <w:bCs/>
                <w:color w:val="FFFFFF" w:themeColor="background1"/>
                <w:sz w:val="18"/>
                <w:szCs w:val="18"/>
              </w:rPr>
            </w:pPr>
            <w:r w:rsidRPr="00756DA5">
              <w:rPr>
                <w:b/>
                <w:bCs/>
                <w:color w:val="FFFFFF" w:themeColor="background1"/>
                <w:sz w:val="18"/>
                <w:szCs w:val="18"/>
              </w:rPr>
              <w:t>Title</w:t>
            </w:r>
          </w:p>
        </w:tc>
        <w:tc>
          <w:tcPr>
            <w:tcW w:w="1134" w:type="dxa"/>
            <w:shd w:val="clear" w:color="auto" w:fill="808080" w:themeFill="background1" w:themeFillShade="80"/>
            <w:vAlign w:val="center"/>
          </w:tcPr>
          <w:p w:rsidR="00D20FC4" w:rsidRPr="00756DA5" w:rsidP="008E7308">
            <w:pPr>
              <w:keepNext/>
              <w:jc w:val="center"/>
              <w:rPr>
                <w:rFonts w:cs="Arial"/>
                <w:b/>
                <w:bCs/>
                <w:color w:val="FFFFFF" w:themeColor="background1"/>
                <w:sz w:val="18"/>
                <w:szCs w:val="18"/>
              </w:rPr>
            </w:pPr>
            <w:r w:rsidRPr="00756DA5">
              <w:rPr>
                <w:b/>
                <w:bCs/>
                <w:color w:val="FFFFFF" w:themeColor="background1"/>
                <w:sz w:val="18"/>
                <w:szCs w:val="18"/>
              </w:rPr>
              <w:t>AMC</w:t>
            </w:r>
          </w:p>
        </w:tc>
        <w:tc>
          <w:tcPr>
            <w:tcW w:w="2311" w:type="dxa"/>
            <w:shd w:val="clear" w:color="auto" w:fill="808080" w:themeFill="background1" w:themeFillShade="80"/>
            <w:vAlign w:val="center"/>
            <w:hideMark/>
          </w:tcPr>
          <w:p w:rsidR="00D20FC4" w:rsidRPr="00756DA5" w:rsidP="008E7308">
            <w:pPr>
              <w:keepNext/>
              <w:jc w:val="center"/>
              <w:rPr>
                <w:rFonts w:cs="Arial"/>
                <w:b/>
                <w:bCs/>
                <w:color w:val="FFFFFF" w:themeColor="background1"/>
                <w:sz w:val="18"/>
                <w:szCs w:val="18"/>
              </w:rPr>
            </w:pPr>
            <w:r w:rsidRPr="00756DA5">
              <w:rPr>
                <w:b/>
                <w:bCs/>
                <w:color w:val="FFFFFF" w:themeColor="background1"/>
                <w:sz w:val="18"/>
                <w:szCs w:val="18"/>
              </w:rPr>
              <w:t>Application date</w:t>
            </w:r>
          </w:p>
        </w:tc>
      </w:tr>
      <w:tr w:rsidTr="005202AF">
        <w:tblPrEx>
          <w:tblW w:w="9677" w:type="dxa"/>
          <w:tblLook w:val="04A0"/>
        </w:tblPrEx>
        <w:trPr>
          <w:trHeight w:val="680"/>
        </w:trPr>
        <w:tc>
          <w:tcPr>
            <w:tcW w:w="1830" w:type="dxa"/>
            <w:vAlign w:val="center"/>
          </w:tcPr>
          <w:p w:rsidR="00D20FC4" w:rsidRPr="00756DA5" w:rsidP="008E7308">
            <w:pPr>
              <w:keepNext/>
              <w:jc w:val="left"/>
              <w:rPr>
                <w:rFonts w:cs="Arial"/>
                <w:bCs/>
                <w:sz w:val="18"/>
                <w:szCs w:val="18"/>
              </w:rPr>
            </w:pPr>
            <w:r w:rsidRPr="00756DA5">
              <w:rPr>
                <w:color w:val="333333"/>
                <w:szCs w:val="20"/>
              </w:rPr>
              <w:t>SAM C 304</w:t>
            </w:r>
          </w:p>
        </w:tc>
        <w:tc>
          <w:tcPr>
            <w:tcW w:w="4402" w:type="dxa"/>
            <w:vAlign w:val="center"/>
          </w:tcPr>
          <w:p w:rsidR="00D20FC4" w:rsidRPr="00756DA5" w:rsidP="008E7308">
            <w:pPr>
              <w:keepNext/>
              <w:shd w:val="clear" w:color="auto" w:fill="FFFFFF"/>
              <w:spacing w:line="280" w:lineRule="atLeast"/>
              <w:rPr>
                <w:rFonts w:cs="Arial"/>
                <w:color w:val="333333"/>
                <w:szCs w:val="20"/>
              </w:rPr>
            </w:pPr>
            <w:r w:rsidRPr="00756DA5">
              <w:rPr>
                <w:color w:val="333333"/>
                <w:szCs w:val="20"/>
              </w:rPr>
              <w:t>Emergency device</w:t>
            </w:r>
          </w:p>
        </w:tc>
        <w:tc>
          <w:tcPr>
            <w:tcW w:w="1134" w:type="dxa"/>
            <w:vAlign w:val="center"/>
          </w:tcPr>
          <w:p w:rsidR="00D20FC4" w:rsidRPr="00756DA5" w:rsidP="008E7308">
            <w:pPr>
              <w:keepNext/>
              <w:jc w:val="center"/>
              <w:rPr>
                <w:rFonts w:cs="Arial"/>
                <w:sz w:val="18"/>
                <w:szCs w:val="18"/>
              </w:rPr>
            </w:pPr>
            <w:r w:rsidRPr="00756DA5">
              <w:rPr>
                <w:color w:val="333333"/>
                <w:szCs w:val="20"/>
              </w:rPr>
              <w:t>V2</w:t>
            </w:r>
          </w:p>
        </w:tc>
        <w:tc>
          <w:tcPr>
            <w:tcW w:w="2311" w:type="dxa"/>
            <w:vAlign w:val="center"/>
          </w:tcPr>
          <w:p w:rsidR="00D20FC4" w:rsidRPr="00756DA5" w:rsidP="008E7308">
            <w:pPr>
              <w:keepNext/>
              <w:jc w:val="center"/>
              <w:rPr>
                <w:rFonts w:cs="Arial"/>
                <w:sz w:val="18"/>
                <w:szCs w:val="18"/>
              </w:rPr>
            </w:pPr>
            <w:r w:rsidRPr="00756DA5">
              <w:rPr>
                <w:color w:val="333333"/>
                <w:szCs w:val="20"/>
              </w:rPr>
              <w:t>31 March 2014</w:t>
            </w:r>
          </w:p>
        </w:tc>
      </w:tr>
      <w:tr w:rsidTr="005202AF">
        <w:tblPrEx>
          <w:tblW w:w="9677" w:type="dxa"/>
          <w:tblLook w:val="04A0"/>
        </w:tblPrEx>
        <w:trPr>
          <w:trHeight w:val="680"/>
        </w:trPr>
        <w:tc>
          <w:tcPr>
            <w:tcW w:w="1830" w:type="dxa"/>
            <w:vAlign w:val="center"/>
          </w:tcPr>
          <w:p w:rsidR="00D20FC4" w:rsidRPr="00756DA5" w:rsidP="005202AF">
            <w:pPr>
              <w:jc w:val="left"/>
              <w:rPr>
                <w:rFonts w:cs="Arial"/>
                <w:bCs/>
                <w:sz w:val="18"/>
                <w:szCs w:val="18"/>
              </w:rPr>
            </w:pPr>
            <w:r w:rsidRPr="00756DA5">
              <w:rPr>
                <w:color w:val="333333"/>
                <w:szCs w:val="20"/>
              </w:rPr>
              <w:t>SAM E 009</w:t>
            </w:r>
          </w:p>
        </w:tc>
        <w:tc>
          <w:tcPr>
            <w:tcW w:w="4402" w:type="dxa"/>
            <w:vAlign w:val="center"/>
          </w:tcPr>
          <w:p w:rsidR="00D20FC4" w:rsidRPr="00756DA5" w:rsidP="005202AF">
            <w:pPr>
              <w:rPr>
                <w:rFonts w:cs="Arial"/>
                <w:sz w:val="18"/>
                <w:szCs w:val="18"/>
              </w:rPr>
            </w:pPr>
            <w:r w:rsidRPr="00756DA5">
              <w:rPr>
                <w:color w:val="333333"/>
                <w:szCs w:val="20"/>
              </w:rPr>
              <w:t>Assistance system for running through separation sections</w:t>
            </w:r>
          </w:p>
        </w:tc>
        <w:tc>
          <w:tcPr>
            <w:tcW w:w="1134" w:type="dxa"/>
            <w:vAlign w:val="center"/>
          </w:tcPr>
          <w:p w:rsidR="00D20FC4" w:rsidRPr="00756DA5" w:rsidP="005202AF">
            <w:pPr>
              <w:jc w:val="center"/>
              <w:rPr>
                <w:rFonts w:cs="Arial"/>
                <w:sz w:val="18"/>
                <w:szCs w:val="18"/>
              </w:rPr>
            </w:pPr>
            <w:r w:rsidRPr="00756DA5">
              <w:rPr>
                <w:color w:val="333333"/>
                <w:szCs w:val="20"/>
              </w:rPr>
              <w:t>V2</w:t>
            </w:r>
          </w:p>
        </w:tc>
        <w:tc>
          <w:tcPr>
            <w:tcW w:w="2311" w:type="dxa"/>
            <w:vAlign w:val="center"/>
          </w:tcPr>
          <w:p w:rsidR="00D20FC4" w:rsidRPr="00756DA5" w:rsidP="005202AF">
            <w:pPr>
              <w:jc w:val="center"/>
              <w:rPr>
                <w:rFonts w:cs="Arial"/>
                <w:sz w:val="18"/>
                <w:szCs w:val="18"/>
              </w:rPr>
            </w:pPr>
            <w:r w:rsidRPr="00756DA5">
              <w:rPr>
                <w:color w:val="333333"/>
                <w:szCs w:val="20"/>
              </w:rPr>
              <w:t>4 July 2013</w:t>
            </w:r>
          </w:p>
        </w:tc>
      </w:tr>
      <w:tr w:rsidTr="005202AF">
        <w:tblPrEx>
          <w:tblW w:w="9677" w:type="dxa"/>
          <w:tblLook w:val="04A0"/>
        </w:tblPrEx>
        <w:trPr>
          <w:trHeight w:val="680"/>
        </w:trPr>
        <w:tc>
          <w:tcPr>
            <w:tcW w:w="1830" w:type="dxa"/>
            <w:vAlign w:val="center"/>
          </w:tcPr>
          <w:p w:rsidR="00D20FC4" w:rsidRPr="00756DA5" w:rsidP="005202AF">
            <w:pPr>
              <w:jc w:val="left"/>
              <w:rPr>
                <w:rFonts w:cs="Arial"/>
                <w:bCs/>
                <w:sz w:val="18"/>
                <w:szCs w:val="18"/>
              </w:rPr>
            </w:pPr>
            <w:r w:rsidRPr="00756DA5">
              <w:rPr>
                <w:color w:val="333333"/>
                <w:szCs w:val="20"/>
              </w:rPr>
              <w:t>SAM S 002</w:t>
            </w:r>
          </w:p>
        </w:tc>
        <w:tc>
          <w:tcPr>
            <w:tcW w:w="4402" w:type="dxa"/>
            <w:vAlign w:val="center"/>
          </w:tcPr>
          <w:p w:rsidR="00D20FC4" w:rsidRPr="00756DA5" w:rsidP="005202AF">
            <w:pPr>
              <w:rPr>
                <w:rFonts w:cs="Arial"/>
                <w:sz w:val="18"/>
                <w:szCs w:val="18"/>
              </w:rPr>
            </w:pPr>
            <w:r w:rsidRPr="00756DA5">
              <w:rPr>
                <w:color w:val="333333"/>
                <w:szCs w:val="20"/>
              </w:rPr>
              <w:t>Fire prevention and fire fighting</w:t>
            </w:r>
          </w:p>
        </w:tc>
        <w:tc>
          <w:tcPr>
            <w:tcW w:w="1134" w:type="dxa"/>
            <w:vAlign w:val="center"/>
          </w:tcPr>
          <w:p w:rsidR="00D20FC4" w:rsidRPr="00756DA5" w:rsidP="005202AF">
            <w:pPr>
              <w:jc w:val="center"/>
              <w:rPr>
                <w:rFonts w:cs="Arial"/>
                <w:sz w:val="18"/>
                <w:szCs w:val="18"/>
              </w:rPr>
            </w:pPr>
            <w:r w:rsidRPr="00756DA5">
              <w:rPr>
                <w:color w:val="333333"/>
                <w:szCs w:val="20"/>
              </w:rPr>
              <w:t>V2</w:t>
            </w:r>
          </w:p>
        </w:tc>
        <w:tc>
          <w:tcPr>
            <w:tcW w:w="2311" w:type="dxa"/>
            <w:vAlign w:val="center"/>
          </w:tcPr>
          <w:p w:rsidR="00D20FC4" w:rsidRPr="00756DA5" w:rsidP="005202AF">
            <w:pPr>
              <w:jc w:val="center"/>
              <w:rPr>
                <w:rFonts w:cs="Arial"/>
                <w:sz w:val="18"/>
                <w:szCs w:val="18"/>
              </w:rPr>
            </w:pPr>
            <w:r w:rsidRPr="00756DA5">
              <w:rPr>
                <w:color w:val="333333"/>
                <w:szCs w:val="20"/>
              </w:rPr>
              <w:t>4 February 2014</w:t>
            </w:r>
          </w:p>
        </w:tc>
      </w:tr>
      <w:tr w:rsidTr="005202AF">
        <w:tblPrEx>
          <w:tblW w:w="9677" w:type="dxa"/>
          <w:tblLook w:val="04A0"/>
        </w:tblPrEx>
        <w:trPr>
          <w:trHeight w:val="680"/>
        </w:trPr>
        <w:tc>
          <w:tcPr>
            <w:tcW w:w="1830" w:type="dxa"/>
            <w:vAlign w:val="center"/>
          </w:tcPr>
          <w:p w:rsidR="00D20FC4" w:rsidRPr="00756DA5" w:rsidP="005202AF">
            <w:pPr>
              <w:jc w:val="left"/>
              <w:rPr>
                <w:rFonts w:cs="Arial"/>
                <w:bCs/>
                <w:sz w:val="18"/>
                <w:szCs w:val="18"/>
              </w:rPr>
            </w:pPr>
            <w:r w:rsidRPr="00756DA5">
              <w:rPr>
                <w:color w:val="333333"/>
                <w:szCs w:val="20"/>
              </w:rPr>
              <w:t>SAM S 007</w:t>
            </w:r>
          </w:p>
        </w:tc>
        <w:tc>
          <w:tcPr>
            <w:tcW w:w="4402" w:type="dxa"/>
            <w:vAlign w:val="center"/>
          </w:tcPr>
          <w:p w:rsidR="00D20FC4" w:rsidRPr="00756DA5" w:rsidP="005202AF">
            <w:pPr>
              <w:rPr>
                <w:rFonts w:cs="Arial"/>
                <w:sz w:val="18"/>
                <w:szCs w:val="18"/>
              </w:rPr>
            </w:pPr>
            <w:r w:rsidRPr="00756DA5">
              <w:rPr>
                <w:color w:val="333333"/>
                <w:szCs w:val="20"/>
              </w:rPr>
              <w:t>Safety, traffic and protection apparatus for use by driving staff</w:t>
            </w:r>
          </w:p>
        </w:tc>
        <w:tc>
          <w:tcPr>
            <w:tcW w:w="1134" w:type="dxa"/>
            <w:vAlign w:val="center"/>
          </w:tcPr>
          <w:p w:rsidR="00D20FC4" w:rsidRPr="00756DA5" w:rsidP="005202AF">
            <w:pPr>
              <w:jc w:val="center"/>
              <w:rPr>
                <w:rFonts w:cs="Arial"/>
                <w:sz w:val="18"/>
                <w:szCs w:val="18"/>
              </w:rPr>
            </w:pPr>
            <w:r w:rsidRPr="00756DA5">
              <w:rPr>
                <w:color w:val="333333"/>
                <w:szCs w:val="20"/>
              </w:rPr>
              <w:t>V2</w:t>
            </w:r>
          </w:p>
        </w:tc>
        <w:tc>
          <w:tcPr>
            <w:tcW w:w="2311" w:type="dxa"/>
            <w:vAlign w:val="center"/>
          </w:tcPr>
          <w:p w:rsidR="00D20FC4" w:rsidRPr="00756DA5" w:rsidP="005202AF">
            <w:pPr>
              <w:jc w:val="center"/>
              <w:rPr>
                <w:rFonts w:cs="Arial"/>
                <w:sz w:val="18"/>
                <w:szCs w:val="18"/>
              </w:rPr>
            </w:pPr>
            <w:r w:rsidRPr="00756DA5">
              <w:rPr>
                <w:color w:val="333333"/>
                <w:szCs w:val="20"/>
              </w:rPr>
              <w:t>28 May 2014</w:t>
            </w:r>
          </w:p>
        </w:tc>
      </w:tr>
      <w:tr w:rsidTr="005202AF">
        <w:tblPrEx>
          <w:tblW w:w="9677" w:type="dxa"/>
          <w:tblLook w:val="04A0"/>
        </w:tblPrEx>
        <w:trPr>
          <w:trHeight w:val="680"/>
        </w:trPr>
        <w:tc>
          <w:tcPr>
            <w:tcW w:w="1830" w:type="dxa"/>
            <w:vAlign w:val="center"/>
          </w:tcPr>
          <w:p w:rsidR="00D20FC4" w:rsidRPr="00756DA5" w:rsidP="005202AF">
            <w:pPr>
              <w:jc w:val="left"/>
              <w:rPr>
                <w:rFonts w:cs="Arial"/>
                <w:color w:val="333333"/>
                <w:szCs w:val="20"/>
              </w:rPr>
            </w:pPr>
            <w:r w:rsidRPr="00756DA5">
              <w:rPr>
                <w:color w:val="333333"/>
                <w:szCs w:val="20"/>
              </w:rPr>
              <w:t>SAM X 007</w:t>
            </w:r>
          </w:p>
        </w:tc>
        <w:tc>
          <w:tcPr>
            <w:tcW w:w="4402" w:type="dxa"/>
            <w:vAlign w:val="center"/>
          </w:tcPr>
          <w:p w:rsidR="00D20FC4" w:rsidRPr="00756DA5" w:rsidP="005202AF">
            <w:pPr>
              <w:rPr>
                <w:rFonts w:cs="Arial"/>
                <w:color w:val="333333"/>
                <w:szCs w:val="20"/>
              </w:rPr>
            </w:pPr>
            <w:r w:rsidRPr="00756DA5">
              <w:rPr>
                <w:color w:val="333333"/>
                <w:szCs w:val="20"/>
              </w:rPr>
              <w:t>Cross winds</w:t>
            </w:r>
          </w:p>
        </w:tc>
        <w:tc>
          <w:tcPr>
            <w:tcW w:w="1134" w:type="dxa"/>
            <w:vAlign w:val="center"/>
          </w:tcPr>
          <w:p w:rsidR="00D20FC4" w:rsidRPr="00756DA5" w:rsidP="005202AF">
            <w:pPr>
              <w:jc w:val="center"/>
              <w:rPr>
                <w:rFonts w:cs="Arial"/>
                <w:color w:val="333333"/>
                <w:szCs w:val="20"/>
              </w:rPr>
            </w:pPr>
            <w:r w:rsidRPr="00756DA5">
              <w:rPr>
                <w:color w:val="333333"/>
                <w:szCs w:val="20"/>
              </w:rPr>
              <w:t>V1</w:t>
            </w:r>
          </w:p>
        </w:tc>
        <w:tc>
          <w:tcPr>
            <w:tcW w:w="2311" w:type="dxa"/>
            <w:vAlign w:val="center"/>
          </w:tcPr>
          <w:p w:rsidR="00D20FC4" w:rsidRPr="00756DA5" w:rsidP="005202AF">
            <w:pPr>
              <w:jc w:val="center"/>
              <w:rPr>
                <w:rFonts w:cs="Arial"/>
                <w:color w:val="333333"/>
                <w:szCs w:val="20"/>
              </w:rPr>
            </w:pPr>
            <w:r w:rsidRPr="00756DA5">
              <w:rPr>
                <w:color w:val="333333"/>
                <w:szCs w:val="20"/>
              </w:rPr>
              <w:t>5 December 2011</w:t>
            </w:r>
          </w:p>
        </w:tc>
      </w:tr>
    </w:tbl>
    <w:p w:rsidR="00D20FC4" w:rsidRPr="00756DA5" w:rsidP="00D20FC4">
      <w:pPr>
        <w:spacing w:after="0"/>
      </w:pPr>
      <w:bookmarkEnd w:id="105"/>
    </w:p>
    <w:p w:rsidR="00D20FC4" w:rsidRPr="00756DA5" w:rsidP="00D20FC4">
      <w:pPr>
        <w:spacing w:after="0"/>
      </w:pPr>
    </w:p>
    <w:p w:rsidR="00D20FC4" w:rsidRPr="00756DA5" w:rsidP="00D20FC4">
      <w:pPr>
        <w:shd w:val="clear" w:color="auto" w:fill="FFFFFF"/>
        <w:spacing w:after="0" w:line="280" w:lineRule="exact"/>
        <w:rPr>
          <w:rFonts w:cs="Arial"/>
          <w:b/>
          <w:color w:val="333333"/>
          <w:szCs w:val="20"/>
        </w:rPr>
      </w:pPr>
      <w:r w:rsidRPr="00756DA5">
        <w:rPr>
          <w:b/>
          <w:bCs/>
          <w:szCs w:val="20"/>
        </w:rPr>
        <w:t xml:space="preserve">■ </w:t>
      </w:r>
      <w:r w:rsidRPr="00756DA5">
        <w:rPr>
          <w:b/>
          <w:color w:val="333333"/>
          <w:szCs w:val="20"/>
        </w:rPr>
        <w:t xml:space="preserve">SAMs the withdrawal of which from the website of the EPSF </w:t>
      </w:r>
      <w:r w:rsidRPr="00756DA5">
        <w:rPr>
          <w:b/>
          <w:color w:val="333333"/>
          <w:szCs w:val="20"/>
        </w:rPr>
        <w:t>has been announced</w:t>
      </w:r>
      <w:r w:rsidRPr="00756DA5">
        <w:rPr>
          <w:b/>
          <w:color w:val="333333"/>
          <w:szCs w:val="20"/>
        </w:rPr>
        <w:t xml:space="preserve"> to the sector and that will take place at the end of January 2018:</w:t>
      </w:r>
    </w:p>
    <w:p w:rsidR="00D20FC4" w:rsidRPr="00756DA5" w:rsidP="00D20FC4">
      <w:pPr>
        <w:spacing w:after="0"/>
      </w:pPr>
    </w:p>
    <w:p w:rsidR="00D20FC4" w:rsidRPr="00756DA5" w:rsidP="00D20FC4">
      <w:pPr>
        <w:spacing w:after="0"/>
      </w:pPr>
    </w:p>
    <w:tbl>
      <w:tblPr>
        <w:tblStyle w:val="TableGrid"/>
        <w:tblW w:w="9677" w:type="dxa"/>
        <w:tblLook w:val="04A0"/>
      </w:tblPr>
      <w:tblGrid>
        <w:gridCol w:w="1830"/>
        <w:gridCol w:w="4402"/>
        <w:gridCol w:w="1134"/>
        <w:gridCol w:w="2311"/>
      </w:tblGrid>
      <w:tr w:rsidTr="005202AF">
        <w:tblPrEx>
          <w:tblW w:w="9677" w:type="dxa"/>
          <w:tblLook w:val="04A0"/>
        </w:tblPrEx>
        <w:trPr>
          <w:trHeight w:val="1144"/>
        </w:trPr>
        <w:tc>
          <w:tcPr>
            <w:tcW w:w="1830" w:type="dxa"/>
            <w:shd w:val="clear" w:color="auto" w:fill="808080" w:themeFill="background1" w:themeFillShade="80"/>
            <w:noWrap/>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Reference</w:t>
            </w:r>
          </w:p>
        </w:tc>
        <w:tc>
          <w:tcPr>
            <w:tcW w:w="4402" w:type="dxa"/>
            <w:shd w:val="clear" w:color="auto" w:fill="808080" w:themeFill="background1" w:themeFillShade="80"/>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Title</w:t>
            </w:r>
          </w:p>
        </w:tc>
        <w:tc>
          <w:tcPr>
            <w:tcW w:w="1134" w:type="dxa"/>
            <w:shd w:val="clear" w:color="auto" w:fill="808080" w:themeFill="background1" w:themeFillShade="80"/>
            <w:vAlign w:val="center"/>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AMC</w:t>
            </w:r>
          </w:p>
        </w:tc>
        <w:tc>
          <w:tcPr>
            <w:tcW w:w="2311" w:type="dxa"/>
            <w:shd w:val="clear" w:color="auto" w:fill="808080" w:themeFill="background1" w:themeFillShade="80"/>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Application date</w:t>
            </w:r>
          </w:p>
        </w:tc>
      </w:tr>
      <w:tr w:rsidTr="005202AF">
        <w:tblPrEx>
          <w:tblW w:w="9677" w:type="dxa"/>
          <w:tblLook w:val="04A0"/>
        </w:tblPrEx>
        <w:trPr>
          <w:trHeight w:val="680"/>
        </w:trPr>
        <w:tc>
          <w:tcPr>
            <w:tcW w:w="1830" w:type="dxa"/>
            <w:vAlign w:val="center"/>
          </w:tcPr>
          <w:p w:rsidR="00D20FC4" w:rsidRPr="00756DA5" w:rsidP="005202AF">
            <w:pPr>
              <w:jc w:val="left"/>
              <w:rPr>
                <w:rFonts w:cs="Arial"/>
                <w:bCs/>
                <w:sz w:val="18"/>
                <w:szCs w:val="18"/>
              </w:rPr>
            </w:pPr>
            <w:r w:rsidRPr="00756DA5">
              <w:rPr>
                <w:color w:val="333333"/>
                <w:szCs w:val="20"/>
              </w:rPr>
              <w:t>SAM F 009</w:t>
            </w:r>
          </w:p>
        </w:tc>
        <w:tc>
          <w:tcPr>
            <w:tcW w:w="4402" w:type="dxa"/>
            <w:vAlign w:val="center"/>
          </w:tcPr>
          <w:p w:rsidR="00D20FC4" w:rsidRPr="00756DA5" w:rsidP="00AA185C">
            <w:pPr>
              <w:rPr>
                <w:rFonts w:cs="Arial"/>
                <w:sz w:val="18"/>
                <w:szCs w:val="18"/>
              </w:rPr>
            </w:pPr>
            <w:r w:rsidRPr="00756DA5">
              <w:rPr>
                <w:color w:val="333333"/>
                <w:szCs w:val="20"/>
              </w:rPr>
              <w:t>Application of wheel/rail adhesion when braking</w:t>
            </w:r>
          </w:p>
        </w:tc>
        <w:tc>
          <w:tcPr>
            <w:tcW w:w="1134" w:type="dxa"/>
            <w:vAlign w:val="center"/>
          </w:tcPr>
          <w:p w:rsidR="00D20FC4" w:rsidRPr="00756DA5" w:rsidP="005202AF">
            <w:pPr>
              <w:jc w:val="center"/>
              <w:rPr>
                <w:rFonts w:cs="Arial"/>
                <w:sz w:val="18"/>
                <w:szCs w:val="18"/>
              </w:rPr>
            </w:pPr>
            <w:r w:rsidRPr="00756DA5">
              <w:rPr>
                <w:color w:val="333333"/>
                <w:szCs w:val="20"/>
              </w:rPr>
              <w:t>V1</w:t>
            </w:r>
          </w:p>
        </w:tc>
        <w:tc>
          <w:tcPr>
            <w:tcW w:w="2311" w:type="dxa"/>
            <w:vAlign w:val="center"/>
          </w:tcPr>
          <w:p w:rsidR="00D20FC4" w:rsidRPr="00756DA5" w:rsidP="005202AF">
            <w:pPr>
              <w:jc w:val="center"/>
              <w:rPr>
                <w:rFonts w:cs="Arial"/>
                <w:sz w:val="18"/>
                <w:szCs w:val="18"/>
              </w:rPr>
            </w:pPr>
            <w:r w:rsidRPr="00756DA5">
              <w:rPr>
                <w:color w:val="333333"/>
                <w:szCs w:val="20"/>
              </w:rPr>
              <w:t>16 November 2007</w:t>
            </w:r>
          </w:p>
        </w:tc>
      </w:tr>
      <w:tr w:rsidTr="005202AF">
        <w:tblPrEx>
          <w:tblW w:w="9677" w:type="dxa"/>
          <w:tblLook w:val="04A0"/>
        </w:tblPrEx>
        <w:trPr>
          <w:trHeight w:val="680"/>
        </w:trPr>
        <w:tc>
          <w:tcPr>
            <w:tcW w:w="1830" w:type="dxa"/>
            <w:vAlign w:val="center"/>
          </w:tcPr>
          <w:p w:rsidR="00D20FC4" w:rsidRPr="00756DA5" w:rsidP="005202AF">
            <w:pPr>
              <w:jc w:val="left"/>
              <w:rPr>
                <w:rFonts w:cs="Arial"/>
                <w:bCs/>
                <w:sz w:val="18"/>
                <w:szCs w:val="18"/>
              </w:rPr>
            </w:pPr>
            <w:r w:rsidRPr="00756DA5">
              <w:rPr>
                <w:color w:val="333333"/>
                <w:szCs w:val="20"/>
              </w:rPr>
              <w:t>SAM F 015</w:t>
            </w:r>
          </w:p>
        </w:tc>
        <w:tc>
          <w:tcPr>
            <w:tcW w:w="4402" w:type="dxa"/>
            <w:vAlign w:val="center"/>
          </w:tcPr>
          <w:p w:rsidR="00D20FC4" w:rsidRPr="00756DA5" w:rsidP="005202AF">
            <w:pPr>
              <w:rPr>
                <w:rFonts w:cs="Arial"/>
                <w:sz w:val="18"/>
                <w:szCs w:val="18"/>
              </w:rPr>
            </w:pPr>
            <w:r w:rsidRPr="00756DA5">
              <w:rPr>
                <w:color w:val="333333"/>
                <w:szCs w:val="20"/>
              </w:rPr>
              <w:t>Safety requirements concerning the design of braking systems</w:t>
            </w:r>
          </w:p>
        </w:tc>
        <w:tc>
          <w:tcPr>
            <w:tcW w:w="1134" w:type="dxa"/>
            <w:vAlign w:val="center"/>
          </w:tcPr>
          <w:p w:rsidR="00D20FC4" w:rsidRPr="00756DA5" w:rsidP="005202AF">
            <w:pPr>
              <w:jc w:val="center"/>
              <w:rPr>
                <w:rFonts w:cs="Arial"/>
                <w:sz w:val="18"/>
                <w:szCs w:val="18"/>
              </w:rPr>
            </w:pPr>
            <w:r w:rsidRPr="00756DA5">
              <w:rPr>
                <w:color w:val="333333"/>
                <w:szCs w:val="20"/>
              </w:rPr>
              <w:t>V1</w:t>
            </w:r>
          </w:p>
        </w:tc>
        <w:tc>
          <w:tcPr>
            <w:tcW w:w="2311" w:type="dxa"/>
            <w:vAlign w:val="center"/>
          </w:tcPr>
          <w:p w:rsidR="00D20FC4" w:rsidRPr="00756DA5" w:rsidP="005202AF">
            <w:pPr>
              <w:jc w:val="center"/>
              <w:rPr>
                <w:rFonts w:cs="Arial"/>
                <w:sz w:val="18"/>
                <w:szCs w:val="18"/>
              </w:rPr>
            </w:pPr>
            <w:r w:rsidRPr="00756DA5">
              <w:rPr>
                <w:color w:val="333333"/>
                <w:szCs w:val="20"/>
              </w:rPr>
              <w:t>16 November 2007</w:t>
            </w:r>
          </w:p>
        </w:tc>
      </w:tr>
      <w:tr w:rsidTr="005202AF">
        <w:tblPrEx>
          <w:tblW w:w="9677" w:type="dxa"/>
          <w:tblLook w:val="04A0"/>
        </w:tblPrEx>
        <w:trPr>
          <w:trHeight w:val="680"/>
        </w:trPr>
        <w:tc>
          <w:tcPr>
            <w:tcW w:w="1830" w:type="dxa"/>
            <w:vAlign w:val="center"/>
          </w:tcPr>
          <w:p w:rsidR="00D20FC4" w:rsidRPr="00756DA5" w:rsidP="005202AF">
            <w:pPr>
              <w:jc w:val="left"/>
              <w:rPr>
                <w:rFonts w:cs="Arial"/>
                <w:color w:val="333333"/>
                <w:szCs w:val="20"/>
              </w:rPr>
            </w:pPr>
            <w:r w:rsidRPr="00756DA5">
              <w:rPr>
                <w:color w:val="333333"/>
                <w:szCs w:val="20"/>
              </w:rPr>
              <w:t>SAM F 017</w:t>
            </w:r>
          </w:p>
        </w:tc>
        <w:tc>
          <w:tcPr>
            <w:tcW w:w="4402" w:type="dxa"/>
            <w:vAlign w:val="center"/>
          </w:tcPr>
          <w:p w:rsidR="00D20FC4" w:rsidRPr="00756DA5" w:rsidP="005202AF">
            <w:pPr>
              <w:rPr>
                <w:rFonts w:cs="Arial"/>
                <w:color w:val="333333"/>
                <w:szCs w:val="20"/>
              </w:rPr>
            </w:pPr>
            <w:r w:rsidRPr="00756DA5">
              <w:rPr>
                <w:color w:val="333333"/>
                <w:szCs w:val="20"/>
              </w:rPr>
              <w:t>Consistency of the brake technical file and validation testing</w:t>
            </w:r>
          </w:p>
        </w:tc>
        <w:tc>
          <w:tcPr>
            <w:tcW w:w="1134" w:type="dxa"/>
            <w:vAlign w:val="center"/>
          </w:tcPr>
          <w:p w:rsidR="00D20FC4" w:rsidRPr="00756DA5" w:rsidP="005202AF">
            <w:pPr>
              <w:jc w:val="center"/>
              <w:rPr>
                <w:rFonts w:cs="Arial"/>
                <w:color w:val="333333"/>
                <w:szCs w:val="20"/>
              </w:rPr>
            </w:pPr>
            <w:r w:rsidRPr="00756DA5">
              <w:rPr>
                <w:color w:val="333333"/>
                <w:szCs w:val="20"/>
              </w:rPr>
              <w:t>V1</w:t>
            </w:r>
          </w:p>
        </w:tc>
        <w:tc>
          <w:tcPr>
            <w:tcW w:w="2311" w:type="dxa"/>
            <w:vAlign w:val="center"/>
          </w:tcPr>
          <w:p w:rsidR="00D20FC4" w:rsidRPr="00756DA5" w:rsidP="005202AF">
            <w:pPr>
              <w:jc w:val="center"/>
              <w:rPr>
                <w:rFonts w:cs="Arial"/>
                <w:color w:val="333333"/>
                <w:szCs w:val="20"/>
              </w:rPr>
            </w:pPr>
            <w:r w:rsidRPr="00756DA5">
              <w:rPr>
                <w:color w:val="333333"/>
                <w:szCs w:val="20"/>
              </w:rPr>
              <w:t>4 July 2012</w:t>
            </w:r>
          </w:p>
        </w:tc>
      </w:tr>
      <w:tr w:rsidTr="005202AF">
        <w:tblPrEx>
          <w:tblW w:w="9677" w:type="dxa"/>
          <w:tblLook w:val="04A0"/>
        </w:tblPrEx>
        <w:trPr>
          <w:trHeight w:val="680"/>
        </w:trPr>
        <w:tc>
          <w:tcPr>
            <w:tcW w:w="1830" w:type="dxa"/>
            <w:vAlign w:val="center"/>
          </w:tcPr>
          <w:p w:rsidR="00D20FC4" w:rsidRPr="00756DA5" w:rsidP="005202AF">
            <w:pPr>
              <w:jc w:val="left"/>
              <w:rPr>
                <w:rFonts w:cs="Arial"/>
                <w:color w:val="333333"/>
                <w:szCs w:val="20"/>
              </w:rPr>
            </w:pPr>
            <w:r w:rsidRPr="00756DA5">
              <w:rPr>
                <w:color w:val="333333"/>
                <w:szCs w:val="20"/>
              </w:rPr>
              <w:t>SAM F 503</w:t>
            </w:r>
          </w:p>
        </w:tc>
        <w:tc>
          <w:tcPr>
            <w:tcW w:w="4402" w:type="dxa"/>
            <w:vAlign w:val="center"/>
          </w:tcPr>
          <w:p w:rsidR="00D20FC4" w:rsidRPr="00756DA5" w:rsidP="005202AF">
            <w:pPr>
              <w:rPr>
                <w:rFonts w:cs="Arial"/>
                <w:color w:val="333333"/>
                <w:szCs w:val="20"/>
              </w:rPr>
            </w:pPr>
            <w:r w:rsidRPr="00756DA5">
              <w:rPr>
                <w:color w:val="333333"/>
                <w:szCs w:val="20"/>
              </w:rPr>
              <w:t>Closed-loop traction control when braking</w:t>
            </w:r>
          </w:p>
        </w:tc>
        <w:tc>
          <w:tcPr>
            <w:tcW w:w="1134" w:type="dxa"/>
            <w:vAlign w:val="center"/>
          </w:tcPr>
          <w:p w:rsidR="00D20FC4" w:rsidRPr="00756DA5" w:rsidP="005202AF">
            <w:pPr>
              <w:jc w:val="center"/>
              <w:rPr>
                <w:rFonts w:cs="Arial"/>
                <w:color w:val="333333"/>
                <w:szCs w:val="20"/>
              </w:rPr>
            </w:pPr>
            <w:r w:rsidRPr="00756DA5">
              <w:rPr>
                <w:color w:val="333333"/>
                <w:szCs w:val="20"/>
              </w:rPr>
              <w:t>V1</w:t>
            </w:r>
          </w:p>
        </w:tc>
        <w:tc>
          <w:tcPr>
            <w:tcW w:w="2311" w:type="dxa"/>
            <w:vAlign w:val="center"/>
          </w:tcPr>
          <w:p w:rsidR="00D20FC4" w:rsidRPr="00756DA5" w:rsidP="005202AF">
            <w:pPr>
              <w:jc w:val="center"/>
              <w:rPr>
                <w:rFonts w:cs="Arial"/>
                <w:color w:val="333333"/>
                <w:szCs w:val="20"/>
              </w:rPr>
            </w:pPr>
            <w:r w:rsidRPr="00756DA5">
              <w:rPr>
                <w:color w:val="333333"/>
                <w:szCs w:val="20"/>
              </w:rPr>
              <w:t>2009</w:t>
            </w:r>
          </w:p>
        </w:tc>
      </w:tr>
      <w:tr w:rsidTr="005202AF">
        <w:tblPrEx>
          <w:tblW w:w="9677" w:type="dxa"/>
          <w:tblLook w:val="04A0"/>
        </w:tblPrEx>
        <w:trPr>
          <w:trHeight w:val="680"/>
        </w:trPr>
        <w:tc>
          <w:tcPr>
            <w:tcW w:w="1830" w:type="dxa"/>
            <w:vAlign w:val="center"/>
          </w:tcPr>
          <w:p w:rsidR="00D20FC4" w:rsidRPr="00756DA5" w:rsidP="005202AF">
            <w:pPr>
              <w:jc w:val="left"/>
              <w:rPr>
                <w:rFonts w:cs="Arial"/>
                <w:color w:val="333333"/>
                <w:szCs w:val="20"/>
              </w:rPr>
            </w:pPr>
            <w:r w:rsidRPr="00756DA5">
              <w:rPr>
                <w:color w:val="333333"/>
                <w:szCs w:val="20"/>
              </w:rPr>
              <w:t>SAM S 010</w:t>
            </w:r>
          </w:p>
        </w:tc>
        <w:tc>
          <w:tcPr>
            <w:tcW w:w="4402" w:type="dxa"/>
            <w:vAlign w:val="center"/>
          </w:tcPr>
          <w:p w:rsidR="00D20FC4" w:rsidRPr="00756DA5" w:rsidP="005202AF">
            <w:pPr>
              <w:rPr>
                <w:rFonts w:cs="Arial"/>
                <w:color w:val="333333"/>
                <w:szCs w:val="20"/>
              </w:rPr>
            </w:pPr>
            <w:r w:rsidRPr="00756DA5">
              <w:rPr>
                <w:color w:val="333333"/>
                <w:szCs w:val="20"/>
              </w:rPr>
              <w:t>Single employee operation</w:t>
            </w:r>
          </w:p>
        </w:tc>
        <w:tc>
          <w:tcPr>
            <w:tcW w:w="1134" w:type="dxa"/>
            <w:vAlign w:val="center"/>
          </w:tcPr>
          <w:p w:rsidR="00D20FC4" w:rsidRPr="00756DA5" w:rsidP="005202AF">
            <w:pPr>
              <w:jc w:val="center"/>
              <w:rPr>
                <w:rFonts w:cs="Arial"/>
                <w:color w:val="333333"/>
                <w:szCs w:val="20"/>
              </w:rPr>
            </w:pPr>
            <w:r w:rsidRPr="00756DA5">
              <w:rPr>
                <w:color w:val="333333"/>
                <w:szCs w:val="20"/>
              </w:rPr>
              <w:t>V2</w:t>
            </w:r>
          </w:p>
        </w:tc>
        <w:tc>
          <w:tcPr>
            <w:tcW w:w="2311" w:type="dxa"/>
            <w:vAlign w:val="center"/>
          </w:tcPr>
          <w:p w:rsidR="00D20FC4" w:rsidRPr="00756DA5" w:rsidP="005202AF">
            <w:pPr>
              <w:jc w:val="center"/>
              <w:rPr>
                <w:rFonts w:cs="Arial"/>
                <w:color w:val="333333"/>
                <w:szCs w:val="20"/>
              </w:rPr>
            </w:pPr>
            <w:r w:rsidRPr="00756DA5">
              <w:rPr>
                <w:color w:val="333333"/>
                <w:szCs w:val="20"/>
              </w:rPr>
              <w:t>28 May 2014</w:t>
            </w:r>
          </w:p>
        </w:tc>
      </w:tr>
      <w:tr w:rsidTr="005202AF">
        <w:tblPrEx>
          <w:tblW w:w="9677" w:type="dxa"/>
          <w:tblLook w:val="04A0"/>
        </w:tblPrEx>
        <w:trPr>
          <w:trHeight w:val="680"/>
        </w:trPr>
        <w:tc>
          <w:tcPr>
            <w:tcW w:w="1830" w:type="dxa"/>
            <w:vAlign w:val="center"/>
          </w:tcPr>
          <w:p w:rsidR="00D20FC4" w:rsidRPr="00756DA5" w:rsidP="005202AF">
            <w:pPr>
              <w:jc w:val="left"/>
              <w:rPr>
                <w:rFonts w:cs="Arial"/>
                <w:color w:val="333333"/>
                <w:szCs w:val="20"/>
              </w:rPr>
            </w:pPr>
            <w:r w:rsidRPr="00756DA5">
              <w:rPr>
                <w:color w:val="333333"/>
                <w:szCs w:val="20"/>
              </w:rPr>
              <w:t>SAM T 001</w:t>
            </w:r>
          </w:p>
        </w:tc>
        <w:tc>
          <w:tcPr>
            <w:tcW w:w="4402" w:type="dxa"/>
            <w:vAlign w:val="center"/>
          </w:tcPr>
          <w:p w:rsidR="00D20FC4" w:rsidRPr="00756DA5" w:rsidP="005202AF">
            <w:pPr>
              <w:rPr>
                <w:rFonts w:cs="Arial"/>
                <w:color w:val="333333"/>
                <w:szCs w:val="20"/>
              </w:rPr>
            </w:pPr>
            <w:r w:rsidRPr="00756DA5">
              <w:rPr>
                <w:color w:val="333333"/>
                <w:szCs w:val="20"/>
              </w:rPr>
              <w:t>Limitation of the power required by the train</w:t>
            </w:r>
          </w:p>
        </w:tc>
        <w:tc>
          <w:tcPr>
            <w:tcW w:w="1134" w:type="dxa"/>
            <w:vAlign w:val="center"/>
          </w:tcPr>
          <w:p w:rsidR="00D20FC4" w:rsidRPr="00756DA5" w:rsidP="005202AF">
            <w:pPr>
              <w:jc w:val="center"/>
              <w:rPr>
                <w:rFonts w:cs="Arial"/>
                <w:color w:val="333333"/>
                <w:szCs w:val="20"/>
              </w:rPr>
            </w:pPr>
            <w:r w:rsidRPr="00756DA5">
              <w:rPr>
                <w:color w:val="333333"/>
                <w:szCs w:val="20"/>
              </w:rPr>
              <w:t>V1</w:t>
            </w:r>
          </w:p>
        </w:tc>
        <w:tc>
          <w:tcPr>
            <w:tcW w:w="2311" w:type="dxa"/>
            <w:vAlign w:val="center"/>
          </w:tcPr>
          <w:p w:rsidR="00D20FC4" w:rsidRPr="00756DA5" w:rsidP="005202AF">
            <w:pPr>
              <w:jc w:val="center"/>
              <w:rPr>
                <w:rFonts w:cs="Arial"/>
                <w:color w:val="333333"/>
                <w:szCs w:val="20"/>
              </w:rPr>
            </w:pPr>
            <w:r w:rsidRPr="00756DA5">
              <w:rPr>
                <w:color w:val="333333"/>
                <w:szCs w:val="20"/>
              </w:rPr>
              <w:t>4 July 2012</w:t>
            </w:r>
          </w:p>
        </w:tc>
      </w:tr>
      <w:tr w:rsidTr="005202AF">
        <w:tblPrEx>
          <w:tblW w:w="9677" w:type="dxa"/>
          <w:tblLook w:val="04A0"/>
        </w:tblPrEx>
        <w:trPr>
          <w:trHeight w:val="680"/>
        </w:trPr>
        <w:tc>
          <w:tcPr>
            <w:tcW w:w="1830" w:type="dxa"/>
            <w:vAlign w:val="center"/>
          </w:tcPr>
          <w:p w:rsidR="00D20FC4" w:rsidRPr="00756DA5" w:rsidP="005202AF">
            <w:pPr>
              <w:jc w:val="left"/>
              <w:rPr>
                <w:rFonts w:cs="Arial"/>
                <w:color w:val="333333"/>
                <w:szCs w:val="20"/>
              </w:rPr>
            </w:pPr>
            <w:r w:rsidRPr="00756DA5">
              <w:rPr>
                <w:color w:val="333333"/>
                <w:szCs w:val="20"/>
              </w:rPr>
              <w:t>SAM T 002</w:t>
            </w:r>
          </w:p>
        </w:tc>
        <w:tc>
          <w:tcPr>
            <w:tcW w:w="4402" w:type="dxa"/>
            <w:vAlign w:val="center"/>
          </w:tcPr>
          <w:p w:rsidR="00D20FC4" w:rsidRPr="00756DA5" w:rsidP="005202AF">
            <w:pPr>
              <w:rPr>
                <w:rFonts w:cs="Arial"/>
                <w:color w:val="333333"/>
                <w:szCs w:val="20"/>
              </w:rPr>
            </w:pPr>
            <w:r w:rsidRPr="00756DA5">
              <w:rPr>
                <w:color w:val="333333"/>
                <w:szCs w:val="20"/>
              </w:rPr>
              <w:t>Power factor</w:t>
            </w:r>
          </w:p>
        </w:tc>
        <w:tc>
          <w:tcPr>
            <w:tcW w:w="1134" w:type="dxa"/>
            <w:vAlign w:val="center"/>
          </w:tcPr>
          <w:p w:rsidR="00D20FC4" w:rsidRPr="00756DA5" w:rsidP="005202AF">
            <w:pPr>
              <w:jc w:val="center"/>
              <w:rPr>
                <w:rFonts w:cs="Arial"/>
                <w:color w:val="333333"/>
                <w:szCs w:val="20"/>
              </w:rPr>
            </w:pPr>
            <w:r w:rsidRPr="00756DA5">
              <w:rPr>
                <w:color w:val="333333"/>
                <w:szCs w:val="20"/>
              </w:rPr>
              <w:t>V1</w:t>
            </w:r>
          </w:p>
        </w:tc>
        <w:tc>
          <w:tcPr>
            <w:tcW w:w="2311" w:type="dxa"/>
            <w:vAlign w:val="center"/>
          </w:tcPr>
          <w:p w:rsidR="00D20FC4" w:rsidRPr="00756DA5" w:rsidP="005202AF">
            <w:pPr>
              <w:jc w:val="center"/>
              <w:rPr>
                <w:rFonts w:cs="Arial"/>
                <w:color w:val="333333"/>
                <w:szCs w:val="20"/>
              </w:rPr>
            </w:pPr>
            <w:r w:rsidRPr="00756DA5">
              <w:rPr>
                <w:color w:val="333333"/>
                <w:szCs w:val="20"/>
              </w:rPr>
              <w:t>4 July 2012</w:t>
            </w:r>
          </w:p>
        </w:tc>
      </w:tr>
      <w:tr w:rsidTr="005202AF">
        <w:tblPrEx>
          <w:tblW w:w="9677" w:type="dxa"/>
          <w:tblLook w:val="04A0"/>
        </w:tblPrEx>
        <w:trPr>
          <w:trHeight w:val="680"/>
        </w:trPr>
        <w:tc>
          <w:tcPr>
            <w:tcW w:w="1830" w:type="dxa"/>
            <w:vAlign w:val="center"/>
          </w:tcPr>
          <w:p w:rsidR="00D20FC4" w:rsidRPr="00756DA5" w:rsidP="005202AF">
            <w:pPr>
              <w:jc w:val="left"/>
              <w:rPr>
                <w:rFonts w:cs="Arial"/>
                <w:color w:val="333333"/>
                <w:szCs w:val="20"/>
              </w:rPr>
            </w:pPr>
            <w:r w:rsidRPr="00756DA5">
              <w:rPr>
                <w:color w:val="333333"/>
                <w:szCs w:val="20"/>
              </w:rPr>
              <w:t>SAM T 003</w:t>
            </w:r>
          </w:p>
        </w:tc>
        <w:tc>
          <w:tcPr>
            <w:tcW w:w="4402" w:type="dxa"/>
            <w:vAlign w:val="center"/>
          </w:tcPr>
          <w:p w:rsidR="00D20FC4" w:rsidRPr="00756DA5" w:rsidP="005202AF">
            <w:pPr>
              <w:rPr>
                <w:rFonts w:cs="Arial"/>
                <w:color w:val="333333"/>
                <w:szCs w:val="20"/>
              </w:rPr>
            </w:pPr>
            <w:r w:rsidRPr="00756DA5">
              <w:rPr>
                <w:color w:val="333333"/>
                <w:szCs w:val="20"/>
              </w:rPr>
              <w:t>Specific electrical requirements – electric regenerative breaking</w:t>
            </w:r>
          </w:p>
        </w:tc>
        <w:tc>
          <w:tcPr>
            <w:tcW w:w="1134" w:type="dxa"/>
            <w:vAlign w:val="center"/>
          </w:tcPr>
          <w:p w:rsidR="00D20FC4" w:rsidRPr="00756DA5" w:rsidP="005202AF">
            <w:pPr>
              <w:jc w:val="center"/>
              <w:rPr>
                <w:rFonts w:cs="Arial"/>
                <w:color w:val="333333"/>
                <w:szCs w:val="20"/>
              </w:rPr>
            </w:pPr>
            <w:r w:rsidRPr="00756DA5">
              <w:rPr>
                <w:color w:val="333333"/>
                <w:szCs w:val="20"/>
              </w:rPr>
              <w:t>V1</w:t>
            </w:r>
          </w:p>
        </w:tc>
        <w:tc>
          <w:tcPr>
            <w:tcW w:w="2311" w:type="dxa"/>
            <w:vAlign w:val="center"/>
          </w:tcPr>
          <w:p w:rsidR="00D20FC4" w:rsidRPr="00756DA5" w:rsidP="005202AF">
            <w:pPr>
              <w:jc w:val="center"/>
              <w:rPr>
                <w:rFonts w:cs="Arial"/>
                <w:color w:val="333333"/>
                <w:szCs w:val="20"/>
              </w:rPr>
            </w:pPr>
            <w:r w:rsidRPr="00756DA5">
              <w:rPr>
                <w:color w:val="333333"/>
                <w:szCs w:val="20"/>
              </w:rPr>
              <w:t>4 July 2012</w:t>
            </w:r>
          </w:p>
        </w:tc>
      </w:tr>
    </w:tbl>
    <w:p w:rsidR="00D20FC4" w:rsidRPr="00756DA5" w:rsidP="00D20FC4">
      <w:pPr>
        <w:spacing w:after="0"/>
      </w:pPr>
    </w:p>
    <w:p w:rsidR="00D20FC4" w:rsidRPr="00756DA5" w:rsidP="00D20FC4">
      <w:pPr>
        <w:ind w:left="708"/>
        <w:rPr>
          <w:b/>
          <w:color w:val="808080" w:themeColor="background1" w:themeShade="80"/>
          <w:sz w:val="32"/>
          <w:szCs w:val="32"/>
        </w:rPr>
      </w:pPr>
      <w:r w:rsidRPr="00756DA5">
        <w:rPr>
          <w:b/>
          <w:color w:val="808080" w:themeColor="background1" w:themeShade="80"/>
          <w:sz w:val="32"/>
          <w:szCs w:val="32"/>
        </w:rPr>
        <w:t>4.2</w:t>
      </w:r>
      <w:r w:rsidRPr="00756DA5">
        <w:rPr>
          <w:b/>
          <w:color w:val="808080" w:themeColor="background1" w:themeShade="80"/>
          <w:sz w:val="32"/>
          <w:szCs w:val="32"/>
        </w:rPr>
        <w:tab/>
        <w:t>Texts of the operational documentation published by SNCF Réseau, submitted for the prior opinion of the EPSF</w:t>
      </w:r>
    </w:p>
    <w:p w:rsidR="00D20FC4" w:rsidRPr="00756DA5" w:rsidP="00D20FC4"/>
    <w:tbl>
      <w:tblPr>
        <w:tblStyle w:val="TableGrid"/>
        <w:tblW w:w="9634" w:type="dxa"/>
        <w:tblLook w:val="04A0"/>
      </w:tblPr>
      <w:tblGrid>
        <w:gridCol w:w="2263"/>
        <w:gridCol w:w="7371"/>
      </w:tblGrid>
      <w:tr w:rsidTr="005202AF">
        <w:tblPrEx>
          <w:tblW w:w="9634" w:type="dxa"/>
          <w:tblLook w:val="04A0"/>
        </w:tblPrEx>
        <w:trPr>
          <w:trHeight w:val="1144"/>
        </w:trPr>
        <w:tc>
          <w:tcPr>
            <w:tcW w:w="2263" w:type="dxa"/>
            <w:shd w:val="clear" w:color="auto" w:fill="808080" w:themeFill="background1" w:themeFillShade="80"/>
            <w:noWrap/>
            <w:vAlign w:val="center"/>
            <w:hideMark/>
          </w:tcPr>
          <w:p w:rsidR="00D20FC4" w:rsidRPr="00756DA5" w:rsidP="005202AF">
            <w:pPr>
              <w:jc w:val="center"/>
              <w:rPr>
                <w:rFonts w:cs="Arial"/>
                <w:b/>
                <w:bCs/>
                <w:color w:val="FFFFFF" w:themeColor="background1"/>
                <w:sz w:val="18"/>
                <w:szCs w:val="18"/>
              </w:rPr>
            </w:pPr>
            <w:r w:rsidRPr="00756DA5">
              <w:rPr>
                <w:color w:val="808080" w:themeColor="background1" w:themeShade="80"/>
                <w:sz w:val="24"/>
                <w:szCs w:val="24"/>
              </w:rPr>
              <w:br/>
            </w:r>
            <w:r w:rsidRPr="00756DA5">
              <w:rPr>
                <w:b/>
                <w:bCs/>
                <w:color w:val="FFFFFF" w:themeColor="background1"/>
                <w:sz w:val="18"/>
                <w:szCs w:val="18"/>
              </w:rPr>
              <w:t>Reference</w:t>
            </w:r>
          </w:p>
        </w:tc>
        <w:tc>
          <w:tcPr>
            <w:tcW w:w="7371" w:type="dxa"/>
            <w:shd w:val="clear" w:color="auto" w:fill="808080" w:themeFill="background1" w:themeFillShade="80"/>
            <w:vAlign w:val="center"/>
            <w:hideMark/>
          </w:tcPr>
          <w:p w:rsidR="00D20FC4" w:rsidRPr="00756DA5" w:rsidP="005202AF">
            <w:pPr>
              <w:jc w:val="center"/>
              <w:rPr>
                <w:rFonts w:cs="Arial"/>
                <w:b/>
                <w:bCs/>
                <w:color w:val="FFFFFF" w:themeColor="background1"/>
                <w:sz w:val="18"/>
                <w:szCs w:val="18"/>
              </w:rPr>
            </w:pPr>
            <w:r w:rsidRPr="00756DA5">
              <w:rPr>
                <w:b/>
                <w:bCs/>
                <w:color w:val="FFFFFF" w:themeColor="background1"/>
                <w:sz w:val="18"/>
                <w:szCs w:val="18"/>
              </w:rPr>
              <w:t>Title</w:t>
            </w:r>
          </w:p>
        </w:tc>
      </w:tr>
      <w:tr w:rsidTr="005202AF">
        <w:tblPrEx>
          <w:tblW w:w="9634" w:type="dxa"/>
          <w:tblLook w:val="04A0"/>
        </w:tblPrEx>
        <w:trPr>
          <w:trHeight w:val="791"/>
        </w:trPr>
        <w:tc>
          <w:tcPr>
            <w:tcW w:w="2263" w:type="dxa"/>
            <w:vAlign w:val="center"/>
          </w:tcPr>
          <w:p w:rsidR="00D20FC4" w:rsidRPr="00756DA5" w:rsidP="005202AF">
            <w:pPr>
              <w:jc w:val="left"/>
              <w:rPr>
                <w:rFonts w:cs="Arial"/>
                <w:bCs/>
                <w:sz w:val="18"/>
                <w:szCs w:val="18"/>
              </w:rPr>
            </w:pPr>
            <w:r w:rsidRPr="00756DA5">
              <w:rPr>
                <w:color w:val="333333"/>
                <w:szCs w:val="20"/>
              </w:rPr>
              <w:t>RFN-CG-MR 03 H-01-No 001</w:t>
            </w:r>
          </w:p>
        </w:tc>
        <w:tc>
          <w:tcPr>
            <w:tcW w:w="7371" w:type="dxa"/>
            <w:vAlign w:val="center"/>
          </w:tcPr>
          <w:p w:rsidR="00D20FC4" w:rsidRPr="00756DA5" w:rsidP="005202AF">
            <w:pPr>
              <w:rPr>
                <w:rFonts w:cs="Arial"/>
                <w:sz w:val="18"/>
                <w:szCs w:val="18"/>
              </w:rPr>
            </w:pPr>
            <w:r w:rsidRPr="00756DA5">
              <w:rPr>
                <w:color w:val="333333"/>
                <w:szCs w:val="20"/>
              </w:rPr>
              <w:t>Special traffic</w:t>
            </w:r>
          </w:p>
        </w:tc>
      </w:tr>
      <w:tr w:rsidTr="005202AF">
        <w:tblPrEx>
          <w:tblW w:w="9634" w:type="dxa"/>
          <w:tblLook w:val="04A0"/>
        </w:tblPrEx>
        <w:trPr>
          <w:trHeight w:val="1144"/>
        </w:trPr>
        <w:tc>
          <w:tcPr>
            <w:tcW w:w="2263" w:type="dxa"/>
            <w:vAlign w:val="center"/>
          </w:tcPr>
          <w:p w:rsidR="00D20FC4" w:rsidRPr="00756DA5" w:rsidP="005202AF">
            <w:pPr>
              <w:jc w:val="left"/>
              <w:rPr>
                <w:rFonts w:cs="Arial"/>
                <w:bCs/>
                <w:sz w:val="18"/>
                <w:szCs w:val="18"/>
              </w:rPr>
            </w:pPr>
            <w:r w:rsidRPr="00756DA5">
              <w:rPr>
                <w:color w:val="333333"/>
                <w:szCs w:val="20"/>
              </w:rPr>
              <w:t>RFN-CG-TR 02 E-04-No 001</w:t>
            </w:r>
          </w:p>
        </w:tc>
        <w:tc>
          <w:tcPr>
            <w:tcW w:w="7371" w:type="dxa"/>
            <w:vAlign w:val="center"/>
          </w:tcPr>
          <w:p w:rsidR="00D20FC4" w:rsidRPr="00756DA5" w:rsidP="005202AF">
            <w:pPr>
              <w:rPr>
                <w:rFonts w:cs="Arial"/>
                <w:sz w:val="18"/>
                <w:szCs w:val="18"/>
              </w:rPr>
            </w:pPr>
            <w:r w:rsidRPr="00756DA5">
              <w:rPr>
                <w:color w:val="333333"/>
                <w:szCs w:val="20"/>
              </w:rPr>
              <w:t>Measures to be taken in the case of an event during the transport dangerous goods</w:t>
            </w:r>
          </w:p>
        </w:tc>
      </w:tr>
      <w:tr w:rsidTr="005202AF">
        <w:tblPrEx>
          <w:tblW w:w="9634" w:type="dxa"/>
          <w:tblLook w:val="04A0"/>
        </w:tblPrEx>
        <w:trPr>
          <w:trHeight w:val="828"/>
        </w:trPr>
        <w:tc>
          <w:tcPr>
            <w:tcW w:w="2263" w:type="dxa"/>
            <w:vAlign w:val="center"/>
          </w:tcPr>
          <w:p w:rsidR="00D20FC4" w:rsidRPr="00756DA5" w:rsidP="005202AF">
            <w:pPr>
              <w:jc w:val="left"/>
              <w:rPr>
                <w:rFonts w:cs="Arial"/>
                <w:bCs/>
                <w:sz w:val="18"/>
                <w:szCs w:val="18"/>
              </w:rPr>
            </w:pPr>
            <w:r w:rsidRPr="00756DA5">
              <w:rPr>
                <w:color w:val="333333"/>
                <w:szCs w:val="20"/>
              </w:rPr>
              <w:t>RFN-CG-SE 02 C-00-No 007</w:t>
            </w:r>
          </w:p>
        </w:tc>
        <w:tc>
          <w:tcPr>
            <w:tcW w:w="7371" w:type="dxa"/>
            <w:vAlign w:val="center"/>
          </w:tcPr>
          <w:p w:rsidR="00D20FC4" w:rsidRPr="00756DA5" w:rsidP="005202AF">
            <w:pPr>
              <w:rPr>
                <w:rFonts w:cs="Arial"/>
                <w:sz w:val="18"/>
                <w:szCs w:val="18"/>
              </w:rPr>
            </w:pPr>
            <w:r w:rsidRPr="00756DA5">
              <w:rPr>
                <w:color w:val="333333"/>
                <w:szCs w:val="20"/>
              </w:rPr>
              <w:t>Running of trains fitted with Eddy current brakes on high-speed lines</w:t>
            </w:r>
          </w:p>
        </w:tc>
      </w:tr>
      <w:tr w:rsidTr="005202AF">
        <w:tblPrEx>
          <w:tblW w:w="9634" w:type="dxa"/>
          <w:tblLook w:val="04A0"/>
        </w:tblPrEx>
        <w:trPr>
          <w:trHeight w:val="854"/>
        </w:trPr>
        <w:tc>
          <w:tcPr>
            <w:tcW w:w="2263" w:type="dxa"/>
            <w:vAlign w:val="center"/>
          </w:tcPr>
          <w:p w:rsidR="00D20FC4" w:rsidRPr="00756DA5" w:rsidP="005202AF">
            <w:pPr>
              <w:jc w:val="left"/>
              <w:rPr>
                <w:rFonts w:cs="Arial"/>
                <w:bCs/>
                <w:sz w:val="18"/>
                <w:szCs w:val="18"/>
              </w:rPr>
            </w:pPr>
            <w:r w:rsidRPr="00756DA5">
              <w:rPr>
                <w:color w:val="333333"/>
                <w:szCs w:val="20"/>
              </w:rPr>
              <w:t>RFN-CG-SE 06 A-00-No 004</w:t>
            </w:r>
          </w:p>
        </w:tc>
        <w:tc>
          <w:tcPr>
            <w:tcW w:w="7371" w:type="dxa"/>
            <w:vAlign w:val="center"/>
          </w:tcPr>
          <w:p w:rsidR="00D20FC4" w:rsidRPr="00756DA5" w:rsidP="005202AF">
            <w:pPr>
              <w:rPr>
                <w:rFonts w:cs="Arial"/>
                <w:sz w:val="18"/>
                <w:szCs w:val="18"/>
              </w:rPr>
            </w:pPr>
            <w:r w:rsidRPr="00756DA5">
              <w:rPr>
                <w:color w:val="333333"/>
                <w:szCs w:val="20"/>
              </w:rPr>
              <w:t>Measures to be taken by railway operators with respect to de-shunting risk</w:t>
            </w:r>
          </w:p>
        </w:tc>
      </w:tr>
      <w:tr w:rsidTr="005202AF">
        <w:tblPrEx>
          <w:tblW w:w="9634" w:type="dxa"/>
          <w:tblLook w:val="04A0"/>
        </w:tblPrEx>
        <w:trPr>
          <w:trHeight w:val="854"/>
        </w:trPr>
        <w:tc>
          <w:tcPr>
            <w:tcW w:w="2263" w:type="dxa"/>
            <w:vAlign w:val="center"/>
          </w:tcPr>
          <w:p w:rsidR="00D20FC4" w:rsidRPr="00756DA5" w:rsidP="005202AF">
            <w:pPr>
              <w:jc w:val="left"/>
              <w:rPr>
                <w:rFonts w:cs="Arial"/>
                <w:color w:val="333333"/>
                <w:szCs w:val="20"/>
              </w:rPr>
            </w:pPr>
            <w:r w:rsidRPr="00756DA5">
              <w:rPr>
                <w:color w:val="333333"/>
                <w:szCs w:val="20"/>
              </w:rPr>
              <w:t>RFN-IG-SE 01 B-00-No 007</w:t>
            </w:r>
          </w:p>
        </w:tc>
        <w:tc>
          <w:tcPr>
            <w:tcW w:w="7371" w:type="dxa"/>
            <w:vAlign w:val="center"/>
          </w:tcPr>
          <w:p w:rsidR="00D20FC4" w:rsidRPr="00756DA5" w:rsidP="005202AF">
            <w:pPr>
              <w:rPr>
                <w:rFonts w:cs="Arial"/>
                <w:color w:val="333333"/>
                <w:szCs w:val="20"/>
              </w:rPr>
            </w:pPr>
            <w:r w:rsidRPr="00756DA5">
              <w:rPr>
                <w:color w:val="333333"/>
                <w:szCs w:val="20"/>
              </w:rPr>
              <w:t>Stoppage of a train using a stop signal, a semaphore or a stop bar).</w:t>
            </w:r>
          </w:p>
          <w:p w:rsidR="00D20FC4" w:rsidRPr="00756DA5" w:rsidP="005202AF">
            <w:pPr>
              <w:rPr>
                <w:rFonts w:cs="Arial"/>
                <w:color w:val="333333"/>
                <w:szCs w:val="20"/>
              </w:rPr>
            </w:pPr>
            <w:r w:rsidRPr="00756DA5">
              <w:rPr>
                <w:color w:val="333333"/>
                <w:szCs w:val="20"/>
              </w:rPr>
              <w:t>Stoppage of a train at an absolute (Nf) or permissive (F) block marker or shunt marker with TVM signalling</w:t>
            </w:r>
          </w:p>
        </w:tc>
      </w:tr>
      <w:tr w:rsidTr="005202AF">
        <w:tblPrEx>
          <w:tblW w:w="9634" w:type="dxa"/>
          <w:tblLook w:val="04A0"/>
        </w:tblPrEx>
        <w:trPr>
          <w:trHeight w:val="854"/>
        </w:trPr>
        <w:tc>
          <w:tcPr>
            <w:tcW w:w="2263"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RFN-CG-SE 10 B-00-No 004</w:t>
            </w:r>
          </w:p>
        </w:tc>
        <w:tc>
          <w:tcPr>
            <w:tcW w:w="7371"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Measures related to the LC service</w:t>
            </w:r>
          </w:p>
        </w:tc>
      </w:tr>
      <w:tr w:rsidTr="005202AF">
        <w:tblPrEx>
          <w:tblW w:w="9634" w:type="dxa"/>
          <w:tblLook w:val="04A0"/>
        </w:tblPrEx>
        <w:trPr>
          <w:trHeight w:val="854"/>
        </w:trPr>
        <w:tc>
          <w:tcPr>
            <w:tcW w:w="2263"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RFN-CG-TR 02 E-02-No 003</w:t>
            </w:r>
          </w:p>
        </w:tc>
        <w:tc>
          <w:tcPr>
            <w:tcW w:w="7371"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Transport of flexible units loaded on more than two wagons</w:t>
            </w:r>
          </w:p>
        </w:tc>
      </w:tr>
      <w:tr w:rsidTr="005202AF">
        <w:tblPrEx>
          <w:tblW w:w="9634" w:type="dxa"/>
          <w:tblLook w:val="04A0"/>
        </w:tblPrEx>
        <w:trPr>
          <w:trHeight w:val="854"/>
        </w:trPr>
        <w:tc>
          <w:tcPr>
            <w:tcW w:w="2263"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RFN-IG-TR 02 E-02-No 009</w:t>
            </w:r>
          </w:p>
        </w:tc>
        <w:tc>
          <w:tcPr>
            <w:tcW w:w="7371"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Specific provisions relating to the transport of abnormal loads</w:t>
            </w:r>
          </w:p>
        </w:tc>
      </w:tr>
      <w:tr w:rsidTr="005202AF">
        <w:tblPrEx>
          <w:tblW w:w="9634" w:type="dxa"/>
          <w:tblLook w:val="04A0"/>
        </w:tblPrEx>
        <w:trPr>
          <w:trHeight w:val="854"/>
        </w:trPr>
        <w:tc>
          <w:tcPr>
            <w:tcW w:w="2263"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RFN-CG-SE 02 C-00-No 003</w:t>
            </w:r>
          </w:p>
        </w:tc>
        <w:tc>
          <w:tcPr>
            <w:tcW w:w="7371" w:type="dxa"/>
            <w:vAlign w:val="center"/>
          </w:tcPr>
          <w:p w:rsidR="00D20FC4" w:rsidRPr="00756DA5" w:rsidP="00AA185C">
            <w:pPr>
              <w:shd w:val="clear" w:color="auto" w:fill="FFFFFF"/>
              <w:spacing w:line="280" w:lineRule="atLeast"/>
              <w:rPr>
                <w:rFonts w:cs="Arial"/>
                <w:color w:val="333333"/>
                <w:szCs w:val="20"/>
              </w:rPr>
            </w:pPr>
            <w:r w:rsidRPr="00756DA5">
              <w:rPr>
                <w:color w:val="333333"/>
                <w:szCs w:val="20"/>
              </w:rPr>
              <w:t>Measures to be taken in the event of s</w:t>
            </w:r>
            <w:r w:rsidRPr="00756DA5" w:rsidR="00AA185C">
              <w:rPr>
                <w:color w:val="333333"/>
                <w:szCs w:val="20"/>
              </w:rPr>
              <w:t>ignificantly deteriorated wheel</w:t>
            </w:r>
            <w:r w:rsidRPr="00756DA5">
              <w:rPr>
                <w:color w:val="333333"/>
                <w:szCs w:val="20"/>
              </w:rPr>
              <w:t>/rail adhesion</w:t>
            </w:r>
          </w:p>
        </w:tc>
      </w:tr>
      <w:tr w:rsidTr="005202AF">
        <w:tblPrEx>
          <w:tblW w:w="9634" w:type="dxa"/>
          <w:tblLook w:val="04A0"/>
        </w:tblPrEx>
        <w:trPr>
          <w:trHeight w:val="854"/>
        </w:trPr>
        <w:tc>
          <w:tcPr>
            <w:tcW w:w="2263"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RFN-IG-SE 01 E-00-No 001</w:t>
            </w:r>
          </w:p>
        </w:tc>
        <w:tc>
          <w:tcPr>
            <w:tcW w:w="7371"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Setting up and anomalies of the rear signals carried by carried by trains</w:t>
            </w:r>
          </w:p>
        </w:tc>
      </w:tr>
      <w:tr w:rsidTr="005202AF">
        <w:tblPrEx>
          <w:tblW w:w="9634" w:type="dxa"/>
          <w:tblLook w:val="04A0"/>
        </w:tblPrEx>
        <w:trPr>
          <w:trHeight w:val="854"/>
        </w:trPr>
        <w:tc>
          <w:tcPr>
            <w:tcW w:w="2263"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RFN-IG-TR 04 D-02-No 003</w:t>
            </w:r>
          </w:p>
        </w:tc>
        <w:tc>
          <w:tcPr>
            <w:tcW w:w="7371"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Dangers relating to persons and passengers on</w:t>
            </w:r>
          </w:p>
          <w:p w:rsidR="00D20FC4" w:rsidRPr="00756DA5" w:rsidP="005202AF">
            <w:pPr>
              <w:shd w:val="clear" w:color="auto" w:fill="FFFFFF"/>
              <w:spacing w:line="280" w:lineRule="atLeast"/>
              <w:rPr>
                <w:rFonts w:cs="Arial"/>
                <w:color w:val="333333"/>
                <w:szCs w:val="20"/>
              </w:rPr>
            </w:pPr>
            <w:r w:rsidRPr="00756DA5">
              <w:rPr>
                <w:color w:val="333333"/>
                <w:szCs w:val="20"/>
              </w:rPr>
              <w:t>railway premises</w:t>
            </w:r>
          </w:p>
        </w:tc>
      </w:tr>
      <w:tr w:rsidTr="005202AF">
        <w:tblPrEx>
          <w:tblW w:w="9634" w:type="dxa"/>
          <w:tblLook w:val="04A0"/>
        </w:tblPrEx>
        <w:trPr>
          <w:trHeight w:val="854"/>
        </w:trPr>
        <w:tc>
          <w:tcPr>
            <w:tcW w:w="2263"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RFN-CG-SE 11 A-00-No 004</w:t>
            </w:r>
          </w:p>
        </w:tc>
        <w:tc>
          <w:tcPr>
            <w:tcW w:w="7371" w:type="dxa"/>
            <w:vAlign w:val="center"/>
          </w:tcPr>
          <w:p w:rsidR="00D20FC4" w:rsidRPr="00756DA5" w:rsidP="005202AF">
            <w:pPr>
              <w:shd w:val="clear" w:color="auto" w:fill="FFFFFF"/>
              <w:spacing w:line="280" w:lineRule="atLeast"/>
              <w:rPr>
                <w:rFonts w:cs="Arial"/>
                <w:color w:val="333333"/>
                <w:szCs w:val="20"/>
              </w:rPr>
            </w:pPr>
            <w:r w:rsidRPr="00756DA5">
              <w:rPr>
                <w:color w:val="333333"/>
                <w:szCs w:val="20"/>
              </w:rPr>
              <w:t>Specific measures on electric traction relating to the running of trains with characterised by a ‘BIMA’ composition code</w:t>
            </w:r>
          </w:p>
        </w:tc>
      </w:tr>
    </w:tbl>
    <w:p w:rsidR="00D20FC4" w:rsidRPr="00756DA5" w:rsidP="00FB2CBF">
      <w:pPr>
        <w:pStyle w:val="Heading1"/>
        <w:pageBreakBefore/>
        <w:jc w:val="left"/>
        <w:rPr>
          <w:rFonts w:cs="Arial"/>
          <w:szCs w:val="44"/>
        </w:rPr>
      </w:pPr>
      <w:bookmarkStart w:id="106" w:name="_Toc494469641"/>
      <w:bookmarkStart w:id="107" w:name="_Toc533153887"/>
      <w:r w:rsidRPr="00756DA5">
        <w:t>Annex 5 – Authorisations issued by the EPSF</w:t>
      </w:r>
      <w:bookmarkEnd w:id="106"/>
      <w:bookmarkEnd w:id="107"/>
    </w:p>
    <w:tbl>
      <w:tblPr>
        <w:tblStyle w:val="Grilledutableau31"/>
        <w:tblW w:w="9217" w:type="dxa"/>
        <w:jc w:val="center"/>
        <w:tblLook w:val="04A0"/>
      </w:tblPr>
      <w:tblGrid>
        <w:gridCol w:w="6877"/>
        <w:gridCol w:w="2340"/>
      </w:tblGrid>
      <w:tr w:rsidTr="005202AF">
        <w:tblPrEx>
          <w:tblW w:w="9217" w:type="dxa"/>
          <w:jc w:val="center"/>
          <w:tblLook w:val="04A0"/>
        </w:tblPrEx>
        <w:trPr>
          <w:jc w:val="center"/>
        </w:trPr>
        <w:tc>
          <w:tcPr>
            <w:tcW w:w="6877" w:type="dxa"/>
            <w:tcBorders>
              <w:top w:val="nil"/>
              <w:left w:val="nil"/>
            </w:tcBorders>
            <w:vAlign w:val="center"/>
          </w:tcPr>
          <w:p w:rsidR="00D20FC4" w:rsidRPr="00756DA5" w:rsidP="005202AF">
            <w:pPr>
              <w:spacing w:line="280" w:lineRule="exact"/>
              <w:rPr>
                <w:rFonts w:cs="Arial"/>
                <w:szCs w:val="20"/>
              </w:rPr>
            </w:pPr>
          </w:p>
          <w:p w:rsidR="00D20FC4" w:rsidRPr="00756DA5" w:rsidP="005202AF">
            <w:pPr>
              <w:spacing w:line="280" w:lineRule="exact"/>
              <w:rPr>
                <w:rFonts w:cs="Arial"/>
                <w:szCs w:val="20"/>
              </w:rPr>
            </w:pPr>
          </w:p>
        </w:tc>
        <w:tc>
          <w:tcPr>
            <w:tcW w:w="2340" w:type="dxa"/>
            <w:vAlign w:val="center"/>
          </w:tcPr>
          <w:p w:rsidR="00D20FC4" w:rsidRPr="00756DA5" w:rsidP="005202AF">
            <w:pPr>
              <w:spacing w:line="280" w:lineRule="exact"/>
              <w:jc w:val="center"/>
              <w:rPr>
                <w:rFonts w:cs="Arial"/>
                <w:b/>
                <w:szCs w:val="20"/>
              </w:rPr>
            </w:pPr>
            <w:r w:rsidRPr="00756DA5">
              <w:rPr>
                <w:b/>
                <w:szCs w:val="20"/>
              </w:rPr>
              <w:t>Total number of certificates</w:t>
            </w:r>
          </w:p>
        </w:tc>
      </w:tr>
      <w:tr w:rsidTr="005202AF">
        <w:tblPrEx>
          <w:tblW w:w="9217" w:type="dxa"/>
          <w:jc w:val="center"/>
          <w:tblLook w:val="04A0"/>
        </w:tblPrEx>
        <w:trPr>
          <w:jc w:val="center"/>
        </w:trPr>
        <w:tc>
          <w:tcPr>
            <w:tcW w:w="6877" w:type="dxa"/>
            <w:vAlign w:val="center"/>
          </w:tcPr>
          <w:p w:rsidR="00D20FC4" w:rsidRPr="00756DA5" w:rsidP="005202AF">
            <w:pPr>
              <w:spacing w:line="280" w:lineRule="exact"/>
              <w:rPr>
                <w:rFonts w:cs="Arial"/>
                <w:szCs w:val="20"/>
              </w:rPr>
            </w:pPr>
            <w:r w:rsidRPr="00756DA5">
              <w:t>Number of safety certificate part As issued in previous years and valid at 1 January 2017</w:t>
            </w:r>
          </w:p>
        </w:tc>
        <w:tc>
          <w:tcPr>
            <w:tcW w:w="2340" w:type="dxa"/>
            <w:vAlign w:val="center"/>
          </w:tcPr>
          <w:p w:rsidR="00D20FC4" w:rsidRPr="00756DA5" w:rsidP="005202AF">
            <w:pPr>
              <w:spacing w:line="280" w:lineRule="exact"/>
              <w:jc w:val="center"/>
              <w:rPr>
                <w:rFonts w:cs="Arial"/>
                <w:szCs w:val="20"/>
              </w:rPr>
            </w:pPr>
            <w:r w:rsidRPr="00756DA5">
              <w:rPr>
                <w:szCs w:val="20"/>
              </w:rPr>
              <w:t>21</w:t>
            </w:r>
          </w:p>
        </w:tc>
      </w:tr>
    </w:tbl>
    <w:p w:rsidR="00D20FC4" w:rsidRPr="00756DA5" w:rsidP="00D20FC4">
      <w:pPr>
        <w:spacing w:line="280" w:lineRule="exact"/>
        <w:jc w:val="left"/>
        <w:rPr>
          <w:rFonts w:cs="Arial"/>
          <w:sz w:val="22"/>
        </w:rPr>
      </w:pPr>
    </w:p>
    <w:p w:rsidR="00D20FC4" w:rsidRPr="00756DA5" w:rsidP="00D20FC4">
      <w:pPr>
        <w:spacing w:line="280" w:lineRule="exact"/>
        <w:jc w:val="left"/>
        <w:rPr>
          <w:rFonts w:cs="Arial"/>
          <w:sz w:val="22"/>
        </w:rPr>
      </w:pPr>
    </w:p>
    <w:tbl>
      <w:tblPr>
        <w:tblStyle w:val="Grilledutableau31"/>
        <w:tblW w:w="9223" w:type="dxa"/>
        <w:jc w:val="center"/>
        <w:tblLook w:val="04A0"/>
      </w:tblPr>
      <w:tblGrid>
        <w:gridCol w:w="3608"/>
        <w:gridCol w:w="3272"/>
        <w:gridCol w:w="2343"/>
      </w:tblGrid>
      <w:tr w:rsidTr="005202AF">
        <w:tblPrEx>
          <w:tblW w:w="9223" w:type="dxa"/>
          <w:jc w:val="center"/>
          <w:tblLook w:val="04A0"/>
        </w:tblPrEx>
        <w:trPr>
          <w:cantSplit/>
          <w:jc w:val="center"/>
        </w:trPr>
        <w:tc>
          <w:tcPr>
            <w:tcW w:w="3608" w:type="dxa"/>
            <w:tcBorders>
              <w:top w:val="nil"/>
              <w:left w:val="nil"/>
              <w:right w:val="nil"/>
            </w:tcBorders>
            <w:vAlign w:val="center"/>
          </w:tcPr>
          <w:p w:rsidR="00D20FC4" w:rsidRPr="00756DA5" w:rsidP="005202AF">
            <w:pPr>
              <w:spacing w:line="280" w:lineRule="exact"/>
              <w:rPr>
                <w:rFonts w:cs="Arial"/>
                <w:szCs w:val="20"/>
              </w:rPr>
            </w:pPr>
          </w:p>
        </w:tc>
        <w:tc>
          <w:tcPr>
            <w:tcW w:w="3272" w:type="dxa"/>
            <w:tcBorders>
              <w:top w:val="nil"/>
              <w:left w:val="nil"/>
            </w:tcBorders>
            <w:vAlign w:val="center"/>
          </w:tcPr>
          <w:p w:rsidR="00D20FC4" w:rsidRPr="00756DA5" w:rsidP="005202AF">
            <w:pPr>
              <w:spacing w:line="280" w:lineRule="exact"/>
              <w:rPr>
                <w:rFonts w:cs="Arial"/>
                <w:szCs w:val="20"/>
              </w:rPr>
            </w:pPr>
          </w:p>
        </w:tc>
        <w:tc>
          <w:tcPr>
            <w:tcW w:w="2343" w:type="dxa"/>
            <w:vAlign w:val="center"/>
          </w:tcPr>
          <w:p w:rsidR="00D20FC4" w:rsidRPr="00756DA5" w:rsidP="005202AF">
            <w:pPr>
              <w:spacing w:line="280" w:lineRule="exact"/>
              <w:jc w:val="center"/>
              <w:rPr>
                <w:rFonts w:cs="Arial"/>
                <w:b/>
                <w:szCs w:val="20"/>
              </w:rPr>
            </w:pPr>
            <w:r w:rsidRPr="00756DA5">
              <w:rPr>
                <w:b/>
                <w:szCs w:val="20"/>
              </w:rPr>
              <w:t>Total number of certificates</w:t>
            </w:r>
          </w:p>
        </w:tc>
      </w:tr>
      <w:tr w:rsidTr="005202AF">
        <w:tblPrEx>
          <w:tblW w:w="9223" w:type="dxa"/>
          <w:jc w:val="center"/>
          <w:tblLook w:val="04A0"/>
        </w:tblPrEx>
        <w:trPr>
          <w:cantSplit/>
          <w:trHeight w:val="627"/>
          <w:jc w:val="center"/>
        </w:trPr>
        <w:tc>
          <w:tcPr>
            <w:tcW w:w="3608" w:type="dxa"/>
            <w:vMerge w:val="restart"/>
            <w:vAlign w:val="center"/>
          </w:tcPr>
          <w:p w:rsidR="00D20FC4" w:rsidRPr="00756DA5" w:rsidP="005202AF">
            <w:pPr>
              <w:spacing w:line="280" w:lineRule="exact"/>
              <w:rPr>
                <w:rFonts w:cs="Arial"/>
                <w:szCs w:val="20"/>
              </w:rPr>
            </w:pPr>
            <w:r w:rsidRPr="00756DA5">
              <w:t>Number of safety certificate part Bs issued in previous years and valid at 1 January 2017</w:t>
            </w:r>
          </w:p>
        </w:tc>
        <w:tc>
          <w:tcPr>
            <w:tcW w:w="3272" w:type="dxa"/>
            <w:vAlign w:val="center"/>
          </w:tcPr>
          <w:p w:rsidR="00D20FC4" w:rsidRPr="00756DA5" w:rsidP="005202AF">
            <w:pPr>
              <w:spacing w:line="280" w:lineRule="exact"/>
              <w:rPr>
                <w:rFonts w:cs="Arial"/>
                <w:szCs w:val="20"/>
              </w:rPr>
            </w:pPr>
            <w:r w:rsidRPr="00756DA5">
              <w:t>Number of certificate part Bs for which part A was issued in France</w:t>
            </w:r>
          </w:p>
        </w:tc>
        <w:tc>
          <w:tcPr>
            <w:tcW w:w="2343" w:type="dxa"/>
            <w:vAlign w:val="center"/>
          </w:tcPr>
          <w:p w:rsidR="00D20FC4" w:rsidRPr="00756DA5" w:rsidP="005202AF">
            <w:pPr>
              <w:spacing w:line="280" w:lineRule="exact"/>
              <w:jc w:val="center"/>
              <w:rPr>
                <w:rFonts w:cs="Arial"/>
                <w:szCs w:val="20"/>
              </w:rPr>
            </w:pPr>
            <w:r w:rsidRPr="00756DA5">
              <w:rPr>
                <w:szCs w:val="20"/>
              </w:rPr>
              <w:t>21</w:t>
            </w:r>
          </w:p>
        </w:tc>
      </w:tr>
      <w:tr w:rsidTr="005202AF">
        <w:tblPrEx>
          <w:tblW w:w="9223" w:type="dxa"/>
          <w:jc w:val="center"/>
          <w:tblLook w:val="04A0"/>
        </w:tblPrEx>
        <w:trPr>
          <w:cantSplit/>
          <w:trHeight w:val="626"/>
          <w:jc w:val="center"/>
        </w:trPr>
        <w:tc>
          <w:tcPr>
            <w:tcW w:w="3608" w:type="dxa"/>
            <w:vMerge/>
            <w:vAlign w:val="center"/>
          </w:tcPr>
          <w:p w:rsidR="00D20FC4" w:rsidRPr="00756DA5" w:rsidP="005202AF">
            <w:pPr>
              <w:spacing w:line="280" w:lineRule="exact"/>
              <w:rPr>
                <w:rFonts w:cs="Arial"/>
                <w:szCs w:val="20"/>
                <w:lang w:val="en-US"/>
              </w:rPr>
            </w:pPr>
          </w:p>
        </w:tc>
        <w:tc>
          <w:tcPr>
            <w:tcW w:w="3272" w:type="dxa"/>
            <w:vAlign w:val="center"/>
          </w:tcPr>
          <w:p w:rsidR="00D20FC4" w:rsidRPr="00756DA5" w:rsidP="005202AF">
            <w:pPr>
              <w:spacing w:line="280" w:lineRule="exact"/>
              <w:rPr>
                <w:rFonts w:cs="Arial"/>
                <w:szCs w:val="20"/>
              </w:rPr>
            </w:pPr>
            <w:r w:rsidRPr="00756DA5">
              <w:t>Number of part Bs for which part A was issued in another Member State</w:t>
            </w:r>
          </w:p>
        </w:tc>
        <w:tc>
          <w:tcPr>
            <w:tcW w:w="2343" w:type="dxa"/>
            <w:vAlign w:val="center"/>
          </w:tcPr>
          <w:p w:rsidR="00D20FC4" w:rsidRPr="00756DA5" w:rsidP="005202AF">
            <w:pPr>
              <w:spacing w:line="280" w:lineRule="exact"/>
              <w:jc w:val="center"/>
              <w:rPr>
                <w:rFonts w:cs="Arial"/>
                <w:szCs w:val="20"/>
              </w:rPr>
            </w:pPr>
            <w:r w:rsidRPr="00756DA5">
              <w:rPr>
                <w:szCs w:val="20"/>
              </w:rPr>
              <w:t>16</w:t>
            </w:r>
          </w:p>
        </w:tc>
      </w:tr>
    </w:tbl>
    <w:p w:rsidR="00D20FC4" w:rsidRPr="00756DA5" w:rsidP="00D20FC4">
      <w:pPr>
        <w:spacing w:line="280" w:lineRule="exact"/>
        <w:jc w:val="left"/>
        <w:rPr>
          <w:rFonts w:cs="Arial"/>
          <w:sz w:val="2"/>
        </w:rPr>
      </w:pPr>
    </w:p>
    <w:p w:rsidR="00D20FC4" w:rsidRPr="00756DA5" w:rsidP="00D20FC4">
      <w:pPr>
        <w:spacing w:line="280" w:lineRule="exact"/>
        <w:jc w:val="left"/>
        <w:rPr>
          <w:rFonts w:cs="Arial"/>
          <w:sz w:val="2"/>
        </w:rPr>
      </w:pPr>
    </w:p>
    <w:tbl>
      <w:tblPr>
        <w:tblStyle w:val="Grilledutableau31"/>
        <w:tblW w:w="9356" w:type="dxa"/>
        <w:tblLayout w:type="fixed"/>
        <w:tblLook w:val="04A0"/>
      </w:tblPr>
      <w:tblGrid>
        <w:gridCol w:w="2552"/>
        <w:gridCol w:w="567"/>
        <w:gridCol w:w="2268"/>
        <w:gridCol w:w="1525"/>
        <w:gridCol w:w="1418"/>
        <w:gridCol w:w="1026"/>
      </w:tblGrid>
      <w:tr w:rsidTr="00380326">
        <w:tblPrEx>
          <w:tblW w:w="9356" w:type="dxa"/>
          <w:tblLayout w:type="fixed"/>
          <w:tblLook w:val="04A0"/>
        </w:tblPrEx>
        <w:trPr>
          <w:trHeight w:val="439"/>
        </w:trPr>
        <w:tc>
          <w:tcPr>
            <w:tcW w:w="2552" w:type="dxa"/>
            <w:tcBorders>
              <w:top w:val="nil"/>
              <w:left w:val="nil"/>
              <w:right w:val="nil"/>
            </w:tcBorders>
            <w:vAlign w:val="center"/>
          </w:tcPr>
          <w:p w:rsidR="00D20FC4" w:rsidRPr="00756DA5" w:rsidP="005202AF">
            <w:pPr>
              <w:spacing w:line="280" w:lineRule="exact"/>
              <w:rPr>
                <w:rFonts w:cs="Arial"/>
                <w:szCs w:val="20"/>
              </w:rPr>
            </w:pPr>
          </w:p>
        </w:tc>
        <w:tc>
          <w:tcPr>
            <w:tcW w:w="567" w:type="dxa"/>
            <w:tcBorders>
              <w:top w:val="nil"/>
              <w:left w:val="nil"/>
              <w:right w:val="nil"/>
            </w:tcBorders>
            <w:vAlign w:val="center"/>
          </w:tcPr>
          <w:p w:rsidR="00D20FC4" w:rsidRPr="00756DA5" w:rsidP="005202AF">
            <w:pPr>
              <w:spacing w:line="280" w:lineRule="exact"/>
              <w:rPr>
                <w:rFonts w:cs="Arial"/>
                <w:szCs w:val="20"/>
              </w:rPr>
            </w:pPr>
          </w:p>
        </w:tc>
        <w:tc>
          <w:tcPr>
            <w:tcW w:w="2268" w:type="dxa"/>
            <w:tcBorders>
              <w:top w:val="nil"/>
              <w:left w:val="nil"/>
            </w:tcBorders>
            <w:vAlign w:val="center"/>
          </w:tcPr>
          <w:p w:rsidR="00D20FC4" w:rsidRPr="00756DA5" w:rsidP="005202AF">
            <w:pPr>
              <w:spacing w:line="280" w:lineRule="exact"/>
              <w:rPr>
                <w:rFonts w:cs="Arial"/>
                <w:szCs w:val="20"/>
              </w:rPr>
            </w:pPr>
          </w:p>
        </w:tc>
        <w:tc>
          <w:tcPr>
            <w:tcW w:w="1525" w:type="dxa"/>
            <w:vAlign w:val="center"/>
          </w:tcPr>
          <w:p w:rsidR="00D20FC4" w:rsidRPr="00756DA5" w:rsidP="005202AF">
            <w:pPr>
              <w:spacing w:line="280" w:lineRule="exact"/>
              <w:jc w:val="center"/>
              <w:rPr>
                <w:rFonts w:cs="Arial"/>
                <w:b/>
                <w:szCs w:val="20"/>
              </w:rPr>
            </w:pPr>
            <w:r w:rsidRPr="00756DA5">
              <w:rPr>
                <w:b/>
                <w:szCs w:val="20"/>
              </w:rPr>
              <w:t>Applications accepted</w:t>
            </w:r>
          </w:p>
        </w:tc>
        <w:tc>
          <w:tcPr>
            <w:tcW w:w="1418" w:type="dxa"/>
            <w:tcBorders>
              <w:bottom w:val="single" w:sz="4" w:space="0" w:color="auto"/>
            </w:tcBorders>
            <w:vAlign w:val="center"/>
          </w:tcPr>
          <w:p w:rsidR="00D20FC4" w:rsidRPr="00756DA5" w:rsidP="005202AF">
            <w:pPr>
              <w:spacing w:line="280" w:lineRule="exact"/>
              <w:jc w:val="center"/>
              <w:rPr>
                <w:rFonts w:cs="Arial"/>
                <w:b/>
                <w:szCs w:val="20"/>
              </w:rPr>
            </w:pPr>
            <w:r w:rsidRPr="00756DA5">
              <w:rPr>
                <w:b/>
                <w:szCs w:val="20"/>
              </w:rPr>
              <w:t>Applications rejected</w:t>
            </w:r>
          </w:p>
        </w:tc>
        <w:tc>
          <w:tcPr>
            <w:tcW w:w="1026" w:type="dxa"/>
            <w:tcBorders>
              <w:bottom w:val="single" w:sz="4" w:space="0" w:color="auto"/>
            </w:tcBorders>
            <w:vAlign w:val="center"/>
          </w:tcPr>
          <w:p w:rsidR="00D20FC4" w:rsidRPr="00756DA5" w:rsidP="005202AF">
            <w:pPr>
              <w:spacing w:line="280" w:lineRule="exact"/>
              <w:jc w:val="center"/>
              <w:rPr>
                <w:rFonts w:cs="Arial"/>
                <w:b/>
                <w:szCs w:val="20"/>
              </w:rPr>
            </w:pPr>
            <w:r w:rsidRPr="00756DA5">
              <w:rPr>
                <w:b/>
                <w:szCs w:val="20"/>
              </w:rPr>
              <w:t>Applications pending</w:t>
            </w:r>
          </w:p>
        </w:tc>
      </w:tr>
      <w:tr w:rsidTr="00380326">
        <w:tblPrEx>
          <w:tblW w:w="9356" w:type="dxa"/>
          <w:tblLayout w:type="fixed"/>
          <w:tblLook w:val="04A0"/>
        </w:tblPrEx>
        <w:trPr>
          <w:trHeight w:val="439"/>
        </w:trPr>
        <w:tc>
          <w:tcPr>
            <w:tcW w:w="2552" w:type="dxa"/>
            <w:vMerge w:val="restart"/>
            <w:vAlign w:val="center"/>
          </w:tcPr>
          <w:p w:rsidR="00D20FC4" w:rsidRPr="00756DA5" w:rsidP="005202AF">
            <w:pPr>
              <w:spacing w:line="280" w:lineRule="exact"/>
              <w:rPr>
                <w:rFonts w:cs="Arial"/>
                <w:szCs w:val="20"/>
              </w:rPr>
            </w:pPr>
            <w:r w:rsidRPr="00756DA5">
              <w:t>Number of safety certificate part A applications submitted by railway undertakings in 2017</w:t>
            </w:r>
          </w:p>
        </w:tc>
        <w:tc>
          <w:tcPr>
            <w:tcW w:w="567" w:type="dxa"/>
            <w:vMerge w:val="restart"/>
            <w:vAlign w:val="center"/>
          </w:tcPr>
          <w:p w:rsidR="00D20FC4" w:rsidRPr="00756DA5" w:rsidP="005202AF">
            <w:pPr>
              <w:spacing w:line="280" w:lineRule="exact"/>
              <w:rPr>
                <w:rFonts w:cs="Arial"/>
                <w:szCs w:val="20"/>
              </w:rPr>
            </w:pPr>
            <w:r w:rsidRPr="00756DA5">
              <w:rPr>
                <w:szCs w:val="20"/>
              </w:rPr>
              <w:t>11</w:t>
            </w:r>
          </w:p>
        </w:tc>
        <w:tc>
          <w:tcPr>
            <w:tcW w:w="2268" w:type="dxa"/>
            <w:vAlign w:val="center"/>
          </w:tcPr>
          <w:p w:rsidR="00D20FC4" w:rsidRPr="00756DA5" w:rsidP="005202AF">
            <w:pPr>
              <w:spacing w:line="280" w:lineRule="exact"/>
              <w:jc w:val="center"/>
              <w:rPr>
                <w:rFonts w:cs="Arial"/>
                <w:szCs w:val="20"/>
              </w:rPr>
            </w:pPr>
            <w:r w:rsidRPr="00756DA5">
              <w:t>New certificates</w:t>
            </w:r>
          </w:p>
        </w:tc>
        <w:tc>
          <w:tcPr>
            <w:tcW w:w="1525" w:type="dxa"/>
            <w:vAlign w:val="center"/>
          </w:tcPr>
          <w:p w:rsidR="00D20FC4" w:rsidRPr="00756DA5" w:rsidP="005202AF">
            <w:pPr>
              <w:spacing w:line="280" w:lineRule="exact"/>
              <w:jc w:val="center"/>
              <w:rPr>
                <w:rFonts w:cs="Arial"/>
                <w:szCs w:val="20"/>
              </w:rPr>
            </w:pPr>
            <w:r w:rsidRPr="00756DA5">
              <w:rPr>
                <w:szCs w:val="20"/>
              </w:rPr>
              <w:t>2</w:t>
            </w:r>
            <w:r w:rsidRPr="00756DA5">
              <w:rPr>
                <w:szCs w:val="20"/>
                <w:vertAlign w:val="superscript"/>
              </w:rPr>
              <w:t>(1)</w:t>
            </w:r>
          </w:p>
        </w:tc>
        <w:tc>
          <w:tcPr>
            <w:tcW w:w="1418" w:type="dxa"/>
            <w:shd w:val="clear" w:color="auto" w:fill="A6A6A6" w:themeFill="background1" w:themeFillShade="A6"/>
            <w:vAlign w:val="center"/>
          </w:tcPr>
          <w:p w:rsidR="00D20FC4" w:rsidRPr="00756DA5" w:rsidP="005202AF">
            <w:pPr>
              <w:spacing w:line="280" w:lineRule="exact"/>
              <w:jc w:val="center"/>
              <w:rPr>
                <w:rFonts w:cs="Arial"/>
                <w:szCs w:val="20"/>
              </w:rPr>
            </w:pPr>
          </w:p>
        </w:tc>
        <w:tc>
          <w:tcPr>
            <w:tcW w:w="1026" w:type="dxa"/>
            <w:tcBorders>
              <w:bottom w:val="single" w:sz="4" w:space="0" w:color="auto"/>
            </w:tcBorders>
            <w:shd w:val="clear" w:color="auto" w:fill="auto"/>
            <w:vAlign w:val="center"/>
          </w:tcPr>
          <w:p w:rsidR="00D20FC4" w:rsidRPr="00756DA5" w:rsidP="005202AF">
            <w:pPr>
              <w:spacing w:line="280" w:lineRule="exact"/>
              <w:jc w:val="center"/>
              <w:rPr>
                <w:rFonts w:cs="Arial"/>
                <w:szCs w:val="20"/>
              </w:rPr>
            </w:pPr>
            <w:r w:rsidRPr="00756DA5">
              <w:rPr>
                <w:szCs w:val="20"/>
              </w:rPr>
              <w:t>1</w:t>
            </w:r>
            <w:r w:rsidRPr="00756DA5">
              <w:rPr>
                <w:szCs w:val="20"/>
                <w:vertAlign w:val="superscript"/>
              </w:rPr>
              <w:t>(2)</w:t>
            </w:r>
          </w:p>
        </w:tc>
      </w:tr>
      <w:tr w:rsidTr="00380326">
        <w:tblPrEx>
          <w:tblW w:w="9356" w:type="dxa"/>
          <w:tblLayout w:type="fixed"/>
          <w:tblLook w:val="04A0"/>
        </w:tblPrEx>
        <w:trPr>
          <w:trHeight w:val="440"/>
        </w:trPr>
        <w:tc>
          <w:tcPr>
            <w:tcW w:w="2552" w:type="dxa"/>
            <w:vMerge/>
            <w:vAlign w:val="center"/>
          </w:tcPr>
          <w:p w:rsidR="00D20FC4" w:rsidRPr="00756DA5" w:rsidP="005202AF">
            <w:pPr>
              <w:spacing w:line="280" w:lineRule="exact"/>
              <w:rPr>
                <w:rFonts w:cs="Arial"/>
                <w:szCs w:val="20"/>
              </w:rPr>
            </w:pPr>
          </w:p>
        </w:tc>
        <w:tc>
          <w:tcPr>
            <w:tcW w:w="567" w:type="dxa"/>
            <w:vMerge/>
            <w:vAlign w:val="center"/>
          </w:tcPr>
          <w:p w:rsidR="00D20FC4" w:rsidRPr="00756DA5" w:rsidP="005202AF">
            <w:pPr>
              <w:spacing w:line="280" w:lineRule="exact"/>
              <w:rPr>
                <w:rFonts w:cs="Arial"/>
                <w:szCs w:val="20"/>
              </w:rPr>
            </w:pPr>
          </w:p>
        </w:tc>
        <w:tc>
          <w:tcPr>
            <w:tcW w:w="2268" w:type="dxa"/>
            <w:vAlign w:val="center"/>
          </w:tcPr>
          <w:p w:rsidR="00D20FC4" w:rsidRPr="00756DA5" w:rsidP="005202AF">
            <w:pPr>
              <w:spacing w:line="280" w:lineRule="exact"/>
              <w:jc w:val="center"/>
              <w:rPr>
                <w:rFonts w:cs="Arial"/>
                <w:szCs w:val="20"/>
              </w:rPr>
            </w:pPr>
            <w:r w:rsidRPr="00756DA5">
              <w:t>Certificates updated/modified</w:t>
            </w:r>
          </w:p>
        </w:tc>
        <w:tc>
          <w:tcPr>
            <w:tcW w:w="1525" w:type="dxa"/>
            <w:vAlign w:val="center"/>
          </w:tcPr>
          <w:p w:rsidR="00D20FC4" w:rsidRPr="00756DA5" w:rsidP="005202AF">
            <w:pPr>
              <w:spacing w:line="280" w:lineRule="exact"/>
              <w:jc w:val="center"/>
              <w:rPr>
                <w:rFonts w:cs="Arial"/>
                <w:szCs w:val="20"/>
              </w:rPr>
            </w:pPr>
            <w:r w:rsidRPr="00756DA5">
              <w:rPr>
                <w:szCs w:val="20"/>
              </w:rPr>
              <w:t>4</w:t>
            </w:r>
            <w:r w:rsidRPr="00756DA5">
              <w:rPr>
                <w:szCs w:val="20"/>
                <w:vertAlign w:val="superscript"/>
              </w:rPr>
              <w:t>(3)</w:t>
            </w:r>
          </w:p>
        </w:tc>
        <w:tc>
          <w:tcPr>
            <w:tcW w:w="1418" w:type="dxa"/>
            <w:shd w:val="clear" w:color="auto" w:fill="A6A6A6" w:themeFill="background1" w:themeFillShade="A6"/>
            <w:vAlign w:val="center"/>
          </w:tcPr>
          <w:p w:rsidR="00D20FC4" w:rsidRPr="00756DA5" w:rsidP="005202AF">
            <w:pPr>
              <w:spacing w:line="280" w:lineRule="exact"/>
              <w:jc w:val="center"/>
              <w:rPr>
                <w:rFonts w:cs="Arial"/>
                <w:szCs w:val="20"/>
              </w:rPr>
            </w:pPr>
          </w:p>
        </w:tc>
        <w:tc>
          <w:tcPr>
            <w:tcW w:w="1026" w:type="dxa"/>
            <w:shd w:val="clear" w:color="auto" w:fill="auto"/>
            <w:vAlign w:val="center"/>
          </w:tcPr>
          <w:p w:rsidR="00D20FC4" w:rsidRPr="00756DA5" w:rsidP="005202AF">
            <w:pPr>
              <w:spacing w:line="280" w:lineRule="exact"/>
              <w:jc w:val="center"/>
              <w:rPr>
                <w:rFonts w:cs="Arial"/>
                <w:szCs w:val="20"/>
                <w:vertAlign w:val="superscript"/>
              </w:rPr>
            </w:pPr>
            <w:r w:rsidRPr="00756DA5">
              <w:rPr>
                <w:szCs w:val="20"/>
              </w:rPr>
              <w:t>1</w:t>
            </w:r>
            <w:r w:rsidRPr="00756DA5">
              <w:rPr>
                <w:szCs w:val="20"/>
                <w:vertAlign w:val="superscript"/>
              </w:rPr>
              <w:t>(4)</w:t>
            </w:r>
          </w:p>
        </w:tc>
      </w:tr>
      <w:tr w:rsidTr="00380326">
        <w:tblPrEx>
          <w:tblW w:w="9356" w:type="dxa"/>
          <w:tblLayout w:type="fixed"/>
          <w:tblLook w:val="04A0"/>
        </w:tblPrEx>
        <w:trPr>
          <w:trHeight w:val="439"/>
        </w:trPr>
        <w:tc>
          <w:tcPr>
            <w:tcW w:w="2552" w:type="dxa"/>
            <w:vMerge/>
            <w:vAlign w:val="center"/>
          </w:tcPr>
          <w:p w:rsidR="00D20FC4" w:rsidRPr="00756DA5" w:rsidP="005202AF">
            <w:pPr>
              <w:spacing w:line="280" w:lineRule="exact"/>
              <w:rPr>
                <w:rFonts w:cs="Arial"/>
                <w:szCs w:val="20"/>
              </w:rPr>
            </w:pPr>
          </w:p>
        </w:tc>
        <w:tc>
          <w:tcPr>
            <w:tcW w:w="567" w:type="dxa"/>
            <w:vMerge/>
            <w:vAlign w:val="center"/>
          </w:tcPr>
          <w:p w:rsidR="00D20FC4" w:rsidRPr="00756DA5" w:rsidP="005202AF">
            <w:pPr>
              <w:spacing w:line="280" w:lineRule="exact"/>
              <w:rPr>
                <w:rFonts w:cs="Arial"/>
                <w:szCs w:val="20"/>
              </w:rPr>
            </w:pPr>
          </w:p>
        </w:tc>
        <w:tc>
          <w:tcPr>
            <w:tcW w:w="2268" w:type="dxa"/>
            <w:vAlign w:val="center"/>
          </w:tcPr>
          <w:p w:rsidR="00D20FC4" w:rsidRPr="00756DA5" w:rsidP="005202AF">
            <w:pPr>
              <w:spacing w:line="280" w:lineRule="exact"/>
              <w:jc w:val="center"/>
              <w:rPr>
                <w:rFonts w:cs="Arial"/>
                <w:szCs w:val="20"/>
              </w:rPr>
            </w:pPr>
            <w:r w:rsidRPr="00756DA5">
              <w:t>Renewal of certificates</w:t>
            </w:r>
          </w:p>
        </w:tc>
        <w:tc>
          <w:tcPr>
            <w:tcW w:w="1525" w:type="dxa"/>
            <w:vAlign w:val="center"/>
          </w:tcPr>
          <w:p w:rsidR="00D20FC4" w:rsidRPr="00756DA5" w:rsidP="005202AF">
            <w:pPr>
              <w:spacing w:line="280" w:lineRule="exact"/>
              <w:jc w:val="center"/>
              <w:rPr>
                <w:rFonts w:cs="Arial"/>
                <w:szCs w:val="20"/>
              </w:rPr>
            </w:pPr>
            <w:r w:rsidRPr="00756DA5">
              <w:rPr>
                <w:szCs w:val="20"/>
              </w:rPr>
              <w:t>3</w:t>
            </w:r>
            <w:r w:rsidRPr="00756DA5">
              <w:rPr>
                <w:szCs w:val="20"/>
                <w:vertAlign w:val="superscript"/>
              </w:rPr>
              <w:t>(5)</w:t>
            </w:r>
          </w:p>
        </w:tc>
        <w:tc>
          <w:tcPr>
            <w:tcW w:w="1418" w:type="dxa"/>
            <w:shd w:val="clear" w:color="auto" w:fill="A6A6A6" w:themeFill="background1" w:themeFillShade="A6"/>
            <w:vAlign w:val="center"/>
          </w:tcPr>
          <w:p w:rsidR="00D20FC4" w:rsidRPr="00756DA5" w:rsidP="005202AF">
            <w:pPr>
              <w:spacing w:line="280" w:lineRule="exact"/>
              <w:jc w:val="center"/>
              <w:rPr>
                <w:rFonts w:cs="Arial"/>
                <w:szCs w:val="20"/>
              </w:rPr>
            </w:pPr>
          </w:p>
        </w:tc>
        <w:tc>
          <w:tcPr>
            <w:tcW w:w="1026" w:type="dxa"/>
            <w:shd w:val="clear" w:color="auto" w:fill="A6A6A6" w:themeFill="background1" w:themeFillShade="A6"/>
            <w:vAlign w:val="center"/>
          </w:tcPr>
          <w:p w:rsidR="00D20FC4" w:rsidRPr="00756DA5" w:rsidP="005202AF">
            <w:pPr>
              <w:spacing w:line="280" w:lineRule="exact"/>
              <w:jc w:val="center"/>
              <w:rPr>
                <w:rFonts w:cs="Arial"/>
                <w:szCs w:val="20"/>
              </w:rPr>
            </w:pPr>
          </w:p>
        </w:tc>
      </w:tr>
    </w:tbl>
    <w:p w:rsidR="00D20FC4" w:rsidRPr="00756DA5" w:rsidP="00D20FC4">
      <w:pPr>
        <w:numPr>
          <w:ilvl w:val="0"/>
          <w:numId w:val="37"/>
        </w:numPr>
        <w:spacing w:line="280" w:lineRule="exact"/>
        <w:contextualSpacing/>
        <w:jc w:val="left"/>
        <w:rPr>
          <w:rFonts w:cs="Arial"/>
          <w:sz w:val="16"/>
          <w:szCs w:val="16"/>
        </w:rPr>
      </w:pPr>
      <w:r w:rsidRPr="00756DA5">
        <w:rPr>
          <w:sz w:val="16"/>
          <w:szCs w:val="16"/>
        </w:rPr>
        <w:t>FERRIVIA - TRANSKEO</w:t>
      </w:r>
    </w:p>
    <w:p w:rsidR="00D20FC4" w:rsidRPr="00756DA5" w:rsidP="00D20FC4">
      <w:pPr>
        <w:numPr>
          <w:ilvl w:val="0"/>
          <w:numId w:val="37"/>
        </w:numPr>
        <w:spacing w:line="280" w:lineRule="exact"/>
        <w:contextualSpacing/>
        <w:jc w:val="left"/>
        <w:rPr>
          <w:rFonts w:cs="Arial"/>
          <w:sz w:val="16"/>
          <w:szCs w:val="16"/>
        </w:rPr>
      </w:pPr>
      <w:r w:rsidRPr="00756DA5">
        <w:rPr>
          <w:sz w:val="16"/>
          <w:szCs w:val="16"/>
        </w:rPr>
        <w:t>CFTA</w:t>
      </w:r>
    </w:p>
    <w:p w:rsidR="00D20FC4" w:rsidRPr="00756DA5" w:rsidP="00D20FC4">
      <w:pPr>
        <w:numPr>
          <w:ilvl w:val="0"/>
          <w:numId w:val="37"/>
        </w:numPr>
        <w:spacing w:line="280" w:lineRule="exact"/>
        <w:contextualSpacing/>
        <w:jc w:val="left"/>
        <w:rPr>
          <w:rFonts w:cs="Arial"/>
          <w:sz w:val="16"/>
          <w:szCs w:val="16"/>
        </w:rPr>
      </w:pPr>
      <w:r w:rsidRPr="00756DA5">
        <w:rPr>
          <w:sz w:val="16"/>
          <w:szCs w:val="16"/>
        </w:rPr>
        <w:t>REGIORAIL France - OSR France (LINEAS France) - VFLI - CTSF</w:t>
      </w:r>
    </w:p>
    <w:p w:rsidR="00D20FC4" w:rsidRPr="00756DA5" w:rsidP="00D20FC4">
      <w:pPr>
        <w:numPr>
          <w:ilvl w:val="0"/>
          <w:numId w:val="37"/>
        </w:numPr>
        <w:spacing w:line="280" w:lineRule="exact"/>
        <w:contextualSpacing/>
        <w:jc w:val="left"/>
        <w:rPr>
          <w:rFonts w:cs="Arial"/>
          <w:sz w:val="16"/>
          <w:szCs w:val="16"/>
        </w:rPr>
      </w:pPr>
      <w:r w:rsidRPr="00756DA5">
        <w:rPr>
          <w:sz w:val="16"/>
          <w:szCs w:val="16"/>
        </w:rPr>
        <w:t>REGIORAIL France</w:t>
      </w:r>
    </w:p>
    <w:p w:rsidR="00D20FC4" w:rsidRPr="00756DA5" w:rsidP="00FB2CBF">
      <w:pPr>
        <w:numPr>
          <w:ilvl w:val="0"/>
          <w:numId w:val="37"/>
        </w:numPr>
        <w:spacing w:line="280" w:lineRule="exact"/>
        <w:ind w:left="714" w:hanging="357"/>
        <w:jc w:val="left"/>
        <w:rPr>
          <w:rFonts w:cs="Arial"/>
          <w:sz w:val="16"/>
          <w:szCs w:val="16"/>
        </w:rPr>
      </w:pPr>
      <w:r w:rsidRPr="00756DA5">
        <w:rPr>
          <w:sz w:val="16"/>
          <w:szCs w:val="16"/>
        </w:rPr>
        <w:t>ETMF - NORMANDIE RAIL SERVICES - VFLI</w:t>
      </w:r>
    </w:p>
    <w:tbl>
      <w:tblPr>
        <w:tblStyle w:val="Grilledutableau31"/>
        <w:tblW w:w="5159" w:type="pct"/>
        <w:tblLayout w:type="fixed"/>
        <w:tblLook w:val="04A0"/>
      </w:tblPr>
      <w:tblGrid>
        <w:gridCol w:w="1985"/>
        <w:gridCol w:w="1980"/>
        <w:gridCol w:w="1704"/>
        <w:gridCol w:w="1278"/>
        <w:gridCol w:w="1278"/>
        <w:gridCol w:w="1130"/>
      </w:tblGrid>
      <w:tr w:rsidTr="00380326">
        <w:tblPrEx>
          <w:tblW w:w="5159" w:type="pct"/>
          <w:tblLayout w:type="fixed"/>
          <w:tblLook w:val="04A0"/>
        </w:tblPrEx>
        <w:trPr>
          <w:trHeight w:val="429"/>
        </w:trPr>
        <w:tc>
          <w:tcPr>
            <w:tcW w:w="1061" w:type="pct"/>
            <w:tcBorders>
              <w:top w:val="nil"/>
              <w:left w:val="nil"/>
              <w:right w:val="nil"/>
            </w:tcBorders>
          </w:tcPr>
          <w:p w:rsidR="00D20FC4" w:rsidRPr="00756DA5" w:rsidP="00FB2CBF">
            <w:pPr>
              <w:keepNext/>
              <w:spacing w:line="280" w:lineRule="exact"/>
              <w:jc w:val="center"/>
              <w:rPr>
                <w:rFonts w:cs="Arial"/>
                <w:b/>
                <w:szCs w:val="20"/>
              </w:rPr>
            </w:pPr>
          </w:p>
        </w:tc>
        <w:tc>
          <w:tcPr>
            <w:tcW w:w="1058" w:type="pct"/>
            <w:tcBorders>
              <w:top w:val="nil"/>
              <w:left w:val="nil"/>
              <w:right w:val="nil"/>
            </w:tcBorders>
          </w:tcPr>
          <w:p w:rsidR="00D20FC4" w:rsidRPr="00756DA5" w:rsidP="00FB2CBF">
            <w:pPr>
              <w:keepNext/>
              <w:spacing w:line="280" w:lineRule="exact"/>
              <w:jc w:val="center"/>
              <w:rPr>
                <w:rFonts w:cs="Arial"/>
                <w:b/>
                <w:szCs w:val="20"/>
              </w:rPr>
            </w:pPr>
          </w:p>
        </w:tc>
        <w:tc>
          <w:tcPr>
            <w:tcW w:w="911" w:type="pct"/>
            <w:tcBorders>
              <w:top w:val="nil"/>
              <w:left w:val="nil"/>
            </w:tcBorders>
          </w:tcPr>
          <w:p w:rsidR="00D20FC4" w:rsidRPr="00756DA5" w:rsidP="00FB2CBF">
            <w:pPr>
              <w:keepNext/>
              <w:spacing w:line="280" w:lineRule="exact"/>
              <w:jc w:val="center"/>
              <w:rPr>
                <w:rFonts w:cs="Arial"/>
                <w:b/>
                <w:szCs w:val="20"/>
              </w:rPr>
            </w:pPr>
          </w:p>
        </w:tc>
        <w:tc>
          <w:tcPr>
            <w:tcW w:w="683" w:type="pct"/>
          </w:tcPr>
          <w:p w:rsidR="00D20FC4" w:rsidRPr="00756DA5" w:rsidP="00FB2CBF">
            <w:pPr>
              <w:keepNext/>
              <w:spacing w:line="280" w:lineRule="exact"/>
              <w:jc w:val="center"/>
              <w:rPr>
                <w:rFonts w:cs="Arial"/>
                <w:b/>
                <w:szCs w:val="20"/>
              </w:rPr>
            </w:pPr>
            <w:r w:rsidRPr="00756DA5">
              <w:rPr>
                <w:b/>
                <w:szCs w:val="20"/>
              </w:rPr>
              <w:t>Applications accepted</w:t>
            </w:r>
          </w:p>
        </w:tc>
        <w:tc>
          <w:tcPr>
            <w:tcW w:w="683" w:type="pct"/>
            <w:tcBorders>
              <w:bottom w:val="single" w:sz="4" w:space="0" w:color="auto"/>
            </w:tcBorders>
          </w:tcPr>
          <w:p w:rsidR="00D20FC4" w:rsidRPr="00756DA5" w:rsidP="00FB2CBF">
            <w:pPr>
              <w:keepNext/>
              <w:spacing w:line="280" w:lineRule="exact"/>
              <w:jc w:val="center"/>
              <w:rPr>
                <w:rFonts w:cs="Arial"/>
                <w:b/>
                <w:szCs w:val="20"/>
              </w:rPr>
            </w:pPr>
            <w:r w:rsidRPr="00756DA5">
              <w:rPr>
                <w:b/>
                <w:szCs w:val="20"/>
              </w:rPr>
              <w:t>Applications rejected</w:t>
            </w:r>
          </w:p>
        </w:tc>
        <w:tc>
          <w:tcPr>
            <w:tcW w:w="604" w:type="pct"/>
            <w:tcBorders>
              <w:bottom w:val="single" w:sz="4" w:space="0" w:color="auto"/>
            </w:tcBorders>
          </w:tcPr>
          <w:p w:rsidR="00D20FC4" w:rsidRPr="00756DA5" w:rsidP="00FB2CBF">
            <w:pPr>
              <w:keepNext/>
              <w:spacing w:line="280" w:lineRule="exact"/>
              <w:jc w:val="center"/>
              <w:rPr>
                <w:rFonts w:cs="Arial"/>
                <w:b/>
                <w:szCs w:val="20"/>
              </w:rPr>
            </w:pPr>
            <w:r w:rsidRPr="00756DA5">
              <w:rPr>
                <w:b/>
                <w:szCs w:val="20"/>
              </w:rPr>
              <w:t>Applications pending</w:t>
            </w:r>
          </w:p>
        </w:tc>
      </w:tr>
      <w:tr w:rsidTr="00380326">
        <w:tblPrEx>
          <w:tblW w:w="5159" w:type="pct"/>
          <w:tblLayout w:type="fixed"/>
          <w:tblLook w:val="04A0"/>
        </w:tblPrEx>
        <w:trPr>
          <w:trHeight w:val="429"/>
        </w:trPr>
        <w:tc>
          <w:tcPr>
            <w:tcW w:w="1061" w:type="pct"/>
            <w:vMerge w:val="restart"/>
            <w:vAlign w:val="center"/>
          </w:tcPr>
          <w:p w:rsidR="00D20FC4" w:rsidRPr="00756DA5" w:rsidP="00FB2CBF">
            <w:pPr>
              <w:keepNext/>
              <w:spacing w:line="280" w:lineRule="exact"/>
              <w:jc w:val="left"/>
              <w:rPr>
                <w:rFonts w:cs="Arial"/>
                <w:szCs w:val="20"/>
              </w:rPr>
            </w:pPr>
            <w:r w:rsidRPr="00756DA5">
              <w:t>Number of new safety certificate part B applications submitted by railway undertakings in 2017</w:t>
            </w:r>
          </w:p>
        </w:tc>
        <w:tc>
          <w:tcPr>
            <w:tcW w:w="1058" w:type="pct"/>
            <w:vMerge w:val="restart"/>
            <w:vAlign w:val="center"/>
          </w:tcPr>
          <w:p w:rsidR="00D20FC4" w:rsidRPr="00756DA5" w:rsidP="00FB2CBF">
            <w:pPr>
              <w:keepNext/>
              <w:spacing w:line="280" w:lineRule="exact"/>
              <w:ind w:left="18"/>
              <w:jc w:val="left"/>
              <w:rPr>
                <w:rFonts w:cs="Arial"/>
                <w:szCs w:val="20"/>
              </w:rPr>
            </w:pPr>
            <w:r w:rsidRPr="00756DA5">
              <w:t>When part A was issued in France</w:t>
            </w:r>
          </w:p>
        </w:tc>
        <w:tc>
          <w:tcPr>
            <w:tcW w:w="911" w:type="pct"/>
            <w:vAlign w:val="center"/>
          </w:tcPr>
          <w:p w:rsidR="00D20FC4" w:rsidRPr="00756DA5" w:rsidP="00FB2CBF">
            <w:pPr>
              <w:keepNext/>
              <w:spacing w:line="280" w:lineRule="exact"/>
              <w:jc w:val="center"/>
              <w:rPr>
                <w:rFonts w:cs="Arial"/>
                <w:szCs w:val="20"/>
              </w:rPr>
            </w:pPr>
            <w:r w:rsidRPr="00756DA5">
              <w:t>New certificates</w:t>
            </w:r>
          </w:p>
        </w:tc>
        <w:tc>
          <w:tcPr>
            <w:tcW w:w="683" w:type="pct"/>
            <w:vAlign w:val="center"/>
          </w:tcPr>
          <w:p w:rsidR="00D20FC4" w:rsidRPr="00756DA5" w:rsidP="00FB2CBF">
            <w:pPr>
              <w:keepNext/>
              <w:spacing w:line="280" w:lineRule="exact"/>
              <w:jc w:val="center"/>
              <w:rPr>
                <w:rFonts w:cs="Arial"/>
                <w:szCs w:val="20"/>
              </w:rPr>
            </w:pPr>
            <w:r w:rsidRPr="00756DA5">
              <w:rPr>
                <w:szCs w:val="20"/>
              </w:rPr>
              <w:t>2</w:t>
            </w:r>
            <w:r w:rsidRPr="00756DA5">
              <w:rPr>
                <w:szCs w:val="20"/>
                <w:vertAlign w:val="superscript"/>
              </w:rPr>
              <w:t>(1)</w:t>
            </w:r>
          </w:p>
        </w:tc>
        <w:tc>
          <w:tcPr>
            <w:tcW w:w="683"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c>
          <w:tcPr>
            <w:tcW w:w="604" w:type="pct"/>
            <w:shd w:val="clear" w:color="auto" w:fill="auto"/>
            <w:vAlign w:val="center"/>
          </w:tcPr>
          <w:p w:rsidR="00D20FC4" w:rsidRPr="00756DA5" w:rsidP="00FB2CBF">
            <w:pPr>
              <w:keepNext/>
              <w:spacing w:line="280" w:lineRule="exact"/>
              <w:jc w:val="center"/>
              <w:rPr>
                <w:rFonts w:cs="Arial"/>
                <w:szCs w:val="20"/>
              </w:rPr>
            </w:pPr>
            <w:r w:rsidRPr="00756DA5">
              <w:rPr>
                <w:szCs w:val="20"/>
              </w:rPr>
              <w:t>1</w:t>
            </w:r>
            <w:r w:rsidRPr="00756DA5">
              <w:rPr>
                <w:szCs w:val="20"/>
                <w:vertAlign w:val="superscript"/>
              </w:rPr>
              <w:t>(2)</w:t>
            </w:r>
          </w:p>
        </w:tc>
      </w:tr>
      <w:tr w:rsidTr="00380326">
        <w:tblPrEx>
          <w:tblW w:w="5159" w:type="pct"/>
          <w:tblLayout w:type="fixed"/>
          <w:tblLook w:val="04A0"/>
        </w:tblPrEx>
        <w:trPr>
          <w:trHeight w:val="429"/>
        </w:trPr>
        <w:tc>
          <w:tcPr>
            <w:tcW w:w="1061" w:type="pct"/>
            <w:vMerge/>
          </w:tcPr>
          <w:p w:rsidR="00D20FC4" w:rsidRPr="00756DA5" w:rsidP="00FB2CBF">
            <w:pPr>
              <w:keepNext/>
              <w:spacing w:line="280" w:lineRule="exact"/>
              <w:rPr>
                <w:rFonts w:cs="Arial"/>
                <w:szCs w:val="20"/>
              </w:rPr>
            </w:pPr>
          </w:p>
        </w:tc>
        <w:tc>
          <w:tcPr>
            <w:tcW w:w="1058" w:type="pct"/>
            <w:vMerge/>
            <w:vAlign w:val="center"/>
          </w:tcPr>
          <w:p w:rsidR="00D20FC4" w:rsidRPr="00756DA5" w:rsidP="00FB2CBF">
            <w:pPr>
              <w:keepNext/>
              <w:spacing w:line="280" w:lineRule="exact"/>
              <w:ind w:left="18"/>
              <w:jc w:val="left"/>
              <w:rPr>
                <w:rFonts w:cs="Arial"/>
                <w:szCs w:val="20"/>
              </w:rPr>
            </w:pPr>
          </w:p>
        </w:tc>
        <w:tc>
          <w:tcPr>
            <w:tcW w:w="911" w:type="pct"/>
            <w:vAlign w:val="center"/>
          </w:tcPr>
          <w:p w:rsidR="00D20FC4" w:rsidRPr="00756DA5" w:rsidP="00FB2CBF">
            <w:pPr>
              <w:keepNext/>
              <w:spacing w:line="280" w:lineRule="exact"/>
              <w:jc w:val="center"/>
              <w:rPr>
                <w:rFonts w:cs="Arial"/>
                <w:szCs w:val="20"/>
              </w:rPr>
            </w:pPr>
            <w:r w:rsidRPr="00756DA5">
              <w:t>Certificates updated/modified</w:t>
            </w:r>
          </w:p>
        </w:tc>
        <w:tc>
          <w:tcPr>
            <w:tcW w:w="683" w:type="pct"/>
            <w:vAlign w:val="center"/>
          </w:tcPr>
          <w:p w:rsidR="00D20FC4" w:rsidRPr="00756DA5" w:rsidP="00FB2CBF">
            <w:pPr>
              <w:keepNext/>
              <w:spacing w:line="280" w:lineRule="exact"/>
              <w:jc w:val="center"/>
              <w:rPr>
                <w:rFonts w:cs="Arial"/>
                <w:szCs w:val="20"/>
              </w:rPr>
            </w:pPr>
            <w:r w:rsidRPr="00756DA5">
              <w:rPr>
                <w:szCs w:val="20"/>
              </w:rPr>
              <w:t>7</w:t>
            </w:r>
            <w:r w:rsidRPr="00756DA5">
              <w:rPr>
                <w:szCs w:val="20"/>
                <w:vertAlign w:val="superscript"/>
              </w:rPr>
              <w:t>(3)</w:t>
            </w:r>
          </w:p>
        </w:tc>
        <w:tc>
          <w:tcPr>
            <w:tcW w:w="683"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c>
          <w:tcPr>
            <w:tcW w:w="604"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r>
      <w:tr w:rsidTr="00380326">
        <w:tblPrEx>
          <w:tblW w:w="5159" w:type="pct"/>
          <w:tblLayout w:type="fixed"/>
          <w:tblLook w:val="04A0"/>
        </w:tblPrEx>
        <w:trPr>
          <w:trHeight w:val="429"/>
        </w:trPr>
        <w:tc>
          <w:tcPr>
            <w:tcW w:w="1061" w:type="pct"/>
            <w:vMerge/>
          </w:tcPr>
          <w:p w:rsidR="00D20FC4" w:rsidRPr="00756DA5" w:rsidP="00FB2CBF">
            <w:pPr>
              <w:keepNext/>
              <w:spacing w:line="280" w:lineRule="exact"/>
              <w:rPr>
                <w:rFonts w:cs="Arial"/>
                <w:szCs w:val="20"/>
              </w:rPr>
            </w:pPr>
          </w:p>
        </w:tc>
        <w:tc>
          <w:tcPr>
            <w:tcW w:w="1058" w:type="pct"/>
            <w:vMerge/>
            <w:vAlign w:val="center"/>
          </w:tcPr>
          <w:p w:rsidR="00D20FC4" w:rsidRPr="00756DA5" w:rsidP="00FB2CBF">
            <w:pPr>
              <w:keepNext/>
              <w:spacing w:line="280" w:lineRule="exact"/>
              <w:ind w:left="18"/>
              <w:jc w:val="left"/>
              <w:rPr>
                <w:rFonts w:cs="Arial"/>
                <w:szCs w:val="20"/>
              </w:rPr>
            </w:pPr>
          </w:p>
        </w:tc>
        <w:tc>
          <w:tcPr>
            <w:tcW w:w="911" w:type="pct"/>
            <w:vAlign w:val="center"/>
          </w:tcPr>
          <w:p w:rsidR="00D20FC4" w:rsidRPr="00756DA5" w:rsidP="00FB2CBF">
            <w:pPr>
              <w:keepNext/>
              <w:spacing w:line="280" w:lineRule="exact"/>
              <w:jc w:val="center"/>
              <w:rPr>
                <w:rFonts w:cs="Arial"/>
                <w:szCs w:val="20"/>
              </w:rPr>
            </w:pPr>
            <w:r w:rsidRPr="00756DA5">
              <w:t>Renewal of certificates</w:t>
            </w:r>
          </w:p>
        </w:tc>
        <w:tc>
          <w:tcPr>
            <w:tcW w:w="683" w:type="pct"/>
            <w:vAlign w:val="center"/>
          </w:tcPr>
          <w:p w:rsidR="00D20FC4" w:rsidRPr="00756DA5" w:rsidP="00FB2CBF">
            <w:pPr>
              <w:keepNext/>
              <w:spacing w:line="280" w:lineRule="exact"/>
              <w:jc w:val="center"/>
              <w:rPr>
                <w:rFonts w:cs="Arial"/>
                <w:szCs w:val="20"/>
              </w:rPr>
            </w:pPr>
            <w:r w:rsidRPr="00756DA5">
              <w:rPr>
                <w:szCs w:val="20"/>
              </w:rPr>
              <w:t>3</w:t>
            </w:r>
            <w:r w:rsidRPr="00756DA5">
              <w:rPr>
                <w:szCs w:val="20"/>
                <w:vertAlign w:val="superscript"/>
              </w:rPr>
              <w:t>(4)</w:t>
            </w:r>
          </w:p>
        </w:tc>
        <w:tc>
          <w:tcPr>
            <w:tcW w:w="683"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c>
          <w:tcPr>
            <w:tcW w:w="604"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r>
      <w:tr w:rsidTr="00380326">
        <w:tblPrEx>
          <w:tblW w:w="5159" w:type="pct"/>
          <w:tblLayout w:type="fixed"/>
          <w:tblLook w:val="04A0"/>
        </w:tblPrEx>
        <w:trPr>
          <w:trHeight w:val="429"/>
        </w:trPr>
        <w:tc>
          <w:tcPr>
            <w:tcW w:w="1061" w:type="pct"/>
            <w:vMerge/>
          </w:tcPr>
          <w:p w:rsidR="00D20FC4" w:rsidRPr="00756DA5" w:rsidP="00FB2CBF">
            <w:pPr>
              <w:keepNext/>
              <w:spacing w:line="280" w:lineRule="exact"/>
              <w:rPr>
                <w:rFonts w:cs="Arial"/>
                <w:szCs w:val="20"/>
              </w:rPr>
            </w:pPr>
          </w:p>
        </w:tc>
        <w:tc>
          <w:tcPr>
            <w:tcW w:w="1058" w:type="pct"/>
            <w:vMerge w:val="restart"/>
            <w:vAlign w:val="center"/>
          </w:tcPr>
          <w:p w:rsidR="00D20FC4" w:rsidRPr="00756DA5" w:rsidP="00FB2CBF">
            <w:pPr>
              <w:keepNext/>
              <w:spacing w:line="280" w:lineRule="exact"/>
              <w:ind w:left="18"/>
              <w:jc w:val="left"/>
              <w:rPr>
                <w:rFonts w:cs="Arial"/>
                <w:szCs w:val="20"/>
              </w:rPr>
            </w:pPr>
            <w:r w:rsidRPr="00756DA5">
              <w:t>When part A was issued in another Member State</w:t>
            </w:r>
          </w:p>
        </w:tc>
        <w:tc>
          <w:tcPr>
            <w:tcW w:w="911" w:type="pct"/>
            <w:vAlign w:val="center"/>
          </w:tcPr>
          <w:p w:rsidR="00D20FC4" w:rsidRPr="00756DA5" w:rsidP="00FB2CBF">
            <w:pPr>
              <w:keepNext/>
              <w:spacing w:line="280" w:lineRule="exact"/>
              <w:jc w:val="center"/>
              <w:rPr>
                <w:rFonts w:cs="Arial"/>
                <w:szCs w:val="20"/>
              </w:rPr>
            </w:pPr>
            <w:r w:rsidRPr="00756DA5">
              <w:t>New certificates</w:t>
            </w:r>
          </w:p>
        </w:tc>
        <w:tc>
          <w:tcPr>
            <w:tcW w:w="683" w:type="pct"/>
            <w:vAlign w:val="center"/>
          </w:tcPr>
          <w:p w:rsidR="00D20FC4" w:rsidRPr="00756DA5" w:rsidP="00FB2CBF">
            <w:pPr>
              <w:keepNext/>
              <w:spacing w:line="280" w:lineRule="exact"/>
              <w:jc w:val="center"/>
              <w:rPr>
                <w:rFonts w:cs="Arial"/>
                <w:szCs w:val="20"/>
              </w:rPr>
            </w:pPr>
            <w:r w:rsidRPr="00756DA5">
              <w:rPr>
                <w:szCs w:val="20"/>
              </w:rPr>
              <w:t>3</w:t>
            </w:r>
            <w:r w:rsidRPr="00756DA5">
              <w:rPr>
                <w:szCs w:val="20"/>
                <w:vertAlign w:val="superscript"/>
              </w:rPr>
              <w:t>(5)</w:t>
            </w:r>
          </w:p>
        </w:tc>
        <w:tc>
          <w:tcPr>
            <w:tcW w:w="683"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c>
          <w:tcPr>
            <w:tcW w:w="604"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r>
      <w:tr w:rsidTr="00380326">
        <w:tblPrEx>
          <w:tblW w:w="5159" w:type="pct"/>
          <w:tblLayout w:type="fixed"/>
          <w:tblLook w:val="04A0"/>
        </w:tblPrEx>
        <w:trPr>
          <w:trHeight w:val="429"/>
        </w:trPr>
        <w:tc>
          <w:tcPr>
            <w:tcW w:w="1061" w:type="pct"/>
            <w:vMerge/>
          </w:tcPr>
          <w:p w:rsidR="00D20FC4" w:rsidRPr="00756DA5" w:rsidP="00FB2CBF">
            <w:pPr>
              <w:keepNext/>
              <w:spacing w:line="280" w:lineRule="exact"/>
              <w:rPr>
                <w:rFonts w:cs="Arial"/>
                <w:szCs w:val="20"/>
              </w:rPr>
            </w:pPr>
          </w:p>
        </w:tc>
        <w:tc>
          <w:tcPr>
            <w:tcW w:w="1058" w:type="pct"/>
            <w:vMerge/>
          </w:tcPr>
          <w:p w:rsidR="00D20FC4" w:rsidRPr="00756DA5" w:rsidP="00FB2CBF">
            <w:pPr>
              <w:keepNext/>
              <w:spacing w:line="280" w:lineRule="exact"/>
              <w:rPr>
                <w:rFonts w:cs="Arial"/>
                <w:szCs w:val="20"/>
              </w:rPr>
            </w:pPr>
          </w:p>
        </w:tc>
        <w:tc>
          <w:tcPr>
            <w:tcW w:w="911" w:type="pct"/>
            <w:vAlign w:val="center"/>
          </w:tcPr>
          <w:p w:rsidR="00D20FC4" w:rsidRPr="00756DA5" w:rsidP="00FB2CBF">
            <w:pPr>
              <w:keepNext/>
              <w:spacing w:line="280" w:lineRule="exact"/>
              <w:jc w:val="center"/>
              <w:rPr>
                <w:rFonts w:cs="Arial"/>
                <w:szCs w:val="20"/>
              </w:rPr>
            </w:pPr>
            <w:r w:rsidRPr="00756DA5">
              <w:t>Certificates updated/modified</w:t>
            </w:r>
          </w:p>
        </w:tc>
        <w:tc>
          <w:tcPr>
            <w:tcW w:w="683" w:type="pct"/>
            <w:vAlign w:val="center"/>
          </w:tcPr>
          <w:p w:rsidR="00D20FC4" w:rsidRPr="00756DA5" w:rsidP="00FB2CBF">
            <w:pPr>
              <w:keepNext/>
              <w:spacing w:line="280" w:lineRule="exact"/>
              <w:jc w:val="center"/>
              <w:rPr>
                <w:rFonts w:cs="Arial"/>
                <w:szCs w:val="20"/>
              </w:rPr>
            </w:pPr>
            <w:r w:rsidRPr="00756DA5">
              <w:rPr>
                <w:szCs w:val="20"/>
              </w:rPr>
              <w:t>7</w:t>
            </w:r>
            <w:r w:rsidRPr="00756DA5">
              <w:rPr>
                <w:szCs w:val="20"/>
                <w:vertAlign w:val="superscript"/>
              </w:rPr>
              <w:t>(6)</w:t>
            </w:r>
          </w:p>
        </w:tc>
        <w:tc>
          <w:tcPr>
            <w:tcW w:w="683"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c>
          <w:tcPr>
            <w:tcW w:w="604" w:type="pct"/>
            <w:tcBorders>
              <w:bottom w:val="single" w:sz="4" w:space="0" w:color="auto"/>
            </w:tcBorders>
            <w:shd w:val="clear" w:color="auto" w:fill="A6A6A6" w:themeFill="background1" w:themeFillShade="A6"/>
            <w:vAlign w:val="center"/>
          </w:tcPr>
          <w:p w:rsidR="00D20FC4" w:rsidRPr="00756DA5" w:rsidP="00FB2CBF">
            <w:pPr>
              <w:keepNext/>
              <w:spacing w:line="280" w:lineRule="exact"/>
              <w:jc w:val="center"/>
              <w:rPr>
                <w:rFonts w:cs="Arial"/>
                <w:szCs w:val="20"/>
              </w:rPr>
            </w:pPr>
          </w:p>
        </w:tc>
      </w:tr>
      <w:tr w:rsidTr="00380326">
        <w:tblPrEx>
          <w:tblW w:w="5159" w:type="pct"/>
          <w:tblLayout w:type="fixed"/>
          <w:tblLook w:val="04A0"/>
        </w:tblPrEx>
        <w:trPr>
          <w:trHeight w:val="429"/>
        </w:trPr>
        <w:tc>
          <w:tcPr>
            <w:tcW w:w="1061" w:type="pct"/>
            <w:vMerge/>
          </w:tcPr>
          <w:p w:rsidR="00D20FC4" w:rsidRPr="00756DA5" w:rsidP="00FB2CBF">
            <w:pPr>
              <w:keepNext/>
              <w:spacing w:line="280" w:lineRule="exact"/>
              <w:rPr>
                <w:rFonts w:cs="Arial"/>
                <w:szCs w:val="20"/>
              </w:rPr>
            </w:pPr>
          </w:p>
        </w:tc>
        <w:tc>
          <w:tcPr>
            <w:tcW w:w="1058" w:type="pct"/>
            <w:vMerge/>
          </w:tcPr>
          <w:p w:rsidR="00D20FC4" w:rsidRPr="00756DA5" w:rsidP="00FB2CBF">
            <w:pPr>
              <w:keepNext/>
              <w:spacing w:line="280" w:lineRule="exact"/>
              <w:rPr>
                <w:rFonts w:cs="Arial"/>
                <w:szCs w:val="20"/>
              </w:rPr>
            </w:pPr>
          </w:p>
        </w:tc>
        <w:tc>
          <w:tcPr>
            <w:tcW w:w="911" w:type="pct"/>
            <w:vAlign w:val="center"/>
          </w:tcPr>
          <w:p w:rsidR="00D20FC4" w:rsidRPr="00756DA5" w:rsidP="00FB2CBF">
            <w:pPr>
              <w:keepNext/>
              <w:spacing w:line="280" w:lineRule="exact"/>
              <w:jc w:val="center"/>
              <w:rPr>
                <w:rFonts w:cs="Arial"/>
                <w:szCs w:val="20"/>
              </w:rPr>
            </w:pPr>
            <w:r w:rsidRPr="00756DA5">
              <w:t>Renewal of certificates</w:t>
            </w:r>
          </w:p>
        </w:tc>
        <w:tc>
          <w:tcPr>
            <w:tcW w:w="683" w:type="pct"/>
            <w:vAlign w:val="center"/>
          </w:tcPr>
          <w:p w:rsidR="00D20FC4" w:rsidRPr="00756DA5" w:rsidP="00FB2CBF">
            <w:pPr>
              <w:keepNext/>
              <w:spacing w:line="280" w:lineRule="exact"/>
              <w:jc w:val="center"/>
              <w:rPr>
                <w:rFonts w:cs="Arial"/>
                <w:szCs w:val="20"/>
              </w:rPr>
            </w:pPr>
            <w:r w:rsidRPr="00756DA5">
              <w:rPr>
                <w:szCs w:val="20"/>
              </w:rPr>
              <w:t>3</w:t>
            </w:r>
            <w:r w:rsidRPr="00756DA5">
              <w:rPr>
                <w:szCs w:val="20"/>
                <w:vertAlign w:val="superscript"/>
              </w:rPr>
              <w:t>(7)</w:t>
            </w:r>
          </w:p>
        </w:tc>
        <w:tc>
          <w:tcPr>
            <w:tcW w:w="683"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c>
          <w:tcPr>
            <w:tcW w:w="604" w:type="pct"/>
            <w:shd w:val="clear" w:color="auto" w:fill="A6A6A6" w:themeFill="background1" w:themeFillShade="A6"/>
            <w:vAlign w:val="center"/>
          </w:tcPr>
          <w:p w:rsidR="00D20FC4" w:rsidRPr="00756DA5" w:rsidP="00FB2CBF">
            <w:pPr>
              <w:keepNext/>
              <w:spacing w:line="280" w:lineRule="exact"/>
              <w:jc w:val="center"/>
              <w:rPr>
                <w:rFonts w:cs="Arial"/>
                <w:szCs w:val="20"/>
              </w:rPr>
            </w:pPr>
          </w:p>
        </w:tc>
      </w:tr>
    </w:tbl>
    <w:p w:rsidR="00D20FC4" w:rsidRPr="00756DA5" w:rsidP="00D20FC4">
      <w:pPr>
        <w:numPr>
          <w:ilvl w:val="0"/>
          <w:numId w:val="38"/>
        </w:numPr>
        <w:spacing w:line="280" w:lineRule="exact"/>
        <w:contextualSpacing/>
        <w:jc w:val="left"/>
        <w:rPr>
          <w:rFonts w:cs="Arial"/>
          <w:sz w:val="16"/>
          <w:szCs w:val="16"/>
        </w:rPr>
      </w:pPr>
      <w:r w:rsidRPr="00756DA5">
        <w:rPr>
          <w:sz w:val="16"/>
          <w:szCs w:val="16"/>
        </w:rPr>
        <w:t>FERRIVIA - TRANSKEO</w:t>
      </w:r>
    </w:p>
    <w:p w:rsidR="00D20FC4" w:rsidRPr="00756DA5" w:rsidP="00D20FC4">
      <w:pPr>
        <w:numPr>
          <w:ilvl w:val="0"/>
          <w:numId w:val="38"/>
        </w:numPr>
        <w:spacing w:line="280" w:lineRule="exact"/>
        <w:contextualSpacing/>
        <w:jc w:val="left"/>
        <w:rPr>
          <w:rFonts w:cs="Arial"/>
          <w:sz w:val="16"/>
          <w:szCs w:val="16"/>
        </w:rPr>
      </w:pPr>
      <w:r w:rsidRPr="00756DA5">
        <w:rPr>
          <w:sz w:val="16"/>
          <w:szCs w:val="16"/>
        </w:rPr>
        <w:t>CFTA</w:t>
      </w:r>
    </w:p>
    <w:p w:rsidR="00D20FC4" w:rsidRPr="00756DA5" w:rsidP="00D20FC4">
      <w:pPr>
        <w:numPr>
          <w:ilvl w:val="0"/>
          <w:numId w:val="38"/>
        </w:numPr>
        <w:spacing w:line="280" w:lineRule="exact"/>
        <w:contextualSpacing/>
        <w:jc w:val="left"/>
        <w:rPr>
          <w:rFonts w:cs="Arial"/>
          <w:sz w:val="16"/>
          <w:szCs w:val="16"/>
        </w:rPr>
      </w:pPr>
      <w:r w:rsidRPr="00756DA5">
        <w:rPr>
          <w:sz w:val="16"/>
          <w:szCs w:val="16"/>
        </w:rPr>
        <w:t>ECORAIL TRANSPORT - THELLO (x2) - SNCF MOBILITES (x2) - EUROPORTE France - ECR</w:t>
      </w:r>
    </w:p>
    <w:p w:rsidR="00D20FC4" w:rsidRPr="00756DA5" w:rsidP="00D20FC4">
      <w:pPr>
        <w:numPr>
          <w:ilvl w:val="0"/>
          <w:numId w:val="38"/>
        </w:numPr>
        <w:spacing w:line="280" w:lineRule="exact"/>
        <w:contextualSpacing/>
        <w:jc w:val="left"/>
        <w:rPr>
          <w:rFonts w:cs="Arial"/>
          <w:sz w:val="16"/>
          <w:szCs w:val="16"/>
        </w:rPr>
      </w:pPr>
      <w:r w:rsidRPr="00756DA5">
        <w:rPr>
          <w:sz w:val="16"/>
          <w:szCs w:val="16"/>
        </w:rPr>
        <w:t>ETMF - NORMANDIE RAIL SERVICES - VFLI</w:t>
      </w:r>
    </w:p>
    <w:p w:rsidR="00D20FC4" w:rsidRPr="00756DA5" w:rsidP="00D20FC4">
      <w:pPr>
        <w:numPr>
          <w:ilvl w:val="0"/>
          <w:numId w:val="38"/>
        </w:numPr>
        <w:spacing w:line="280" w:lineRule="exact"/>
        <w:contextualSpacing/>
        <w:jc w:val="left"/>
        <w:rPr>
          <w:rFonts w:cs="Arial"/>
          <w:sz w:val="16"/>
          <w:szCs w:val="16"/>
        </w:rPr>
      </w:pPr>
      <w:r w:rsidRPr="00756DA5">
        <w:rPr>
          <w:sz w:val="16"/>
          <w:szCs w:val="16"/>
        </w:rPr>
        <w:t>CAPTRAIN Belgium - DB CARGO UK LIMITED - GB RAILFREIGHT</w:t>
      </w:r>
    </w:p>
    <w:p w:rsidR="00D20FC4" w:rsidRPr="00756DA5" w:rsidP="00D20FC4">
      <w:pPr>
        <w:numPr>
          <w:ilvl w:val="0"/>
          <w:numId w:val="38"/>
        </w:numPr>
        <w:spacing w:line="280" w:lineRule="exact"/>
        <w:contextualSpacing/>
        <w:jc w:val="left"/>
        <w:rPr>
          <w:rFonts w:cs="Arial"/>
          <w:sz w:val="16"/>
          <w:szCs w:val="16"/>
        </w:rPr>
      </w:pPr>
      <w:r w:rsidRPr="00756DA5">
        <w:rPr>
          <w:sz w:val="16"/>
          <w:szCs w:val="16"/>
        </w:rPr>
        <w:t>TRENITALIA Spa - CFL CARGO - TRANSFESA RAIL - MERCITALIA RAIL - B LOGISTICS (LINEAS GROUP) - EUROSTAR - THI FACTORY</w:t>
      </w:r>
    </w:p>
    <w:p w:rsidR="00D20FC4" w:rsidRPr="00756DA5" w:rsidP="00D20FC4">
      <w:pPr>
        <w:numPr>
          <w:ilvl w:val="0"/>
          <w:numId w:val="38"/>
        </w:numPr>
        <w:spacing w:line="280" w:lineRule="exact"/>
        <w:contextualSpacing/>
        <w:jc w:val="left"/>
        <w:rPr>
          <w:rFonts w:cs="Arial"/>
          <w:sz w:val="16"/>
          <w:szCs w:val="16"/>
        </w:rPr>
      </w:pPr>
      <w:r w:rsidRPr="00756DA5">
        <w:rPr>
          <w:sz w:val="16"/>
          <w:szCs w:val="16"/>
        </w:rPr>
        <w:t>CFL CARGO - DB CARGO ITALIA - TMR</w:t>
      </w:r>
    </w:p>
    <w:p w:rsidR="00D20FC4" w:rsidRPr="00756DA5" w:rsidP="00D20FC4">
      <w:pPr>
        <w:spacing w:after="0" w:line="280" w:lineRule="exact"/>
        <w:rPr>
          <w:rFonts w:cs="Arial"/>
          <w:szCs w:val="20"/>
          <w:lang w:val="es-ES"/>
        </w:rPr>
      </w:pPr>
    </w:p>
    <w:p w:rsidR="00D20FC4" w:rsidRPr="00756DA5" w:rsidP="00D20FC4">
      <w:pPr>
        <w:spacing w:after="0" w:line="280" w:lineRule="exact"/>
        <w:rPr>
          <w:rFonts w:cs="Arial"/>
          <w:szCs w:val="20"/>
          <w:lang w:val="es-ES"/>
        </w:rPr>
      </w:pPr>
    </w:p>
    <w:p w:rsidR="00D20FC4" w:rsidRPr="00756DA5" w:rsidP="00D20FC4">
      <w:pPr>
        <w:spacing w:after="0" w:line="280" w:lineRule="exact"/>
        <w:rPr>
          <w:rFonts w:cs="Arial"/>
          <w:b/>
          <w:szCs w:val="20"/>
        </w:rPr>
      </w:pPr>
      <w:r w:rsidRPr="00756DA5">
        <w:rPr>
          <w:b/>
          <w:szCs w:val="20"/>
        </w:rPr>
        <w:t>For information:</w:t>
      </w:r>
    </w:p>
    <w:p w:rsidR="00D20FC4" w:rsidRPr="00756DA5" w:rsidP="00D20FC4">
      <w:pPr>
        <w:pStyle w:val="ListParagraph"/>
        <w:numPr>
          <w:ilvl w:val="0"/>
          <w:numId w:val="34"/>
        </w:numPr>
        <w:spacing w:after="0" w:line="280" w:lineRule="exact"/>
        <w:rPr>
          <w:rFonts w:cs="Arial"/>
          <w:szCs w:val="20"/>
        </w:rPr>
      </w:pPr>
      <w:r w:rsidRPr="00756DA5">
        <w:t xml:space="preserve">The safety certificate of </w:t>
      </w:r>
      <w:r w:rsidRPr="00756DA5">
        <w:rPr>
          <w:b/>
          <w:szCs w:val="20"/>
        </w:rPr>
        <w:t>CFR</w:t>
      </w:r>
      <w:r w:rsidRPr="00756DA5">
        <w:t xml:space="preserve"> </w:t>
      </w:r>
      <w:r w:rsidRPr="00756DA5">
        <w:t>was not renewed</w:t>
      </w:r>
      <w:r w:rsidRPr="00756DA5">
        <w:t xml:space="preserve"> in 2017.</w:t>
      </w:r>
    </w:p>
    <w:p w:rsidR="00D20FC4" w:rsidRPr="00756DA5" w:rsidP="00D20FC4">
      <w:pPr>
        <w:pStyle w:val="ListParagraph"/>
        <w:numPr>
          <w:ilvl w:val="0"/>
          <w:numId w:val="34"/>
        </w:numPr>
        <w:spacing w:after="0" w:line="280" w:lineRule="exact"/>
        <w:rPr>
          <w:rFonts w:cs="Arial"/>
          <w:szCs w:val="20"/>
        </w:rPr>
      </w:pPr>
      <w:r w:rsidRPr="00756DA5">
        <w:t xml:space="preserve">The safety certificate of </w:t>
      </w:r>
      <w:r w:rsidRPr="00756DA5">
        <w:rPr>
          <w:b/>
          <w:szCs w:val="20"/>
        </w:rPr>
        <w:t xml:space="preserve">FER ALLIANCE </w:t>
      </w:r>
      <w:r w:rsidRPr="00756DA5">
        <w:t>was withdrawn</w:t>
      </w:r>
      <w:r w:rsidRPr="00756DA5">
        <w:t xml:space="preserve"> due to the lack of traffic activity in the year of issue.</w:t>
      </w:r>
    </w:p>
    <w:p w:rsidR="00D20FC4" w:rsidRPr="00756DA5" w:rsidP="00D20FC4">
      <w:pPr>
        <w:pStyle w:val="ListParagraph"/>
        <w:numPr>
          <w:ilvl w:val="0"/>
          <w:numId w:val="34"/>
        </w:numPr>
        <w:spacing w:after="0" w:line="280" w:lineRule="exact"/>
        <w:rPr>
          <w:rFonts w:cs="Arial"/>
          <w:szCs w:val="20"/>
        </w:rPr>
      </w:pPr>
      <w:r w:rsidRPr="00756DA5">
        <w:t xml:space="preserve">The safety certificate of </w:t>
      </w:r>
      <w:r w:rsidRPr="00756DA5">
        <w:rPr>
          <w:b/>
          <w:szCs w:val="20"/>
        </w:rPr>
        <w:t>DBSRN</w:t>
      </w:r>
      <w:r w:rsidRPr="00756DA5">
        <w:t xml:space="preserve"> was withdrawn due to the lack of traffic activity in the year of issue</w:t>
      </w:r>
    </w:p>
    <w:p w:rsidR="00D20FC4" w:rsidRPr="00756DA5" w:rsidP="00FB2CBF">
      <w:pPr>
        <w:pStyle w:val="Heading1"/>
        <w:pageBreakBefore/>
        <w:jc w:val="left"/>
        <w:rPr>
          <w:rFonts w:cs="Arial"/>
          <w:szCs w:val="44"/>
        </w:rPr>
      </w:pPr>
      <w:bookmarkStart w:id="108" w:name="_Toc430770528"/>
      <w:bookmarkStart w:id="109" w:name="_Toc494469642"/>
      <w:bookmarkStart w:id="110" w:name="_Toc533153888"/>
      <w:r w:rsidRPr="00756DA5">
        <w:t>Annex 6 – List of holders of authorisations issued by the EPSF</w:t>
      </w:r>
      <w:bookmarkEnd w:id="108"/>
      <w:bookmarkEnd w:id="109"/>
      <w:bookmarkEnd w:id="110"/>
    </w:p>
    <w:p w:rsidR="00D20FC4" w:rsidRPr="00756DA5" w:rsidP="00D20FC4">
      <w:pPr>
        <w:spacing w:line="280" w:lineRule="exact"/>
        <w:rPr>
          <w:b/>
          <w:bCs/>
        </w:rPr>
      </w:pPr>
      <w:r w:rsidRPr="00756DA5">
        <w:rPr>
          <w:b/>
          <w:bCs/>
        </w:rPr>
        <w:t>■ Lists of railway undertakings that held a safety certificate as at 31 December 2017 on the national railway network</w:t>
      </w:r>
    </w:p>
    <w:tbl>
      <w:tblPr>
        <w:tblW w:w="6019" w:type="pct"/>
        <w:tblInd w:w="-851" w:type="dxa"/>
        <w:tblLayout w:type="fixed"/>
        <w:tblCellMar>
          <w:left w:w="70" w:type="dxa"/>
          <w:right w:w="70" w:type="dxa"/>
        </w:tblCellMar>
        <w:tblLook w:val="04A0"/>
      </w:tblPr>
      <w:tblGrid>
        <w:gridCol w:w="241"/>
        <w:gridCol w:w="148"/>
        <w:gridCol w:w="148"/>
        <w:gridCol w:w="148"/>
        <w:gridCol w:w="2096"/>
        <w:gridCol w:w="1797"/>
        <w:gridCol w:w="103"/>
        <w:gridCol w:w="22"/>
        <w:gridCol w:w="1897"/>
        <w:gridCol w:w="63"/>
        <w:gridCol w:w="33"/>
        <w:gridCol w:w="1386"/>
        <w:gridCol w:w="6"/>
        <w:gridCol w:w="1236"/>
        <w:gridCol w:w="41"/>
        <w:gridCol w:w="1155"/>
        <w:gridCol w:w="395"/>
      </w:tblGrid>
      <w:tr w:rsidTr="005202AF">
        <w:tblPrEx>
          <w:tblW w:w="6019" w:type="pct"/>
          <w:tblInd w:w="-851" w:type="dxa"/>
          <w:tblLayout w:type="fixed"/>
          <w:tblCellMar>
            <w:left w:w="70" w:type="dxa"/>
            <w:right w:w="70" w:type="dxa"/>
          </w:tblCellMar>
          <w:tblLook w:val="04A0"/>
        </w:tblPrEx>
        <w:trPr>
          <w:gridBefore w:val="1"/>
          <w:wBefore w:w="241" w:type="dxa"/>
          <w:trHeight w:val="900"/>
        </w:trPr>
        <w:tc>
          <w:tcPr>
            <w:tcW w:w="204" w:type="pct"/>
            <w:gridSpan w:val="3"/>
            <w:tcBorders>
              <w:top w:val="nil"/>
              <w:left w:val="nil"/>
              <w:bottom w:val="nil"/>
              <w:right w:val="nil"/>
            </w:tcBorders>
            <w:shd w:val="clear" w:color="auto" w:fill="auto"/>
            <w:noWrap/>
            <w:vAlign w:val="center"/>
            <w:hideMark/>
          </w:tcPr>
          <w:p w:rsidR="00D20FC4" w:rsidRPr="00756DA5" w:rsidP="005202AF">
            <w:pPr>
              <w:spacing w:after="0" w:line="280" w:lineRule="exact"/>
              <w:jc w:val="left"/>
              <w:rPr>
                <w:rFonts w:eastAsia="Times New Roman" w:cs="Arial"/>
                <w:szCs w:val="20"/>
                <w:lang w:eastAsia="fr-FR"/>
              </w:rPr>
            </w:pPr>
          </w:p>
        </w:tc>
        <w:tc>
          <w:tcPr>
            <w:tcW w:w="960"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 xml:space="preserve">RAILWAY </w:t>
            </w:r>
            <w:r w:rsidRPr="00756DA5">
              <w:rPr>
                <w:b/>
                <w:bCs/>
                <w:color w:val="FFFFFF"/>
                <w:szCs w:val="20"/>
              </w:rPr>
              <w:br/>
              <w:t>UNDERTAKINGS</w:t>
            </w:r>
          </w:p>
        </w:tc>
        <w:tc>
          <w:tcPr>
            <w:tcW w:w="823" w:type="pct"/>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DATE OF FIRST ISSUE OF SAFETY CERTIFICATE</w:t>
            </w:r>
          </w:p>
        </w:tc>
        <w:tc>
          <w:tcPr>
            <w:tcW w:w="926" w:type="pct"/>
            <w:gridSpan w:val="3"/>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DATE OF CURRENT CERTIFICATE</w:t>
            </w:r>
          </w:p>
        </w:tc>
        <w:tc>
          <w:tcPr>
            <w:tcW w:w="678" w:type="pct"/>
            <w:gridSpan w:val="3"/>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PART A</w:t>
            </w:r>
          </w:p>
        </w:tc>
        <w:tc>
          <w:tcPr>
            <w:tcW w:w="568" w:type="pct"/>
            <w:gridSpan w:val="2"/>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PART B</w:t>
            </w:r>
          </w:p>
        </w:tc>
        <w:tc>
          <w:tcPr>
            <w:tcW w:w="776" w:type="pct"/>
            <w:gridSpan w:val="3"/>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COMMERCIAL SERVICE LAUNCH DATE</w:t>
            </w:r>
          </w:p>
        </w:tc>
      </w:tr>
      <w:tr w:rsidTr="005202AF">
        <w:tblPrEx>
          <w:tblW w:w="6019" w:type="pct"/>
          <w:tblInd w:w="-851" w:type="dxa"/>
          <w:tblLayout w:type="fixed"/>
          <w:tblCellMar>
            <w:left w:w="70" w:type="dxa"/>
            <w:right w:w="70" w:type="dxa"/>
          </w:tblCellMar>
          <w:tblLook w:val="04A0"/>
        </w:tblPrEx>
        <w:trPr>
          <w:gridBefore w:val="1"/>
          <w:wBefore w:w="241" w:type="dxa"/>
          <w:trHeight w:val="851"/>
        </w:trPr>
        <w:tc>
          <w:tcPr>
            <w:tcW w:w="20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1</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CAPTRAIN BELGIUM</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28 April 2017</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28 April 2017</w:t>
            </w:r>
          </w:p>
        </w:tc>
        <w:tc>
          <w:tcPr>
            <w:tcW w:w="678"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BE 11 2015 0002</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2017 0008</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14 April 2011</w:t>
            </w:r>
          </w:p>
        </w:tc>
      </w:tr>
      <w:tr w:rsidTr="005202AF">
        <w:tblPrEx>
          <w:tblW w:w="6019" w:type="pct"/>
          <w:tblInd w:w="-851" w:type="dxa"/>
          <w:tblLayout w:type="fixed"/>
          <w:tblCellMar>
            <w:left w:w="70" w:type="dxa"/>
            <w:right w:w="70" w:type="dxa"/>
          </w:tblCellMar>
          <w:tblLook w:val="04A0"/>
        </w:tblPrEx>
        <w:trPr>
          <w:gridBefore w:val="1"/>
          <w:wBefore w:w="241" w:type="dxa"/>
          <w:trHeight w:val="57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2</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CAPTRAIN ITALIA SRL</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5 December 2014</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5 December 2014</w:t>
            </w:r>
          </w:p>
        </w:tc>
        <w:tc>
          <w:tcPr>
            <w:tcW w:w="678"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IT 11 2013 0014</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2014 0011</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5 December 2014</w:t>
            </w:r>
          </w:p>
        </w:tc>
      </w:tr>
      <w:tr w:rsidTr="005202AF">
        <w:tblPrEx>
          <w:tblW w:w="6019" w:type="pct"/>
          <w:tblInd w:w="-851" w:type="dxa"/>
          <w:tblLayout w:type="fixed"/>
          <w:tblCellMar>
            <w:left w:w="70" w:type="dxa"/>
            <w:right w:w="70" w:type="dxa"/>
          </w:tblCellMar>
          <w:tblLook w:val="04A0"/>
        </w:tblPrEx>
        <w:trPr>
          <w:gridBefore w:val="1"/>
          <w:wBefore w:w="241" w:type="dxa"/>
          <w:trHeight w:val="57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3</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CFL CARGO</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26 November 2012</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24 November 2017</w:t>
            </w:r>
          </w:p>
        </w:tc>
        <w:tc>
          <w:tcPr>
            <w:tcW w:w="678"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LU 11 2016 0001</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2017 0030</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4 February 2008</w:t>
            </w:r>
          </w:p>
        </w:tc>
      </w:tr>
      <w:tr w:rsidTr="005202AF">
        <w:tblPrEx>
          <w:tblW w:w="6019" w:type="pct"/>
          <w:tblInd w:w="-851" w:type="dxa"/>
          <w:tblLayout w:type="fixed"/>
          <w:tblCellMar>
            <w:left w:w="70" w:type="dxa"/>
            <w:right w:w="70" w:type="dxa"/>
          </w:tblCellMar>
          <w:tblLook w:val="04A0"/>
        </w:tblPrEx>
        <w:trPr>
          <w:gridBefore w:val="1"/>
          <w:wBefore w:w="241" w:type="dxa"/>
          <w:trHeight w:val="57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4</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CFL</w:t>
            </w:r>
          </w:p>
          <w:p w:rsidR="00D20FC4" w:rsidRPr="00756DA5" w:rsidP="005202AF">
            <w:pPr>
              <w:spacing w:after="0" w:line="280" w:lineRule="exact"/>
              <w:jc w:val="center"/>
              <w:rPr>
                <w:rFonts w:eastAsia="Times New Roman" w:cs="Arial"/>
                <w:color w:val="4D4D4D"/>
                <w:sz w:val="18"/>
                <w:szCs w:val="18"/>
              </w:rPr>
            </w:pPr>
            <w:r w:rsidRPr="00756DA5">
              <w:rPr>
                <w:sz w:val="18"/>
                <w:szCs w:val="18"/>
              </w:rPr>
              <w:t>(</w:t>
            </w:r>
            <w:r w:rsidRPr="00756DA5">
              <w:rPr>
                <w:i/>
                <w:sz w:val="18"/>
                <w:szCs w:val="18"/>
              </w:rPr>
              <w:t>Chemin de Fer Luxembourgeois</w:t>
            </w:r>
            <w:r w:rsidRPr="00756DA5">
              <w:rPr>
                <w:sz w:val="18"/>
                <w:szCs w:val="18"/>
              </w:rPr>
              <w:t>) [Luxembourg National Railway]</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30 August 2007</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30 September 2015</w:t>
            </w:r>
          </w:p>
        </w:tc>
        <w:tc>
          <w:tcPr>
            <w:tcW w:w="678"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LU 11 2014 0002</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2015 0015</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14 May 1946</w:t>
            </w:r>
          </w:p>
        </w:tc>
      </w:tr>
      <w:tr w:rsidTr="005202AF">
        <w:tblPrEx>
          <w:tblW w:w="6019" w:type="pct"/>
          <w:tblInd w:w="-851" w:type="dxa"/>
          <w:tblLayout w:type="fixed"/>
          <w:tblCellMar>
            <w:left w:w="70" w:type="dxa"/>
            <w:right w:w="70" w:type="dxa"/>
          </w:tblCellMar>
          <w:tblLook w:val="04A0"/>
        </w:tblPrEx>
        <w:trPr>
          <w:gridBefore w:val="1"/>
          <w:wBefore w:w="241" w:type="dxa"/>
          <w:trHeight w:val="285"/>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color w:val="000000"/>
                <w:szCs w:val="20"/>
                <w:lang w:eastAsia="fr-FR"/>
              </w:rPr>
              <w:t>5</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 xml:space="preserve">COLAS RAIL </w:t>
            </w:r>
            <w:r w:rsidRPr="00756DA5">
              <w:rPr>
                <w:sz w:val="18"/>
                <w:szCs w:val="18"/>
                <w:vertAlign w:val="superscript"/>
              </w:rPr>
              <w:t>(2)</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31 July 2008</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29 November 2016</w:t>
            </w:r>
          </w:p>
        </w:tc>
        <w:tc>
          <w:tcPr>
            <w:tcW w:w="67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11 2016 0020</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2016 0021</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8 January 2007</w:t>
            </w:r>
          </w:p>
        </w:tc>
      </w:tr>
      <w:tr w:rsidTr="005202AF">
        <w:tblPrEx>
          <w:tblW w:w="6019" w:type="pct"/>
          <w:tblInd w:w="-851" w:type="dxa"/>
          <w:tblLayout w:type="fixed"/>
          <w:tblCellMar>
            <w:left w:w="70" w:type="dxa"/>
            <w:right w:w="70" w:type="dxa"/>
          </w:tblCellMar>
          <w:tblLook w:val="04A0"/>
        </w:tblPrEx>
        <w:trPr>
          <w:gridBefore w:val="1"/>
          <w:wBefore w:w="241" w:type="dxa"/>
          <w:trHeight w:val="57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6</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CTSF</w:t>
            </w:r>
          </w:p>
          <w:p w:rsidR="00D20FC4" w:rsidRPr="00756DA5" w:rsidP="005202AF">
            <w:pPr>
              <w:spacing w:after="0" w:line="280" w:lineRule="exact"/>
              <w:jc w:val="center"/>
              <w:rPr>
                <w:rFonts w:eastAsia="Times New Roman" w:cs="Arial"/>
                <w:color w:val="4D4D4D"/>
                <w:sz w:val="18"/>
                <w:szCs w:val="18"/>
              </w:rPr>
            </w:pPr>
            <w:r w:rsidRPr="00756DA5">
              <w:rPr>
                <w:sz w:val="18"/>
                <w:szCs w:val="18"/>
              </w:rPr>
              <w:t>(</w:t>
            </w:r>
            <w:r w:rsidRPr="00756DA5">
              <w:rPr>
                <w:i/>
                <w:sz w:val="18"/>
                <w:szCs w:val="18"/>
              </w:rPr>
              <w:t>Compagnie de Traction et de Services Ferroviaires</w:t>
            </w:r>
            <w:r w:rsidRPr="00756DA5">
              <w:rPr>
                <w:sz w:val="18"/>
                <w:szCs w:val="18"/>
              </w:rPr>
              <w:t>)</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20 July 2015</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20 July 2015</w:t>
            </w:r>
          </w:p>
        </w:tc>
        <w:tc>
          <w:tcPr>
            <w:tcW w:w="67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11 2015 0007</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2015 0008</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Fourth quarter 2015</w:t>
            </w:r>
          </w:p>
        </w:tc>
      </w:tr>
      <w:tr w:rsidTr="005202AF">
        <w:tblPrEx>
          <w:tblW w:w="6019" w:type="pct"/>
          <w:tblInd w:w="-851" w:type="dxa"/>
          <w:tblLayout w:type="fixed"/>
          <w:tblCellMar>
            <w:left w:w="70" w:type="dxa"/>
            <w:right w:w="70" w:type="dxa"/>
          </w:tblCellMar>
          <w:tblLook w:val="04A0"/>
        </w:tblPrEx>
        <w:trPr>
          <w:gridBefore w:val="1"/>
          <w:wBefore w:w="241" w:type="dxa"/>
          <w:trHeight w:val="285"/>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7</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DB CARGO ITALIA S.R.L.</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21 October 2016</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8 February 2017</w:t>
            </w:r>
          </w:p>
        </w:tc>
        <w:tc>
          <w:tcPr>
            <w:tcW w:w="678"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IT 11 2017 0001</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2017 0001</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color w:val="000000"/>
                <w:sz w:val="18"/>
                <w:szCs w:val="18"/>
              </w:rPr>
              <w:t>March 2012</w:t>
            </w:r>
          </w:p>
        </w:tc>
      </w:tr>
      <w:tr w:rsidTr="005202AF">
        <w:tblPrEx>
          <w:tblW w:w="6019" w:type="pct"/>
          <w:tblInd w:w="-851" w:type="dxa"/>
          <w:tblLayout w:type="fixed"/>
          <w:tblCellMar>
            <w:left w:w="70" w:type="dxa"/>
            <w:right w:w="70" w:type="dxa"/>
          </w:tblCellMar>
          <w:tblLook w:val="04A0"/>
        </w:tblPrEx>
        <w:trPr>
          <w:gridBefore w:val="1"/>
          <w:wBefore w:w="241" w:type="dxa"/>
          <w:trHeight w:val="57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8</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DB CARGO UK</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7 August 2017</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7 August 2017</w:t>
            </w:r>
          </w:p>
        </w:tc>
        <w:tc>
          <w:tcPr>
            <w:tcW w:w="678"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UK 11 2017 0004</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2017 0025</w:t>
            </w:r>
          </w:p>
        </w:tc>
        <w:tc>
          <w:tcPr>
            <w:tcW w:w="776"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line="280" w:lineRule="exact"/>
              <w:jc w:val="center"/>
              <w:rPr>
                <w:rFonts w:cs="Arial"/>
                <w:color w:val="4D4D4D"/>
                <w:sz w:val="18"/>
                <w:szCs w:val="18"/>
              </w:rPr>
            </w:pPr>
          </w:p>
        </w:tc>
      </w:tr>
      <w:tr w:rsidTr="005202AF">
        <w:tblPrEx>
          <w:tblW w:w="6019" w:type="pct"/>
          <w:tblInd w:w="-851" w:type="dxa"/>
          <w:tblLayout w:type="fixed"/>
          <w:tblCellMar>
            <w:left w:w="70" w:type="dxa"/>
            <w:right w:w="70" w:type="dxa"/>
          </w:tblCellMar>
          <w:tblLook w:val="04A0"/>
        </w:tblPrEx>
        <w:trPr>
          <w:gridBefore w:val="1"/>
          <w:wBefore w:w="241" w:type="dxa"/>
          <w:trHeight w:val="57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9</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ECORAIL TRANSPORT</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7 July 2016</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7 July 2016</w:t>
            </w:r>
          </w:p>
        </w:tc>
        <w:tc>
          <w:tcPr>
            <w:tcW w:w="67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11 2016 0009</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2017 0012</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31 July 2016</w:t>
            </w:r>
          </w:p>
        </w:tc>
      </w:tr>
      <w:tr w:rsidTr="005202AF">
        <w:tblPrEx>
          <w:tblW w:w="6019" w:type="pct"/>
          <w:tblInd w:w="-851" w:type="dxa"/>
          <w:tblLayout w:type="fixed"/>
          <w:tblCellMar>
            <w:left w:w="70" w:type="dxa"/>
            <w:right w:w="70" w:type="dxa"/>
          </w:tblCellMar>
          <w:tblLook w:val="04A0"/>
        </w:tblPrEx>
        <w:trPr>
          <w:gridBefore w:val="1"/>
          <w:wBefore w:w="241" w:type="dxa"/>
          <w:trHeight w:val="57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10</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ECR</w:t>
            </w:r>
          </w:p>
          <w:p w:rsidR="00D20FC4" w:rsidRPr="00756DA5" w:rsidP="005202AF">
            <w:pPr>
              <w:spacing w:after="0" w:line="280" w:lineRule="exact"/>
              <w:jc w:val="center"/>
              <w:rPr>
                <w:rFonts w:eastAsia="Times New Roman" w:cs="Arial"/>
                <w:color w:val="4D4D4D"/>
                <w:sz w:val="18"/>
                <w:szCs w:val="18"/>
              </w:rPr>
            </w:pPr>
            <w:r w:rsidRPr="00756DA5">
              <w:rPr>
                <w:sz w:val="18"/>
                <w:szCs w:val="18"/>
              </w:rPr>
              <w:t>(Euro Cargo Rail)</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1 December 2015</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25 September 2015</w:t>
            </w:r>
          </w:p>
        </w:tc>
        <w:tc>
          <w:tcPr>
            <w:tcW w:w="67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11 2015 0013</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2015 0014</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13 May 2006</w:t>
            </w:r>
          </w:p>
        </w:tc>
      </w:tr>
      <w:tr w:rsidTr="005202AF">
        <w:tblPrEx>
          <w:tblW w:w="6019" w:type="pct"/>
          <w:tblInd w:w="-851" w:type="dxa"/>
          <w:tblLayout w:type="fixed"/>
          <w:tblCellMar>
            <w:left w:w="70" w:type="dxa"/>
            <w:right w:w="70" w:type="dxa"/>
          </w:tblCellMar>
          <w:tblLook w:val="04A0"/>
        </w:tblPrEx>
        <w:trPr>
          <w:gridBefore w:val="1"/>
          <w:wBefore w:w="241" w:type="dxa"/>
          <w:trHeight w:val="285"/>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11</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 xml:space="preserve">ERS </w:t>
            </w:r>
            <w:r w:rsidRPr="00756DA5">
              <w:rPr>
                <w:sz w:val="18"/>
                <w:szCs w:val="18"/>
                <w:vertAlign w:val="superscript"/>
              </w:rPr>
              <w:t>(3)</w:t>
            </w:r>
          </w:p>
          <w:p w:rsidR="00D20FC4" w:rsidRPr="00756DA5" w:rsidP="005202AF">
            <w:pPr>
              <w:spacing w:after="0" w:line="280" w:lineRule="exact"/>
              <w:jc w:val="center"/>
              <w:rPr>
                <w:rFonts w:cs="Arial"/>
                <w:sz w:val="18"/>
                <w:szCs w:val="18"/>
              </w:rPr>
            </w:pPr>
            <w:r w:rsidRPr="00756DA5">
              <w:rPr>
                <w:sz w:val="18"/>
                <w:szCs w:val="18"/>
              </w:rPr>
              <w:t>(Eiffage Rail</w:t>
            </w:r>
          </w:p>
          <w:p w:rsidR="00D20FC4" w:rsidRPr="00756DA5" w:rsidP="005202AF">
            <w:pPr>
              <w:spacing w:after="0" w:line="280" w:lineRule="exact"/>
              <w:jc w:val="center"/>
              <w:rPr>
                <w:rFonts w:eastAsia="Times New Roman" w:cs="Arial"/>
                <w:color w:val="4D4D4D"/>
                <w:sz w:val="18"/>
                <w:szCs w:val="18"/>
              </w:rPr>
            </w:pPr>
            <w:r w:rsidRPr="00756DA5">
              <w:rPr>
                <w:sz w:val="18"/>
                <w:szCs w:val="18"/>
              </w:rPr>
              <w:t>Services)</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11 December 2015</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11 December 2015</w:t>
            </w:r>
          </w:p>
        </w:tc>
        <w:tc>
          <w:tcPr>
            <w:tcW w:w="67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11 2016 0003</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2016 0004</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28 June 2016</w:t>
            </w:r>
          </w:p>
        </w:tc>
      </w:tr>
      <w:tr w:rsidTr="005202AF">
        <w:tblPrEx>
          <w:tblW w:w="6019" w:type="pct"/>
          <w:tblInd w:w="-851" w:type="dxa"/>
          <w:tblLayout w:type="fixed"/>
          <w:tblCellMar>
            <w:left w:w="70" w:type="dxa"/>
            <w:right w:w="70" w:type="dxa"/>
          </w:tblCellMar>
          <w:tblLook w:val="04A0"/>
        </w:tblPrEx>
        <w:trPr>
          <w:gridBefore w:val="1"/>
          <w:wBefore w:w="241" w:type="dxa"/>
          <w:trHeight w:val="33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12</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ETF SERVICES</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27 June 2011</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24 June 2016</w:t>
            </w:r>
          </w:p>
        </w:tc>
        <w:tc>
          <w:tcPr>
            <w:tcW w:w="67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11 2016 0007</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12 2016 0008</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5 July 2011</w:t>
            </w:r>
          </w:p>
        </w:tc>
      </w:tr>
      <w:tr w:rsidTr="005202AF">
        <w:tblPrEx>
          <w:tblW w:w="6019" w:type="pct"/>
          <w:tblInd w:w="-851" w:type="dxa"/>
          <w:tblLayout w:type="fixed"/>
          <w:tblCellMar>
            <w:left w:w="70" w:type="dxa"/>
            <w:right w:w="70" w:type="dxa"/>
          </w:tblCellMar>
          <w:tblLook w:val="04A0"/>
        </w:tblPrEx>
        <w:trPr>
          <w:gridBefore w:val="1"/>
          <w:wBefore w:w="241" w:type="dxa"/>
          <w:trHeight w:val="980"/>
        </w:trPr>
        <w:tc>
          <w:tcPr>
            <w:tcW w:w="204" w:type="pct"/>
            <w:gridSpan w:val="3"/>
            <w:tcBorders>
              <w:top w:val="nil"/>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center"/>
              <w:rPr>
                <w:rFonts w:eastAsia="Times New Roman" w:cs="Arial"/>
                <w:color w:val="000000"/>
                <w:szCs w:val="20"/>
              </w:rPr>
            </w:pPr>
            <w:r w:rsidRPr="00756DA5">
              <w:rPr>
                <w:szCs w:val="20"/>
              </w:rPr>
              <w:t>13</w:t>
            </w:r>
          </w:p>
        </w:tc>
        <w:tc>
          <w:tcPr>
            <w:tcW w:w="960"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ETMF</w:t>
            </w:r>
          </w:p>
          <w:p w:rsidR="00D20FC4" w:rsidRPr="00756DA5" w:rsidP="005202AF">
            <w:pPr>
              <w:spacing w:after="0" w:line="280" w:lineRule="exact"/>
              <w:jc w:val="center"/>
              <w:rPr>
                <w:rFonts w:eastAsia="Times New Roman" w:cs="Arial"/>
                <w:color w:val="4D4D4D"/>
                <w:sz w:val="18"/>
                <w:szCs w:val="18"/>
              </w:rPr>
            </w:pPr>
            <w:r w:rsidRPr="00756DA5">
              <w:rPr>
                <w:sz w:val="18"/>
                <w:szCs w:val="18"/>
              </w:rPr>
              <w:t>(</w:t>
            </w:r>
            <w:r w:rsidRPr="00756DA5">
              <w:rPr>
                <w:i/>
                <w:sz w:val="18"/>
                <w:szCs w:val="18"/>
              </w:rPr>
              <w:t>Entreprise de Transport de Matériel Ferroviaire</w:t>
            </w:r>
            <w:r w:rsidRPr="00756DA5">
              <w:rPr>
                <w:sz w:val="18"/>
                <w:szCs w:val="18"/>
              </w:rPr>
              <w:t>)</w:t>
            </w:r>
          </w:p>
        </w:tc>
        <w:tc>
          <w:tcPr>
            <w:tcW w:w="823" w:type="pct"/>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13 August 2012</w:t>
            </w:r>
          </w:p>
        </w:tc>
        <w:tc>
          <w:tcPr>
            <w:tcW w:w="92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7 August 2017</w:t>
            </w:r>
          </w:p>
        </w:tc>
        <w:tc>
          <w:tcPr>
            <w:tcW w:w="67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 11 2017 0021</w:t>
            </w:r>
          </w:p>
        </w:tc>
        <w:tc>
          <w:tcPr>
            <w:tcW w:w="568" w:type="pct"/>
            <w:gridSpan w:val="2"/>
            <w:tcBorders>
              <w:top w:val="nil"/>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 w:val="18"/>
                <w:szCs w:val="18"/>
              </w:rPr>
            </w:pPr>
            <w:r w:rsidRPr="00756DA5">
              <w:rPr>
                <w:sz w:val="18"/>
                <w:szCs w:val="18"/>
              </w:rPr>
              <w:t>FR12 2017 0022</w:t>
            </w:r>
          </w:p>
        </w:tc>
        <w:tc>
          <w:tcPr>
            <w:tcW w:w="776" w:type="pct"/>
            <w:gridSpan w:val="3"/>
            <w:tcBorders>
              <w:top w:val="nil"/>
              <w:left w:val="nil"/>
              <w:bottom w:val="single" w:sz="4" w:space="0" w:color="auto"/>
              <w:right w:val="single" w:sz="4" w:space="0" w:color="auto"/>
            </w:tcBorders>
            <w:shd w:val="clear" w:color="auto" w:fill="auto"/>
            <w:vAlign w:val="center"/>
            <w:hideMark/>
          </w:tcPr>
          <w:p w:rsidR="00D20FC4" w:rsidRPr="00756DA5" w:rsidP="005202AF">
            <w:pPr>
              <w:spacing w:line="280" w:lineRule="exact"/>
              <w:jc w:val="center"/>
              <w:rPr>
                <w:rFonts w:cs="Arial"/>
                <w:color w:val="4D4D4D"/>
                <w:sz w:val="18"/>
                <w:szCs w:val="18"/>
              </w:rPr>
            </w:pPr>
            <w:r w:rsidRPr="00756DA5">
              <w:rPr>
                <w:sz w:val="18"/>
                <w:szCs w:val="18"/>
              </w:rPr>
              <w:t>20 August 2012</w:t>
            </w:r>
          </w:p>
        </w:tc>
      </w:tr>
      <w:tr w:rsidTr="005202AF">
        <w:tblPrEx>
          <w:tblW w:w="6019" w:type="pct"/>
          <w:tblInd w:w="-851" w:type="dxa"/>
          <w:tblLayout w:type="fixed"/>
          <w:tblCellMar>
            <w:left w:w="70" w:type="dxa"/>
            <w:right w:w="70" w:type="dxa"/>
          </w:tblCellMar>
          <w:tblLook w:val="04A0"/>
        </w:tblPrEx>
        <w:trPr>
          <w:gridBefore w:val="1"/>
          <w:wBefore w:w="241" w:type="dxa"/>
          <w:trHeight w:val="980"/>
        </w:trPr>
        <w:tc>
          <w:tcPr>
            <w:tcW w:w="20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20FC4" w:rsidRPr="00756DA5" w:rsidP="005202AF">
            <w:pPr>
              <w:spacing w:after="0" w:line="280" w:lineRule="exact"/>
              <w:jc w:val="center"/>
              <w:rPr>
                <w:rFonts w:cs="Arial"/>
                <w:szCs w:val="20"/>
              </w:rPr>
            </w:pPr>
            <w:r w:rsidRPr="00756DA5">
              <w:rPr>
                <w:szCs w:val="20"/>
              </w:rPr>
              <w:t>14</w:t>
            </w:r>
          </w:p>
        </w:tc>
        <w:tc>
          <w:tcPr>
            <w:tcW w:w="960" w:type="pct"/>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 xml:space="preserve">EUROPORTE France </w:t>
            </w:r>
            <w:r w:rsidRPr="00756DA5">
              <w:rPr>
                <w:sz w:val="18"/>
                <w:szCs w:val="18"/>
                <w:vertAlign w:val="superscript"/>
              </w:rPr>
              <w:t>(4)</w:t>
            </w:r>
          </w:p>
        </w:tc>
        <w:tc>
          <w:tcPr>
            <w:tcW w:w="823" w:type="pct"/>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4 November 2011</w:t>
            </w:r>
          </w:p>
        </w:tc>
        <w:tc>
          <w:tcPr>
            <w:tcW w:w="926"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7 October 2016</w:t>
            </w:r>
          </w:p>
        </w:tc>
        <w:tc>
          <w:tcPr>
            <w:tcW w:w="678"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FR 11 2016 0013</w:t>
            </w:r>
          </w:p>
        </w:tc>
        <w:tc>
          <w:tcPr>
            <w:tcW w:w="568"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FR 12 2017 0032</w:t>
            </w:r>
          </w:p>
        </w:tc>
        <w:tc>
          <w:tcPr>
            <w:tcW w:w="776"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line="280" w:lineRule="exact"/>
              <w:jc w:val="center"/>
              <w:rPr>
                <w:rFonts w:cs="Arial"/>
                <w:sz w:val="18"/>
                <w:szCs w:val="18"/>
              </w:rPr>
            </w:pPr>
            <w:r w:rsidRPr="00756DA5">
              <w:rPr>
                <w:sz w:val="18"/>
                <w:szCs w:val="18"/>
              </w:rPr>
              <w:t>13 June 2005</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nil"/>
              <w:left w:val="nil"/>
              <w:bottom w:val="single" w:sz="4" w:space="0" w:color="auto"/>
              <w:right w:val="nil"/>
            </w:tcBorders>
            <w:shd w:val="clear" w:color="auto" w:fill="auto"/>
            <w:noWrap/>
            <w:vAlign w:val="center"/>
            <w:hideMark/>
          </w:tcPr>
          <w:p w:rsidR="00D20FC4" w:rsidRPr="00756DA5" w:rsidP="005202AF">
            <w:pPr>
              <w:spacing w:after="0" w:line="280" w:lineRule="exact"/>
              <w:jc w:val="left"/>
              <w:rPr>
                <w:rFonts w:eastAsia="Times New Roman" w:cs="Arial"/>
                <w:szCs w:val="20"/>
                <w:lang w:eastAsia="fr-FR"/>
              </w:rPr>
            </w:pPr>
          </w:p>
        </w:tc>
        <w:tc>
          <w:tcPr>
            <w:tcW w:w="1050" w:type="pct"/>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 xml:space="preserve">RAILWAY </w:t>
            </w:r>
            <w:r w:rsidRPr="00756DA5">
              <w:rPr>
                <w:b/>
                <w:bCs/>
                <w:color w:val="FFFFFF"/>
                <w:szCs w:val="20"/>
              </w:rPr>
              <w:br/>
              <w:t>UNDERTAKINGS</w:t>
            </w:r>
          </w:p>
        </w:tc>
        <w:tc>
          <w:tcPr>
            <w:tcW w:w="870" w:type="pct"/>
            <w:gridSpan w:val="2"/>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DATE OF FIRST ISSUE OF SAFETY CERTIFICATE</w:t>
            </w:r>
          </w:p>
        </w:tc>
        <w:tc>
          <w:tcPr>
            <w:tcW w:w="908" w:type="pct"/>
            <w:gridSpan w:val="3"/>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DATE OF CURRENT CERTIFICATE</w:t>
            </w:r>
          </w:p>
        </w:tc>
        <w:tc>
          <w:tcPr>
            <w:tcW w:w="652" w:type="pct"/>
            <w:gridSpan w:val="3"/>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PART A</w:t>
            </w:r>
          </w:p>
        </w:tc>
        <w:tc>
          <w:tcPr>
            <w:tcW w:w="585" w:type="pct"/>
            <w:gridSpan w:val="2"/>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PART B</w:t>
            </w:r>
          </w:p>
        </w:tc>
        <w:tc>
          <w:tcPr>
            <w:tcW w:w="740" w:type="pct"/>
            <w:gridSpan w:val="2"/>
            <w:tcBorders>
              <w:top w:val="single" w:sz="4" w:space="0" w:color="auto"/>
              <w:left w:val="nil"/>
              <w:bottom w:val="single" w:sz="4" w:space="0" w:color="auto"/>
              <w:right w:val="single" w:sz="4"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COMMERCIAL SERVICE LAUNCH DATE</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15</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EUROSTAR</w:t>
            </w:r>
          </w:p>
          <w:p w:rsidR="00D20FC4" w:rsidRPr="00756DA5" w:rsidP="005202AF">
            <w:pPr>
              <w:spacing w:after="0" w:line="280" w:lineRule="exact"/>
              <w:jc w:val="center"/>
              <w:rPr>
                <w:rFonts w:eastAsia="Times New Roman" w:cs="Arial"/>
                <w:color w:val="000000"/>
                <w:sz w:val="18"/>
                <w:szCs w:val="18"/>
              </w:rPr>
            </w:pPr>
            <w:r w:rsidRPr="00756DA5">
              <w:rPr>
                <w:sz w:val="18"/>
                <w:szCs w:val="18"/>
              </w:rPr>
              <w:t>(Eurostar International Limited)</w:t>
            </w:r>
          </w:p>
        </w:tc>
        <w:tc>
          <w:tcPr>
            <w:tcW w:w="87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30 August 2010</w:t>
            </w:r>
          </w:p>
        </w:tc>
        <w:tc>
          <w:tcPr>
            <w:tcW w:w="908"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11 August 2015</w:t>
            </w:r>
          </w:p>
        </w:tc>
        <w:tc>
          <w:tcPr>
            <w:tcW w:w="65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UK 11 2017 0007</w:t>
            </w:r>
          </w:p>
        </w:tc>
        <w:tc>
          <w:tcPr>
            <w:tcW w:w="585"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2017 0011</w:t>
            </w:r>
          </w:p>
        </w:tc>
        <w:tc>
          <w:tcPr>
            <w:tcW w:w="74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30 August 2010</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16</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FERRIVIA</w:t>
            </w:r>
          </w:p>
        </w:tc>
        <w:tc>
          <w:tcPr>
            <w:tcW w:w="87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29 May 2017</w:t>
            </w:r>
          </w:p>
        </w:tc>
        <w:tc>
          <w:tcPr>
            <w:tcW w:w="908"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29 May 2017</w:t>
            </w:r>
          </w:p>
        </w:tc>
        <w:tc>
          <w:tcPr>
            <w:tcW w:w="652"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FR 11 2017 0012</w:t>
            </w:r>
          </w:p>
        </w:tc>
        <w:tc>
          <w:tcPr>
            <w:tcW w:w="585"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FR 11 2017 0013</w:t>
            </w:r>
          </w:p>
        </w:tc>
        <w:tc>
          <w:tcPr>
            <w:tcW w:w="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eastAsia="Times New Roman" w:cs="Arial"/>
                <w:color w:val="000000"/>
                <w:sz w:val="18"/>
                <w:szCs w:val="18"/>
                <w:lang w:eastAsia="fr-FR"/>
              </w:rPr>
            </w:pP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17</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FERROTRACT</w:t>
            </w:r>
          </w:p>
        </w:tc>
        <w:tc>
          <w:tcPr>
            <w:tcW w:w="87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2 July 2015</w:t>
            </w:r>
          </w:p>
        </w:tc>
        <w:tc>
          <w:tcPr>
            <w:tcW w:w="908"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2 July 2015</w:t>
            </w:r>
          </w:p>
        </w:tc>
        <w:tc>
          <w:tcPr>
            <w:tcW w:w="652"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FR 11 2015 0005</w:t>
            </w:r>
          </w:p>
        </w:tc>
        <w:tc>
          <w:tcPr>
            <w:tcW w:w="585"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2015 0006</w:t>
            </w:r>
          </w:p>
        </w:tc>
        <w:tc>
          <w:tcPr>
            <w:tcW w:w="74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3 July 2015</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18</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GB RAILFREIGHT</w:t>
            </w:r>
          </w:p>
        </w:tc>
        <w:tc>
          <w:tcPr>
            <w:tcW w:w="87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6 November 2017</w:t>
            </w:r>
          </w:p>
        </w:tc>
        <w:tc>
          <w:tcPr>
            <w:tcW w:w="908"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6 November 2017</w:t>
            </w:r>
          </w:p>
        </w:tc>
        <w:tc>
          <w:tcPr>
            <w:tcW w:w="65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UK 11 2015 0007</w:t>
            </w:r>
          </w:p>
        </w:tc>
        <w:tc>
          <w:tcPr>
            <w:tcW w:w="585"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2017 0028</w:t>
            </w:r>
          </w:p>
        </w:tc>
        <w:tc>
          <w:tcPr>
            <w:tcW w:w="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eastAsia="Times New Roman" w:cs="Arial"/>
                <w:color w:val="000000"/>
                <w:sz w:val="18"/>
                <w:szCs w:val="18"/>
                <w:lang w:eastAsia="fr-FR"/>
              </w:rPr>
            </w:pP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tcPr>
          <w:p w:rsidR="00D20FC4" w:rsidRPr="00756DA5" w:rsidP="005202AF">
            <w:pPr>
              <w:spacing w:after="0" w:line="280" w:lineRule="exact"/>
              <w:jc w:val="center"/>
              <w:rPr>
                <w:rFonts w:cs="Arial"/>
                <w:szCs w:val="20"/>
              </w:rPr>
            </w:pPr>
            <w:r w:rsidRPr="00756DA5">
              <w:rPr>
                <w:szCs w:val="20"/>
              </w:rPr>
              <w:t>19</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LINEAS FRANCE</w:t>
            </w:r>
          </w:p>
        </w:tc>
        <w:tc>
          <w:tcPr>
            <w:tcW w:w="87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19 November 2010</w:t>
            </w:r>
          </w:p>
        </w:tc>
        <w:tc>
          <w:tcPr>
            <w:tcW w:w="908"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9 November 2015</w:t>
            </w:r>
          </w:p>
        </w:tc>
        <w:tc>
          <w:tcPr>
            <w:tcW w:w="652"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FR 11 2017 0006</w:t>
            </w:r>
          </w:p>
        </w:tc>
        <w:tc>
          <w:tcPr>
            <w:tcW w:w="585"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FR 12 2017 0007</w:t>
            </w:r>
          </w:p>
        </w:tc>
        <w:tc>
          <w:tcPr>
            <w:tcW w:w="74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13 December 2010</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tcPr>
          <w:p w:rsidR="00D20FC4" w:rsidRPr="00756DA5" w:rsidP="005202AF">
            <w:pPr>
              <w:spacing w:after="0" w:line="280" w:lineRule="exact"/>
              <w:jc w:val="center"/>
              <w:rPr>
                <w:rFonts w:cs="Arial"/>
                <w:szCs w:val="20"/>
              </w:rPr>
            </w:pPr>
            <w:r w:rsidRPr="00756DA5">
              <w:rPr>
                <w:szCs w:val="20"/>
              </w:rPr>
              <w:t>20</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LINEAS GROUP</w:t>
            </w:r>
          </w:p>
        </w:tc>
        <w:tc>
          <w:tcPr>
            <w:tcW w:w="87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14 April 2011</w:t>
            </w:r>
          </w:p>
        </w:tc>
        <w:tc>
          <w:tcPr>
            <w:tcW w:w="908" w:type="pct"/>
            <w:gridSpan w:val="3"/>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21 March 2016</w:t>
            </w:r>
          </w:p>
        </w:tc>
        <w:tc>
          <w:tcPr>
            <w:tcW w:w="65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cs="Arial"/>
                <w:sz w:val="18"/>
                <w:szCs w:val="18"/>
              </w:rPr>
            </w:pPr>
            <w:r w:rsidRPr="00756DA5">
              <w:rPr>
                <w:sz w:val="18"/>
                <w:szCs w:val="18"/>
              </w:rPr>
              <w:t>BE 11 2017 0001</w:t>
            </w:r>
          </w:p>
        </w:tc>
        <w:tc>
          <w:tcPr>
            <w:tcW w:w="585"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FR 12 2017 0005</w:t>
            </w:r>
          </w:p>
        </w:tc>
        <w:tc>
          <w:tcPr>
            <w:tcW w:w="740" w:type="pct"/>
            <w:gridSpan w:val="2"/>
            <w:tcBorders>
              <w:top w:val="single" w:sz="4" w:space="0" w:color="auto"/>
              <w:left w:val="nil"/>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 w:val="18"/>
                <w:szCs w:val="18"/>
              </w:rPr>
            </w:pPr>
            <w:r w:rsidRPr="00756DA5">
              <w:rPr>
                <w:sz w:val="18"/>
                <w:szCs w:val="18"/>
              </w:rPr>
              <w:t>14 April 2011</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21</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MERCITALIA RAIL</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28 December 2016</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28 December 2016</w:t>
            </w:r>
          </w:p>
        </w:tc>
        <w:tc>
          <w:tcPr>
            <w:tcW w:w="65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IT 11 2016 0017</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2017 0017</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 January 2017</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22</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NAVILAND CARGO</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22 November 2016</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22 November 2016</w:t>
            </w:r>
          </w:p>
        </w:tc>
        <w:tc>
          <w:tcPr>
            <w:tcW w:w="652"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11 2016 0022</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2016 0023</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 December 2015</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23</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NORMANDIE RAIL SERVICES</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21 December 2012</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19 December 2017</w:t>
            </w:r>
          </w:p>
        </w:tc>
        <w:tc>
          <w:tcPr>
            <w:tcW w:w="652"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11 2017 0033</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2017 0034</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16 November 2013</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24</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RDT 13</w:t>
            </w:r>
          </w:p>
          <w:p w:rsidR="00D20FC4" w:rsidRPr="00756DA5" w:rsidP="005202AF">
            <w:pPr>
              <w:spacing w:after="0" w:line="280" w:lineRule="exact"/>
              <w:jc w:val="center"/>
              <w:rPr>
                <w:rFonts w:eastAsia="Times New Roman" w:cs="Arial"/>
                <w:color w:val="000000"/>
                <w:sz w:val="18"/>
                <w:szCs w:val="18"/>
              </w:rPr>
            </w:pPr>
            <w:r w:rsidRPr="00756DA5">
              <w:rPr>
                <w:sz w:val="18"/>
                <w:szCs w:val="18"/>
              </w:rPr>
              <w:t>(</w:t>
            </w:r>
            <w:r w:rsidRPr="00756DA5">
              <w:rPr>
                <w:i/>
                <w:sz w:val="18"/>
                <w:szCs w:val="18"/>
              </w:rPr>
              <w:t>Régie Départementale des Transports des Bouches-du-Rhône</w:t>
            </w:r>
            <w:r w:rsidRPr="00756DA5">
              <w:rPr>
                <w:sz w:val="18"/>
                <w:szCs w:val="18"/>
              </w:rPr>
              <w:t>)</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17 November 2011</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15 November 2016</w:t>
            </w:r>
          </w:p>
        </w:tc>
        <w:tc>
          <w:tcPr>
            <w:tcW w:w="652"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11 2016 0018</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2016 0019</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11 June 2012</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center"/>
              <w:rPr>
                <w:rFonts w:eastAsia="Times New Roman" w:cs="Arial"/>
                <w:szCs w:val="20"/>
              </w:rPr>
            </w:pPr>
            <w:r w:rsidRPr="00756DA5">
              <w:rPr>
                <w:szCs w:val="20"/>
              </w:rPr>
              <w:t>25</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REGIORAIL France </w:t>
            </w:r>
            <w:r w:rsidRPr="00756DA5">
              <w:rPr>
                <w:sz w:val="18"/>
                <w:szCs w:val="18"/>
                <w:vertAlign w:val="superscript"/>
              </w:rPr>
              <w:t>(5)</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9 December 2014</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9 December 2014</w:t>
            </w:r>
          </w:p>
        </w:tc>
        <w:tc>
          <w:tcPr>
            <w:tcW w:w="652"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11 2017 0035</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2017 0036</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14 December 2014</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left"/>
              <w:rPr>
                <w:rFonts w:eastAsia="Times New Roman" w:cs="Arial"/>
                <w:szCs w:val="20"/>
              </w:rPr>
            </w:pPr>
            <w:r w:rsidRPr="00756DA5">
              <w:rPr>
                <w:szCs w:val="20"/>
              </w:rPr>
              <w:t>26</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RENFE MERCANCIAS</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4 December 2015 </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13 July 2016</w:t>
            </w:r>
          </w:p>
        </w:tc>
        <w:tc>
          <w:tcPr>
            <w:tcW w:w="65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ES 11 2015 0004 </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2016 0011</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4 December 2015</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left"/>
              <w:rPr>
                <w:rFonts w:eastAsia="Times New Roman" w:cs="Arial"/>
                <w:szCs w:val="20"/>
              </w:rPr>
            </w:pPr>
            <w:r w:rsidRPr="00756DA5">
              <w:rPr>
                <w:szCs w:val="20"/>
              </w:rPr>
              <w:t>27</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RENFE VIAJEROS</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19 August 2016 </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19 August 2016</w:t>
            </w:r>
          </w:p>
        </w:tc>
        <w:tc>
          <w:tcPr>
            <w:tcW w:w="65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ES 11 2016 0001 </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2016 0012</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19 August 2016</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left"/>
              <w:rPr>
                <w:rFonts w:eastAsia="Times New Roman" w:cs="Arial"/>
                <w:szCs w:val="20"/>
              </w:rPr>
            </w:pPr>
            <w:r w:rsidRPr="00756DA5">
              <w:rPr>
                <w:szCs w:val="20"/>
              </w:rPr>
              <w:t>28</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SECURAIL</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25 June 2013 </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25 June 2013</w:t>
            </w:r>
          </w:p>
        </w:tc>
        <w:tc>
          <w:tcPr>
            <w:tcW w:w="652"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FR 11 2013 0012 </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11 2013 0013</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10 July 2013</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left"/>
              <w:rPr>
                <w:rFonts w:eastAsia="Times New Roman" w:cs="Arial"/>
                <w:szCs w:val="20"/>
              </w:rPr>
            </w:pPr>
            <w:r w:rsidRPr="00756DA5">
              <w:rPr>
                <w:szCs w:val="20"/>
              </w:rPr>
              <w:t>29</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SNCF MOBILITÉS </w:t>
            </w:r>
            <w:r w:rsidRPr="00756DA5">
              <w:rPr>
                <w:sz w:val="18"/>
                <w:szCs w:val="18"/>
                <w:vertAlign w:val="superscript"/>
              </w:rPr>
              <w:t>(6)</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1 July 2015 </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1 July 2016</w:t>
            </w:r>
          </w:p>
        </w:tc>
        <w:tc>
          <w:tcPr>
            <w:tcW w:w="652"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 xml:space="preserve">FR 11 2015 0005 </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2017 0029</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SNCF 1938</w:t>
            </w:r>
          </w:p>
        </w:tc>
      </w:tr>
      <w:tr w:rsidTr="005202AF">
        <w:tblPrEx>
          <w:tblW w:w="6019" w:type="pct"/>
          <w:tblInd w:w="-851" w:type="dxa"/>
          <w:tblLayout w:type="fixed"/>
          <w:tblCellMar>
            <w:left w:w="70" w:type="dxa"/>
            <w:right w:w="70" w:type="dxa"/>
          </w:tblCellMar>
          <w:tblLook w:val="04A0"/>
        </w:tblPrEx>
        <w:trPr>
          <w:trHeight w:val="723"/>
        </w:trPr>
        <w:tc>
          <w:tcPr>
            <w:tcW w:w="179" w:type="pct"/>
            <w:gridSpan w:val="2"/>
            <w:tcBorders>
              <w:top w:val="single" w:sz="4" w:space="0" w:color="auto"/>
              <w:left w:val="single" w:sz="4" w:space="0" w:color="auto"/>
              <w:bottom w:val="single" w:sz="4" w:space="0" w:color="auto"/>
              <w:right w:val="nil"/>
            </w:tcBorders>
            <w:shd w:val="clear" w:color="auto" w:fill="auto"/>
            <w:noWrap/>
            <w:vAlign w:val="center"/>
            <w:hideMark/>
          </w:tcPr>
          <w:p w:rsidR="00D20FC4" w:rsidRPr="00756DA5" w:rsidP="005202AF">
            <w:pPr>
              <w:spacing w:after="0" w:line="280" w:lineRule="exact"/>
              <w:jc w:val="left"/>
              <w:rPr>
                <w:rFonts w:eastAsia="Times New Roman" w:cs="Arial"/>
                <w:szCs w:val="20"/>
              </w:rPr>
            </w:pPr>
            <w:r w:rsidRPr="00756DA5">
              <w:rPr>
                <w:szCs w:val="20"/>
              </w:rPr>
              <w:t>30</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cs="Arial"/>
                <w:sz w:val="18"/>
                <w:szCs w:val="18"/>
              </w:rPr>
            </w:pPr>
            <w:r w:rsidRPr="00756DA5">
              <w:rPr>
                <w:sz w:val="18"/>
                <w:szCs w:val="18"/>
              </w:rPr>
              <w:t>SVI</w:t>
            </w:r>
          </w:p>
          <w:p w:rsidR="00D20FC4" w:rsidRPr="00756DA5" w:rsidP="005202AF">
            <w:pPr>
              <w:spacing w:after="0" w:line="280" w:lineRule="exact"/>
              <w:jc w:val="center"/>
              <w:rPr>
                <w:rFonts w:eastAsia="Times New Roman" w:cs="Arial"/>
                <w:color w:val="000000"/>
                <w:sz w:val="18"/>
                <w:szCs w:val="18"/>
              </w:rPr>
            </w:pPr>
            <w:r w:rsidRPr="00756DA5">
              <w:rPr>
                <w:sz w:val="18"/>
                <w:szCs w:val="18"/>
              </w:rPr>
              <w:t>(SNCF Voyages Italia)</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25 April 2012</w:t>
            </w:r>
          </w:p>
        </w:tc>
        <w:tc>
          <w:tcPr>
            <w:tcW w:w="908" w:type="pct"/>
            <w:gridSpan w:val="3"/>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30 November 2016</w:t>
            </w:r>
          </w:p>
        </w:tc>
        <w:tc>
          <w:tcPr>
            <w:tcW w:w="65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IT 11 2016 0014</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FR 12 2016 0025</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 w:val="18"/>
                <w:szCs w:val="18"/>
              </w:rPr>
            </w:pPr>
            <w:r w:rsidRPr="00756DA5">
              <w:rPr>
                <w:sz w:val="18"/>
                <w:szCs w:val="18"/>
              </w:rPr>
              <w:t>25 April 2012</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left"/>
              <w:rPr>
                <w:rFonts w:eastAsia="Times New Roman" w:cs="Arial"/>
                <w:szCs w:val="20"/>
              </w:rPr>
            </w:pPr>
            <w:r w:rsidRPr="00756DA5">
              <w:rPr>
                <w:szCs w:val="20"/>
              </w:rPr>
              <w:t>31</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 xml:space="preserve">THELLO </w:t>
            </w:r>
            <w:r w:rsidRPr="00756DA5">
              <w:rPr>
                <w:szCs w:val="20"/>
                <w:vertAlign w:val="superscript"/>
              </w:rPr>
              <w:t>(7)</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 xml:space="preserve">5 April 2013 </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12 October 2016</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 xml:space="preserve">FR 11 2016 0015 </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FR 12 2017 0003</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TVT 11/12/2011</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FC4" w:rsidRPr="00756DA5" w:rsidP="005202AF">
            <w:pPr>
              <w:spacing w:after="0" w:line="280" w:lineRule="exact"/>
              <w:jc w:val="left"/>
              <w:rPr>
                <w:rFonts w:eastAsia="Times New Roman" w:cs="Arial"/>
                <w:szCs w:val="20"/>
              </w:rPr>
            </w:pPr>
            <w:r w:rsidRPr="00756DA5">
              <w:rPr>
                <w:szCs w:val="20"/>
              </w:rPr>
              <w:t xml:space="preserve">                                                                                  32</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THI FACTORY/THALYS</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 xml:space="preserve">26 November 2014 </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26 November 2014</w:t>
            </w:r>
          </w:p>
        </w:tc>
        <w:tc>
          <w:tcPr>
            <w:tcW w:w="63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20FC4" w:rsidRPr="00756DA5" w:rsidP="005202AF">
            <w:pPr>
              <w:spacing w:after="0" w:line="280" w:lineRule="exact"/>
              <w:jc w:val="center"/>
              <w:rPr>
                <w:rFonts w:eastAsia="Times New Roman" w:cs="Arial"/>
                <w:color w:val="000000"/>
                <w:szCs w:val="20"/>
              </w:rPr>
            </w:pPr>
            <w:r w:rsidRPr="00756DA5">
              <w:t>BE 11 2017 0003</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FR 12 2017 0026</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0FC4" w:rsidRPr="00756DA5" w:rsidP="005202AF">
            <w:pPr>
              <w:spacing w:after="0" w:line="280" w:lineRule="exact"/>
              <w:jc w:val="center"/>
              <w:rPr>
                <w:rFonts w:eastAsia="Times New Roman" w:cs="Arial"/>
                <w:color w:val="000000"/>
                <w:szCs w:val="20"/>
              </w:rPr>
            </w:pPr>
            <w:r w:rsidRPr="00756DA5">
              <w:t>31 March 2015</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20FC4" w:rsidRPr="00756DA5" w:rsidP="005202AF">
            <w:pPr>
              <w:spacing w:after="0" w:line="280" w:lineRule="exact"/>
              <w:jc w:val="left"/>
              <w:rPr>
                <w:rFonts w:eastAsia="Times New Roman" w:cs="Arial"/>
                <w:szCs w:val="20"/>
              </w:rPr>
            </w:pPr>
            <w:r w:rsidRPr="00756DA5">
              <w:rPr>
                <w:szCs w:val="20"/>
              </w:rPr>
              <w:t>33</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TMR</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 xml:space="preserve">28 June 2013 </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19 July 2017</w:t>
            </w:r>
          </w:p>
        </w:tc>
        <w:tc>
          <w:tcPr>
            <w:tcW w:w="63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eastAsia="Times New Roman" w:cs="Arial"/>
                <w:color w:val="000000"/>
                <w:szCs w:val="20"/>
              </w:rPr>
            </w:pPr>
            <w:r w:rsidRPr="00756DA5">
              <w:t>CH 11 2017 0082</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FR 12 2017 0020</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28 June 2013</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20FC4" w:rsidRPr="00756DA5" w:rsidP="005202AF">
            <w:pPr>
              <w:spacing w:after="0" w:line="280" w:lineRule="exact"/>
              <w:jc w:val="left"/>
              <w:rPr>
                <w:rFonts w:eastAsia="Times New Roman" w:cs="Arial"/>
                <w:szCs w:val="20"/>
              </w:rPr>
            </w:pPr>
            <w:r w:rsidRPr="00756DA5">
              <w:rPr>
                <w:szCs w:val="20"/>
              </w:rPr>
              <w:t>34</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TRANSFESA</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21 November 2016</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21 November 2016</w:t>
            </w:r>
          </w:p>
        </w:tc>
        <w:tc>
          <w:tcPr>
            <w:tcW w:w="63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eastAsia="Times New Roman" w:cs="Arial"/>
                <w:color w:val="000000"/>
                <w:szCs w:val="20"/>
              </w:rPr>
            </w:pPr>
            <w:r w:rsidRPr="00756DA5">
              <w:t>ES 11 2016 0007</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FR 12 2017 0010</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1 December 2015</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20FC4" w:rsidRPr="00756DA5" w:rsidP="005202AF">
            <w:pPr>
              <w:spacing w:after="0" w:line="280" w:lineRule="exact"/>
              <w:jc w:val="left"/>
              <w:rPr>
                <w:rFonts w:cs="Arial"/>
                <w:szCs w:val="20"/>
              </w:rPr>
            </w:pPr>
            <w:r w:rsidRPr="00756DA5">
              <w:rPr>
                <w:szCs w:val="20"/>
              </w:rPr>
              <w:t>35</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Cs w:val="20"/>
              </w:rPr>
            </w:pPr>
            <w:r w:rsidRPr="00756DA5">
              <w:t>TRANSKEO</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Cs w:val="20"/>
              </w:rPr>
            </w:pPr>
            <w:r w:rsidRPr="00756DA5">
              <w:t>7 June 2017</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Cs w:val="20"/>
              </w:rPr>
            </w:pPr>
            <w:r w:rsidRPr="00756DA5">
              <w:t>7 June 2017</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Cs w:val="20"/>
              </w:rPr>
            </w:pPr>
            <w:r w:rsidRPr="00756DA5">
              <w:t>FR 11 2017 0015</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Cs w:val="20"/>
              </w:rPr>
            </w:pPr>
            <w:r w:rsidRPr="00756DA5">
              <w:t>FR 12 2017 0016</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color w:val="000000"/>
                <w:szCs w:val="20"/>
              </w:rPr>
            </w:pPr>
            <w:r w:rsidRPr="00756DA5">
              <w:t>1 July 2015</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20FC4" w:rsidRPr="00756DA5" w:rsidP="005202AF">
            <w:pPr>
              <w:spacing w:after="0" w:line="280" w:lineRule="exact"/>
              <w:jc w:val="left"/>
              <w:rPr>
                <w:rFonts w:eastAsia="Times New Roman" w:cs="Arial"/>
                <w:szCs w:val="20"/>
              </w:rPr>
            </w:pPr>
            <w:r w:rsidRPr="00756DA5">
              <w:rPr>
                <w:szCs w:val="20"/>
              </w:rPr>
              <w:t>36</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TRENITALIA</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 xml:space="preserve">31 March 2010 </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17 July 2015</w:t>
            </w:r>
          </w:p>
        </w:tc>
        <w:tc>
          <w:tcPr>
            <w:tcW w:w="63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eastAsia="Times New Roman" w:cs="Arial"/>
                <w:color w:val="000000"/>
                <w:szCs w:val="20"/>
              </w:rPr>
            </w:pPr>
            <w:r w:rsidRPr="00756DA5">
              <w:t>IT 11 2017 0002</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FR 12 2017 0027</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rPr>
                <w:color w:val="000000"/>
                <w:szCs w:val="20"/>
              </w:rPr>
              <w:t>22 February 2011</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20FC4" w:rsidRPr="00756DA5" w:rsidP="005202AF">
            <w:pPr>
              <w:spacing w:after="0" w:line="280" w:lineRule="exact"/>
              <w:jc w:val="left"/>
              <w:rPr>
                <w:rFonts w:eastAsia="Times New Roman" w:cs="Arial"/>
                <w:szCs w:val="20"/>
              </w:rPr>
            </w:pPr>
            <w:r w:rsidRPr="00756DA5">
              <w:rPr>
                <w:szCs w:val="20"/>
              </w:rPr>
              <w:t>37</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TSO</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4 March 2009</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4 July 2013</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 xml:space="preserve">FR 11 2013 0010 </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FR 12 2013 0011</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rPr>
                <w:color w:val="000000"/>
                <w:szCs w:val="20"/>
              </w:rPr>
              <w:t>29 July 2009</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20FC4" w:rsidRPr="00756DA5" w:rsidP="005202AF">
            <w:pPr>
              <w:spacing w:after="0" w:line="280" w:lineRule="exact"/>
              <w:jc w:val="left"/>
              <w:rPr>
                <w:rFonts w:eastAsia="Times New Roman" w:cs="Arial"/>
                <w:szCs w:val="20"/>
              </w:rPr>
            </w:pPr>
            <w:r w:rsidRPr="00756DA5">
              <w:rPr>
                <w:szCs w:val="20"/>
              </w:rPr>
              <w:t>38</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cs="Arial"/>
                <w:szCs w:val="20"/>
              </w:rPr>
            </w:pPr>
            <w:r w:rsidRPr="00756DA5">
              <w:t>VFLI</w:t>
            </w:r>
          </w:p>
          <w:p w:rsidR="00D20FC4" w:rsidRPr="00756DA5" w:rsidP="005202AF">
            <w:pPr>
              <w:spacing w:after="0" w:line="280" w:lineRule="exact"/>
              <w:jc w:val="center"/>
              <w:rPr>
                <w:rFonts w:eastAsia="Times New Roman" w:cs="Arial"/>
                <w:color w:val="000000"/>
                <w:szCs w:val="20"/>
              </w:rPr>
            </w:pPr>
            <w:r w:rsidRPr="00756DA5">
              <w:t>(</w:t>
            </w:r>
            <w:r w:rsidRPr="00756DA5">
              <w:rPr>
                <w:i/>
              </w:rPr>
              <w:t>Voies Ferrées Locales et Industrielles</w:t>
            </w:r>
            <w:r w:rsidRPr="00756DA5">
              <w:t>)</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 xml:space="preserve">3 October 2007 </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7 August 2017</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FR 11 2017 0023</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FR 12 2017 0024</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rPr>
                <w:color w:val="000000"/>
                <w:szCs w:val="20"/>
              </w:rPr>
              <w:t>4 October 2007</w:t>
            </w:r>
          </w:p>
        </w:tc>
      </w:tr>
      <w:tr w:rsidTr="005202AF">
        <w:tblPrEx>
          <w:tblW w:w="6019" w:type="pct"/>
          <w:tblInd w:w="-851" w:type="dxa"/>
          <w:tblLayout w:type="fixed"/>
          <w:tblCellMar>
            <w:left w:w="70" w:type="dxa"/>
            <w:right w:w="70" w:type="dxa"/>
          </w:tblCellMar>
          <w:tblLook w:val="04A0"/>
        </w:tblPrEx>
        <w:trPr>
          <w:trHeight w:val="765"/>
        </w:trPr>
        <w:tc>
          <w:tcPr>
            <w:tcW w:w="1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20FC4" w:rsidRPr="00756DA5" w:rsidP="005202AF">
            <w:pPr>
              <w:spacing w:after="0" w:line="280" w:lineRule="exact"/>
              <w:jc w:val="left"/>
              <w:rPr>
                <w:rFonts w:eastAsia="Times New Roman" w:cs="Arial"/>
                <w:szCs w:val="20"/>
              </w:rPr>
            </w:pPr>
            <w:r w:rsidRPr="00756DA5">
              <w:rPr>
                <w:szCs w:val="20"/>
              </w:rPr>
              <w:t>39</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VLEXX GMBH</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29 October 2014</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29 October 2014</w:t>
            </w:r>
          </w:p>
        </w:tc>
        <w:tc>
          <w:tcPr>
            <w:tcW w:w="63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20FC4" w:rsidRPr="00756DA5" w:rsidP="005202AF">
            <w:pPr>
              <w:spacing w:after="0" w:line="280" w:lineRule="exact"/>
              <w:jc w:val="center"/>
              <w:rPr>
                <w:rFonts w:eastAsia="Times New Roman" w:cs="Arial"/>
                <w:color w:val="000000"/>
                <w:szCs w:val="20"/>
              </w:rPr>
            </w:pPr>
            <w:r w:rsidRPr="00756DA5">
              <w:t xml:space="preserve">DE 11 2014 0001 </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FR 12 2014 0008</w:t>
            </w:r>
          </w:p>
        </w:tc>
        <w:tc>
          <w:tcPr>
            <w:tcW w:w="7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20FC4" w:rsidRPr="00756DA5" w:rsidP="005202AF">
            <w:pPr>
              <w:spacing w:after="0" w:line="280" w:lineRule="exact"/>
              <w:jc w:val="center"/>
              <w:rPr>
                <w:rFonts w:eastAsia="Times New Roman" w:cs="Arial"/>
                <w:color w:val="000000"/>
                <w:szCs w:val="20"/>
              </w:rPr>
            </w:pPr>
            <w:r w:rsidRPr="00756DA5">
              <w:t>13 September 2015</w:t>
            </w:r>
          </w:p>
        </w:tc>
      </w:tr>
      <w:tr w:rsidTr="005202AF">
        <w:tblPrEx>
          <w:tblW w:w="6019" w:type="pct"/>
          <w:tblInd w:w="-851" w:type="dxa"/>
          <w:tblLayout w:type="fixed"/>
          <w:tblCellMar>
            <w:left w:w="70" w:type="dxa"/>
            <w:right w:w="70" w:type="dxa"/>
          </w:tblCellMar>
          <w:tblLook w:val="0000"/>
        </w:tblPrEx>
        <w:trPr>
          <w:gridBefore w:val="3"/>
          <w:gridAfter w:val="1"/>
          <w:wBefore w:w="537" w:type="dxa"/>
          <w:wAfter w:w="254" w:type="dxa"/>
          <w:trHeight w:val="36"/>
        </w:trPr>
        <w:tc>
          <w:tcPr>
            <w:tcW w:w="4504" w:type="pct"/>
            <w:gridSpan w:val="13"/>
            <w:tcBorders>
              <w:top w:val="nil"/>
              <w:left w:val="nil"/>
              <w:bottom w:val="nil"/>
              <w:right w:val="nil"/>
            </w:tcBorders>
            <w:shd w:val="solid" w:color="FFFFFF" w:fill="auto"/>
          </w:tcPr>
          <w:p w:rsidR="00D20FC4" w:rsidRPr="00756DA5" w:rsidP="005202AF">
            <w:pPr>
              <w:autoSpaceDE w:val="0"/>
              <w:autoSpaceDN w:val="0"/>
              <w:adjustRightInd w:val="0"/>
              <w:spacing w:after="0" w:line="280" w:lineRule="exact"/>
              <w:jc w:val="left"/>
              <w:rPr>
                <w:rFonts w:cs="Arial"/>
                <w:sz w:val="16"/>
                <w:szCs w:val="16"/>
                <w:vertAlign w:val="superscript"/>
              </w:rPr>
            </w:pPr>
          </w:p>
          <w:p w:rsidR="00D20FC4" w:rsidRPr="00756DA5" w:rsidP="005202AF">
            <w:pPr>
              <w:autoSpaceDE w:val="0"/>
              <w:autoSpaceDN w:val="0"/>
              <w:adjustRightInd w:val="0"/>
              <w:spacing w:after="0" w:line="280" w:lineRule="exact"/>
              <w:jc w:val="left"/>
              <w:rPr>
                <w:rFonts w:cs="Arial"/>
                <w:sz w:val="16"/>
                <w:szCs w:val="16"/>
              </w:rPr>
            </w:pPr>
            <w:r w:rsidRPr="00756DA5">
              <w:rPr>
                <w:sz w:val="16"/>
                <w:szCs w:val="16"/>
                <w:vertAlign w:val="superscript"/>
              </w:rPr>
              <w:t>(1)</w:t>
            </w:r>
            <w:r w:rsidRPr="00756DA5">
              <w:rPr>
                <w:sz w:val="16"/>
                <w:szCs w:val="16"/>
              </w:rPr>
              <w:t xml:space="preserve"> Transferred on 31 July 2008 from SECO RAIL to COLAS RAIL</w:t>
            </w:r>
          </w:p>
        </w:tc>
      </w:tr>
      <w:tr w:rsidTr="005202AF">
        <w:tblPrEx>
          <w:tblW w:w="6019" w:type="pct"/>
          <w:tblInd w:w="-851" w:type="dxa"/>
          <w:tblLayout w:type="fixed"/>
          <w:tblCellMar>
            <w:left w:w="70" w:type="dxa"/>
            <w:right w:w="70" w:type="dxa"/>
          </w:tblCellMar>
          <w:tblLook w:val="0000"/>
        </w:tblPrEx>
        <w:trPr>
          <w:gridBefore w:val="3"/>
          <w:gridAfter w:val="1"/>
          <w:wBefore w:w="537" w:type="dxa"/>
          <w:wAfter w:w="254" w:type="dxa"/>
          <w:trHeight w:val="34"/>
        </w:trPr>
        <w:tc>
          <w:tcPr>
            <w:tcW w:w="4504" w:type="pct"/>
            <w:gridSpan w:val="13"/>
            <w:tcBorders>
              <w:top w:val="nil"/>
              <w:left w:val="nil"/>
              <w:bottom w:val="nil"/>
              <w:right w:val="nil"/>
            </w:tcBorders>
            <w:shd w:val="solid" w:color="FFFFFF" w:fill="auto"/>
          </w:tcPr>
          <w:p w:rsidR="00D20FC4" w:rsidRPr="00756DA5" w:rsidP="005202AF">
            <w:pPr>
              <w:autoSpaceDE w:val="0"/>
              <w:autoSpaceDN w:val="0"/>
              <w:adjustRightInd w:val="0"/>
              <w:spacing w:after="0" w:line="280" w:lineRule="exact"/>
              <w:jc w:val="left"/>
              <w:rPr>
                <w:rFonts w:cs="Arial"/>
                <w:sz w:val="16"/>
                <w:szCs w:val="16"/>
              </w:rPr>
            </w:pPr>
            <w:r w:rsidRPr="00756DA5">
              <w:rPr>
                <w:sz w:val="16"/>
                <w:szCs w:val="16"/>
                <w:vertAlign w:val="superscript"/>
              </w:rPr>
              <w:t>(2)</w:t>
            </w:r>
            <w:r w:rsidRPr="00756DA5">
              <w:rPr>
                <w:sz w:val="16"/>
                <w:szCs w:val="16"/>
              </w:rPr>
              <w:t xml:space="preserve"> Transferred on 17 June 2016 from PICHENOT to EIFFAGE RAIL SERVICES</w:t>
            </w:r>
          </w:p>
        </w:tc>
      </w:tr>
      <w:tr w:rsidTr="005202AF">
        <w:tblPrEx>
          <w:tblW w:w="6019" w:type="pct"/>
          <w:tblInd w:w="-851" w:type="dxa"/>
          <w:tblLayout w:type="fixed"/>
          <w:tblCellMar>
            <w:left w:w="70" w:type="dxa"/>
            <w:right w:w="70" w:type="dxa"/>
          </w:tblCellMar>
          <w:tblLook w:val="0000"/>
        </w:tblPrEx>
        <w:trPr>
          <w:gridBefore w:val="3"/>
          <w:gridAfter w:val="1"/>
          <w:wBefore w:w="537" w:type="dxa"/>
          <w:wAfter w:w="254" w:type="dxa"/>
          <w:trHeight w:val="34"/>
        </w:trPr>
        <w:tc>
          <w:tcPr>
            <w:tcW w:w="4504" w:type="pct"/>
            <w:gridSpan w:val="13"/>
            <w:tcBorders>
              <w:top w:val="nil"/>
              <w:left w:val="nil"/>
              <w:bottom w:val="nil"/>
              <w:right w:val="nil"/>
            </w:tcBorders>
            <w:shd w:val="solid" w:color="FFFFFF" w:fill="auto"/>
          </w:tcPr>
          <w:p w:rsidR="00D20FC4" w:rsidRPr="00756DA5" w:rsidP="005202AF">
            <w:pPr>
              <w:autoSpaceDE w:val="0"/>
              <w:autoSpaceDN w:val="0"/>
              <w:adjustRightInd w:val="0"/>
              <w:spacing w:after="0" w:line="280" w:lineRule="exact"/>
              <w:jc w:val="left"/>
              <w:rPr>
                <w:rFonts w:cs="Arial"/>
                <w:sz w:val="16"/>
                <w:szCs w:val="16"/>
              </w:rPr>
            </w:pPr>
            <w:r w:rsidRPr="00756DA5">
              <w:rPr>
                <w:sz w:val="16"/>
                <w:szCs w:val="16"/>
                <w:vertAlign w:val="superscript"/>
              </w:rPr>
              <w:t>(3)</w:t>
            </w:r>
            <w:r w:rsidRPr="00756DA5">
              <w:rPr>
                <w:sz w:val="16"/>
                <w:szCs w:val="16"/>
              </w:rPr>
              <w:t xml:space="preserve"> Transferred on 4 November 2011 from VEOLIA CARGO France to EUROPORTE France</w:t>
            </w:r>
          </w:p>
        </w:tc>
      </w:tr>
      <w:tr w:rsidTr="005202AF">
        <w:tblPrEx>
          <w:tblW w:w="6019" w:type="pct"/>
          <w:tblInd w:w="-851" w:type="dxa"/>
          <w:tblLayout w:type="fixed"/>
          <w:tblCellMar>
            <w:left w:w="70" w:type="dxa"/>
            <w:right w:w="70" w:type="dxa"/>
          </w:tblCellMar>
          <w:tblLook w:val="0000"/>
        </w:tblPrEx>
        <w:trPr>
          <w:gridBefore w:val="3"/>
          <w:gridAfter w:val="1"/>
          <w:wBefore w:w="537" w:type="dxa"/>
          <w:wAfter w:w="254" w:type="dxa"/>
          <w:trHeight w:val="34"/>
        </w:trPr>
        <w:tc>
          <w:tcPr>
            <w:tcW w:w="4504" w:type="pct"/>
            <w:gridSpan w:val="13"/>
            <w:tcBorders>
              <w:top w:val="nil"/>
              <w:left w:val="nil"/>
              <w:bottom w:val="nil"/>
              <w:right w:val="nil"/>
            </w:tcBorders>
            <w:shd w:val="solid" w:color="FFFFFF" w:fill="auto"/>
          </w:tcPr>
          <w:p w:rsidR="00D20FC4" w:rsidRPr="00756DA5" w:rsidP="005202AF">
            <w:pPr>
              <w:autoSpaceDE w:val="0"/>
              <w:autoSpaceDN w:val="0"/>
              <w:adjustRightInd w:val="0"/>
              <w:spacing w:after="0" w:line="280" w:lineRule="exact"/>
              <w:jc w:val="left"/>
              <w:rPr>
                <w:rFonts w:cs="Arial"/>
                <w:sz w:val="16"/>
                <w:szCs w:val="16"/>
              </w:rPr>
            </w:pPr>
            <w:r w:rsidRPr="00756DA5">
              <w:rPr>
                <w:sz w:val="16"/>
                <w:szCs w:val="16"/>
                <w:vertAlign w:val="superscript"/>
              </w:rPr>
              <w:t>(4)</w:t>
            </w:r>
            <w:r w:rsidRPr="00756DA5">
              <w:rPr>
                <w:sz w:val="16"/>
                <w:szCs w:val="16"/>
              </w:rPr>
              <w:t xml:space="preserve"> Change of company name on 27 April 2017 (formerly OSR FRANCE)</w:t>
            </w:r>
          </w:p>
        </w:tc>
      </w:tr>
      <w:tr w:rsidTr="005202AF">
        <w:tblPrEx>
          <w:tblW w:w="6019" w:type="pct"/>
          <w:tblInd w:w="-851" w:type="dxa"/>
          <w:tblLayout w:type="fixed"/>
          <w:tblCellMar>
            <w:left w:w="70" w:type="dxa"/>
            <w:right w:w="70" w:type="dxa"/>
          </w:tblCellMar>
          <w:tblLook w:val="0000"/>
        </w:tblPrEx>
        <w:trPr>
          <w:gridBefore w:val="3"/>
          <w:gridAfter w:val="1"/>
          <w:wBefore w:w="537" w:type="dxa"/>
          <w:wAfter w:w="254" w:type="dxa"/>
          <w:trHeight w:val="34"/>
        </w:trPr>
        <w:tc>
          <w:tcPr>
            <w:tcW w:w="4504" w:type="pct"/>
            <w:gridSpan w:val="13"/>
            <w:tcBorders>
              <w:top w:val="nil"/>
              <w:left w:val="nil"/>
              <w:bottom w:val="nil"/>
              <w:right w:val="nil"/>
            </w:tcBorders>
            <w:shd w:val="solid" w:color="FFFFFF" w:fill="auto"/>
          </w:tcPr>
          <w:p w:rsidR="00D20FC4" w:rsidRPr="00756DA5" w:rsidP="005202AF">
            <w:pPr>
              <w:autoSpaceDE w:val="0"/>
              <w:autoSpaceDN w:val="0"/>
              <w:adjustRightInd w:val="0"/>
              <w:spacing w:after="0" w:line="280" w:lineRule="exact"/>
              <w:jc w:val="left"/>
              <w:rPr>
                <w:rFonts w:cs="Arial"/>
                <w:sz w:val="16"/>
                <w:szCs w:val="16"/>
              </w:rPr>
            </w:pPr>
            <w:r w:rsidRPr="00756DA5">
              <w:rPr>
                <w:sz w:val="16"/>
                <w:szCs w:val="16"/>
                <w:vertAlign w:val="superscript"/>
              </w:rPr>
              <w:t>(5)</w:t>
            </w:r>
            <w:r w:rsidRPr="00756DA5">
              <w:rPr>
                <w:sz w:val="16"/>
                <w:szCs w:val="16"/>
              </w:rPr>
              <w:t xml:space="preserve"> Change of company name on 27 April 2017 (formerly B LOGISTICS)</w:t>
            </w:r>
          </w:p>
        </w:tc>
      </w:tr>
      <w:tr w:rsidTr="005202AF">
        <w:tblPrEx>
          <w:tblW w:w="6019" w:type="pct"/>
          <w:tblInd w:w="-851" w:type="dxa"/>
          <w:tblLayout w:type="fixed"/>
          <w:tblCellMar>
            <w:left w:w="70" w:type="dxa"/>
            <w:right w:w="70" w:type="dxa"/>
          </w:tblCellMar>
          <w:tblLook w:val="0000"/>
        </w:tblPrEx>
        <w:trPr>
          <w:gridBefore w:val="3"/>
          <w:gridAfter w:val="1"/>
          <w:wBefore w:w="537" w:type="dxa"/>
          <w:wAfter w:w="254" w:type="dxa"/>
          <w:trHeight w:val="34"/>
        </w:trPr>
        <w:tc>
          <w:tcPr>
            <w:tcW w:w="4504" w:type="pct"/>
            <w:gridSpan w:val="13"/>
            <w:tcBorders>
              <w:top w:val="nil"/>
              <w:left w:val="nil"/>
              <w:bottom w:val="nil"/>
              <w:right w:val="nil"/>
            </w:tcBorders>
            <w:shd w:val="solid" w:color="FFFFFF" w:fill="auto"/>
          </w:tcPr>
          <w:p w:rsidR="00D20FC4" w:rsidRPr="00756DA5" w:rsidP="005202AF">
            <w:pPr>
              <w:autoSpaceDE w:val="0"/>
              <w:autoSpaceDN w:val="0"/>
              <w:adjustRightInd w:val="0"/>
              <w:spacing w:after="0" w:line="280" w:lineRule="exact"/>
              <w:jc w:val="left"/>
              <w:rPr>
                <w:rFonts w:cs="Arial"/>
                <w:sz w:val="16"/>
                <w:szCs w:val="16"/>
              </w:rPr>
            </w:pPr>
            <w:r w:rsidRPr="00756DA5">
              <w:rPr>
                <w:sz w:val="16"/>
                <w:szCs w:val="16"/>
                <w:vertAlign w:val="superscript"/>
              </w:rPr>
              <w:t>(6)</w:t>
            </w:r>
            <w:r w:rsidRPr="00756DA5">
              <w:rPr>
                <w:sz w:val="16"/>
                <w:szCs w:val="16"/>
              </w:rPr>
              <w:t xml:space="preserve"> Change of company name on 21 October 2015 (formerly REGIORAIL LR (Languedoc-Roussillon))</w:t>
            </w:r>
          </w:p>
        </w:tc>
      </w:tr>
      <w:tr w:rsidTr="005202AF">
        <w:tblPrEx>
          <w:tblW w:w="6019" w:type="pct"/>
          <w:tblInd w:w="-851" w:type="dxa"/>
          <w:tblLayout w:type="fixed"/>
          <w:tblCellMar>
            <w:left w:w="70" w:type="dxa"/>
            <w:right w:w="70" w:type="dxa"/>
          </w:tblCellMar>
          <w:tblLook w:val="0000"/>
        </w:tblPrEx>
        <w:trPr>
          <w:gridBefore w:val="3"/>
          <w:gridAfter w:val="1"/>
          <w:wBefore w:w="537" w:type="dxa"/>
          <w:wAfter w:w="254" w:type="dxa"/>
          <w:trHeight w:val="34"/>
        </w:trPr>
        <w:tc>
          <w:tcPr>
            <w:tcW w:w="4504" w:type="pct"/>
            <w:gridSpan w:val="13"/>
            <w:tcBorders>
              <w:top w:val="nil"/>
              <w:left w:val="nil"/>
              <w:bottom w:val="nil"/>
              <w:right w:val="nil"/>
            </w:tcBorders>
            <w:shd w:val="solid" w:color="FFFFFF" w:fill="auto"/>
          </w:tcPr>
          <w:p w:rsidR="00D20FC4" w:rsidRPr="00756DA5" w:rsidP="005202AF">
            <w:pPr>
              <w:autoSpaceDE w:val="0"/>
              <w:autoSpaceDN w:val="0"/>
              <w:adjustRightInd w:val="0"/>
              <w:spacing w:after="0" w:line="280" w:lineRule="exact"/>
              <w:jc w:val="left"/>
              <w:rPr>
                <w:rFonts w:cs="Arial"/>
                <w:sz w:val="16"/>
                <w:szCs w:val="16"/>
              </w:rPr>
            </w:pPr>
            <w:r w:rsidRPr="00756DA5">
              <w:rPr>
                <w:sz w:val="16"/>
                <w:szCs w:val="16"/>
                <w:vertAlign w:val="superscript"/>
              </w:rPr>
              <w:t>(7)</w:t>
            </w:r>
            <w:r w:rsidRPr="00756DA5">
              <w:rPr>
                <w:sz w:val="16"/>
                <w:szCs w:val="16"/>
              </w:rPr>
              <w:t xml:space="preserve"> Change of company name on 1 January 2015 (formerly SNCF)</w:t>
            </w:r>
          </w:p>
        </w:tc>
      </w:tr>
      <w:tr w:rsidTr="005202AF">
        <w:tblPrEx>
          <w:tblW w:w="6019" w:type="pct"/>
          <w:tblInd w:w="-851" w:type="dxa"/>
          <w:tblLayout w:type="fixed"/>
          <w:tblCellMar>
            <w:left w:w="70" w:type="dxa"/>
            <w:right w:w="70" w:type="dxa"/>
          </w:tblCellMar>
          <w:tblLook w:val="0000"/>
        </w:tblPrEx>
        <w:trPr>
          <w:gridBefore w:val="3"/>
          <w:gridAfter w:val="1"/>
          <w:wBefore w:w="537" w:type="dxa"/>
          <w:wAfter w:w="254" w:type="dxa"/>
          <w:trHeight w:val="34"/>
        </w:trPr>
        <w:tc>
          <w:tcPr>
            <w:tcW w:w="4504" w:type="pct"/>
            <w:gridSpan w:val="13"/>
            <w:tcBorders>
              <w:top w:val="nil"/>
              <w:left w:val="nil"/>
              <w:bottom w:val="nil"/>
              <w:right w:val="nil"/>
            </w:tcBorders>
            <w:shd w:val="solid" w:color="FFFFFF" w:fill="auto"/>
          </w:tcPr>
          <w:p w:rsidR="00D20FC4" w:rsidRPr="00756DA5" w:rsidP="005202AF">
            <w:pPr>
              <w:autoSpaceDE w:val="0"/>
              <w:autoSpaceDN w:val="0"/>
              <w:adjustRightInd w:val="0"/>
              <w:spacing w:after="0" w:line="280" w:lineRule="exact"/>
              <w:jc w:val="left"/>
              <w:rPr>
                <w:rFonts w:cs="Arial"/>
                <w:sz w:val="16"/>
                <w:szCs w:val="16"/>
              </w:rPr>
            </w:pPr>
            <w:r w:rsidRPr="00756DA5">
              <w:rPr>
                <w:sz w:val="16"/>
                <w:szCs w:val="16"/>
                <w:vertAlign w:val="superscript"/>
              </w:rPr>
              <w:t>(8)</w:t>
            </w:r>
            <w:r w:rsidRPr="00756DA5">
              <w:rPr>
                <w:sz w:val="16"/>
                <w:szCs w:val="16"/>
              </w:rPr>
              <w:t xml:space="preserve"> Transferred on 5 April 2013 from TVT to THELLO</w:t>
            </w:r>
          </w:p>
        </w:tc>
      </w:tr>
    </w:tbl>
    <w:p w:rsidR="00D20FC4" w:rsidRPr="00756DA5" w:rsidP="009B2197">
      <w:pPr>
        <w:pageBreakBefore/>
        <w:tabs>
          <w:tab w:val="left" w:pos="2475"/>
        </w:tabs>
        <w:spacing w:line="280" w:lineRule="exact"/>
        <w:jc w:val="left"/>
        <w:rPr>
          <w:rFonts w:cs="Arial"/>
          <w:b/>
        </w:rPr>
      </w:pPr>
      <w:r w:rsidRPr="00756DA5">
        <w:rPr>
          <w:b/>
          <w:bCs/>
          <w:szCs w:val="20"/>
        </w:rPr>
        <w:t xml:space="preserve">■ </w:t>
      </w:r>
      <w:r w:rsidRPr="00756DA5">
        <w:rPr>
          <w:b/>
        </w:rPr>
        <w:t>List of infrastructure managers holding a safety authorisation as at 31 December 2017</w:t>
      </w:r>
    </w:p>
    <w:tbl>
      <w:tblPr>
        <w:tblW w:w="96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5120"/>
        <w:gridCol w:w="4490"/>
      </w:tblGrid>
      <w:tr w:rsidTr="005202AF">
        <w:tblPrEx>
          <w:tblW w:w="96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Ex>
        <w:trPr>
          <w:trHeight w:val="851"/>
        </w:trPr>
        <w:tc>
          <w:tcPr>
            <w:tcW w:w="5120" w:type="dxa"/>
            <w:tcBorders>
              <w:top w:val="single" w:sz="4" w:space="0" w:color="auto"/>
              <w:left w:val="single" w:sz="4" w:space="0" w:color="auto"/>
              <w:bottom w:val="single" w:sz="4" w:space="0" w:color="auto"/>
              <w:right w:val="single" w:sz="4" w:space="0" w:color="auto"/>
              <w:tl2br w:val="nil"/>
              <w:tr2bl w:val="nil"/>
            </w:tcBorders>
            <w:shd w:val="clear" w:color="auto" w:fill="A6A6A6"/>
            <w:vAlign w:val="center"/>
          </w:tcPr>
          <w:p w:rsidR="00D20FC4" w:rsidRPr="00756DA5" w:rsidP="005202AF">
            <w:pPr>
              <w:spacing w:after="0" w:line="280" w:lineRule="exact"/>
              <w:ind w:left="-217"/>
              <w:jc w:val="center"/>
              <w:rPr>
                <w:rFonts w:eastAsia="Times New Roman" w:cs="Arial"/>
                <w:b/>
                <w:bCs/>
                <w:color w:val="FFFFFF"/>
                <w:szCs w:val="20"/>
              </w:rPr>
            </w:pPr>
            <w:r w:rsidRPr="00756DA5">
              <w:rPr>
                <w:b/>
                <w:bCs/>
                <w:color w:val="FFFFFF"/>
                <w:szCs w:val="20"/>
              </w:rPr>
              <w:t>NAMES</w:t>
            </w:r>
          </w:p>
        </w:tc>
        <w:tc>
          <w:tcPr>
            <w:tcW w:w="4490" w:type="dxa"/>
            <w:tcBorders>
              <w:top w:val="single" w:sz="4" w:space="0" w:color="auto"/>
              <w:left w:val="single" w:sz="4" w:space="0" w:color="auto"/>
              <w:bottom w:val="single" w:sz="4" w:space="0" w:color="auto"/>
              <w:right w:val="single" w:sz="4" w:space="0" w:color="auto"/>
              <w:tl2br w:val="nil"/>
              <w:tr2bl w:val="nil"/>
            </w:tcBorders>
            <w:shd w:val="clear" w:color="auto" w:fill="A6A6A6"/>
            <w:vAlign w:val="center"/>
          </w:tcPr>
          <w:p w:rsidR="00D20FC4" w:rsidRPr="00756DA5" w:rsidP="005202AF">
            <w:pPr>
              <w:spacing w:after="0" w:line="280" w:lineRule="exact"/>
              <w:jc w:val="center"/>
              <w:rPr>
                <w:rFonts w:eastAsia="Times New Roman" w:cs="Arial"/>
                <w:b/>
                <w:bCs/>
                <w:caps/>
                <w:color w:val="FFFFFF"/>
                <w:szCs w:val="20"/>
              </w:rPr>
            </w:pPr>
            <w:r w:rsidRPr="00756DA5">
              <w:rPr>
                <w:b/>
                <w:bCs/>
                <w:caps/>
                <w:color w:val="FFFFFF"/>
                <w:szCs w:val="20"/>
              </w:rPr>
              <w:t>Authorisation date</w:t>
            </w:r>
          </w:p>
        </w:tc>
      </w:tr>
      <w:tr w:rsidTr="005202AF">
        <w:tblPrEx>
          <w:tblW w:w="9610" w:type="dxa"/>
          <w:tblInd w:w="-289" w:type="dxa"/>
          <w:shd w:val="clear" w:color="auto" w:fill="F3F3F3"/>
          <w:tblLook w:val="01E0"/>
        </w:tblPrEx>
        <w:trPr>
          <w:trHeight w:hRule="exact" w:val="596"/>
        </w:trPr>
        <w:tc>
          <w:tcPr>
            <w:tcW w:w="5120" w:type="dxa"/>
            <w:tcBorders>
              <w:top w:val="single" w:sz="4" w:space="0" w:color="auto"/>
              <w:bottom w:val="single" w:sz="4" w:space="0" w:color="auto"/>
            </w:tcBorders>
            <w:shd w:val="clear" w:color="auto" w:fill="auto"/>
            <w:vAlign w:val="center"/>
          </w:tcPr>
          <w:p w:rsidR="00D20FC4" w:rsidRPr="00756DA5" w:rsidP="005202AF">
            <w:pPr>
              <w:spacing w:line="280" w:lineRule="exact"/>
              <w:jc w:val="center"/>
              <w:rPr>
                <w:rFonts w:cs="Arial"/>
                <w:color w:val="4D4D4D"/>
                <w:szCs w:val="20"/>
              </w:rPr>
            </w:pPr>
            <w:r w:rsidRPr="00756DA5">
              <w:t>CFL</w:t>
            </w:r>
          </w:p>
        </w:tc>
        <w:tc>
          <w:tcPr>
            <w:tcW w:w="4490" w:type="dxa"/>
            <w:tcBorders>
              <w:top w:val="single" w:sz="4" w:space="0" w:color="auto"/>
              <w:bottom w:val="single" w:sz="4" w:space="0" w:color="auto"/>
            </w:tcBorders>
            <w:shd w:val="clear" w:color="auto" w:fill="auto"/>
            <w:vAlign w:val="center"/>
          </w:tcPr>
          <w:p w:rsidR="00D20FC4" w:rsidRPr="00756DA5" w:rsidP="005202AF">
            <w:pPr>
              <w:spacing w:line="280" w:lineRule="exact"/>
              <w:jc w:val="center"/>
              <w:rPr>
                <w:rFonts w:cs="Arial"/>
                <w:color w:val="4D4D4D"/>
                <w:szCs w:val="20"/>
              </w:rPr>
            </w:pPr>
            <w:r w:rsidRPr="00756DA5">
              <w:t>30 October 2015</w:t>
            </w:r>
          </w:p>
        </w:tc>
      </w:tr>
      <w:tr w:rsidTr="005202AF">
        <w:tblPrEx>
          <w:tblW w:w="9610" w:type="dxa"/>
          <w:tblInd w:w="-289" w:type="dxa"/>
          <w:shd w:val="clear" w:color="auto" w:fill="F3F3F3"/>
          <w:tblLook w:val="01E0"/>
        </w:tblPrEx>
        <w:trPr>
          <w:trHeight w:hRule="exact" w:val="704"/>
        </w:trPr>
        <w:tc>
          <w:tcPr>
            <w:tcW w:w="51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szCs w:val="20"/>
              </w:rPr>
            </w:pPr>
            <w:r w:rsidRPr="00756DA5">
              <w:t>ERE</w:t>
            </w:r>
          </w:p>
        </w:tc>
        <w:tc>
          <w:tcPr>
            <w:tcW w:w="44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szCs w:val="20"/>
              </w:rPr>
            </w:pPr>
            <w:r w:rsidRPr="00756DA5">
              <w:t>21 February 2017</w:t>
            </w:r>
          </w:p>
        </w:tc>
      </w:tr>
      <w:tr w:rsidTr="005202AF">
        <w:tblPrEx>
          <w:tblW w:w="9610" w:type="dxa"/>
          <w:tblInd w:w="-289" w:type="dxa"/>
          <w:shd w:val="clear" w:color="auto" w:fill="F3F3F3"/>
          <w:tblLook w:val="01E0"/>
        </w:tblPrEx>
        <w:trPr>
          <w:trHeight w:hRule="exact" w:val="704"/>
        </w:trPr>
        <w:tc>
          <w:tcPr>
            <w:tcW w:w="51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szCs w:val="20"/>
              </w:rPr>
            </w:pPr>
            <w:r w:rsidRPr="00756DA5">
              <w:t>SNCF Réseau</w:t>
            </w:r>
          </w:p>
        </w:tc>
        <w:tc>
          <w:tcPr>
            <w:tcW w:w="44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szCs w:val="20"/>
              </w:rPr>
            </w:pPr>
            <w:r w:rsidRPr="00756DA5">
              <w:t>30 June 2016</w:t>
            </w:r>
          </w:p>
        </w:tc>
      </w:tr>
      <w:tr w:rsidTr="005202AF">
        <w:tblPrEx>
          <w:tblW w:w="9610" w:type="dxa"/>
          <w:tblInd w:w="-289" w:type="dxa"/>
          <w:shd w:val="clear" w:color="auto" w:fill="F3F3F3"/>
          <w:tblLook w:val="01E0"/>
        </w:tblPrEx>
        <w:trPr>
          <w:trHeight w:hRule="exact" w:val="704"/>
        </w:trPr>
        <w:tc>
          <w:tcPr>
            <w:tcW w:w="51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color w:val="4D4D4D"/>
                <w:szCs w:val="20"/>
              </w:rPr>
            </w:pPr>
            <w:r w:rsidRPr="00756DA5">
              <w:t>LINEA FIGUERAS PERPIGNAN SA</w:t>
            </w:r>
          </w:p>
        </w:tc>
        <w:tc>
          <w:tcPr>
            <w:tcW w:w="44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color w:val="4D4D4D"/>
                <w:szCs w:val="20"/>
              </w:rPr>
            </w:pPr>
            <w:r w:rsidRPr="00756DA5">
              <w:t>22 September 2015</w:t>
            </w:r>
          </w:p>
        </w:tc>
      </w:tr>
      <w:tr w:rsidTr="005202AF">
        <w:tblPrEx>
          <w:tblW w:w="9610" w:type="dxa"/>
          <w:tblInd w:w="-289" w:type="dxa"/>
          <w:shd w:val="clear" w:color="auto" w:fill="F3F3F3"/>
          <w:tblLook w:val="01E0"/>
        </w:tblPrEx>
        <w:trPr>
          <w:trHeight w:hRule="exact" w:val="704"/>
        </w:trPr>
        <w:tc>
          <w:tcPr>
            <w:tcW w:w="51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szCs w:val="20"/>
              </w:rPr>
            </w:pPr>
            <w:r w:rsidRPr="00756DA5">
              <w:t>LISEA</w:t>
            </w:r>
          </w:p>
        </w:tc>
        <w:tc>
          <w:tcPr>
            <w:tcW w:w="44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szCs w:val="20"/>
              </w:rPr>
            </w:pPr>
            <w:r w:rsidRPr="00756DA5">
              <w:t>31 March 2017</w:t>
            </w:r>
          </w:p>
        </w:tc>
      </w:tr>
      <w:tr w:rsidTr="005202AF">
        <w:tblPrEx>
          <w:tblW w:w="9610" w:type="dxa"/>
          <w:tblInd w:w="-289" w:type="dxa"/>
          <w:shd w:val="clear" w:color="auto" w:fill="F3F3F3"/>
          <w:tblLook w:val="01E0"/>
        </w:tblPrEx>
        <w:trPr>
          <w:trHeight w:hRule="exact" w:val="704"/>
        </w:trPr>
        <w:tc>
          <w:tcPr>
            <w:tcW w:w="51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szCs w:val="20"/>
              </w:rPr>
            </w:pPr>
            <w:r w:rsidRPr="00756DA5">
              <w:t>OC’VIA</w:t>
            </w:r>
          </w:p>
        </w:tc>
        <w:tc>
          <w:tcPr>
            <w:tcW w:w="44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20FC4" w:rsidRPr="00756DA5" w:rsidP="005202AF">
            <w:pPr>
              <w:spacing w:line="280" w:lineRule="exact"/>
              <w:jc w:val="center"/>
              <w:rPr>
                <w:rFonts w:cs="Arial"/>
                <w:szCs w:val="20"/>
              </w:rPr>
            </w:pPr>
            <w:r w:rsidRPr="00756DA5">
              <w:t>4 September 2017</w:t>
            </w:r>
          </w:p>
        </w:tc>
      </w:tr>
    </w:tbl>
    <w:p w:rsidR="00D20FC4" w:rsidRPr="00756DA5" w:rsidP="00D20FC4">
      <w:pPr>
        <w:tabs>
          <w:tab w:val="left" w:pos="2475"/>
        </w:tabs>
        <w:spacing w:line="280" w:lineRule="exact"/>
        <w:rPr>
          <w:rFonts w:cs="Arial"/>
          <w:b/>
        </w:rPr>
      </w:pPr>
      <w:r w:rsidRPr="00756DA5">
        <w:br/>
      </w:r>
      <w:r w:rsidRPr="00756DA5">
        <w:rPr>
          <w:b/>
          <w:bCs/>
          <w:szCs w:val="20"/>
        </w:rPr>
        <w:t xml:space="preserve">■ </w:t>
      </w:r>
      <w:r w:rsidRPr="00756DA5">
        <w:rPr>
          <w:b/>
        </w:rPr>
        <w:t>List of port railway networks with operational safety regulations as at 31 December 2017</w:t>
      </w:r>
    </w:p>
    <w:tbl>
      <w:tblPr>
        <w:tblW w:w="9629" w:type="dxa"/>
        <w:jc w:val="center"/>
        <w:tblCellMar>
          <w:left w:w="70" w:type="dxa"/>
          <w:right w:w="70" w:type="dxa"/>
        </w:tblCellMar>
        <w:tblLook w:val="04A0"/>
      </w:tblPr>
      <w:tblGrid>
        <w:gridCol w:w="4820"/>
        <w:gridCol w:w="4809"/>
      </w:tblGrid>
      <w:tr w:rsidTr="005202AF">
        <w:tblPrEx>
          <w:tblW w:w="9629" w:type="dxa"/>
          <w:jc w:val="center"/>
          <w:tblCellMar>
            <w:left w:w="70" w:type="dxa"/>
            <w:right w:w="70" w:type="dxa"/>
          </w:tblCellMar>
          <w:tblLook w:val="04A0"/>
        </w:tblPrEx>
        <w:trPr>
          <w:trHeight w:val="837"/>
          <w:jc w:val="center"/>
        </w:trPr>
        <w:tc>
          <w:tcPr>
            <w:tcW w:w="4820"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D20FC4" w:rsidRPr="00756DA5" w:rsidP="005202AF">
            <w:pPr>
              <w:spacing w:after="0" w:line="280" w:lineRule="exact"/>
              <w:ind w:left="-217"/>
              <w:jc w:val="center"/>
              <w:rPr>
                <w:rFonts w:eastAsia="Times New Roman" w:cs="Arial"/>
                <w:b/>
                <w:bCs/>
                <w:color w:val="FFFFFF"/>
                <w:szCs w:val="20"/>
              </w:rPr>
            </w:pPr>
            <w:r w:rsidRPr="00756DA5">
              <w:rPr>
                <w:b/>
                <w:bCs/>
                <w:color w:val="FFFFFF"/>
                <w:szCs w:val="20"/>
              </w:rPr>
              <w:t>NAMES</w:t>
            </w:r>
          </w:p>
        </w:tc>
        <w:tc>
          <w:tcPr>
            <w:tcW w:w="4809" w:type="dxa"/>
            <w:tcBorders>
              <w:top w:val="single" w:sz="8" w:space="0" w:color="auto"/>
              <w:left w:val="nil"/>
              <w:bottom w:val="single" w:sz="8" w:space="0" w:color="auto"/>
              <w:right w:val="single" w:sz="8" w:space="0" w:color="auto"/>
            </w:tcBorders>
            <w:shd w:val="clear" w:color="000000" w:fill="A6A6A6"/>
            <w:vAlign w:val="center"/>
            <w:hideMark/>
          </w:tcPr>
          <w:p w:rsidR="00D20FC4" w:rsidRPr="00756DA5" w:rsidP="005202AF">
            <w:pPr>
              <w:spacing w:after="0" w:line="280" w:lineRule="exact"/>
              <w:jc w:val="center"/>
              <w:rPr>
                <w:rFonts w:eastAsia="Times New Roman" w:cs="Arial"/>
                <w:b/>
                <w:bCs/>
                <w:color w:val="FFFFFF"/>
                <w:szCs w:val="20"/>
              </w:rPr>
            </w:pPr>
            <w:r w:rsidRPr="00756DA5">
              <w:rPr>
                <w:b/>
                <w:bCs/>
                <w:color w:val="FFFFFF"/>
                <w:szCs w:val="20"/>
              </w:rPr>
              <w:t xml:space="preserve">DATE   </w:t>
            </w:r>
          </w:p>
        </w:tc>
      </w:tr>
      <w:tr w:rsidTr="005202AF">
        <w:tblPrEx>
          <w:tblW w:w="9629" w:type="dxa"/>
          <w:jc w:val="center"/>
          <w:tblCellMar>
            <w:left w:w="70" w:type="dxa"/>
            <w:right w:w="70" w:type="dxa"/>
          </w:tblCellMar>
          <w:tblLook w:val="04A0"/>
        </w:tblPrEx>
        <w:trPr>
          <w:trHeight w:val="567"/>
          <w:jc w:val="center"/>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Cs w:val="20"/>
              </w:rPr>
            </w:pPr>
            <w:r w:rsidRPr="00756DA5">
              <w:t>Grand Port Maritime de Bordeaux</w:t>
            </w:r>
          </w:p>
        </w:tc>
        <w:tc>
          <w:tcPr>
            <w:tcW w:w="4809" w:type="dxa"/>
            <w:tcBorders>
              <w:top w:val="nil"/>
              <w:left w:val="nil"/>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eastAsia="Times New Roman" w:cs="Arial"/>
                <w:color w:val="4D4D4D"/>
                <w:szCs w:val="20"/>
              </w:rPr>
            </w:pPr>
            <w:r w:rsidRPr="00756DA5">
              <w:t>21 June 2017</w:t>
            </w:r>
          </w:p>
        </w:tc>
      </w:tr>
      <w:tr w:rsidTr="005202AF">
        <w:tblPrEx>
          <w:tblW w:w="9629" w:type="dxa"/>
          <w:jc w:val="center"/>
          <w:tblCellMar>
            <w:left w:w="70" w:type="dxa"/>
            <w:right w:w="70" w:type="dxa"/>
          </w:tblCellMar>
          <w:tblLook w:val="04A0"/>
        </w:tblPrEx>
        <w:trPr>
          <w:trHeight w:val="567"/>
          <w:jc w:val="center"/>
        </w:trPr>
        <w:tc>
          <w:tcPr>
            <w:tcW w:w="4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cs="Arial"/>
                <w:szCs w:val="20"/>
              </w:rPr>
            </w:pPr>
            <w:r w:rsidRPr="00756DA5">
              <w:t>Grand Port Maritime de Dunkerque</w:t>
            </w:r>
          </w:p>
        </w:tc>
        <w:tc>
          <w:tcPr>
            <w:tcW w:w="4809" w:type="dxa"/>
            <w:tcBorders>
              <w:top w:val="single" w:sz="8" w:space="0" w:color="auto"/>
              <w:left w:val="nil"/>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cs="Arial"/>
                <w:szCs w:val="20"/>
              </w:rPr>
            </w:pPr>
            <w:r w:rsidRPr="00756DA5">
              <w:t>17 August 2015</w:t>
            </w:r>
          </w:p>
        </w:tc>
      </w:tr>
      <w:tr w:rsidTr="005202AF">
        <w:tblPrEx>
          <w:tblW w:w="9629" w:type="dxa"/>
          <w:jc w:val="center"/>
          <w:tblCellMar>
            <w:left w:w="70" w:type="dxa"/>
            <w:right w:w="70" w:type="dxa"/>
          </w:tblCellMar>
          <w:tblLook w:val="04A0"/>
        </w:tblPrEx>
        <w:trPr>
          <w:trHeight w:val="567"/>
          <w:jc w:val="center"/>
        </w:trPr>
        <w:tc>
          <w:tcPr>
            <w:tcW w:w="4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cs="Arial"/>
                <w:szCs w:val="20"/>
              </w:rPr>
            </w:pPr>
            <w:r w:rsidRPr="00756DA5">
              <w:t>Grand Port Maritime de La Rochelle</w:t>
            </w:r>
          </w:p>
        </w:tc>
        <w:tc>
          <w:tcPr>
            <w:tcW w:w="4809" w:type="dxa"/>
            <w:tcBorders>
              <w:top w:val="single" w:sz="8" w:space="0" w:color="auto"/>
              <w:left w:val="nil"/>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cs="Arial"/>
                <w:szCs w:val="20"/>
              </w:rPr>
            </w:pPr>
            <w:r w:rsidRPr="00756DA5">
              <w:t>5 July 2016</w:t>
            </w:r>
          </w:p>
        </w:tc>
      </w:tr>
      <w:tr w:rsidTr="005202AF">
        <w:tblPrEx>
          <w:tblW w:w="9629" w:type="dxa"/>
          <w:jc w:val="center"/>
          <w:tblCellMar>
            <w:left w:w="70" w:type="dxa"/>
            <w:right w:w="70" w:type="dxa"/>
          </w:tblCellMar>
          <w:tblLook w:val="04A0"/>
        </w:tblPrEx>
        <w:trPr>
          <w:trHeight w:val="567"/>
          <w:jc w:val="center"/>
        </w:trPr>
        <w:tc>
          <w:tcPr>
            <w:tcW w:w="4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cs="Arial"/>
                <w:szCs w:val="20"/>
              </w:rPr>
            </w:pPr>
            <w:r w:rsidRPr="00756DA5">
              <w:t>Grand Port Maritime de Marseille</w:t>
            </w:r>
          </w:p>
        </w:tc>
        <w:tc>
          <w:tcPr>
            <w:tcW w:w="4809" w:type="dxa"/>
            <w:tcBorders>
              <w:top w:val="single" w:sz="8" w:space="0" w:color="auto"/>
              <w:left w:val="nil"/>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cs="Arial"/>
                <w:szCs w:val="20"/>
              </w:rPr>
            </w:pPr>
            <w:r w:rsidRPr="00756DA5">
              <w:t>14 December 2015</w:t>
            </w:r>
          </w:p>
        </w:tc>
      </w:tr>
      <w:tr w:rsidTr="005202AF">
        <w:tblPrEx>
          <w:tblW w:w="9629" w:type="dxa"/>
          <w:jc w:val="center"/>
          <w:tblCellMar>
            <w:left w:w="70" w:type="dxa"/>
            <w:right w:w="70" w:type="dxa"/>
          </w:tblCellMar>
          <w:tblLook w:val="04A0"/>
        </w:tblPrEx>
        <w:trPr>
          <w:trHeight w:val="567"/>
          <w:jc w:val="center"/>
        </w:trPr>
        <w:tc>
          <w:tcPr>
            <w:tcW w:w="4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cs="Arial"/>
                <w:szCs w:val="20"/>
              </w:rPr>
            </w:pPr>
            <w:r w:rsidRPr="00756DA5">
              <w:t>Grand Port Maritime de Nantes/Saint-Nazaire</w:t>
            </w:r>
          </w:p>
        </w:tc>
        <w:tc>
          <w:tcPr>
            <w:tcW w:w="4809" w:type="dxa"/>
            <w:tcBorders>
              <w:top w:val="single" w:sz="8" w:space="0" w:color="auto"/>
              <w:left w:val="nil"/>
              <w:bottom w:val="single" w:sz="8" w:space="0" w:color="auto"/>
              <w:right w:val="single" w:sz="8" w:space="0" w:color="auto"/>
            </w:tcBorders>
            <w:shd w:val="clear" w:color="auto" w:fill="auto"/>
            <w:vAlign w:val="center"/>
            <w:hideMark/>
          </w:tcPr>
          <w:p w:rsidR="00D20FC4" w:rsidRPr="00756DA5" w:rsidP="005202AF">
            <w:pPr>
              <w:spacing w:after="0" w:line="280" w:lineRule="exact"/>
              <w:jc w:val="center"/>
              <w:rPr>
                <w:rFonts w:cs="Arial"/>
                <w:szCs w:val="20"/>
              </w:rPr>
            </w:pPr>
            <w:r w:rsidRPr="00756DA5">
              <w:t>13 October 2015</w:t>
            </w:r>
          </w:p>
        </w:tc>
      </w:tr>
      <w:tr w:rsidTr="005202AF">
        <w:tblPrEx>
          <w:tblW w:w="9629" w:type="dxa"/>
          <w:jc w:val="center"/>
          <w:tblCellMar>
            <w:left w:w="70" w:type="dxa"/>
            <w:right w:w="70" w:type="dxa"/>
          </w:tblCellMar>
          <w:tblLook w:val="04A0"/>
        </w:tblPrEx>
        <w:trPr>
          <w:trHeight w:val="567"/>
          <w:jc w:val="center"/>
        </w:trPr>
        <w:tc>
          <w:tcPr>
            <w:tcW w:w="4820" w:type="dxa"/>
            <w:tcBorders>
              <w:top w:val="single" w:sz="8" w:space="0" w:color="auto"/>
              <w:left w:val="single" w:sz="8" w:space="0" w:color="auto"/>
              <w:bottom w:val="single" w:sz="8" w:space="0" w:color="auto"/>
              <w:right w:val="single" w:sz="8" w:space="0" w:color="auto"/>
            </w:tcBorders>
            <w:shd w:val="clear" w:color="auto" w:fill="auto"/>
            <w:vAlign w:val="center"/>
          </w:tcPr>
          <w:p w:rsidR="00D20FC4" w:rsidRPr="00756DA5" w:rsidP="005202AF">
            <w:pPr>
              <w:spacing w:after="0" w:line="280" w:lineRule="exact"/>
              <w:jc w:val="center"/>
              <w:rPr>
                <w:rFonts w:cs="Arial"/>
                <w:szCs w:val="20"/>
              </w:rPr>
            </w:pPr>
            <w:r w:rsidRPr="00756DA5">
              <w:t>Grand Port Maritime de Rouen</w:t>
            </w:r>
          </w:p>
        </w:tc>
        <w:tc>
          <w:tcPr>
            <w:tcW w:w="4809" w:type="dxa"/>
            <w:tcBorders>
              <w:top w:val="single" w:sz="8" w:space="0" w:color="auto"/>
              <w:left w:val="nil"/>
              <w:bottom w:val="single" w:sz="8" w:space="0" w:color="auto"/>
              <w:right w:val="single" w:sz="8" w:space="0" w:color="auto"/>
            </w:tcBorders>
            <w:shd w:val="clear" w:color="auto" w:fill="auto"/>
            <w:vAlign w:val="center"/>
          </w:tcPr>
          <w:p w:rsidR="00D20FC4" w:rsidRPr="00756DA5" w:rsidP="005202AF">
            <w:pPr>
              <w:spacing w:after="0" w:line="280" w:lineRule="exact"/>
              <w:jc w:val="center"/>
              <w:rPr>
                <w:rFonts w:cs="Arial"/>
                <w:szCs w:val="20"/>
              </w:rPr>
            </w:pPr>
            <w:r w:rsidRPr="00756DA5">
              <w:t>19 January 2016</w:t>
            </w:r>
          </w:p>
        </w:tc>
      </w:tr>
      <w:tr w:rsidTr="005202AF">
        <w:tblPrEx>
          <w:tblW w:w="9629" w:type="dxa"/>
          <w:jc w:val="center"/>
          <w:tblCellMar>
            <w:left w:w="70" w:type="dxa"/>
            <w:right w:w="70" w:type="dxa"/>
          </w:tblCellMar>
          <w:tblLook w:val="04A0"/>
        </w:tblPrEx>
        <w:trPr>
          <w:trHeight w:val="567"/>
          <w:jc w:val="center"/>
        </w:trPr>
        <w:tc>
          <w:tcPr>
            <w:tcW w:w="4820" w:type="dxa"/>
            <w:tcBorders>
              <w:top w:val="single" w:sz="8" w:space="0" w:color="auto"/>
              <w:left w:val="single" w:sz="8" w:space="0" w:color="auto"/>
              <w:bottom w:val="single" w:sz="8" w:space="0" w:color="auto"/>
              <w:right w:val="single" w:sz="8" w:space="0" w:color="auto"/>
            </w:tcBorders>
            <w:shd w:val="clear" w:color="auto" w:fill="auto"/>
            <w:vAlign w:val="center"/>
          </w:tcPr>
          <w:p w:rsidR="00D20FC4" w:rsidRPr="00756DA5" w:rsidP="005202AF">
            <w:pPr>
              <w:spacing w:after="0" w:line="280" w:lineRule="exact"/>
              <w:jc w:val="center"/>
              <w:rPr>
                <w:rFonts w:cs="Arial"/>
                <w:szCs w:val="20"/>
              </w:rPr>
            </w:pPr>
            <w:r w:rsidRPr="00756DA5">
              <w:t>Grand Port Maritime du Havre</w:t>
            </w:r>
          </w:p>
        </w:tc>
        <w:tc>
          <w:tcPr>
            <w:tcW w:w="4809" w:type="dxa"/>
            <w:tcBorders>
              <w:top w:val="single" w:sz="8" w:space="0" w:color="auto"/>
              <w:left w:val="nil"/>
              <w:bottom w:val="single" w:sz="8" w:space="0" w:color="auto"/>
              <w:right w:val="single" w:sz="8" w:space="0" w:color="auto"/>
            </w:tcBorders>
            <w:shd w:val="clear" w:color="auto" w:fill="auto"/>
            <w:vAlign w:val="center"/>
          </w:tcPr>
          <w:p w:rsidR="00D20FC4" w:rsidRPr="00756DA5" w:rsidP="005202AF">
            <w:pPr>
              <w:spacing w:after="0" w:line="280" w:lineRule="exact"/>
              <w:jc w:val="center"/>
              <w:rPr>
                <w:rFonts w:cs="Arial"/>
                <w:szCs w:val="20"/>
              </w:rPr>
            </w:pPr>
            <w:r w:rsidRPr="00756DA5">
              <w:t>23 December 2015</w:t>
            </w:r>
          </w:p>
        </w:tc>
      </w:tr>
      <w:tr w:rsidTr="005202AF">
        <w:tblPrEx>
          <w:tblW w:w="9629" w:type="dxa"/>
          <w:jc w:val="center"/>
          <w:tblCellMar>
            <w:left w:w="70" w:type="dxa"/>
            <w:right w:w="70" w:type="dxa"/>
          </w:tblCellMar>
          <w:tblLook w:val="04A0"/>
        </w:tblPrEx>
        <w:trPr>
          <w:trHeight w:val="567"/>
          <w:jc w:val="center"/>
        </w:trPr>
        <w:tc>
          <w:tcPr>
            <w:tcW w:w="4820" w:type="dxa"/>
            <w:tcBorders>
              <w:top w:val="single" w:sz="8" w:space="0" w:color="auto"/>
              <w:left w:val="single" w:sz="8" w:space="0" w:color="auto"/>
              <w:bottom w:val="single" w:sz="8" w:space="0" w:color="auto"/>
              <w:right w:val="single" w:sz="8" w:space="0" w:color="auto"/>
            </w:tcBorders>
            <w:shd w:val="clear" w:color="auto" w:fill="auto"/>
            <w:vAlign w:val="center"/>
          </w:tcPr>
          <w:p w:rsidR="00D20FC4" w:rsidRPr="00756DA5" w:rsidP="005202AF">
            <w:pPr>
              <w:spacing w:after="0" w:line="280" w:lineRule="exact"/>
              <w:jc w:val="center"/>
              <w:rPr>
                <w:rFonts w:cs="Arial"/>
                <w:szCs w:val="20"/>
              </w:rPr>
            </w:pPr>
            <w:r w:rsidRPr="00756DA5">
              <w:t>Autonomous Port of Paris</w:t>
            </w:r>
          </w:p>
        </w:tc>
        <w:tc>
          <w:tcPr>
            <w:tcW w:w="4809" w:type="dxa"/>
            <w:tcBorders>
              <w:top w:val="single" w:sz="8" w:space="0" w:color="auto"/>
              <w:left w:val="nil"/>
              <w:bottom w:val="single" w:sz="8" w:space="0" w:color="auto"/>
              <w:right w:val="single" w:sz="8" w:space="0" w:color="auto"/>
            </w:tcBorders>
            <w:shd w:val="clear" w:color="auto" w:fill="auto"/>
            <w:vAlign w:val="center"/>
          </w:tcPr>
          <w:p w:rsidR="00D20FC4" w:rsidRPr="00756DA5" w:rsidP="005202AF">
            <w:pPr>
              <w:spacing w:after="0" w:line="280" w:lineRule="exact"/>
              <w:jc w:val="center"/>
              <w:rPr>
                <w:rFonts w:cs="Arial"/>
                <w:szCs w:val="20"/>
              </w:rPr>
            </w:pPr>
            <w:r w:rsidRPr="00756DA5">
              <w:t>3 July 2017</w:t>
            </w:r>
          </w:p>
        </w:tc>
      </w:tr>
      <w:tr w:rsidTr="005202AF">
        <w:tblPrEx>
          <w:tblW w:w="9629" w:type="dxa"/>
          <w:jc w:val="center"/>
          <w:tblCellMar>
            <w:left w:w="70" w:type="dxa"/>
            <w:right w:w="70" w:type="dxa"/>
          </w:tblCellMar>
          <w:tblLook w:val="04A0"/>
        </w:tblPrEx>
        <w:trPr>
          <w:trHeight w:val="567"/>
          <w:jc w:val="center"/>
        </w:trPr>
        <w:tc>
          <w:tcPr>
            <w:tcW w:w="4820" w:type="dxa"/>
            <w:tcBorders>
              <w:top w:val="single" w:sz="8" w:space="0" w:color="auto"/>
              <w:left w:val="single" w:sz="8" w:space="0" w:color="auto"/>
              <w:bottom w:val="single" w:sz="4" w:space="0" w:color="auto"/>
              <w:right w:val="single" w:sz="8" w:space="0" w:color="auto"/>
            </w:tcBorders>
            <w:shd w:val="clear" w:color="auto" w:fill="auto"/>
            <w:vAlign w:val="center"/>
          </w:tcPr>
          <w:p w:rsidR="00D20FC4" w:rsidRPr="00756DA5" w:rsidP="005202AF">
            <w:pPr>
              <w:spacing w:after="0" w:line="280" w:lineRule="exact"/>
              <w:jc w:val="center"/>
              <w:rPr>
                <w:rFonts w:cs="Arial"/>
                <w:szCs w:val="20"/>
              </w:rPr>
            </w:pPr>
            <w:r w:rsidRPr="00756DA5">
              <w:t>Autonomous Port of Strasbourg</w:t>
            </w:r>
          </w:p>
        </w:tc>
        <w:tc>
          <w:tcPr>
            <w:tcW w:w="4809" w:type="dxa"/>
            <w:tcBorders>
              <w:top w:val="single" w:sz="8" w:space="0" w:color="auto"/>
              <w:left w:val="nil"/>
              <w:bottom w:val="single" w:sz="4" w:space="0" w:color="auto"/>
              <w:right w:val="single" w:sz="8" w:space="0" w:color="auto"/>
            </w:tcBorders>
            <w:shd w:val="clear" w:color="auto" w:fill="auto"/>
            <w:vAlign w:val="center"/>
          </w:tcPr>
          <w:p w:rsidR="00D20FC4" w:rsidRPr="00756DA5" w:rsidP="005202AF">
            <w:pPr>
              <w:spacing w:after="0" w:line="280" w:lineRule="exact"/>
              <w:jc w:val="center"/>
              <w:rPr>
                <w:rFonts w:cs="Arial"/>
                <w:szCs w:val="20"/>
              </w:rPr>
            </w:pPr>
            <w:r w:rsidRPr="00756DA5">
              <w:t>4 July 2017</w:t>
            </w:r>
          </w:p>
        </w:tc>
      </w:tr>
    </w:tbl>
    <w:p w:rsidR="00D20FC4" w:rsidRPr="00756DA5" w:rsidP="00D20FC4">
      <w:pPr>
        <w:jc w:val="left"/>
        <w:rPr>
          <w:rFonts w:cs="Arial"/>
          <w:lang w:eastAsia="fr-FR"/>
        </w:rPr>
      </w:pPr>
    </w:p>
    <w:p w:rsidR="00D20FC4" w:rsidRPr="00756DA5" w:rsidP="00D20FC4">
      <w:pPr>
        <w:jc w:val="left"/>
        <w:rPr>
          <w:rFonts w:cs="Arial"/>
        </w:rPr>
      </w:pPr>
      <w:r w:rsidRPr="00756DA5">
        <w:br w:type="page"/>
      </w:r>
    </w:p>
    <w:p w:rsidR="00D20FC4" w:rsidRPr="00756DA5" w:rsidP="00D90D75">
      <w:pPr>
        <w:keepNext/>
        <w:keepLines/>
        <w:spacing w:before="480" w:after="240"/>
        <w:outlineLvl w:val="0"/>
        <w:rPr>
          <w:rFonts w:eastAsiaTheme="majorEastAsia" w:cs="Arial"/>
          <w:b/>
          <w:bCs/>
          <w:color w:val="CAD122"/>
          <w:sz w:val="44"/>
          <w:szCs w:val="44"/>
        </w:rPr>
        <w:sectPr w:rsidSect="009331DA">
          <w:headerReference w:type="default" r:id="rId82"/>
          <w:footerReference w:type="default" r:id="rId83"/>
          <w:pgSz w:w="11906" w:h="16838"/>
          <w:pgMar w:top="1417" w:right="1417" w:bottom="1417" w:left="1417" w:header="708" w:footer="708" w:gutter="0"/>
          <w:cols w:space="708"/>
          <w:docGrid w:linePitch="360"/>
        </w:sectPr>
      </w:pPr>
    </w:p>
    <w:p w:rsidR="007338AE" w:rsidRPr="00756DA5" w:rsidP="00FC0094">
      <w:pPr>
        <w:pStyle w:val="Heading1"/>
        <w:rPr>
          <w:rFonts w:cs="Arial"/>
        </w:rPr>
      </w:pPr>
      <w:bookmarkStart w:id="111" w:name="_Toc494469638"/>
      <w:bookmarkStart w:id="112" w:name="_Toc533153889"/>
      <w:bookmarkEnd w:id="95"/>
      <w:r w:rsidRPr="00756DA5">
        <w:t>Annex 7 – Follow-up of BEA-TT recommendations</w:t>
      </w:r>
      <w:bookmarkEnd w:id="111"/>
      <w:bookmarkEnd w:id="112"/>
    </w:p>
    <w:p w:rsidR="00054DA8" w:rsidRPr="00756DA5" w:rsidP="00FC0094">
      <w:pPr>
        <w:spacing w:line="280" w:lineRule="exact"/>
      </w:pPr>
      <w:r w:rsidRPr="00756DA5">
        <w:t>This annex presents the progress made in 2017 in the implementation of actions in response to the recommendations made by the BEA-TT to railway sector actors.</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9B2197">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0943C5" w:rsidRPr="00756DA5" w:rsidP="009B2197">
            <w:pPr>
              <w:spacing w:after="200" w:line="280" w:lineRule="exact"/>
            </w:pPr>
            <w:r w:rsidRPr="00756DA5">
              <w:rPr>
                <w:b/>
                <w:bCs/>
                <w:szCs w:val="20"/>
              </w:rPr>
              <w:t xml:space="preserve">■ </w:t>
            </w:r>
            <w:r w:rsidRPr="00756DA5">
              <w:rPr>
                <w:b/>
              </w:rPr>
              <w:t>Reports published in 2006</w:t>
            </w:r>
          </w:p>
        </w:tc>
        <w:tc>
          <w:tcPr>
            <w:tcW w:w="4105" w:type="dxa"/>
          </w:tcPr>
          <w:p w:rsidR="000943C5" w:rsidRPr="00756DA5" w:rsidP="009B2197">
            <w:pPr>
              <w:pageBreakBefore/>
              <w:spacing w:after="200" w:line="280" w:lineRule="exact"/>
              <w:ind w:left="57"/>
              <w:rPr>
                <w:rFonts w:asciiTheme="minorHAnsi" w:hAnsiTheme="minorHAnsi"/>
                <w:sz w:val="22"/>
              </w:rPr>
            </w:pPr>
            <w:r w:rsidRPr="00756DA5">
              <w:t>Caption code: Closed = C; Open = O.</w:t>
            </w:r>
          </w:p>
        </w:tc>
      </w:tr>
    </w:tbl>
    <w:tbl>
      <w:tblPr>
        <w:tblStyle w:val="Grilledutableau1"/>
        <w:tblW w:w="5477" w:type="pct"/>
        <w:tblInd w:w="-459" w:type="dxa"/>
        <w:shd w:val="clear" w:color="auto" w:fill="FFFFFF" w:themeFill="background1"/>
        <w:tblLook w:val="04A0"/>
      </w:tblPr>
      <w:tblGrid>
        <w:gridCol w:w="880"/>
        <w:gridCol w:w="1702"/>
        <w:gridCol w:w="849"/>
        <w:gridCol w:w="4960"/>
        <w:gridCol w:w="1610"/>
        <w:gridCol w:w="4629"/>
        <w:gridCol w:w="699"/>
      </w:tblGrid>
      <w:tr w:rsidTr="00380326">
        <w:tblPrEx>
          <w:tblW w:w="5477" w:type="pct"/>
          <w:tblInd w:w="-459" w:type="dxa"/>
          <w:shd w:val="clear" w:color="auto" w:fill="FFFFFF" w:themeFill="background1"/>
          <w:tblLook w:val="04A0"/>
        </w:tblPrEx>
        <w:trPr>
          <w:trHeight w:val="981"/>
        </w:trPr>
        <w:tc>
          <w:tcPr>
            <w:tcW w:w="287" w:type="pct"/>
            <w:tcBorders>
              <w:bottom w:val="single" w:sz="4" w:space="0" w:color="auto"/>
            </w:tcBorders>
            <w:shd w:val="clear" w:color="auto" w:fill="FFFFFF" w:themeFill="background1"/>
            <w:vAlign w:val="center"/>
          </w:tcPr>
          <w:p w:rsidR="00054DA8" w:rsidRPr="00756DA5" w:rsidP="002A5C5A">
            <w:pPr>
              <w:shd w:val="clear" w:color="auto" w:fill="FFFFFF" w:themeFill="background1"/>
              <w:spacing w:line="280" w:lineRule="exact"/>
              <w:jc w:val="center"/>
              <w:rPr>
                <w:rFonts w:cs="Arial"/>
                <w:b/>
                <w:color w:val="000000" w:themeColor="text1"/>
                <w:sz w:val="16"/>
                <w:szCs w:val="16"/>
              </w:rPr>
            </w:pPr>
            <w:r w:rsidRPr="00756DA5">
              <w:rPr>
                <w:b/>
                <w:color w:val="000000" w:themeColor="text1"/>
                <w:sz w:val="16"/>
                <w:szCs w:val="16"/>
              </w:rPr>
              <w:t>Report date</w:t>
            </w:r>
          </w:p>
        </w:tc>
        <w:tc>
          <w:tcPr>
            <w:tcW w:w="555" w:type="pct"/>
            <w:tcBorders>
              <w:bottom w:val="single" w:sz="4" w:space="0" w:color="auto"/>
            </w:tcBorders>
            <w:shd w:val="clear" w:color="auto" w:fill="FFFFFF" w:themeFill="background1"/>
            <w:vAlign w:val="center"/>
          </w:tcPr>
          <w:p w:rsidR="00054DA8" w:rsidRPr="00756DA5" w:rsidP="002A5C5A">
            <w:pPr>
              <w:shd w:val="clear" w:color="auto" w:fill="FFFFFF" w:themeFill="background1"/>
              <w:spacing w:line="280" w:lineRule="exact"/>
              <w:jc w:val="center"/>
              <w:rPr>
                <w:rFonts w:cs="Arial"/>
                <w:b/>
                <w:color w:val="000000" w:themeColor="text1"/>
                <w:sz w:val="16"/>
                <w:szCs w:val="16"/>
              </w:rPr>
            </w:pPr>
            <w:r w:rsidRPr="00756DA5">
              <w:rPr>
                <w:b/>
                <w:color w:val="000000" w:themeColor="text1"/>
                <w:sz w:val="16"/>
                <w:szCs w:val="16"/>
              </w:rPr>
              <w:t>Investigation title</w:t>
            </w:r>
          </w:p>
        </w:tc>
        <w:tc>
          <w:tcPr>
            <w:tcW w:w="277" w:type="pct"/>
            <w:tcBorders>
              <w:bottom w:val="single" w:sz="4" w:space="0" w:color="auto"/>
            </w:tcBorders>
            <w:shd w:val="clear" w:color="auto" w:fill="FFFFFF" w:themeFill="background1"/>
            <w:vAlign w:val="center"/>
          </w:tcPr>
          <w:p w:rsidR="00054DA8" w:rsidRPr="00756DA5" w:rsidP="002A5C5A">
            <w:pPr>
              <w:shd w:val="clear" w:color="auto" w:fill="FFFFFF" w:themeFill="background1"/>
              <w:spacing w:line="280" w:lineRule="exact"/>
              <w:jc w:val="center"/>
              <w:rPr>
                <w:rFonts w:cs="Arial"/>
                <w:b/>
                <w:color w:val="000000" w:themeColor="text1"/>
                <w:sz w:val="16"/>
                <w:szCs w:val="16"/>
              </w:rPr>
            </w:pPr>
            <w:r w:rsidRPr="00756DA5">
              <w:rPr>
                <w:b/>
                <w:color w:val="000000" w:themeColor="text1"/>
                <w:sz w:val="16"/>
                <w:szCs w:val="16"/>
              </w:rPr>
              <w:t>No</w:t>
            </w:r>
          </w:p>
        </w:tc>
        <w:tc>
          <w:tcPr>
            <w:tcW w:w="1618" w:type="pct"/>
            <w:tcBorders>
              <w:bottom w:val="single" w:sz="4" w:space="0" w:color="auto"/>
            </w:tcBorders>
            <w:shd w:val="clear" w:color="auto" w:fill="FFFFFF" w:themeFill="background1"/>
            <w:vAlign w:val="center"/>
          </w:tcPr>
          <w:p w:rsidR="00054DA8" w:rsidRPr="00756DA5" w:rsidP="002A5C5A">
            <w:pPr>
              <w:shd w:val="clear" w:color="auto" w:fill="FFFFFF" w:themeFill="background1"/>
              <w:spacing w:line="280" w:lineRule="exact"/>
              <w:jc w:val="center"/>
              <w:rPr>
                <w:rFonts w:cs="Arial"/>
                <w:b/>
                <w:color w:val="000000" w:themeColor="text1"/>
                <w:sz w:val="16"/>
                <w:szCs w:val="16"/>
              </w:rPr>
            </w:pPr>
            <w:r w:rsidRPr="00756DA5">
              <w:rPr>
                <w:b/>
                <w:color w:val="000000" w:themeColor="text1"/>
                <w:sz w:val="16"/>
                <w:szCs w:val="16"/>
              </w:rPr>
              <w:t>Wording of the BEA-TT recommendation</w:t>
            </w:r>
          </w:p>
        </w:tc>
        <w:tc>
          <w:tcPr>
            <w:tcW w:w="525" w:type="pct"/>
            <w:tcBorders>
              <w:bottom w:val="single" w:sz="4" w:space="0" w:color="auto"/>
            </w:tcBorders>
            <w:shd w:val="clear" w:color="auto" w:fill="FFFFFF" w:themeFill="background1"/>
            <w:vAlign w:val="center"/>
          </w:tcPr>
          <w:p w:rsidR="00054DA8" w:rsidRPr="00756DA5" w:rsidP="002A5C5A">
            <w:pPr>
              <w:shd w:val="clear" w:color="auto" w:fill="FFFFFF" w:themeFill="background1"/>
              <w:spacing w:line="280" w:lineRule="exact"/>
              <w:jc w:val="center"/>
              <w:rPr>
                <w:rFonts w:cs="Arial"/>
                <w:b/>
                <w:color w:val="000000" w:themeColor="text1"/>
                <w:sz w:val="16"/>
                <w:szCs w:val="16"/>
              </w:rPr>
            </w:pPr>
            <w:r w:rsidRPr="00756DA5">
              <w:rPr>
                <w:b/>
                <w:color w:val="000000" w:themeColor="text1"/>
                <w:sz w:val="16"/>
                <w:szCs w:val="16"/>
              </w:rPr>
              <w:t>Entity</w:t>
            </w:r>
          </w:p>
        </w:tc>
        <w:tc>
          <w:tcPr>
            <w:tcW w:w="1510" w:type="pct"/>
            <w:tcBorders>
              <w:bottom w:val="single" w:sz="4" w:space="0" w:color="auto"/>
            </w:tcBorders>
            <w:shd w:val="clear" w:color="auto" w:fill="auto"/>
            <w:vAlign w:val="center"/>
          </w:tcPr>
          <w:p w:rsidR="00054DA8" w:rsidRPr="00756DA5" w:rsidP="002A5C5A">
            <w:pPr>
              <w:shd w:val="clear" w:color="auto" w:fill="FFFFFF" w:themeFill="background1"/>
              <w:spacing w:line="280" w:lineRule="exact"/>
              <w:jc w:val="center"/>
              <w:rPr>
                <w:rFonts w:cs="Arial"/>
                <w:b/>
                <w:color w:val="000000" w:themeColor="text1"/>
                <w:sz w:val="16"/>
                <w:szCs w:val="16"/>
              </w:rPr>
            </w:pPr>
            <w:r w:rsidRPr="00756DA5">
              <w:rPr>
                <w:b/>
                <w:color w:val="000000" w:themeColor="text1"/>
                <w:sz w:val="16"/>
                <w:szCs w:val="16"/>
              </w:rPr>
              <w:t>Status of measures monitored by the EPSF at end of 2017</w:t>
            </w:r>
          </w:p>
        </w:tc>
        <w:tc>
          <w:tcPr>
            <w:tcW w:w="228" w:type="pct"/>
            <w:tcBorders>
              <w:bottom w:val="single" w:sz="4" w:space="0" w:color="auto"/>
            </w:tcBorders>
            <w:shd w:val="clear" w:color="auto" w:fill="FFFFFF" w:themeFill="background1"/>
            <w:vAlign w:val="center"/>
          </w:tcPr>
          <w:p w:rsidR="00054DA8" w:rsidRPr="00756DA5" w:rsidP="002A5C5A">
            <w:pPr>
              <w:shd w:val="clear" w:color="auto" w:fill="FFFFFF" w:themeFill="background1"/>
              <w:spacing w:line="280" w:lineRule="exact"/>
              <w:jc w:val="center"/>
              <w:rPr>
                <w:rFonts w:cs="Arial"/>
                <w:b/>
                <w:color w:val="000000" w:themeColor="text1"/>
                <w:sz w:val="16"/>
                <w:szCs w:val="16"/>
              </w:rPr>
            </w:pPr>
            <w:r w:rsidRPr="00756DA5">
              <w:rPr>
                <w:b/>
                <w:color w:val="000000" w:themeColor="text1"/>
                <w:sz w:val="16"/>
                <w:szCs w:val="16"/>
              </w:rPr>
              <w:t>Code</w:t>
            </w:r>
          </w:p>
        </w:tc>
      </w:tr>
      <w:tr w:rsidTr="00380326">
        <w:tblPrEx>
          <w:tblW w:w="5477" w:type="pct"/>
          <w:tblInd w:w="-459" w:type="dxa"/>
          <w:shd w:val="clear" w:color="auto" w:fill="FFFFFF" w:themeFill="background1"/>
          <w:tblLook w:val="04A0"/>
        </w:tblPrEx>
        <w:trPr>
          <w:trHeight w:val="2189"/>
        </w:trPr>
        <w:tc>
          <w:tcPr>
            <w:tcW w:w="287"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12/2006</w:t>
            </w:r>
          </w:p>
        </w:tc>
        <w:tc>
          <w:tcPr>
            <w:tcW w:w="555"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Collision between a TER regional express train and a heavy goods vehicle on a level crossing in</w:t>
            </w:r>
          </w:p>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Saint-Laurent-Blangy (department 62) on 9 June 2005</w:t>
            </w:r>
          </w:p>
        </w:tc>
        <w:tc>
          <w:tcPr>
            <w:tcW w:w="277"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R1</w:t>
            </w:r>
          </w:p>
        </w:tc>
        <w:tc>
          <w:tcPr>
            <w:tcW w:w="1618" w:type="pct"/>
            <w:shd w:val="clear" w:color="auto" w:fill="FFFFFF" w:themeFill="background1"/>
            <w:vAlign w:val="center"/>
          </w:tcPr>
          <w:p w:rsidR="00054DA8" w:rsidRPr="00756DA5" w:rsidP="002A5C5A">
            <w:pPr>
              <w:shd w:val="clear" w:color="auto" w:fill="FFFFFF" w:themeFill="background1"/>
              <w:spacing w:line="280" w:lineRule="exact"/>
              <w:rPr>
                <w:rFonts w:cs="Arial"/>
                <w:color w:val="000000" w:themeColor="text1"/>
                <w:sz w:val="16"/>
                <w:szCs w:val="16"/>
              </w:rPr>
            </w:pPr>
            <w:r w:rsidRPr="00756DA5">
              <w:rPr>
                <w:color w:val="000000" w:themeColor="text1"/>
                <w:sz w:val="16"/>
                <w:szCs w:val="16"/>
              </w:rPr>
              <w:t>Pursue the examination of solutions (a bridge or underpass instead or new route) making it possible to remove this LC, in order to arrive at a decision and completion as soon as possible.</w:t>
            </w:r>
          </w:p>
        </w:tc>
        <w:tc>
          <w:tcPr>
            <w:tcW w:w="525"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SNCF Réseau</w:t>
            </w:r>
          </w:p>
          <w:p w:rsidR="00054DA8" w:rsidRPr="00756DA5" w:rsidP="002A5C5A">
            <w:pPr>
              <w:shd w:val="clear" w:color="auto" w:fill="FFFFFF" w:themeFill="background1"/>
              <w:spacing w:line="280" w:lineRule="exact"/>
              <w:jc w:val="center"/>
              <w:rPr>
                <w:rFonts w:cs="Arial"/>
                <w:color w:val="000000" w:themeColor="text1"/>
                <w:sz w:val="16"/>
                <w:szCs w:val="16"/>
              </w:rPr>
            </w:pPr>
          </w:p>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General Council of department 62</w:t>
            </w:r>
          </w:p>
        </w:tc>
        <w:tc>
          <w:tcPr>
            <w:tcW w:w="1510" w:type="pct"/>
            <w:shd w:val="clear" w:color="auto" w:fill="FFFFFF" w:themeFill="background1"/>
            <w:vAlign w:val="center"/>
          </w:tcPr>
          <w:p w:rsidR="00054DA8" w:rsidRPr="00756DA5" w:rsidP="00FC0094">
            <w:pPr>
              <w:shd w:val="clear" w:color="auto" w:fill="FFFFFF" w:themeFill="background1"/>
              <w:spacing w:line="280" w:lineRule="exact"/>
              <w:rPr>
                <w:rFonts w:cs="Arial"/>
                <w:color w:val="000000" w:themeColor="text1"/>
                <w:sz w:val="16"/>
                <w:szCs w:val="16"/>
              </w:rPr>
            </w:pPr>
            <w:r w:rsidRPr="00756DA5">
              <w:rPr>
                <w:color w:val="000000" w:themeColor="text1"/>
                <w:sz w:val="16"/>
                <w:szCs w:val="16"/>
              </w:rPr>
              <w:t xml:space="preserve">The agreement on the ‘financing of feasibility studies for the removal of LC No 83 in Saint-Laurent-Blangy and the building of a railway bridge’ </w:t>
            </w:r>
            <w:r w:rsidRPr="00756DA5">
              <w:rPr>
                <w:color w:val="000000" w:themeColor="text1"/>
                <w:sz w:val="16"/>
                <w:szCs w:val="16"/>
              </w:rPr>
              <w:t>has been signed</w:t>
            </w:r>
            <w:r w:rsidRPr="00756DA5">
              <w:rPr>
                <w:color w:val="000000" w:themeColor="text1"/>
                <w:sz w:val="16"/>
                <w:szCs w:val="16"/>
              </w:rPr>
              <w:t xml:space="preserve">. The outcomes of these studies </w:t>
            </w:r>
            <w:r w:rsidRPr="00756DA5">
              <w:rPr>
                <w:color w:val="000000" w:themeColor="text1"/>
                <w:sz w:val="16"/>
                <w:szCs w:val="16"/>
              </w:rPr>
              <w:t>are expected</w:t>
            </w:r>
            <w:r w:rsidRPr="00756DA5">
              <w:rPr>
                <w:color w:val="000000" w:themeColor="text1"/>
                <w:sz w:val="16"/>
                <w:szCs w:val="16"/>
              </w:rPr>
              <w:t xml:space="preserve"> in the third quarter of 2018.</w:t>
            </w:r>
          </w:p>
          <w:p w:rsidR="00054DA8" w:rsidRPr="00756DA5" w:rsidP="00FC0094">
            <w:pPr>
              <w:shd w:val="clear" w:color="auto" w:fill="FFFFFF" w:themeFill="background1"/>
              <w:spacing w:line="280" w:lineRule="exact"/>
              <w:rPr>
                <w:rFonts w:cs="Arial"/>
                <w:color w:val="000000" w:themeColor="text1"/>
                <w:sz w:val="16"/>
                <w:szCs w:val="16"/>
              </w:rPr>
            </w:pPr>
          </w:p>
          <w:p w:rsidR="00054DA8" w:rsidRPr="00756DA5" w:rsidP="00FC0094">
            <w:pPr>
              <w:shd w:val="clear" w:color="auto" w:fill="FFFFFF" w:themeFill="background1"/>
              <w:spacing w:line="280" w:lineRule="exact"/>
              <w:rPr>
                <w:rFonts w:cs="Arial"/>
                <w:color w:val="000000" w:themeColor="text1"/>
                <w:sz w:val="16"/>
                <w:szCs w:val="16"/>
              </w:rPr>
            </w:pPr>
            <w:r w:rsidRPr="00756DA5">
              <w:rPr>
                <w:color w:val="000000" w:themeColor="text1"/>
                <w:sz w:val="16"/>
                <w:szCs w:val="16"/>
              </w:rPr>
              <w:t>In progress</w:t>
            </w:r>
          </w:p>
        </w:tc>
        <w:tc>
          <w:tcPr>
            <w:tcW w:w="228"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5477" w:type="pct"/>
          <w:tblInd w:w="-459" w:type="dxa"/>
          <w:shd w:val="clear" w:color="auto" w:fill="FFFFFF" w:themeFill="background1"/>
          <w:tblLook w:val="04A0"/>
        </w:tblPrEx>
        <w:trPr>
          <w:trHeight w:val="1604"/>
        </w:trPr>
        <w:tc>
          <w:tcPr>
            <w:tcW w:w="287"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11/2006</w:t>
            </w:r>
          </w:p>
        </w:tc>
        <w:tc>
          <w:tcPr>
            <w:tcW w:w="555"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Derailment of a Corail train in Saint-Flour (department 15) on 25 February 2006</w:t>
            </w:r>
          </w:p>
        </w:tc>
        <w:tc>
          <w:tcPr>
            <w:tcW w:w="277"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themeColor="text1"/>
                <w:sz w:val="16"/>
                <w:szCs w:val="16"/>
              </w:rPr>
            </w:pPr>
            <w:r w:rsidRPr="00756DA5">
              <w:rPr>
                <w:color w:val="000000" w:themeColor="text1"/>
                <w:sz w:val="16"/>
                <w:szCs w:val="16"/>
              </w:rPr>
              <w:t>R4</w:t>
            </w:r>
          </w:p>
        </w:tc>
        <w:tc>
          <w:tcPr>
            <w:tcW w:w="1618" w:type="pct"/>
            <w:shd w:val="clear" w:color="auto" w:fill="FFFFFF" w:themeFill="background1"/>
            <w:vAlign w:val="center"/>
          </w:tcPr>
          <w:p w:rsidR="00054DA8" w:rsidRPr="00756DA5" w:rsidP="002A5C5A">
            <w:pPr>
              <w:shd w:val="clear" w:color="auto" w:fill="FFFFFF" w:themeFill="background1"/>
              <w:spacing w:line="280" w:lineRule="exact"/>
              <w:rPr>
                <w:rFonts w:cs="Arial"/>
                <w:color w:val="000000" w:themeColor="text1"/>
                <w:sz w:val="16"/>
                <w:szCs w:val="16"/>
              </w:rPr>
            </w:pPr>
            <w:r w:rsidRPr="00756DA5">
              <w:rPr>
                <w:color w:val="000000" w:themeColor="text1"/>
                <w:sz w:val="16"/>
                <w:szCs w:val="16"/>
              </w:rPr>
              <w:t>Establish a programme to upgrade lines open to passenger traffic that are equipped with bullhead rails.</w:t>
            </w:r>
          </w:p>
          <w:p w:rsidR="00054DA8" w:rsidRPr="00756DA5" w:rsidP="002A5C5A">
            <w:pPr>
              <w:shd w:val="clear" w:color="auto" w:fill="FFFFFF" w:themeFill="background1"/>
              <w:spacing w:line="280" w:lineRule="exact"/>
              <w:rPr>
                <w:rFonts w:cs="Arial"/>
                <w:color w:val="000000" w:themeColor="text1"/>
                <w:sz w:val="16"/>
                <w:szCs w:val="16"/>
              </w:rPr>
            </w:pPr>
            <w:r w:rsidRPr="00756DA5">
              <w:rPr>
                <w:color w:val="000000" w:themeColor="text1"/>
                <w:sz w:val="16"/>
                <w:szCs w:val="16"/>
              </w:rPr>
              <w:t>In time, organise the gradual replacement of bullhead rails with Vignole rails given the ageing of the bullhead rail stock, the growing maintenance costs and the high risk of derailing in the event of a rail breakage.</w:t>
            </w:r>
          </w:p>
        </w:tc>
        <w:tc>
          <w:tcPr>
            <w:tcW w:w="525"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sz w:val="16"/>
                <w:szCs w:val="16"/>
              </w:rPr>
            </w:pPr>
            <w:r w:rsidRPr="00756DA5">
              <w:rPr>
                <w:color w:val="000000" w:themeColor="text1"/>
                <w:sz w:val="16"/>
                <w:szCs w:val="16"/>
              </w:rPr>
              <w:t>SNCF Réseau</w:t>
            </w:r>
          </w:p>
        </w:tc>
        <w:tc>
          <w:tcPr>
            <w:tcW w:w="1510" w:type="pct"/>
            <w:shd w:val="clear" w:color="auto" w:fill="FFFFFF" w:themeFill="background1"/>
            <w:vAlign w:val="center"/>
          </w:tcPr>
          <w:p w:rsidR="00054DA8" w:rsidRPr="00756DA5" w:rsidP="00FC0094">
            <w:pPr>
              <w:shd w:val="clear" w:color="auto" w:fill="FFFFFF" w:themeFill="background1"/>
              <w:spacing w:line="280" w:lineRule="exact"/>
              <w:rPr>
                <w:rFonts w:cs="Arial"/>
                <w:color w:val="000000" w:themeColor="text1"/>
                <w:sz w:val="16"/>
                <w:szCs w:val="16"/>
              </w:rPr>
            </w:pPr>
            <w:r w:rsidRPr="00756DA5">
              <w:rPr>
                <w:color w:val="000000" w:themeColor="text1"/>
                <w:sz w:val="16"/>
                <w:szCs w:val="16"/>
              </w:rPr>
              <w:t xml:space="preserve">A programme for the regeneration of open lines </w:t>
            </w:r>
            <w:r w:rsidRPr="00756DA5">
              <w:rPr>
                <w:color w:val="000000" w:themeColor="text1"/>
                <w:sz w:val="16"/>
                <w:szCs w:val="16"/>
              </w:rPr>
              <w:t>has been launched</w:t>
            </w:r>
            <w:r w:rsidRPr="00756DA5">
              <w:rPr>
                <w:color w:val="000000" w:themeColor="text1"/>
                <w:sz w:val="16"/>
                <w:szCs w:val="16"/>
              </w:rPr>
              <w:t>.</w:t>
            </w:r>
          </w:p>
          <w:p w:rsidR="00054DA8" w:rsidRPr="00756DA5" w:rsidP="00FC0094">
            <w:pPr>
              <w:shd w:val="clear" w:color="auto" w:fill="FFFFFF" w:themeFill="background1"/>
              <w:spacing w:line="280" w:lineRule="exact"/>
              <w:rPr>
                <w:rFonts w:cs="Arial"/>
                <w:color w:val="000000" w:themeColor="text1"/>
                <w:sz w:val="16"/>
                <w:szCs w:val="16"/>
              </w:rPr>
            </w:pPr>
          </w:p>
          <w:p w:rsidR="00054DA8" w:rsidRPr="00756DA5" w:rsidP="00FC0094">
            <w:pPr>
              <w:shd w:val="clear" w:color="auto" w:fill="FFFFFF" w:themeFill="background1"/>
              <w:spacing w:line="280" w:lineRule="exact"/>
              <w:rPr>
                <w:rFonts w:cs="Arial"/>
                <w:color w:val="000000" w:themeColor="text1"/>
                <w:sz w:val="16"/>
                <w:szCs w:val="16"/>
              </w:rPr>
            </w:pPr>
            <w:r w:rsidRPr="00756DA5">
              <w:rPr>
                <w:color w:val="000000" w:themeColor="text1"/>
                <w:sz w:val="16"/>
                <w:szCs w:val="16"/>
              </w:rPr>
              <w:t>In progress</w:t>
            </w:r>
          </w:p>
          <w:p w:rsidR="00054DA8" w:rsidRPr="00756DA5" w:rsidP="00FC0094">
            <w:pPr>
              <w:shd w:val="clear" w:color="auto" w:fill="FFFFFF" w:themeFill="background1"/>
              <w:spacing w:line="280" w:lineRule="exact"/>
              <w:rPr>
                <w:rFonts w:cs="Arial"/>
                <w:color w:val="000000" w:themeColor="text1"/>
                <w:sz w:val="16"/>
                <w:szCs w:val="16"/>
              </w:rPr>
            </w:pPr>
          </w:p>
        </w:tc>
        <w:tc>
          <w:tcPr>
            <w:tcW w:w="228" w:type="pct"/>
            <w:shd w:val="clear" w:color="auto" w:fill="FFFFFF" w:themeFill="background1"/>
            <w:vAlign w:val="center"/>
          </w:tcPr>
          <w:p w:rsidR="00054DA8" w:rsidRPr="00756DA5" w:rsidP="002A5C5A">
            <w:pPr>
              <w:shd w:val="clear" w:color="auto" w:fill="FFFFFF" w:themeFill="background1"/>
              <w:spacing w:line="280" w:lineRule="exact"/>
              <w:jc w:val="center"/>
              <w:rPr>
                <w:rFonts w:cs="Arial"/>
                <w:color w:val="000000"/>
                <w:sz w:val="16"/>
                <w:szCs w:val="16"/>
              </w:rPr>
            </w:pPr>
            <w:r w:rsidRPr="00756DA5">
              <w:rPr>
                <w:color w:val="000000" w:themeColor="text1"/>
                <w:sz w:val="16"/>
                <w:szCs w:val="16"/>
              </w:rPr>
              <w:t>O</w:t>
            </w:r>
          </w:p>
        </w:tc>
      </w:tr>
    </w:tbl>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9B2197">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0943C5" w:rsidRPr="00756DA5" w:rsidP="000943C5">
            <w:pPr>
              <w:pageBreakBefore/>
              <w:spacing w:after="200" w:line="280" w:lineRule="exact"/>
            </w:pPr>
            <w:r w:rsidRPr="00756DA5">
              <w:rPr>
                <w:b/>
                <w:bCs/>
                <w:szCs w:val="20"/>
              </w:rPr>
              <w:t xml:space="preserve">■ </w:t>
            </w:r>
            <w:r w:rsidRPr="00756DA5">
              <w:rPr>
                <w:b/>
              </w:rPr>
              <w:t>Reports published in 2007</w:t>
            </w:r>
          </w:p>
        </w:tc>
        <w:tc>
          <w:tcPr>
            <w:tcW w:w="4105" w:type="dxa"/>
          </w:tcPr>
          <w:p w:rsidR="000943C5" w:rsidRPr="00756DA5" w:rsidP="000943C5">
            <w:pPr>
              <w:pageBreakBefore/>
              <w:spacing w:after="200" w:line="280" w:lineRule="exact"/>
              <w:ind w:left="57"/>
              <w:rPr>
                <w:rFonts w:asciiTheme="minorHAnsi" w:hAnsiTheme="minorHAnsi"/>
                <w:sz w:val="22"/>
              </w:rPr>
            </w:pPr>
            <w:r w:rsidRPr="00756DA5">
              <w:t>Caption code: Closed = C; Open = O.</w:t>
            </w:r>
          </w:p>
        </w:tc>
      </w:tr>
    </w:tbl>
    <w:tbl>
      <w:tblPr>
        <w:tblStyle w:val="Grilledutableau1"/>
        <w:tblW w:w="15331" w:type="dxa"/>
        <w:tblInd w:w="-459" w:type="dxa"/>
        <w:tblLayout w:type="fixed"/>
        <w:tblLook w:val="04A0"/>
      </w:tblPr>
      <w:tblGrid>
        <w:gridCol w:w="880"/>
        <w:gridCol w:w="1417"/>
        <w:gridCol w:w="567"/>
        <w:gridCol w:w="5528"/>
        <w:gridCol w:w="1610"/>
        <w:gridCol w:w="4632"/>
        <w:gridCol w:w="697"/>
      </w:tblGrid>
      <w:tr w:rsidTr="00C844BF">
        <w:tblPrEx>
          <w:tblW w:w="15331" w:type="dxa"/>
          <w:tblInd w:w="-459" w:type="dxa"/>
          <w:tblLayout w:type="fixed"/>
          <w:tblLook w:val="04A0"/>
        </w:tblPrEx>
        <w:trPr>
          <w:trHeight w:val="550"/>
        </w:trPr>
        <w:tc>
          <w:tcPr>
            <w:tcW w:w="880" w:type="dxa"/>
            <w:tcBorders>
              <w:bottom w:val="single" w:sz="4" w:space="0" w:color="auto"/>
            </w:tcBorders>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417" w:type="dxa"/>
            <w:tcBorders>
              <w:bottom w:val="single" w:sz="4" w:space="0" w:color="auto"/>
            </w:tcBorders>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567" w:type="dxa"/>
            <w:tcBorders>
              <w:bottom w:val="single" w:sz="4" w:space="0" w:color="auto"/>
            </w:tcBorders>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528" w:type="dxa"/>
            <w:tcBorders>
              <w:bottom w:val="single" w:sz="4" w:space="0" w:color="auto"/>
            </w:tcBorders>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610" w:type="dxa"/>
            <w:tcBorders>
              <w:bottom w:val="single" w:sz="4" w:space="0" w:color="auto"/>
            </w:tcBorders>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tcBorders>
              <w:bottom w:val="single" w:sz="4" w:space="0" w:color="auto"/>
            </w:tcBorders>
            <w:vAlign w:val="center"/>
          </w:tcPr>
          <w:p w:rsidR="00054DA8" w:rsidRPr="00756DA5" w:rsidP="00054DA8">
            <w:pPr>
              <w:spacing w:line="280" w:lineRule="exact"/>
              <w:jc w:val="center"/>
              <w:rPr>
                <w:rFonts w:cs="Arial"/>
                <w:b/>
                <w:sz w:val="16"/>
                <w:szCs w:val="16"/>
              </w:rPr>
            </w:pPr>
            <w:r w:rsidRPr="00756DA5">
              <w:rPr>
                <w:b/>
                <w:sz w:val="16"/>
                <w:szCs w:val="16"/>
              </w:rPr>
              <w:t>Status of measures monitored by the EPSF at end of 2017</w:t>
            </w:r>
          </w:p>
        </w:tc>
        <w:tc>
          <w:tcPr>
            <w:tcW w:w="697" w:type="dxa"/>
            <w:tcBorders>
              <w:bottom w:val="single" w:sz="4" w:space="0" w:color="auto"/>
            </w:tcBorders>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C844BF">
        <w:tblPrEx>
          <w:tblW w:w="15331" w:type="dxa"/>
          <w:tblInd w:w="-459" w:type="dxa"/>
          <w:tblLayout w:type="fixed"/>
          <w:tblLook w:val="04A0"/>
        </w:tblPrEx>
        <w:trPr>
          <w:trHeight w:val="2340"/>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11/2007</w:t>
            </w:r>
          </w:p>
        </w:tc>
        <w:tc>
          <w:tcPr>
            <w:tcW w:w="141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Passenger accident in Chaville-Rive-Droite station (department 92) on 10 November 2006</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R1</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For rolling stock requiring significant maintenance in the workshops, examine modifications that make it only possible to open doors manually after actuation of an SAI at a speed threshold lower than the lowest detectable speed; establish a programme for the implementation of these modifications.</w:t>
            </w:r>
          </w:p>
        </w:tc>
        <w:tc>
          <w:tcPr>
            <w:tcW w:w="1610" w:type="dxa"/>
            <w:tcBorders>
              <w:bottom w:val="single" w:sz="4" w:space="0" w:color="auto"/>
            </w:tcBorders>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Mobilités</w:t>
            </w:r>
          </w:p>
        </w:tc>
        <w:tc>
          <w:tcPr>
            <w:tcW w:w="4632" w:type="dxa"/>
            <w:vAlign w:val="center"/>
          </w:tcPr>
          <w:p w:rsidR="00054DA8" w:rsidRPr="00756DA5" w:rsidP="00054DA8">
            <w:pPr>
              <w:spacing w:line="280" w:lineRule="exact"/>
              <w:contextualSpacing/>
              <w:rPr>
                <w:rFonts w:cs="Arial"/>
                <w:color w:val="000000" w:themeColor="text1"/>
                <w:sz w:val="16"/>
                <w:szCs w:val="16"/>
              </w:rPr>
            </w:pPr>
            <w:r w:rsidRPr="00756DA5">
              <w:rPr>
                <w:color w:val="000000" w:themeColor="text1"/>
                <w:sz w:val="16"/>
                <w:szCs w:val="16"/>
              </w:rPr>
              <w:t>Following a review of the rolling stock in question, a modification programme was launched:</w:t>
            </w:r>
          </w:p>
          <w:p w:rsidR="00054DA8" w:rsidRPr="00756DA5" w:rsidP="00E41E54">
            <w:pPr>
              <w:pStyle w:val="ListParagraph"/>
              <w:numPr>
                <w:ilvl w:val="0"/>
                <w:numId w:val="47"/>
              </w:numPr>
              <w:spacing w:line="280" w:lineRule="exact"/>
              <w:ind w:left="122" w:hanging="142"/>
              <w:rPr>
                <w:rFonts w:cs="Arial"/>
                <w:sz w:val="16"/>
                <w:szCs w:val="16"/>
              </w:rPr>
            </w:pPr>
            <w:r w:rsidRPr="00756DA5">
              <w:rPr>
                <w:sz w:val="16"/>
                <w:szCs w:val="16"/>
              </w:rPr>
              <w:t>all of the Z2N rolling stock were modified;</w:t>
            </w:r>
          </w:p>
          <w:p w:rsidR="00054DA8" w:rsidRPr="00756DA5" w:rsidP="00E41E54">
            <w:pPr>
              <w:pStyle w:val="ListParagraph"/>
              <w:numPr>
                <w:ilvl w:val="0"/>
                <w:numId w:val="47"/>
              </w:numPr>
              <w:spacing w:line="280" w:lineRule="exact"/>
              <w:ind w:left="122" w:hanging="142"/>
              <w:rPr>
                <w:rFonts w:cs="Arial"/>
                <w:sz w:val="16"/>
                <w:szCs w:val="16"/>
              </w:rPr>
            </w:pPr>
            <w:r w:rsidRPr="00756DA5">
              <w:rPr>
                <w:sz w:val="16"/>
                <w:szCs w:val="16"/>
              </w:rPr>
              <w:t>the Z20900 rolling stock (54 trains) will be modified when they are modernised from 2018 to 2023;</w:t>
            </w:r>
          </w:p>
          <w:p w:rsidR="00054DA8" w:rsidRPr="00756DA5" w:rsidP="00E41E54">
            <w:pPr>
              <w:pStyle w:val="ListParagraph"/>
              <w:numPr>
                <w:ilvl w:val="0"/>
                <w:numId w:val="47"/>
              </w:numPr>
              <w:spacing w:line="280" w:lineRule="exact"/>
              <w:ind w:left="122" w:hanging="142"/>
              <w:rPr>
                <w:rFonts w:cs="Arial"/>
                <w:sz w:val="16"/>
                <w:szCs w:val="16"/>
              </w:rPr>
            </w:pPr>
            <w:r w:rsidRPr="00756DA5">
              <w:rPr>
                <w:sz w:val="16"/>
                <w:szCs w:val="16"/>
              </w:rPr>
              <w:t>the</w:t>
            </w:r>
            <w:r w:rsidRPr="00756DA5">
              <w:rPr>
                <w:sz w:val="16"/>
                <w:szCs w:val="16"/>
              </w:rPr>
              <w:t xml:space="preserve"> rolling stock newer than the Z2N have the required functionality as standard.</w:t>
            </w:r>
          </w:p>
          <w:p w:rsidR="00054DA8" w:rsidRPr="00756DA5" w:rsidP="00054DA8">
            <w:pPr>
              <w:spacing w:line="280" w:lineRule="exact"/>
              <w:contextualSpacing/>
              <w:rPr>
                <w:rFonts w:cs="Arial"/>
                <w:color w:val="000000" w:themeColor="text1"/>
                <w:sz w:val="16"/>
                <w:szCs w:val="16"/>
              </w:rPr>
            </w:pPr>
            <w:r w:rsidRPr="00756DA5">
              <w:rPr>
                <w:color w:val="000000" w:themeColor="text1"/>
                <w:sz w:val="16"/>
                <w:szCs w:val="16"/>
              </w:rPr>
              <w:t>Based on this information this action is 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C</w:t>
            </w:r>
          </w:p>
        </w:tc>
      </w:tr>
    </w:tbl>
    <w:p w:rsidR="00054DA8" w:rsidRPr="00756DA5" w:rsidP="00054DA8">
      <w:pPr>
        <w:spacing w:line="280" w:lineRule="exact"/>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9B2197">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0943C5" w:rsidRPr="00756DA5" w:rsidP="000943C5">
            <w:pPr>
              <w:spacing w:after="200" w:line="280" w:lineRule="exact"/>
            </w:pPr>
            <w:r w:rsidRPr="00756DA5">
              <w:rPr>
                <w:b/>
                <w:bCs/>
                <w:szCs w:val="20"/>
              </w:rPr>
              <w:t xml:space="preserve">■ </w:t>
            </w:r>
            <w:r w:rsidRPr="00756DA5">
              <w:rPr>
                <w:b/>
              </w:rPr>
              <w:t>Reports published in 2009</w:t>
            </w:r>
          </w:p>
        </w:tc>
        <w:tc>
          <w:tcPr>
            <w:tcW w:w="4105" w:type="dxa"/>
          </w:tcPr>
          <w:p w:rsidR="000943C5" w:rsidRPr="00756DA5" w:rsidP="009B2197">
            <w:pPr>
              <w:pageBreakBefore/>
              <w:spacing w:after="200" w:line="280" w:lineRule="exact"/>
              <w:ind w:left="57"/>
              <w:rPr>
                <w:rFonts w:asciiTheme="minorHAnsi" w:hAnsiTheme="minorHAnsi"/>
                <w:sz w:val="22"/>
              </w:rPr>
            </w:pPr>
            <w:r w:rsidRPr="00756DA5">
              <w:t>Caption code: Closed = C; Open = O.</w:t>
            </w:r>
          </w:p>
        </w:tc>
      </w:tr>
    </w:tbl>
    <w:tbl>
      <w:tblPr>
        <w:tblStyle w:val="Grilledutableau1"/>
        <w:tblW w:w="15331" w:type="dxa"/>
        <w:tblInd w:w="-459" w:type="dxa"/>
        <w:tblLayout w:type="fixed"/>
        <w:tblLook w:val="04A0"/>
      </w:tblPr>
      <w:tblGrid>
        <w:gridCol w:w="880"/>
        <w:gridCol w:w="1417"/>
        <w:gridCol w:w="567"/>
        <w:gridCol w:w="5528"/>
        <w:gridCol w:w="1610"/>
        <w:gridCol w:w="4632"/>
        <w:gridCol w:w="697"/>
      </w:tblGrid>
      <w:tr w:rsidTr="00C844BF">
        <w:tblPrEx>
          <w:tblW w:w="15331" w:type="dxa"/>
          <w:tblInd w:w="-459" w:type="dxa"/>
          <w:tblLayout w:type="fixed"/>
          <w:tblLook w:val="04A0"/>
        </w:tblPrEx>
        <w:trPr>
          <w:trHeight w:val="553"/>
        </w:trPr>
        <w:tc>
          <w:tcPr>
            <w:tcW w:w="880" w:type="dxa"/>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417" w:type="dxa"/>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567" w:type="dxa"/>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528" w:type="dxa"/>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610" w:type="dxa"/>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vAlign w:val="center"/>
          </w:tcPr>
          <w:p w:rsidR="00054DA8" w:rsidRPr="00756DA5" w:rsidP="00054DA8">
            <w:pPr>
              <w:spacing w:line="280" w:lineRule="exact"/>
              <w:jc w:val="center"/>
              <w:rPr>
                <w:rFonts w:cs="Arial"/>
                <w:b/>
                <w:sz w:val="16"/>
                <w:szCs w:val="16"/>
              </w:rPr>
            </w:pPr>
            <w:r w:rsidRPr="00756DA5">
              <w:rPr>
                <w:b/>
                <w:sz w:val="16"/>
                <w:szCs w:val="16"/>
              </w:rPr>
              <w:t>Status of measures monitored by the EPSF at end of 2017</w:t>
            </w:r>
          </w:p>
        </w:tc>
        <w:tc>
          <w:tcPr>
            <w:tcW w:w="697" w:type="dxa"/>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C844BF">
        <w:tblPrEx>
          <w:tblW w:w="15331" w:type="dxa"/>
          <w:tblInd w:w="-459" w:type="dxa"/>
          <w:tblLayout w:type="fixed"/>
          <w:tblLook w:val="04A0"/>
        </w:tblPrEx>
        <w:trPr>
          <w:trHeight w:val="1727"/>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12/2009</w:t>
            </w:r>
          </w:p>
        </w:tc>
        <w:tc>
          <w:tcPr>
            <w:tcW w:w="141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Group of people struck at the Stade de France in Saint-Denis (department 93)</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R5</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Review the policy for the installation of signs prohibiting access to railway premises and indicating the related dangers for doors and gates that provide access to railway platforms. Define the arrangements for the implementation of this policy.</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contextualSpacing/>
              <w:rPr>
                <w:rFonts w:cs="Arial"/>
                <w:color w:val="000000" w:themeColor="text1"/>
                <w:sz w:val="16"/>
                <w:szCs w:val="16"/>
              </w:rPr>
            </w:pPr>
            <w:r w:rsidRPr="00756DA5">
              <w:rPr>
                <w:color w:val="000000" w:themeColor="text1"/>
                <w:sz w:val="16"/>
                <w:szCs w:val="16"/>
              </w:rPr>
              <w:t xml:space="preserve">The document describing the policy for the management of the risk of unauthorised persons </w:t>
            </w:r>
            <w:r w:rsidRPr="00756DA5">
              <w:rPr>
                <w:color w:val="000000" w:themeColor="text1"/>
                <w:sz w:val="16"/>
                <w:szCs w:val="16"/>
              </w:rPr>
              <w:t>being struck</w:t>
            </w:r>
            <w:r w:rsidRPr="00756DA5">
              <w:rPr>
                <w:color w:val="000000" w:themeColor="text1"/>
                <w:sz w:val="16"/>
                <w:szCs w:val="16"/>
              </w:rPr>
              <w:t xml:space="preserve"> is in the process of being updated.</w:t>
            </w:r>
          </w:p>
          <w:p w:rsidR="00054DA8" w:rsidRPr="00756DA5" w:rsidP="00054DA8">
            <w:pPr>
              <w:spacing w:line="280" w:lineRule="exact"/>
              <w:contextualSpacing/>
              <w:rPr>
                <w:rFonts w:cs="Arial"/>
                <w:color w:val="000000" w:themeColor="text1"/>
                <w:sz w:val="16"/>
                <w:szCs w:val="16"/>
              </w:rPr>
            </w:pPr>
          </w:p>
          <w:p w:rsidR="00054DA8" w:rsidRPr="00756DA5" w:rsidP="00054DA8">
            <w:pPr>
              <w:spacing w:line="280" w:lineRule="exact"/>
              <w:contextualSpacing/>
              <w:rPr>
                <w:rFonts w:cs="Arial"/>
                <w:color w:val="000000"/>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O</w:t>
            </w:r>
          </w:p>
        </w:tc>
      </w:tr>
    </w:tbl>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9B2197">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0943C5" w:rsidRPr="00756DA5" w:rsidP="000943C5">
            <w:pPr>
              <w:pageBreakBefore/>
              <w:spacing w:after="200" w:line="280" w:lineRule="exact"/>
            </w:pPr>
            <w:r w:rsidRPr="00756DA5">
              <w:rPr>
                <w:b/>
                <w:bCs/>
                <w:szCs w:val="20"/>
              </w:rPr>
              <w:t xml:space="preserve">■ </w:t>
            </w:r>
            <w:r w:rsidRPr="00756DA5">
              <w:rPr>
                <w:b/>
              </w:rPr>
              <w:t>Reports published in 2010</w:t>
            </w:r>
          </w:p>
        </w:tc>
        <w:tc>
          <w:tcPr>
            <w:tcW w:w="4105" w:type="dxa"/>
          </w:tcPr>
          <w:p w:rsidR="000943C5" w:rsidRPr="00756DA5" w:rsidP="009B2197">
            <w:pPr>
              <w:pageBreakBefore/>
              <w:spacing w:after="200" w:line="280" w:lineRule="exact"/>
              <w:ind w:left="57"/>
              <w:rPr>
                <w:rFonts w:asciiTheme="minorHAnsi" w:hAnsiTheme="minorHAnsi"/>
                <w:sz w:val="22"/>
              </w:rPr>
            </w:pPr>
            <w:r w:rsidRPr="00756DA5">
              <w:t>Caption code: Closed = C; Open = O.</w:t>
            </w:r>
          </w:p>
        </w:tc>
      </w:tr>
    </w:tbl>
    <w:tbl>
      <w:tblPr>
        <w:tblStyle w:val="Grilledutableau1"/>
        <w:tblW w:w="15331" w:type="dxa"/>
        <w:tblInd w:w="-459" w:type="dxa"/>
        <w:tblLayout w:type="fixed"/>
        <w:tblLook w:val="04A0"/>
      </w:tblPr>
      <w:tblGrid>
        <w:gridCol w:w="880"/>
        <w:gridCol w:w="1701"/>
        <w:gridCol w:w="567"/>
        <w:gridCol w:w="5528"/>
        <w:gridCol w:w="1326"/>
        <w:gridCol w:w="4632"/>
        <w:gridCol w:w="697"/>
      </w:tblGrid>
      <w:tr w:rsidTr="005535C0">
        <w:tblPrEx>
          <w:tblW w:w="15331" w:type="dxa"/>
          <w:tblInd w:w="-459" w:type="dxa"/>
          <w:tblLayout w:type="fixed"/>
          <w:tblLook w:val="04A0"/>
        </w:tblPrEx>
        <w:trPr>
          <w:trHeight w:val="900"/>
        </w:trPr>
        <w:tc>
          <w:tcPr>
            <w:tcW w:w="880" w:type="dxa"/>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701" w:type="dxa"/>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567" w:type="dxa"/>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528" w:type="dxa"/>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326" w:type="dxa"/>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vAlign w:val="center"/>
          </w:tcPr>
          <w:p w:rsidR="00054DA8" w:rsidRPr="00756DA5" w:rsidP="00054DA8">
            <w:pPr>
              <w:spacing w:line="280" w:lineRule="exact"/>
              <w:jc w:val="center"/>
              <w:rPr>
                <w:rFonts w:cs="Arial"/>
                <w:b/>
                <w:sz w:val="16"/>
                <w:szCs w:val="16"/>
              </w:rPr>
            </w:pPr>
            <w:r w:rsidRPr="00756DA5">
              <w:rPr>
                <w:b/>
                <w:sz w:val="16"/>
                <w:szCs w:val="16"/>
              </w:rPr>
              <w:t>Status of measures monitored by the EPSF at end of 2017</w:t>
            </w:r>
          </w:p>
        </w:tc>
        <w:tc>
          <w:tcPr>
            <w:tcW w:w="697" w:type="dxa"/>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5535C0">
        <w:tblPrEx>
          <w:tblW w:w="15331" w:type="dxa"/>
          <w:tblInd w:w="-459" w:type="dxa"/>
          <w:tblLayout w:type="fixed"/>
          <w:tblLook w:val="04A0"/>
        </w:tblPrEx>
        <w:trPr>
          <w:trHeight w:val="2684"/>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02/2010</w:t>
            </w:r>
          </w:p>
        </w:tc>
        <w:tc>
          <w:tcPr>
            <w:tcW w:w="1701"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coach and a TER regional express train in Allinges (department 74) on 2 June 2008</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R2</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 xml:space="preserve">Supplement the Order of 18 March 1991 (Article 10) by specifying that the time for a level crossing to close must allow any authorised heavy road vehicle that is moving across at the time a train </w:t>
            </w:r>
            <w:r w:rsidRPr="00756DA5">
              <w:rPr>
                <w:sz w:val="16"/>
                <w:szCs w:val="16"/>
              </w:rPr>
              <w:t>is announced</w:t>
            </w:r>
            <w:r w:rsidRPr="00756DA5">
              <w:rPr>
                <w:sz w:val="16"/>
                <w:szCs w:val="16"/>
              </w:rPr>
              <w:t xml:space="preserve"> to have cleared the entrance barrier for traffic in the opposite direction before that barrier comes down.</w:t>
            </w:r>
          </w:p>
          <w:p w:rsidR="00054DA8" w:rsidRPr="00756DA5" w:rsidP="00054DA8">
            <w:pPr>
              <w:spacing w:line="280" w:lineRule="exact"/>
              <w:rPr>
                <w:rFonts w:cs="Arial"/>
                <w:sz w:val="16"/>
                <w:szCs w:val="16"/>
              </w:rPr>
            </w:pPr>
            <w:r w:rsidRPr="00756DA5">
              <w:rPr>
                <w:sz w:val="16"/>
                <w:szCs w:val="16"/>
              </w:rPr>
              <w:t>This must checked in consultation with the road infrastructure manager so it can determine the time authorised vehicles take to cross.</w:t>
            </w:r>
          </w:p>
          <w:p w:rsidR="00054DA8" w:rsidRPr="00756DA5" w:rsidP="00054DA8">
            <w:pPr>
              <w:spacing w:line="280" w:lineRule="exact"/>
              <w:rPr>
                <w:rFonts w:cs="Arial"/>
                <w:sz w:val="16"/>
                <w:szCs w:val="16"/>
              </w:rPr>
            </w:pPr>
            <w:r w:rsidRPr="00756DA5">
              <w:rPr>
                <w:sz w:val="16"/>
                <w:szCs w:val="16"/>
              </w:rPr>
              <w:t>If this leads to a time that is too long with respect to other considerations leading to reducing the announcement time (e.g. risk of imprudent users going round the half-barriers like a chicane), consider prohibiting the passage of road vehicles that cannot get across in the time allowed.</w:t>
            </w:r>
          </w:p>
        </w:tc>
        <w:tc>
          <w:tcPr>
            <w:tcW w:w="1326"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DGITM</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Order of 19 April 2017 amending the Order of 18 March 1991 on the classification, regulation and equipment of level crossings </w:t>
            </w:r>
            <w:r w:rsidRPr="00756DA5">
              <w:rPr>
                <w:color w:val="000000" w:themeColor="text1"/>
                <w:sz w:val="16"/>
                <w:szCs w:val="16"/>
              </w:rPr>
              <w:t>was published</w:t>
            </w:r>
            <w:r w:rsidRPr="00756DA5">
              <w:rPr>
                <w:color w:val="000000" w:themeColor="text1"/>
                <w:sz w:val="16"/>
                <w:szCs w:val="16"/>
              </w:rPr>
              <w:t xml:space="preserve"> in OJFR No 0109 of 10 May 2017.</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4F81BD" w:themeColor="accen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C</w:t>
            </w:r>
          </w:p>
        </w:tc>
      </w:tr>
      <w:tr w:rsidTr="005535C0">
        <w:tblPrEx>
          <w:tblW w:w="15331" w:type="dxa"/>
          <w:tblInd w:w="-459" w:type="dxa"/>
          <w:tblLayout w:type="fixed"/>
          <w:tblLook w:val="04A0"/>
        </w:tblPrEx>
        <w:trPr>
          <w:trHeight w:val="1701"/>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09/2010</w:t>
            </w:r>
          </w:p>
        </w:tc>
        <w:tc>
          <w:tcPr>
            <w:tcW w:w="1701"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coach and a TER regional express train at LC No 4 in Nevers (department 58) on 3 February 2009</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R1</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Evaluate and examine the traffic light system at LC No 4 (and LC No 5) to identify simple optimisation measures (duration of the traffic light cycles, potential coordination of the traffic lights on either side of the LC, activation time of the light before the crossing after detection, effectiveness of the detection loop, etc.) in order to reduce the risk of a stationary vehicle at the end of the queue of traffic on the far side of the level crossing from encroaching on the track.</w:t>
            </w:r>
          </w:p>
        </w:tc>
        <w:tc>
          <w:tcPr>
            <w:tcW w:w="1326"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Municipality of Nevers</w:t>
            </w:r>
          </w:p>
        </w:tc>
        <w:tc>
          <w:tcPr>
            <w:tcW w:w="4632" w:type="dxa"/>
            <w:shd w:val="clear" w:color="auto" w:fill="auto"/>
            <w:vAlign w:val="center"/>
          </w:tcPr>
          <w:p w:rsidR="00054DA8" w:rsidRPr="00756DA5" w:rsidP="00054DA8">
            <w:pPr>
              <w:spacing w:line="280" w:lineRule="exact"/>
              <w:jc w:val="left"/>
              <w:rPr>
                <w:color w:val="000000" w:themeColor="text1"/>
                <w:sz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r w:rsidTr="005535C0">
        <w:tblPrEx>
          <w:tblW w:w="15331" w:type="dxa"/>
          <w:tblInd w:w="-459" w:type="dxa"/>
          <w:tblLayout w:type="fixed"/>
          <w:tblLook w:val="04A0"/>
        </w:tblPrEx>
        <w:trPr>
          <w:trHeight w:val="1541"/>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12/2010</w:t>
            </w:r>
          </w:p>
        </w:tc>
        <w:tc>
          <w:tcPr>
            <w:tcW w:w="1701"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train and the load on an oncoming train in the Livernant tunnel (department 16) on 20 May 2009</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R5</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Examine the ways that make it possible, by adapting regulatory document IN 1514-S2C or by making recommendations concerning the railway undertakings’ function documents, to ensure that train drivers assume there has been a gauge encroachment by the oncoming train when they hear an unusual noise of impact when passing an oncoming goods train at night or when there is no visibility.</w:t>
            </w:r>
          </w:p>
        </w:tc>
        <w:tc>
          <w:tcPr>
            <w:tcW w:w="1326"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EPSF</w:t>
            </w:r>
          </w:p>
        </w:tc>
        <w:tc>
          <w:tcPr>
            <w:tcW w:w="4632" w:type="dxa"/>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Operational document RFN-IG-SE 02 B-00-No 004 ‘Stoppage of trains in the event of a serious or imminent risk to safety’ covering the measures to be taken when a train is running in dangerous conditions was published.</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C</w:t>
            </w:r>
          </w:p>
        </w:tc>
      </w:tr>
    </w:tbl>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9B2197">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E62FA9" w:rsidRPr="00756DA5" w:rsidP="000943C5">
            <w:pPr>
              <w:pageBreakBefore/>
              <w:spacing w:after="200" w:line="280" w:lineRule="exact"/>
            </w:pPr>
            <w:r w:rsidRPr="00756DA5">
              <w:rPr>
                <w:b/>
                <w:bCs/>
                <w:szCs w:val="20"/>
              </w:rPr>
              <w:t xml:space="preserve">■ </w:t>
            </w:r>
            <w:r w:rsidRPr="00756DA5">
              <w:rPr>
                <w:b/>
              </w:rPr>
              <w:t>Reports published in 2011</w:t>
            </w:r>
          </w:p>
        </w:tc>
        <w:tc>
          <w:tcPr>
            <w:tcW w:w="4105" w:type="dxa"/>
          </w:tcPr>
          <w:p w:rsidR="00E62FA9" w:rsidRPr="00756DA5" w:rsidP="000943C5">
            <w:pPr>
              <w:pageBreakBefore/>
              <w:spacing w:after="200" w:line="280" w:lineRule="exact"/>
              <w:ind w:left="57"/>
              <w:rPr>
                <w:rFonts w:asciiTheme="minorHAnsi" w:hAnsiTheme="minorHAnsi"/>
                <w:sz w:val="22"/>
              </w:rPr>
            </w:pPr>
            <w:r w:rsidRPr="00756DA5">
              <w:t>Caption code: Closed = C; Open = O.</w:t>
            </w:r>
          </w:p>
        </w:tc>
      </w:tr>
    </w:tbl>
    <w:tbl>
      <w:tblPr>
        <w:tblStyle w:val="Grilledutableau1"/>
        <w:tblW w:w="15331" w:type="dxa"/>
        <w:tblInd w:w="-459" w:type="dxa"/>
        <w:tblLayout w:type="fixed"/>
        <w:tblLook w:val="04A0"/>
      </w:tblPr>
      <w:tblGrid>
        <w:gridCol w:w="880"/>
        <w:gridCol w:w="1417"/>
        <w:gridCol w:w="567"/>
        <w:gridCol w:w="5528"/>
        <w:gridCol w:w="1610"/>
        <w:gridCol w:w="4632"/>
        <w:gridCol w:w="697"/>
      </w:tblGrid>
      <w:tr w:rsidTr="00C844BF">
        <w:tblPrEx>
          <w:tblW w:w="15331" w:type="dxa"/>
          <w:tblInd w:w="-459" w:type="dxa"/>
          <w:tblLayout w:type="fixed"/>
          <w:tblLook w:val="04A0"/>
        </w:tblPrEx>
        <w:trPr>
          <w:trHeight w:val="758"/>
        </w:trPr>
        <w:tc>
          <w:tcPr>
            <w:tcW w:w="880" w:type="dxa"/>
            <w:shd w:val="clear" w:color="auto" w:fill="auto"/>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417" w:type="dxa"/>
            <w:shd w:val="clear" w:color="auto" w:fill="auto"/>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567" w:type="dxa"/>
            <w:shd w:val="clear" w:color="auto" w:fill="auto"/>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528" w:type="dxa"/>
            <w:shd w:val="clear" w:color="auto" w:fill="auto"/>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610" w:type="dxa"/>
            <w:shd w:val="clear" w:color="auto" w:fill="auto"/>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vAlign w:val="center"/>
          </w:tcPr>
          <w:p w:rsidR="00054DA8" w:rsidRPr="00756DA5" w:rsidP="00054DA8">
            <w:pPr>
              <w:spacing w:line="280" w:lineRule="exact"/>
              <w:jc w:val="center"/>
              <w:rPr>
                <w:rFonts w:cs="Arial"/>
                <w:b/>
                <w:szCs w:val="20"/>
              </w:rPr>
            </w:pPr>
            <w:r w:rsidRPr="00756DA5">
              <w:rPr>
                <w:b/>
                <w:sz w:val="16"/>
                <w:szCs w:val="16"/>
              </w:rPr>
              <w:t>Status of measures monitored by the EPSF at end of 2017</w:t>
            </w:r>
          </w:p>
        </w:tc>
        <w:tc>
          <w:tcPr>
            <w:tcW w:w="697" w:type="dxa"/>
            <w:shd w:val="clear" w:color="auto" w:fill="auto"/>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C844BF">
        <w:tblPrEx>
          <w:tblW w:w="15331" w:type="dxa"/>
          <w:tblInd w:w="-459" w:type="dxa"/>
          <w:tblLayout w:type="fixed"/>
          <w:tblLook w:val="04A0"/>
        </w:tblPrEx>
        <w:trPr>
          <w:trHeight w:val="1340"/>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10/2011</w:t>
            </w:r>
          </w:p>
        </w:tc>
        <w:tc>
          <w:tcPr>
            <w:tcW w:w="141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TER regional express train and a heavy goods vehicle in Gimont (department 32) on 27 September 2010</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Pending the removal of level crossing No 76 or the installation of a light and sound signalling system at this LC, re-route heavy goods vehicles wishing to access the hamlet of Julias via the route crossing the railway by means of an underpass.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Municipality of Gimont</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 xml:space="preserve">A reminder letter </w:t>
            </w:r>
            <w:r w:rsidRPr="00756DA5">
              <w:rPr>
                <w:color w:val="000000" w:themeColor="text1"/>
                <w:sz w:val="16"/>
                <w:szCs w:val="16"/>
              </w:rPr>
              <w:t>has been sent</w:t>
            </w:r>
            <w:r w:rsidRPr="00756DA5">
              <w:rPr>
                <w:color w:val="000000" w:themeColor="text1"/>
                <w:sz w:val="16"/>
                <w:szCs w:val="16"/>
              </w:rPr>
              <w:t>.</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color w:val="000000" w:themeColor="text1"/>
                <w:sz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20"/>
              </w:rPr>
            </w:pPr>
            <w:r w:rsidRPr="00756DA5">
              <w:rPr>
                <w:color w:val="000000"/>
                <w:sz w:val="16"/>
                <w:szCs w:val="20"/>
              </w:rPr>
              <w:t>O</w:t>
            </w:r>
          </w:p>
        </w:tc>
      </w:tr>
    </w:tbl>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9B2197">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E62FA9" w:rsidRPr="00756DA5" w:rsidP="00E62FA9">
            <w:pPr>
              <w:pageBreakBefore/>
              <w:spacing w:after="200" w:line="280" w:lineRule="exact"/>
            </w:pPr>
            <w:r w:rsidRPr="00756DA5">
              <w:rPr>
                <w:b/>
                <w:bCs/>
                <w:szCs w:val="20"/>
              </w:rPr>
              <w:t xml:space="preserve">■ </w:t>
            </w:r>
            <w:r w:rsidRPr="00756DA5">
              <w:rPr>
                <w:b/>
              </w:rPr>
              <w:t>Reports published in 2013</w:t>
            </w:r>
          </w:p>
        </w:tc>
        <w:tc>
          <w:tcPr>
            <w:tcW w:w="4105" w:type="dxa"/>
          </w:tcPr>
          <w:p w:rsidR="00E62FA9" w:rsidRPr="00756DA5" w:rsidP="00E62FA9">
            <w:pPr>
              <w:pageBreakBefore/>
              <w:spacing w:after="200" w:line="280" w:lineRule="exact"/>
              <w:ind w:left="57"/>
              <w:rPr>
                <w:rFonts w:asciiTheme="minorHAnsi" w:hAnsiTheme="minorHAnsi"/>
                <w:sz w:val="22"/>
              </w:rPr>
            </w:pPr>
            <w:r w:rsidRPr="00756DA5">
              <w:t>Caption code: Closed = C; Open = O.</w:t>
            </w:r>
          </w:p>
        </w:tc>
      </w:tr>
    </w:tbl>
    <w:tbl>
      <w:tblPr>
        <w:tblStyle w:val="Grilledutableau1"/>
        <w:tblW w:w="15331" w:type="dxa"/>
        <w:tblInd w:w="-459" w:type="dxa"/>
        <w:tblLayout w:type="fixed"/>
        <w:tblLook w:val="04A0"/>
      </w:tblPr>
      <w:tblGrid>
        <w:gridCol w:w="880"/>
        <w:gridCol w:w="1417"/>
        <w:gridCol w:w="567"/>
        <w:gridCol w:w="5528"/>
        <w:gridCol w:w="1610"/>
        <w:gridCol w:w="4632"/>
        <w:gridCol w:w="697"/>
      </w:tblGrid>
      <w:tr w:rsidTr="00C844BF">
        <w:tblPrEx>
          <w:tblW w:w="15331" w:type="dxa"/>
          <w:tblInd w:w="-459" w:type="dxa"/>
          <w:tblLayout w:type="fixed"/>
          <w:tblLook w:val="04A0"/>
        </w:tblPrEx>
        <w:trPr>
          <w:trHeight w:val="758"/>
        </w:trPr>
        <w:tc>
          <w:tcPr>
            <w:tcW w:w="880" w:type="dxa"/>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417" w:type="dxa"/>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567" w:type="dxa"/>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528" w:type="dxa"/>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610" w:type="dxa"/>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vAlign w:val="center"/>
          </w:tcPr>
          <w:p w:rsidR="00054DA8" w:rsidRPr="00756DA5" w:rsidP="00054DA8">
            <w:pPr>
              <w:spacing w:line="280" w:lineRule="exact"/>
              <w:jc w:val="center"/>
              <w:rPr>
                <w:rFonts w:cs="Arial"/>
                <w:b/>
                <w:sz w:val="16"/>
                <w:szCs w:val="16"/>
              </w:rPr>
            </w:pPr>
            <w:r w:rsidRPr="00756DA5">
              <w:rPr>
                <w:b/>
                <w:sz w:val="16"/>
                <w:szCs w:val="16"/>
              </w:rPr>
              <w:t>Status of measures monitored by the EPSF at end of 2017</w:t>
            </w:r>
          </w:p>
        </w:tc>
        <w:tc>
          <w:tcPr>
            <w:tcW w:w="697" w:type="dxa"/>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C844BF">
        <w:tblPrEx>
          <w:tblW w:w="15331" w:type="dxa"/>
          <w:tblInd w:w="-459" w:type="dxa"/>
          <w:tblLayout w:type="fixed"/>
          <w:tblLook w:val="04A0"/>
        </w:tblPrEx>
        <w:trPr>
          <w:trHeight w:val="1846"/>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01/2012</w:t>
            </w:r>
          </w:p>
        </w:tc>
        <w:tc>
          <w:tcPr>
            <w:tcW w:w="141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Derailment of a freight train at Neufchâteau station (department 88) on 22 May 2010</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R2</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Intervene with the European standards bodies to have roughcast wheel plates removed from the European design and manufacturing standards for wagon wheels, pending sufficient deepening of the knowledge of the impact of their surface characteristics on their fatigue resistance.</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themeColor="text1"/>
                <w:sz w:val="16"/>
                <w:szCs w:val="16"/>
              </w:rPr>
              <w:t>BNF</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O</w:t>
            </w:r>
          </w:p>
        </w:tc>
      </w:tr>
      <w:tr w:rsidTr="00C844BF">
        <w:tblPrEx>
          <w:tblW w:w="15331" w:type="dxa"/>
          <w:tblInd w:w="-459" w:type="dxa"/>
          <w:tblLayout w:type="fixed"/>
          <w:tblLook w:val="04A0"/>
        </w:tblPrEx>
        <w:trPr>
          <w:trHeight w:val="4098"/>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05/2012</w:t>
            </w:r>
          </w:p>
        </w:tc>
        <w:tc>
          <w:tcPr>
            <w:tcW w:w="141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TER regional express train and a heavy goods vehicle in Saint-Médard-sur-Ille (department 35) on 12 October 2011</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R2</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1- Carry out an assessment of the conditions for the implementation of the policy for improving the safety of level crossings, concentrating in particular on:</w:t>
            </w:r>
          </w:p>
          <w:p w:rsidR="00054DA8" w:rsidRPr="00756DA5" w:rsidP="00054DA8">
            <w:pPr>
              <w:spacing w:line="280" w:lineRule="exact"/>
              <w:rPr>
                <w:rFonts w:cs="Arial"/>
                <w:sz w:val="16"/>
                <w:szCs w:val="16"/>
              </w:rPr>
            </w:pPr>
            <w:r w:rsidRPr="00756DA5">
              <w:rPr>
                <w:sz w:val="16"/>
                <w:szCs w:val="16"/>
              </w:rPr>
              <w:t>- the procedures for drawing up the list of level crossings considered ‘of concern’ in terms of applicability of the classification criteria, consideration of the safety diagnostics provided for by the circular of the Minister for Transport of July 2008 and validation of this list;</w:t>
            </w:r>
          </w:p>
          <w:p w:rsidR="00054DA8" w:rsidRPr="00756DA5" w:rsidP="00054DA8">
            <w:pPr>
              <w:spacing w:line="280" w:lineRule="exact"/>
              <w:rPr>
                <w:rFonts w:cs="Arial"/>
                <w:sz w:val="16"/>
                <w:szCs w:val="16"/>
              </w:rPr>
            </w:pPr>
            <w:r w:rsidRPr="00756DA5">
              <w:rPr>
                <w:sz w:val="16"/>
                <w:szCs w:val="16"/>
              </w:rPr>
              <w:t>- the clarification of the processes and actions resulting in the inclusion of a level crossing on this list, in particular with regard to the planning of studies and redevelopment or removal work to be carried out on it;</w:t>
            </w:r>
          </w:p>
          <w:p w:rsidR="00054DA8" w:rsidRPr="00756DA5" w:rsidP="00054DA8">
            <w:pPr>
              <w:spacing w:line="280" w:lineRule="exact"/>
              <w:rPr>
                <w:rFonts w:cs="Arial"/>
                <w:sz w:val="16"/>
                <w:szCs w:val="16"/>
              </w:rPr>
            </w:pPr>
            <w:r w:rsidRPr="00756DA5">
              <w:rPr>
                <w:sz w:val="16"/>
                <w:szCs w:val="16"/>
              </w:rPr>
              <w:t>- the management of this policy in terms of monitoring and possible reorientation of the actions already taken or to be taken;</w:t>
            </w:r>
          </w:p>
          <w:p w:rsidR="00054DA8" w:rsidRPr="00756DA5" w:rsidP="00054DA8">
            <w:pPr>
              <w:spacing w:line="280" w:lineRule="exact"/>
              <w:rPr>
                <w:rFonts w:cs="Arial"/>
                <w:sz w:val="16"/>
                <w:szCs w:val="16"/>
              </w:rPr>
            </w:pPr>
            <w:r w:rsidRPr="00756DA5">
              <w:rPr>
                <w:sz w:val="16"/>
                <w:szCs w:val="16"/>
              </w:rPr>
              <w:t xml:space="preserve">- </w:t>
            </w:r>
            <w:r w:rsidRPr="00756DA5">
              <w:rPr>
                <w:sz w:val="16"/>
                <w:szCs w:val="16"/>
              </w:rPr>
              <w:t>the</w:t>
            </w:r>
            <w:r w:rsidRPr="00756DA5">
              <w:rPr>
                <w:sz w:val="16"/>
                <w:szCs w:val="16"/>
              </w:rPr>
              <w:t xml:space="preserve"> role of the national coordination authority for the policy of removing and redeveloping level crossings in the implementation of this policy.</w:t>
            </w:r>
          </w:p>
          <w:p w:rsidR="00054DA8" w:rsidRPr="00756DA5" w:rsidP="00054DA8">
            <w:pPr>
              <w:spacing w:line="280" w:lineRule="exact"/>
              <w:rPr>
                <w:rFonts w:cs="Arial"/>
                <w:sz w:val="16"/>
                <w:szCs w:val="16"/>
              </w:rPr>
            </w:pPr>
          </w:p>
          <w:p w:rsidR="00054DA8" w:rsidRPr="00756DA5" w:rsidP="00054DA8">
            <w:pPr>
              <w:spacing w:line="280" w:lineRule="exact"/>
              <w:rPr>
                <w:rFonts w:cs="Arial"/>
                <w:sz w:val="16"/>
                <w:szCs w:val="16"/>
              </w:rPr>
            </w:pPr>
            <w:r w:rsidRPr="00756DA5">
              <w:rPr>
                <w:sz w:val="16"/>
                <w:szCs w:val="16"/>
              </w:rPr>
              <w:t>2- Implement the adjustments that will result from this assessment.</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DGITM</w:t>
            </w:r>
          </w:p>
        </w:tc>
        <w:tc>
          <w:tcPr>
            <w:tcW w:w="4632" w:type="dxa"/>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C</w:t>
            </w:r>
          </w:p>
        </w:tc>
      </w:tr>
      <w:tr w:rsidTr="00C844BF">
        <w:tblPrEx>
          <w:tblW w:w="15331" w:type="dxa"/>
          <w:tblInd w:w="-459" w:type="dxa"/>
          <w:tblLayout w:type="fixed"/>
          <w:tblLook w:val="04A0"/>
        </w:tblPrEx>
        <w:trPr>
          <w:trHeight w:val="3529"/>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06/2012</w:t>
            </w:r>
          </w:p>
        </w:tc>
        <w:tc>
          <w:tcPr>
            <w:tcW w:w="141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goods train and an exceptionally large goods vehicle transporting metal beams stopped by LC No 222 in Balbigny (department 42) on 25 January 2011</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Have information drawn up by RFF and SNCF and distributed to the professional road transport organisations concerning the specific dangers of exceptionally large goods vehicles crossing level crossings and drawing their attention, in particular, to the precautions to be taken to avoid being immobilised on them and to situations for which protection must be requested from the railway infrastructure manager.</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DGITM</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Level crossing with a ‘difficult profile’ were identified in 2017 on the Cartelie website of the </w:t>
            </w:r>
            <w:r w:rsidRPr="00756DA5">
              <w:rPr>
                <w:i/>
                <w:color w:val="000000" w:themeColor="text1"/>
                <w:sz w:val="16"/>
                <w:szCs w:val="16"/>
              </w:rPr>
              <w:t>Centre d’études et d’expertise sur les risques, l’environnement, la mobilité et l’aménagement</w:t>
            </w:r>
            <w:r w:rsidRPr="00756DA5">
              <w:rPr>
                <w:color w:val="000000" w:themeColor="text1"/>
                <w:sz w:val="16"/>
                <w:szCs w:val="16"/>
              </w:rPr>
              <w:t xml:space="preserve"> (CEREMA) [Centre of Research and Expertise on Risks, the Environment, Mobility and Planning], accessible on the Internet.</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Furthermore, a working group set up by the </w:t>
            </w:r>
            <w:r w:rsidRPr="00756DA5">
              <w:rPr>
                <w:i/>
                <w:color w:val="000000" w:themeColor="text1"/>
                <w:sz w:val="16"/>
                <w:szCs w:val="16"/>
              </w:rPr>
              <w:t>Délégation à la Sécurité et à la Circulation routière</w:t>
            </w:r>
            <w:r w:rsidRPr="00756DA5">
              <w:rPr>
                <w:color w:val="000000" w:themeColor="text1"/>
                <w:sz w:val="16"/>
                <w:szCs w:val="16"/>
              </w:rPr>
              <w:t xml:space="preserve"> (DSCR) [Safety and Road Traffic Delegation] contributes to the regulatory developments to amend the Order of 4 May 2006 on exceptionally large goods vehicles, machinery or vehicles and combinations of vehicles comprising more than one trailer. In particular, work is focusing on the clarifications to </w:t>
            </w:r>
            <w:r w:rsidRPr="00756DA5">
              <w:rPr>
                <w:color w:val="000000" w:themeColor="text1"/>
                <w:sz w:val="16"/>
                <w:szCs w:val="16"/>
              </w:rPr>
              <w:t>be made</w:t>
            </w:r>
            <w:r w:rsidRPr="00756DA5">
              <w:rPr>
                <w:color w:val="000000" w:themeColor="text1"/>
                <w:sz w:val="16"/>
                <w:szCs w:val="16"/>
              </w:rPr>
              <w:t xml:space="preserve"> to the conditions for crossing railways.</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O</w:t>
            </w:r>
          </w:p>
        </w:tc>
      </w:tr>
      <w:tr w:rsidTr="00C844BF">
        <w:tblPrEx>
          <w:tblW w:w="15331" w:type="dxa"/>
          <w:tblInd w:w="-459" w:type="dxa"/>
          <w:tblLayout w:type="fixed"/>
          <w:tblLook w:val="04A0"/>
        </w:tblPrEx>
        <w:trPr>
          <w:trHeight w:val="2117"/>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11/2012</w:t>
            </w:r>
          </w:p>
        </w:tc>
        <w:tc>
          <w:tcPr>
            <w:tcW w:w="141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Rear-end collision between two freight trains in Maillé (department 37) on 1 February 2012</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R1</w:t>
            </w:r>
          </w:p>
        </w:tc>
        <w:tc>
          <w:tcPr>
            <w:tcW w:w="5528" w:type="dxa"/>
            <w:shd w:val="clear" w:color="auto" w:fill="auto"/>
            <w:vAlign w:val="center"/>
          </w:tcPr>
          <w:p w:rsidR="00054DA8" w:rsidRPr="00756DA5" w:rsidP="00054DA8">
            <w:pPr>
              <w:spacing w:line="280" w:lineRule="exact"/>
              <w:rPr>
                <w:rFonts w:cs="Arial"/>
                <w:sz w:val="16"/>
                <w:szCs w:val="16"/>
              </w:rPr>
            </w:pPr>
            <w:r w:rsidRPr="00756DA5">
              <w:rPr>
                <w:sz w:val="16"/>
                <w:szCs w:val="16"/>
              </w:rPr>
              <w:t>Ensure the recording and traceability of the regulators’ and traffic managers’ safety communications made from their service landline phones.</w:t>
            </w:r>
          </w:p>
          <w:p w:rsidR="00054DA8" w:rsidRPr="00756DA5" w:rsidP="00054DA8">
            <w:pPr>
              <w:spacing w:line="280" w:lineRule="exact"/>
              <w:rPr>
                <w:rFonts w:cs="Arial"/>
                <w:i/>
                <w:iCs/>
                <w:sz w:val="16"/>
                <w:szCs w:val="16"/>
              </w:rPr>
            </w:pPr>
            <w:r w:rsidRPr="00756DA5">
              <w:rPr>
                <w:i/>
                <w:iCs/>
                <w:sz w:val="16"/>
                <w:szCs w:val="16"/>
              </w:rPr>
              <w:t>Furthermore, BEA-TT invites the railway operators operating on the national railway network to remind their drivers of the safety requirements that apply when running on sight, notably regarding vigilance and control over their train’s speed, so they are able to bring it to a stop ahead of any signal or obstacle.</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contextualSpacing/>
              <w:jc w:val="left"/>
              <w:rPr>
                <w:rFonts w:cs="Arial"/>
                <w:color w:val="000000" w:themeColor="text1"/>
                <w:sz w:val="16"/>
                <w:szCs w:val="16"/>
              </w:rPr>
            </w:pPr>
            <w:r w:rsidRPr="00756DA5">
              <w:rPr>
                <w:color w:val="000000" w:themeColor="text1"/>
                <w:sz w:val="16"/>
                <w:szCs w:val="16"/>
              </w:rPr>
              <w:t>The installation of recorders in signal boxes is in progress.</w:t>
            </w:r>
          </w:p>
          <w:p w:rsidR="00054DA8" w:rsidRPr="00756DA5" w:rsidP="00054DA8">
            <w:pPr>
              <w:spacing w:line="280" w:lineRule="exact"/>
              <w:contextualSpacing/>
              <w:jc w:val="left"/>
              <w:rPr>
                <w:rFonts w:cs="Arial"/>
                <w:color w:val="000000" w:themeColor="text1"/>
                <w:sz w:val="16"/>
                <w:szCs w:val="16"/>
              </w:rPr>
            </w:pPr>
          </w:p>
          <w:p w:rsidR="00054DA8" w:rsidRPr="00756DA5" w:rsidP="00054DA8">
            <w:pPr>
              <w:spacing w:line="280" w:lineRule="exact"/>
              <w:contextualSpacing/>
              <w:jc w:val="lef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O</w:t>
            </w:r>
          </w:p>
        </w:tc>
      </w:tr>
    </w:tbl>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9B2197">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E62FA9" w:rsidRPr="00756DA5" w:rsidP="00E62FA9">
            <w:pPr>
              <w:pageBreakBefore/>
              <w:spacing w:after="200" w:line="280" w:lineRule="exact"/>
            </w:pPr>
            <w:r w:rsidRPr="00756DA5">
              <w:rPr>
                <w:b/>
                <w:bCs/>
                <w:szCs w:val="20"/>
              </w:rPr>
              <w:t xml:space="preserve">■ </w:t>
            </w:r>
            <w:r w:rsidRPr="00756DA5">
              <w:rPr>
                <w:b/>
              </w:rPr>
              <w:t>Reports published in 2013</w:t>
            </w:r>
          </w:p>
        </w:tc>
        <w:tc>
          <w:tcPr>
            <w:tcW w:w="4105" w:type="dxa"/>
          </w:tcPr>
          <w:p w:rsidR="00E62FA9" w:rsidRPr="00756DA5" w:rsidP="00E62FA9">
            <w:pPr>
              <w:pageBreakBefore/>
              <w:spacing w:after="200" w:line="280" w:lineRule="exact"/>
              <w:ind w:left="57"/>
              <w:rPr>
                <w:rFonts w:asciiTheme="minorHAnsi" w:hAnsiTheme="minorHAnsi"/>
                <w:sz w:val="22"/>
              </w:rPr>
            </w:pPr>
            <w:r w:rsidRPr="00756DA5">
              <w:t>Caption code: Closed = C; Open = O.</w:t>
            </w:r>
          </w:p>
        </w:tc>
      </w:tr>
    </w:tbl>
    <w:tbl>
      <w:tblPr>
        <w:tblStyle w:val="Grilledutableau1"/>
        <w:tblW w:w="15331" w:type="dxa"/>
        <w:tblInd w:w="-459" w:type="dxa"/>
        <w:tblLayout w:type="fixed"/>
        <w:tblLook w:val="04A0"/>
      </w:tblPr>
      <w:tblGrid>
        <w:gridCol w:w="880"/>
        <w:gridCol w:w="1842"/>
        <w:gridCol w:w="567"/>
        <w:gridCol w:w="5103"/>
        <w:gridCol w:w="1610"/>
        <w:gridCol w:w="4632"/>
        <w:gridCol w:w="697"/>
      </w:tblGrid>
      <w:tr w:rsidTr="00380326">
        <w:tblPrEx>
          <w:tblW w:w="15331" w:type="dxa"/>
          <w:tblInd w:w="-459" w:type="dxa"/>
          <w:tblLayout w:type="fixed"/>
          <w:tblLook w:val="04A0"/>
        </w:tblPrEx>
        <w:trPr>
          <w:trHeight w:val="758"/>
        </w:trPr>
        <w:tc>
          <w:tcPr>
            <w:tcW w:w="880" w:type="dxa"/>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842" w:type="dxa"/>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567" w:type="dxa"/>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103" w:type="dxa"/>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610" w:type="dxa"/>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vAlign w:val="center"/>
          </w:tcPr>
          <w:p w:rsidR="00054DA8" w:rsidRPr="00756DA5" w:rsidP="00054DA8">
            <w:pPr>
              <w:spacing w:line="280" w:lineRule="exact"/>
              <w:jc w:val="center"/>
              <w:rPr>
                <w:rFonts w:cs="Arial"/>
                <w:b/>
                <w:sz w:val="16"/>
                <w:szCs w:val="16"/>
              </w:rPr>
            </w:pPr>
            <w:r w:rsidRPr="00756DA5">
              <w:rPr>
                <w:b/>
                <w:sz w:val="16"/>
                <w:szCs w:val="16"/>
              </w:rPr>
              <w:t>Status of measures monitored by the EPSF at end of 2017</w:t>
            </w:r>
          </w:p>
        </w:tc>
        <w:tc>
          <w:tcPr>
            <w:tcW w:w="697" w:type="dxa"/>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380326">
        <w:tblPrEx>
          <w:tblW w:w="15331" w:type="dxa"/>
          <w:tblInd w:w="-459" w:type="dxa"/>
          <w:tblLayout w:type="fixed"/>
          <w:tblLook w:val="04A0"/>
        </w:tblPrEx>
        <w:trPr>
          <w:trHeight w:val="996"/>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06/2013</w:t>
            </w:r>
          </w:p>
        </w:tc>
        <w:tc>
          <w:tcPr>
            <w:tcW w:w="1842"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TER regional express train and car in Breuil (department 69) on 4 December 2011</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R1</w:t>
            </w:r>
          </w:p>
        </w:tc>
        <w:tc>
          <w:tcPr>
            <w:tcW w:w="5103" w:type="dxa"/>
            <w:shd w:val="clear" w:color="auto" w:fill="auto"/>
            <w:vAlign w:val="center"/>
          </w:tcPr>
          <w:p w:rsidR="00054DA8" w:rsidRPr="00756DA5" w:rsidP="00054DA8">
            <w:pPr>
              <w:spacing w:line="280" w:lineRule="exact"/>
              <w:rPr>
                <w:rFonts w:cs="Arial"/>
                <w:sz w:val="16"/>
                <w:szCs w:val="16"/>
              </w:rPr>
            </w:pPr>
            <w:r w:rsidRPr="00756DA5">
              <w:rPr>
                <w:sz w:val="16"/>
                <w:szCs w:val="16"/>
              </w:rPr>
              <w:t>Define and implement as quickly as possible the national safety programme for unguarded level crossings with a Saint Andrew’s cross sign.</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DGITM</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r w:rsidTr="00380326">
        <w:tblPrEx>
          <w:tblW w:w="15331" w:type="dxa"/>
          <w:tblInd w:w="-459" w:type="dxa"/>
          <w:tblLayout w:type="fixed"/>
          <w:tblLook w:val="04A0"/>
        </w:tblPrEx>
        <w:trPr>
          <w:trHeight w:val="2824"/>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842" w:type="dxa"/>
            <w:vMerge/>
            <w:shd w:val="clear" w:color="auto" w:fill="auto"/>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103" w:type="dxa"/>
            <w:shd w:val="clear" w:color="auto" w:fill="auto"/>
            <w:vAlign w:val="center"/>
          </w:tcPr>
          <w:p w:rsidR="00054DA8" w:rsidRPr="00756DA5" w:rsidP="00054DA8">
            <w:pPr>
              <w:spacing w:line="280" w:lineRule="exact"/>
              <w:rPr>
                <w:rFonts w:cs="Arial"/>
                <w:sz w:val="16"/>
                <w:szCs w:val="16"/>
              </w:rPr>
            </w:pPr>
            <w:r w:rsidRPr="00756DA5">
              <w:rPr>
                <w:sz w:val="16"/>
                <w:szCs w:val="16"/>
              </w:rPr>
              <w:t>Take the necessary measures to remove level crossing No 65 on the Lozanne to Paray-le-Monial railway line and, meanwhile, strictly limit access to it to local residents by any appropriate means.</w:t>
            </w:r>
          </w:p>
          <w:p w:rsidR="00054DA8" w:rsidRPr="00756DA5" w:rsidP="00054DA8">
            <w:pPr>
              <w:spacing w:line="280" w:lineRule="exact"/>
              <w:rPr>
                <w:rFonts w:cs="Arial"/>
                <w:i/>
                <w:iCs/>
                <w:sz w:val="16"/>
                <w:szCs w:val="16"/>
              </w:rPr>
            </w:pPr>
            <w:r w:rsidRPr="00756DA5">
              <w:rPr>
                <w:i/>
                <w:iCs/>
                <w:sz w:val="16"/>
                <w:szCs w:val="16"/>
              </w:rPr>
              <w:t>Furthermore, without making any formal recommendations, the BEA-TT:</w:t>
            </w:r>
          </w:p>
          <w:p w:rsidR="00054DA8" w:rsidRPr="00756DA5" w:rsidP="00054DA8">
            <w:pPr>
              <w:spacing w:line="280" w:lineRule="exact"/>
              <w:rPr>
                <w:rFonts w:cs="Arial"/>
                <w:i/>
                <w:iCs/>
                <w:sz w:val="16"/>
                <w:szCs w:val="16"/>
              </w:rPr>
            </w:pPr>
            <w:r w:rsidRPr="00756DA5">
              <w:rPr>
                <w:i/>
                <w:iCs/>
                <w:sz w:val="16"/>
                <w:szCs w:val="16"/>
              </w:rPr>
              <w:t xml:space="preserve"> </w:t>
            </w:r>
            <w:r w:rsidRPr="00756DA5">
              <w:rPr>
                <w:noProof/>
                <w:lang w:val="fr-FR" w:eastAsia="fr-FR"/>
              </w:rPr>
              <w:drawing>
                <wp:inline distT="0" distB="0" distL="0" distR="0">
                  <wp:extent cx="76200" cy="104775"/>
                  <wp:effectExtent l="0" t="0" r="0" b="9525"/>
                  <wp:docPr id="482" name="Image 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09390" name="Picture 1" descr="-"/>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00" cy="104775"/>
                          </a:xfrm>
                          <a:prstGeom prst="rect">
                            <a:avLst/>
                          </a:prstGeom>
                          <a:noFill/>
                          <a:ln>
                            <a:noFill/>
                          </a:ln>
                        </pic:spPr>
                      </pic:pic>
                    </a:graphicData>
                  </a:graphic>
                </wp:inline>
              </w:drawing>
            </w:r>
            <w:r w:rsidRPr="00756DA5">
              <w:rPr>
                <w:i/>
                <w:iCs/>
                <w:sz w:val="16"/>
                <w:szCs w:val="16"/>
              </w:rPr>
              <w:t> Invites the railway undertakings to ensure that their drivers comply with ‘S’ signs and, more generally, with the rules for using the horn;</w:t>
            </w:r>
          </w:p>
          <w:p w:rsidR="00054DA8" w:rsidRPr="00756DA5" w:rsidP="00054DA8">
            <w:pPr>
              <w:spacing w:line="280" w:lineRule="exact"/>
              <w:rPr>
                <w:rFonts w:cs="Arial"/>
                <w:i/>
                <w:iCs/>
                <w:sz w:val="16"/>
                <w:szCs w:val="16"/>
              </w:rPr>
            </w:pPr>
            <w:r w:rsidRPr="00756DA5">
              <w:rPr>
                <w:i/>
                <w:iCs/>
                <w:noProof/>
                <w:sz w:val="16"/>
                <w:szCs w:val="16"/>
                <w:lang w:val="fr-FR" w:eastAsia="fr-FR"/>
              </w:rPr>
              <w:drawing>
                <wp:inline distT="0" distB="0" distL="0" distR="0">
                  <wp:extent cx="76200" cy="104775"/>
                  <wp:effectExtent l="0" t="0" r="0" b="9525"/>
                  <wp:docPr id="483" name="Image 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76499" name="Picture 2" descr="-"/>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00" cy="104775"/>
                          </a:xfrm>
                          <a:prstGeom prst="rect">
                            <a:avLst/>
                          </a:prstGeom>
                          <a:noFill/>
                          <a:ln>
                            <a:noFill/>
                          </a:ln>
                        </pic:spPr>
                      </pic:pic>
                    </a:graphicData>
                  </a:graphic>
                </wp:inline>
              </w:drawing>
            </w:r>
            <w:r w:rsidRPr="00756DA5">
              <w:rPr>
                <w:i/>
                <w:iCs/>
                <w:sz w:val="16"/>
                <w:szCs w:val="16"/>
              </w:rPr>
              <w:t> draws the attention of the RFN (Réseau ferré de France) to the fact that the surroundings of certain unguarded level crossings with a Saint Andrew’s cross sign make train horns difficult to hear, thereby increasing the risk incurred road users, and invites it to take this into consideration in the safety programme for these level crossings.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p w:rsidR="00054DA8" w:rsidRPr="00756DA5" w:rsidP="00054DA8">
            <w:pPr>
              <w:spacing w:line="280" w:lineRule="exact"/>
              <w:jc w:val="center"/>
              <w:rPr>
                <w:rFonts w:cs="Arial"/>
                <w:color w:val="000000"/>
                <w:sz w:val="16"/>
                <w:szCs w:val="16"/>
              </w:rPr>
            </w:pPr>
          </w:p>
          <w:p w:rsidR="00054DA8" w:rsidRPr="00756DA5" w:rsidP="00054DA8">
            <w:pPr>
              <w:spacing w:line="280" w:lineRule="exact"/>
              <w:jc w:val="center"/>
              <w:rPr>
                <w:rFonts w:cs="Arial"/>
                <w:color w:val="000000"/>
                <w:sz w:val="16"/>
                <w:szCs w:val="16"/>
              </w:rPr>
            </w:pPr>
            <w:r w:rsidRPr="00756DA5">
              <w:rPr>
                <w:color w:val="000000"/>
                <w:sz w:val="16"/>
                <w:szCs w:val="16"/>
              </w:rPr>
              <w:t>Rhône prefecture</w:t>
            </w:r>
          </w:p>
          <w:p w:rsidR="00054DA8" w:rsidRPr="00756DA5" w:rsidP="00054DA8">
            <w:pPr>
              <w:spacing w:line="280" w:lineRule="exact"/>
              <w:jc w:val="center"/>
              <w:rPr>
                <w:rFonts w:cs="Arial"/>
                <w:color w:val="000000"/>
                <w:sz w:val="16"/>
                <w:szCs w:val="16"/>
              </w:rPr>
            </w:pPr>
          </w:p>
          <w:p w:rsidR="00054DA8" w:rsidRPr="00756DA5" w:rsidP="00054DA8">
            <w:pPr>
              <w:spacing w:line="280" w:lineRule="exact"/>
              <w:jc w:val="center"/>
              <w:rPr>
                <w:rFonts w:cs="Arial"/>
                <w:color w:val="000000"/>
                <w:sz w:val="16"/>
                <w:szCs w:val="16"/>
              </w:rPr>
            </w:pPr>
            <w:r w:rsidRPr="00756DA5">
              <w:rPr>
                <w:color w:val="000000"/>
                <w:sz w:val="16"/>
                <w:szCs w:val="16"/>
              </w:rPr>
              <w:t>Municipality of Breuil</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The building of the road (with closure of the LC) </w:t>
            </w:r>
            <w:r w:rsidRPr="00756DA5">
              <w:rPr>
                <w:color w:val="000000" w:themeColor="text1"/>
                <w:sz w:val="16"/>
                <w:szCs w:val="16"/>
              </w:rPr>
              <w:t>is planned</w:t>
            </w:r>
            <w:r w:rsidRPr="00756DA5">
              <w:rPr>
                <w:color w:val="000000" w:themeColor="text1"/>
                <w:sz w:val="16"/>
                <w:szCs w:val="16"/>
              </w:rPr>
              <w:t xml:space="preserve"> in the autumn of 2018.</w:t>
            </w:r>
          </w:p>
          <w:p w:rsidR="00054DA8" w:rsidRPr="00756DA5" w:rsidP="00054DA8">
            <w:pPr>
              <w:spacing w:line="280" w:lineRule="exact"/>
              <w:rPr>
                <w:rFonts w:cs="Arial"/>
                <w:color w:val="000000" w:themeColor="text1"/>
                <w:sz w:val="16"/>
                <w:szCs w:val="16"/>
              </w:rPr>
            </w:pPr>
            <w:r w:rsidRPr="00756DA5">
              <w:rPr>
                <w:color w:val="000000" w:themeColor="text1"/>
                <w:sz w:val="16"/>
                <w:szCs w:val="16"/>
              </w:rPr>
              <w:t>Regarding the administrative procedures, an investigation prior to the removal of the LC took place and the investigating commissioner expressed a favourable opinion.</w:t>
            </w:r>
          </w:p>
          <w:p w:rsidR="00054DA8" w:rsidRPr="00756DA5" w:rsidP="00054DA8">
            <w:pPr>
              <w:spacing w:line="280" w:lineRule="exact"/>
              <w:rPr>
                <w:rFonts w:cs="Arial"/>
                <w:color w:val="4F81BD" w:themeColor="accent1"/>
                <w:sz w:val="16"/>
                <w:szCs w:val="16"/>
              </w:rPr>
            </w:pPr>
          </w:p>
          <w:p w:rsidR="00054DA8" w:rsidRPr="00756DA5" w:rsidP="00054DA8">
            <w:pPr>
              <w:spacing w:line="280" w:lineRule="exact"/>
              <w:rPr>
                <w:rFonts w:cs="Arial"/>
                <w:color w:val="4F81BD" w:themeColor="accen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O</w:t>
            </w:r>
          </w:p>
        </w:tc>
      </w:tr>
      <w:tr w:rsidTr="00380326">
        <w:tblPrEx>
          <w:tblW w:w="15331" w:type="dxa"/>
          <w:tblInd w:w="-459" w:type="dxa"/>
          <w:tblLayout w:type="fixed"/>
          <w:tblLook w:val="04A0"/>
        </w:tblPrEx>
        <w:trPr>
          <w:trHeight w:val="2551"/>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06/2013</w:t>
            </w:r>
          </w:p>
        </w:tc>
        <w:tc>
          <w:tcPr>
            <w:tcW w:w="1842"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Impact of a self-propelled train with an insulator in Sevran (department 93) on 1 February 2012</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R2</w:t>
            </w:r>
          </w:p>
        </w:tc>
        <w:tc>
          <w:tcPr>
            <w:tcW w:w="5103" w:type="dxa"/>
            <w:shd w:val="clear" w:color="auto" w:fill="auto"/>
            <w:vAlign w:val="center"/>
          </w:tcPr>
          <w:p w:rsidR="00054DA8" w:rsidRPr="00756DA5" w:rsidP="00054DA8">
            <w:pPr>
              <w:spacing w:line="280" w:lineRule="exact"/>
              <w:rPr>
                <w:rFonts w:cs="Arial"/>
                <w:sz w:val="16"/>
                <w:szCs w:val="16"/>
              </w:rPr>
            </w:pPr>
            <w:r w:rsidRPr="00756DA5">
              <w:rPr>
                <w:sz w:val="16"/>
                <w:szCs w:val="16"/>
              </w:rPr>
              <w:t>Identify the characteristics of the front windscreens and of the screen heaters on the rolling stock, and the rules for using these windscreen heaters.</w:t>
            </w:r>
          </w:p>
          <w:p w:rsidR="00054DA8" w:rsidRPr="00756DA5" w:rsidP="00054DA8">
            <w:pPr>
              <w:spacing w:line="280" w:lineRule="exact"/>
              <w:rPr>
                <w:rFonts w:cs="Arial"/>
                <w:sz w:val="16"/>
                <w:szCs w:val="16"/>
              </w:rPr>
            </w:pPr>
            <w:r w:rsidRPr="00756DA5">
              <w:rPr>
                <w:sz w:val="16"/>
                <w:szCs w:val="16"/>
              </w:rPr>
              <w:t xml:space="preserve"> </w:t>
            </w:r>
            <w:r w:rsidRPr="00756DA5">
              <w:rPr>
                <w:sz w:val="16"/>
                <w:szCs w:val="16"/>
              </w:rPr>
              <w:br/>
            </w:r>
            <w:r w:rsidRPr="00756DA5">
              <w:rPr>
                <w:sz w:val="16"/>
                <w:szCs w:val="16"/>
              </w:rPr>
              <w:t>For rolling stock equipped with front windscreens that do not comply with the EN 15152 European standard or the NF F 15-818 French standard or an equivalent national standard, examine whether it is possible and relevant to guard against projectiles penetrating the driving cab in cold weather, for example by clarifying the rules for using the windscreen heater or by planning to replace the glass with screens offering a better resistance to impacts at low temperatures.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All railway undertakings</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Of the 24 railway undertakings affected by this recommendation, a reminder </w:t>
            </w:r>
            <w:r w:rsidRPr="00756DA5">
              <w:rPr>
                <w:color w:val="000000" w:themeColor="text1"/>
                <w:sz w:val="16"/>
                <w:szCs w:val="16"/>
              </w:rPr>
              <w:t>has been given</w:t>
            </w:r>
            <w:r w:rsidRPr="00756DA5">
              <w:rPr>
                <w:color w:val="000000" w:themeColor="text1"/>
                <w:sz w:val="16"/>
                <w:szCs w:val="16"/>
              </w:rPr>
              <w:t xml:space="preserve"> to the two entities that have not yet provided the implementation information for the planned actions.</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FF0000"/>
                <w:sz w:val="16"/>
                <w:szCs w:val="16"/>
                <w:highlight w:val="yellow"/>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O</w:t>
            </w:r>
          </w:p>
        </w:tc>
      </w:tr>
      <w:tr w:rsidTr="00380326">
        <w:tblPrEx>
          <w:tblW w:w="15331" w:type="dxa"/>
          <w:tblInd w:w="-459" w:type="dxa"/>
          <w:tblLayout w:type="fixed"/>
          <w:tblLook w:val="04A0"/>
        </w:tblPrEx>
        <w:trPr>
          <w:trHeight w:val="1125"/>
        </w:trPr>
        <w:tc>
          <w:tcPr>
            <w:tcW w:w="880" w:type="dxa"/>
            <w:vMerge/>
            <w:shd w:val="clear" w:color="auto" w:fill="92D050"/>
            <w:vAlign w:val="center"/>
          </w:tcPr>
          <w:p w:rsidR="00054DA8" w:rsidRPr="00756DA5" w:rsidP="00054DA8">
            <w:pPr>
              <w:spacing w:line="280" w:lineRule="exact"/>
              <w:jc w:val="center"/>
              <w:rPr>
                <w:rFonts w:cs="Arial"/>
                <w:sz w:val="16"/>
                <w:szCs w:val="16"/>
              </w:rPr>
            </w:pPr>
          </w:p>
        </w:tc>
        <w:tc>
          <w:tcPr>
            <w:tcW w:w="1842" w:type="dxa"/>
            <w:vMerge/>
            <w:shd w:val="clear" w:color="auto" w:fill="92D050"/>
            <w:vAlign w:val="center"/>
          </w:tcPr>
          <w:p w:rsidR="00054DA8" w:rsidRPr="00756DA5" w:rsidP="00054DA8">
            <w:pPr>
              <w:spacing w:line="280" w:lineRule="exact"/>
              <w:jc w:val="center"/>
              <w:rPr>
                <w:rFonts w:cs="Arial"/>
                <w:sz w:val="16"/>
                <w:szCs w:val="16"/>
              </w:rPr>
            </w:pPr>
          </w:p>
        </w:tc>
        <w:tc>
          <w:tcPr>
            <w:tcW w:w="567"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103" w:type="dxa"/>
            <w:vMerge w:val="restart"/>
            <w:shd w:val="clear" w:color="auto" w:fill="auto"/>
            <w:vAlign w:val="center"/>
          </w:tcPr>
          <w:p w:rsidR="00054DA8" w:rsidRPr="00756DA5" w:rsidP="00054DA8">
            <w:pPr>
              <w:spacing w:line="280" w:lineRule="exact"/>
              <w:rPr>
                <w:rFonts w:cs="Arial"/>
                <w:sz w:val="16"/>
                <w:szCs w:val="16"/>
              </w:rPr>
            </w:pPr>
            <w:r w:rsidRPr="00756DA5">
              <w:rPr>
                <w:sz w:val="16"/>
                <w:szCs w:val="16"/>
              </w:rPr>
              <w:t>Make sure that the changes made to the EN 15152 European standard relating to the front windscreens of rolling stock take into account the temperature-related variability in the resistance of the glass to impacts and guarantee that the drivers’ protection is maintained, or even improved over the whole temperature range commonly encountered on the national railway network and more specifically at negative temperatures.</w:t>
            </w:r>
          </w:p>
          <w:p w:rsidR="00054DA8" w:rsidRPr="00756DA5" w:rsidP="00054DA8">
            <w:pPr>
              <w:spacing w:line="280" w:lineRule="exact"/>
              <w:rPr>
                <w:rFonts w:cs="Arial"/>
                <w:sz w:val="16"/>
                <w:szCs w:val="16"/>
              </w:rPr>
            </w:pPr>
            <w:r w:rsidRPr="00756DA5">
              <w:rPr>
                <w:i/>
                <w:iCs/>
                <w:sz w:val="16"/>
                <w:szCs w:val="16"/>
              </w:rPr>
              <w:t>To supplement this last recommendation, the BEA-TT also invites the railway undertakings other than SNCF to work along these same lines in the national and international standardisation bodies in which they participate.</w:t>
            </w:r>
          </w:p>
          <w:p w:rsidR="00054DA8" w:rsidRPr="00756DA5" w:rsidP="00054DA8">
            <w:pPr>
              <w:spacing w:line="280" w:lineRule="exact"/>
              <w:rPr>
                <w:rFonts w:cs="Arial"/>
                <w:i/>
                <w:iCs/>
                <w:sz w:val="16"/>
                <w:szCs w:val="16"/>
              </w:rPr>
            </w:pPr>
            <w:r w:rsidRPr="00756DA5">
              <w:rPr>
                <w:i/>
                <w:iCs/>
                <w:sz w:val="16"/>
                <w:szCs w:val="16"/>
              </w:rPr>
              <w:t>Furthermore, the BEA-TT invites the AGC Glass and Saint-Gobain companies to acquire, through tests, studies or any other means, a real knowledge of the impact resistance of the glass used for the front windscreens of rolling stock, throughout the entire temperature range commonly encountered on the national railway network, including in hot weather with the windscreen heater in operation, and to share this knowledge as part of the work to revise the EN 15152 standard.</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p>
          <w:p w:rsidR="00054DA8" w:rsidRPr="00756DA5" w:rsidP="00054DA8">
            <w:pPr>
              <w:spacing w:line="280" w:lineRule="exact"/>
              <w:jc w:val="center"/>
              <w:rPr>
                <w:rFonts w:cs="Arial"/>
                <w:color w:val="000000"/>
                <w:sz w:val="16"/>
                <w:szCs w:val="16"/>
              </w:rPr>
            </w:pPr>
            <w:r w:rsidRPr="00756DA5">
              <w:rPr>
                <w:color w:val="000000"/>
                <w:sz w:val="16"/>
                <w:szCs w:val="16"/>
              </w:rPr>
              <w:t>BNF</w:t>
            </w:r>
          </w:p>
        </w:tc>
        <w:tc>
          <w:tcPr>
            <w:tcW w:w="4632" w:type="dxa"/>
            <w:vMerge w:val="restart"/>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The NF EN 15152 European standard </w:t>
            </w:r>
            <w:r w:rsidRPr="00756DA5">
              <w:rPr>
                <w:color w:val="000000" w:themeColor="text1"/>
                <w:sz w:val="16"/>
                <w:szCs w:val="16"/>
              </w:rPr>
              <w:t>has been amended</w:t>
            </w:r>
            <w:r w:rsidRPr="00756DA5">
              <w:rPr>
                <w:color w:val="000000" w:themeColor="text1"/>
                <w:sz w:val="16"/>
                <w:szCs w:val="16"/>
              </w:rPr>
              <w:t xml:space="preserve"> to specify among other things the functional requirements applicable to the front windscreens of high-speed trains to be built in the future. This standard took effect on 21 December 2017.</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vMerge w:val="restart"/>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C</w:t>
            </w:r>
          </w:p>
        </w:tc>
      </w:tr>
      <w:tr w:rsidTr="00380326">
        <w:tblPrEx>
          <w:tblW w:w="15331" w:type="dxa"/>
          <w:tblInd w:w="-459" w:type="dxa"/>
          <w:tblLayout w:type="fixed"/>
          <w:tblLook w:val="04A0"/>
        </w:tblPrEx>
        <w:trPr>
          <w:trHeight w:val="2823"/>
        </w:trPr>
        <w:tc>
          <w:tcPr>
            <w:tcW w:w="880" w:type="dxa"/>
            <w:vMerge/>
            <w:shd w:val="clear" w:color="auto" w:fill="92D050"/>
            <w:vAlign w:val="center"/>
          </w:tcPr>
          <w:p w:rsidR="00054DA8" w:rsidRPr="00756DA5" w:rsidP="00054DA8">
            <w:pPr>
              <w:spacing w:line="280" w:lineRule="exact"/>
              <w:jc w:val="center"/>
              <w:rPr>
                <w:rFonts w:cs="Arial"/>
                <w:sz w:val="16"/>
                <w:szCs w:val="16"/>
              </w:rPr>
            </w:pPr>
          </w:p>
        </w:tc>
        <w:tc>
          <w:tcPr>
            <w:tcW w:w="1842" w:type="dxa"/>
            <w:vMerge/>
            <w:shd w:val="clear" w:color="auto" w:fill="92D050"/>
            <w:vAlign w:val="center"/>
          </w:tcPr>
          <w:p w:rsidR="00054DA8" w:rsidRPr="00756DA5" w:rsidP="00054DA8">
            <w:pPr>
              <w:spacing w:line="280" w:lineRule="exact"/>
              <w:jc w:val="center"/>
              <w:rPr>
                <w:rFonts w:cs="Arial"/>
                <w:sz w:val="16"/>
                <w:szCs w:val="16"/>
              </w:rPr>
            </w:pPr>
          </w:p>
        </w:tc>
        <w:tc>
          <w:tcPr>
            <w:tcW w:w="567" w:type="dxa"/>
            <w:vMerge/>
            <w:shd w:val="clear" w:color="auto" w:fill="92D050"/>
            <w:vAlign w:val="center"/>
          </w:tcPr>
          <w:p w:rsidR="00054DA8" w:rsidRPr="00756DA5" w:rsidP="00054DA8">
            <w:pPr>
              <w:spacing w:line="280" w:lineRule="exact"/>
              <w:jc w:val="center"/>
              <w:rPr>
                <w:rFonts w:cs="Arial"/>
                <w:sz w:val="16"/>
                <w:szCs w:val="16"/>
              </w:rPr>
            </w:pPr>
          </w:p>
        </w:tc>
        <w:tc>
          <w:tcPr>
            <w:tcW w:w="5103" w:type="dxa"/>
            <w:vMerge/>
            <w:shd w:val="clear" w:color="auto" w:fill="auto"/>
            <w:vAlign w:val="center"/>
          </w:tcPr>
          <w:p w:rsidR="00054DA8" w:rsidRPr="00756DA5" w:rsidP="00054DA8">
            <w:pPr>
              <w:spacing w:line="280" w:lineRule="exact"/>
              <w:rPr>
                <w:rFonts w:cs="Arial"/>
                <w:sz w:val="16"/>
                <w:szCs w:val="16"/>
              </w:rPr>
            </w:pP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tc>
        <w:tc>
          <w:tcPr>
            <w:tcW w:w="4632" w:type="dxa"/>
            <w:vMerge/>
            <w:vAlign w:val="center"/>
          </w:tcPr>
          <w:p w:rsidR="00054DA8" w:rsidRPr="00756DA5" w:rsidP="00054DA8">
            <w:pPr>
              <w:spacing w:line="280" w:lineRule="exact"/>
              <w:jc w:val="left"/>
              <w:rPr>
                <w:rFonts w:cs="Arial"/>
                <w:color w:val="000000" w:themeColor="text1"/>
                <w:sz w:val="16"/>
                <w:szCs w:val="16"/>
              </w:rPr>
            </w:pPr>
          </w:p>
        </w:tc>
        <w:tc>
          <w:tcPr>
            <w:tcW w:w="697" w:type="dxa"/>
            <w:vMerge/>
            <w:shd w:val="clear" w:color="auto" w:fill="auto"/>
            <w:vAlign w:val="center"/>
          </w:tcPr>
          <w:p w:rsidR="00054DA8" w:rsidRPr="00756DA5" w:rsidP="00054DA8">
            <w:pPr>
              <w:spacing w:line="280" w:lineRule="exact"/>
              <w:jc w:val="center"/>
              <w:rPr>
                <w:rFonts w:cs="Arial"/>
                <w:sz w:val="16"/>
                <w:szCs w:val="16"/>
              </w:rPr>
            </w:pPr>
          </w:p>
        </w:tc>
      </w:tr>
      <w:tr w:rsidTr="00380326">
        <w:tblPrEx>
          <w:tblW w:w="15331" w:type="dxa"/>
          <w:tblInd w:w="-459" w:type="dxa"/>
          <w:tblLayout w:type="fixed"/>
          <w:tblLook w:val="04A0"/>
        </w:tblPrEx>
        <w:trPr>
          <w:trHeight w:val="2120"/>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07/2013</w:t>
            </w:r>
          </w:p>
        </w:tc>
        <w:tc>
          <w:tcPr>
            <w:tcW w:w="1842"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train and works equipment in Lachapelle-Auzac (department 46) on 4 July 2012</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103" w:type="dxa"/>
            <w:shd w:val="clear" w:color="auto" w:fill="auto"/>
            <w:vAlign w:val="center"/>
          </w:tcPr>
          <w:p w:rsidR="00054DA8" w:rsidRPr="00756DA5" w:rsidP="00054DA8">
            <w:pPr>
              <w:spacing w:line="280" w:lineRule="exact"/>
              <w:rPr>
                <w:rFonts w:cs="Arial"/>
                <w:sz w:val="16"/>
                <w:szCs w:val="16"/>
              </w:rPr>
            </w:pPr>
            <w:r w:rsidRPr="00756DA5">
              <w:rPr>
                <w:sz w:val="16"/>
                <w:szCs w:val="16"/>
              </w:rPr>
              <w:t>Ensure the recording of all the operations-related communications made from the traffic staff’s service telephones.</w:t>
            </w:r>
          </w:p>
          <w:p w:rsidR="00054DA8" w:rsidRPr="00756DA5" w:rsidP="00054DA8">
            <w:pPr>
              <w:spacing w:line="280" w:lineRule="exact"/>
              <w:rPr>
                <w:rFonts w:cs="Arial"/>
                <w:i/>
                <w:iCs/>
                <w:sz w:val="16"/>
                <w:szCs w:val="16"/>
              </w:rPr>
            </w:pPr>
            <w:r w:rsidRPr="00756DA5">
              <w:rPr>
                <w:i/>
                <w:iCs/>
                <w:sz w:val="16"/>
                <w:szCs w:val="16"/>
              </w:rPr>
              <w:t>Furthermore, the BEA-TT invites SNCF to provide feedback on the use of the new LOR’AXE catenary maintenance machinery and on the conditions for the training of their drivers.</w:t>
            </w:r>
          </w:p>
          <w:p w:rsidR="00054DA8" w:rsidRPr="00756DA5" w:rsidP="00054DA8">
            <w:pPr>
              <w:spacing w:line="280" w:lineRule="exact"/>
              <w:rPr>
                <w:rFonts w:cs="Arial"/>
                <w:sz w:val="16"/>
                <w:szCs w:val="16"/>
              </w:rPr>
            </w:pP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contextualSpacing/>
              <w:jc w:val="left"/>
              <w:rPr>
                <w:rFonts w:cs="Arial"/>
                <w:color w:val="000000" w:themeColor="text1"/>
                <w:sz w:val="16"/>
                <w:szCs w:val="16"/>
              </w:rPr>
            </w:pPr>
            <w:r w:rsidRPr="00756DA5">
              <w:rPr>
                <w:color w:val="000000" w:themeColor="text1"/>
                <w:sz w:val="16"/>
                <w:szCs w:val="16"/>
              </w:rPr>
              <w:t>The installation of recorders in signal boxes is in progress.</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O</w:t>
            </w:r>
          </w:p>
        </w:tc>
      </w:tr>
      <w:tr w:rsidTr="00380326">
        <w:tblPrEx>
          <w:tblW w:w="15331" w:type="dxa"/>
          <w:tblInd w:w="-459" w:type="dxa"/>
          <w:tblLayout w:type="fixed"/>
          <w:tblLook w:val="04A0"/>
        </w:tblPrEx>
        <w:trPr>
          <w:trHeight w:val="969"/>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08/2013</w:t>
            </w:r>
          </w:p>
        </w:tc>
        <w:tc>
          <w:tcPr>
            <w:tcW w:w="1842"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Derailment of a passenger train in Mercuès (department 46) on 22 May 2012</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R1</w:t>
            </w:r>
          </w:p>
        </w:tc>
        <w:tc>
          <w:tcPr>
            <w:tcW w:w="5103" w:type="dxa"/>
            <w:shd w:val="clear" w:color="auto" w:fill="auto"/>
            <w:vAlign w:val="center"/>
          </w:tcPr>
          <w:p w:rsidR="00054DA8" w:rsidRPr="00756DA5" w:rsidP="00054DA8">
            <w:pPr>
              <w:spacing w:line="280" w:lineRule="exact"/>
              <w:rPr>
                <w:rFonts w:cs="Arial"/>
                <w:sz w:val="16"/>
                <w:szCs w:val="16"/>
              </w:rPr>
            </w:pPr>
            <w:r w:rsidRPr="00756DA5">
              <w:rPr>
                <w:sz w:val="16"/>
                <w:szCs w:val="16"/>
              </w:rPr>
              <w:t xml:space="preserve">Define and implement procedures and methods for monitoring combined civil engineering </w:t>
            </w:r>
            <w:r w:rsidRPr="00756DA5">
              <w:rPr>
                <w:sz w:val="16"/>
                <w:szCs w:val="16"/>
              </w:rPr>
              <w:t>works, that</w:t>
            </w:r>
            <w:r w:rsidRPr="00756DA5">
              <w:rPr>
                <w:sz w:val="16"/>
                <w:szCs w:val="16"/>
              </w:rPr>
              <w:t xml:space="preserve"> will make it possible to monitor them in their entirety, particularly when they include sensitive earthworks.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The following procedures were revised:</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IN 00256 ‘Monitoring of earthworks, drainage systems and platforms’;</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IN 01253 ‘Monitoring of civil engineering projects and related structures’;</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IN 02088 ‘Technical requirements for the monitoring and maintenance of clad walls and associated reinforcement systems.</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p w:rsidR="00054DA8" w:rsidRPr="00756DA5" w:rsidP="00054DA8">
            <w:pPr>
              <w:spacing w:line="280" w:lineRule="exact"/>
              <w:jc w:val="left"/>
              <w:rPr>
                <w:rFonts w:cs="Arial"/>
                <w:color w:val="000000" w:themeColor="text1"/>
                <w:sz w:val="16"/>
                <w:szCs w:val="16"/>
              </w:rPr>
            </w:pP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C</w:t>
            </w:r>
          </w:p>
        </w:tc>
      </w:tr>
      <w:tr w:rsidTr="00380326">
        <w:tblPrEx>
          <w:tblW w:w="15331" w:type="dxa"/>
          <w:tblInd w:w="-459" w:type="dxa"/>
          <w:tblLayout w:type="fixed"/>
          <w:tblLook w:val="04A0"/>
        </w:tblPrEx>
        <w:trPr>
          <w:trHeight w:val="1568"/>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842" w:type="dxa"/>
            <w:vMerge/>
            <w:shd w:val="clear" w:color="auto" w:fill="auto"/>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R2</w:t>
            </w:r>
          </w:p>
        </w:tc>
        <w:tc>
          <w:tcPr>
            <w:tcW w:w="5103" w:type="dxa"/>
            <w:shd w:val="clear" w:color="auto" w:fill="auto"/>
            <w:vAlign w:val="center"/>
          </w:tcPr>
          <w:p w:rsidR="00054DA8" w:rsidRPr="00756DA5" w:rsidP="00054DA8">
            <w:pPr>
              <w:spacing w:line="280" w:lineRule="exact"/>
              <w:rPr>
                <w:rFonts w:cs="Arial"/>
                <w:sz w:val="16"/>
                <w:szCs w:val="16"/>
              </w:rPr>
            </w:pPr>
            <w:r w:rsidRPr="00756DA5">
              <w:rPr>
                <w:sz w:val="16"/>
                <w:szCs w:val="16"/>
              </w:rPr>
              <w:t>Systematically take into account, in the understanding of the environment of the civil engineering works and in the definition of the arrangements for their supervision, the data contained in the various information and prevention documents relating to major natural risks drawn up by the public authorities (department files on major risks, municipal information files on major risks, natural risk prevention plans, municipal safeguard plans).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A systematic survey was carried out as a priority on sensitive earthworks and retaining wall and facing </w:t>
            </w:r>
            <w:r w:rsidRPr="00756DA5">
              <w:rPr>
                <w:color w:val="000000" w:themeColor="text1"/>
                <w:sz w:val="16"/>
                <w:szCs w:val="16"/>
              </w:rPr>
              <w:t>wall engineering</w:t>
            </w:r>
            <w:r w:rsidRPr="00756DA5">
              <w:rPr>
                <w:color w:val="000000" w:themeColor="text1"/>
                <w:sz w:val="16"/>
                <w:szCs w:val="16"/>
              </w:rPr>
              <w:t xml:space="preserve"> works.</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C</w:t>
            </w:r>
          </w:p>
        </w:tc>
      </w:tr>
      <w:tr w:rsidTr="00380326">
        <w:tblPrEx>
          <w:tblW w:w="15331" w:type="dxa"/>
          <w:tblInd w:w="-459" w:type="dxa"/>
          <w:tblLayout w:type="fixed"/>
          <w:tblLook w:val="04A0"/>
        </w:tblPrEx>
        <w:trPr>
          <w:trHeight w:val="1396"/>
        </w:trPr>
        <w:tc>
          <w:tcPr>
            <w:tcW w:w="880" w:type="dxa"/>
            <w:vMerge/>
            <w:shd w:val="clear" w:color="auto" w:fill="92D050"/>
            <w:vAlign w:val="center"/>
          </w:tcPr>
          <w:p w:rsidR="00054DA8" w:rsidRPr="00756DA5" w:rsidP="00054DA8">
            <w:pPr>
              <w:spacing w:line="280" w:lineRule="exact"/>
              <w:jc w:val="center"/>
              <w:rPr>
                <w:rFonts w:cs="Arial"/>
                <w:sz w:val="16"/>
                <w:szCs w:val="16"/>
              </w:rPr>
            </w:pPr>
          </w:p>
        </w:tc>
        <w:tc>
          <w:tcPr>
            <w:tcW w:w="1842" w:type="dxa"/>
            <w:vMerge/>
            <w:shd w:val="clear" w:color="auto" w:fill="92D050"/>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103" w:type="dxa"/>
            <w:shd w:val="clear" w:color="auto" w:fill="auto"/>
            <w:vAlign w:val="center"/>
          </w:tcPr>
          <w:p w:rsidR="00054DA8" w:rsidRPr="00756DA5" w:rsidP="00054DA8">
            <w:pPr>
              <w:spacing w:line="280" w:lineRule="exact"/>
              <w:rPr>
                <w:rFonts w:cs="Arial"/>
                <w:sz w:val="16"/>
                <w:szCs w:val="16"/>
              </w:rPr>
            </w:pPr>
            <w:r w:rsidRPr="00756DA5">
              <w:rPr>
                <w:sz w:val="16"/>
                <w:szCs w:val="16"/>
              </w:rPr>
              <w:t xml:space="preserve">To develop, </w:t>
            </w:r>
            <w:r w:rsidRPr="00756DA5">
              <w:rPr>
                <w:sz w:val="16"/>
                <w:szCs w:val="16"/>
              </w:rPr>
              <w:t>on the basis of</w:t>
            </w:r>
            <w:r w:rsidRPr="00756DA5">
              <w:rPr>
                <w:sz w:val="16"/>
                <w:szCs w:val="16"/>
              </w:rPr>
              <w:t xml:space="preserve"> national and foreign road and railway achievements, simple real-time warning systems for railway traffic that can be implemented quickly, pending long-lasting measures, in the event of dangerous problems affecting the works.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In response to the results obtained in early 2017, the SURFO project (</w:t>
            </w:r>
            <w:r w:rsidRPr="00756DA5">
              <w:rPr>
                <w:i/>
                <w:color w:val="000000" w:themeColor="text1"/>
                <w:sz w:val="16"/>
                <w:szCs w:val="16"/>
              </w:rPr>
              <w:t>Surveillance du réseau ferroviaire par la fibre optique</w:t>
            </w:r>
            <w:r w:rsidRPr="00756DA5">
              <w:rPr>
                <w:color w:val="000000" w:themeColor="text1"/>
                <w:sz w:val="16"/>
                <w:szCs w:val="16"/>
              </w:rPr>
              <w:t xml:space="preserve">) [Optical fibre monitoring of the railway network] was launched in April 2017. The results </w:t>
            </w:r>
            <w:r w:rsidRPr="00756DA5">
              <w:rPr>
                <w:color w:val="000000" w:themeColor="text1"/>
                <w:sz w:val="16"/>
                <w:szCs w:val="16"/>
              </w:rPr>
              <w:t>are expected</w:t>
            </w:r>
            <w:r w:rsidRPr="00756DA5">
              <w:rPr>
                <w:color w:val="000000" w:themeColor="text1"/>
                <w:sz w:val="16"/>
                <w:szCs w:val="16"/>
              </w:rPr>
              <w:t xml:space="preserve"> in the second half of 2018.</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O</w:t>
            </w:r>
          </w:p>
        </w:tc>
      </w:tr>
    </w:tbl>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9B2197">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E62FA9" w:rsidRPr="00756DA5" w:rsidP="00E62FA9">
            <w:pPr>
              <w:pageBreakBefore/>
              <w:spacing w:after="200" w:line="280" w:lineRule="exact"/>
            </w:pPr>
            <w:r w:rsidRPr="00756DA5">
              <w:t>■ Reports published in 2014</w:t>
            </w:r>
          </w:p>
        </w:tc>
        <w:tc>
          <w:tcPr>
            <w:tcW w:w="4105" w:type="dxa"/>
          </w:tcPr>
          <w:p w:rsidR="00E62FA9" w:rsidRPr="00756DA5" w:rsidP="00E62FA9">
            <w:pPr>
              <w:pageBreakBefore/>
              <w:spacing w:after="200" w:line="280" w:lineRule="exact"/>
              <w:ind w:left="57"/>
            </w:pPr>
            <w:r w:rsidRPr="00756DA5">
              <w:t>Caption code: Closed = C; Open = O.</w:t>
            </w:r>
          </w:p>
        </w:tc>
      </w:tr>
    </w:tbl>
    <w:tbl>
      <w:tblPr>
        <w:tblStyle w:val="Grilledutableau1"/>
        <w:tblW w:w="15331" w:type="dxa"/>
        <w:tblInd w:w="-459" w:type="dxa"/>
        <w:tblLayout w:type="fixed"/>
        <w:tblLook w:val="04A0"/>
      </w:tblPr>
      <w:tblGrid>
        <w:gridCol w:w="880"/>
        <w:gridCol w:w="1701"/>
        <w:gridCol w:w="567"/>
        <w:gridCol w:w="5244"/>
        <w:gridCol w:w="1610"/>
        <w:gridCol w:w="4632"/>
        <w:gridCol w:w="697"/>
      </w:tblGrid>
      <w:tr w:rsidTr="00380326">
        <w:tblPrEx>
          <w:tblW w:w="15331" w:type="dxa"/>
          <w:tblInd w:w="-459" w:type="dxa"/>
          <w:tblLayout w:type="fixed"/>
          <w:tblLook w:val="04A0"/>
        </w:tblPrEx>
        <w:trPr>
          <w:trHeight w:val="694"/>
        </w:trPr>
        <w:tc>
          <w:tcPr>
            <w:tcW w:w="880" w:type="dxa"/>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701" w:type="dxa"/>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567" w:type="dxa"/>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244" w:type="dxa"/>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610" w:type="dxa"/>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vAlign w:val="center"/>
          </w:tcPr>
          <w:p w:rsidR="00054DA8" w:rsidRPr="00756DA5" w:rsidP="00054DA8">
            <w:pPr>
              <w:spacing w:line="280" w:lineRule="exact"/>
              <w:jc w:val="center"/>
              <w:rPr>
                <w:rFonts w:cs="Arial"/>
                <w:b/>
                <w:sz w:val="16"/>
                <w:szCs w:val="16"/>
              </w:rPr>
            </w:pPr>
            <w:r w:rsidRPr="00756DA5">
              <w:rPr>
                <w:b/>
                <w:sz w:val="16"/>
                <w:szCs w:val="16"/>
              </w:rPr>
              <w:t>Status of measures monitored by the EPSF at end of 2017</w:t>
            </w:r>
          </w:p>
        </w:tc>
        <w:tc>
          <w:tcPr>
            <w:tcW w:w="697" w:type="dxa"/>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380326">
        <w:tblPrEx>
          <w:tblW w:w="15331" w:type="dxa"/>
          <w:tblInd w:w="-459" w:type="dxa"/>
          <w:tblLayout w:type="fixed"/>
          <w:tblLook w:val="04A0"/>
        </w:tblPrEx>
        <w:trPr>
          <w:trHeight w:val="1966"/>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01/2014</w:t>
            </w:r>
          </w:p>
        </w:tc>
        <w:tc>
          <w:tcPr>
            <w:tcW w:w="1701"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Derailment of an Intercités train in Bretigny-sur-Orge (department 91) on 12 July 2013</w:t>
            </w:r>
          </w:p>
          <w:p w:rsidR="00054DA8" w:rsidRPr="00756DA5" w:rsidP="00054DA8">
            <w:pPr>
              <w:spacing w:line="280" w:lineRule="exact"/>
              <w:jc w:val="center"/>
              <w:rPr>
                <w:rFonts w:cs="Arial"/>
                <w:sz w:val="16"/>
                <w:szCs w:val="16"/>
              </w:rPr>
            </w:pPr>
            <w:r w:rsidRPr="00756DA5">
              <w:rPr>
                <w:sz w:val="16"/>
                <w:szCs w:val="16"/>
              </w:rPr>
              <w:t>(Progress report)</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R1</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Improve the overall level of control over bolted assemblies on points and crossings, by focussing on various factors, including:</w:t>
            </w:r>
          </w:p>
          <w:p w:rsidR="00054DA8" w:rsidRPr="00756DA5" w:rsidP="00054DA8">
            <w:pPr>
              <w:numPr>
                <w:ilvl w:val="3"/>
                <w:numId w:val="1"/>
              </w:numPr>
              <w:spacing w:line="280" w:lineRule="exact"/>
              <w:ind w:left="189" w:hanging="189"/>
              <w:contextualSpacing/>
              <w:rPr>
                <w:rFonts w:cs="Arial"/>
                <w:sz w:val="16"/>
                <w:szCs w:val="16"/>
              </w:rPr>
            </w:pPr>
            <w:r w:rsidRPr="00756DA5">
              <w:rPr>
                <w:sz w:val="16"/>
                <w:szCs w:val="16"/>
              </w:rPr>
              <w:t>the technical specifications and the quality of the components;</w:t>
            </w:r>
          </w:p>
          <w:p w:rsidR="00054DA8" w:rsidRPr="00756DA5" w:rsidP="00054DA8">
            <w:pPr>
              <w:numPr>
                <w:ilvl w:val="3"/>
                <w:numId w:val="1"/>
              </w:numPr>
              <w:spacing w:line="280" w:lineRule="exact"/>
              <w:ind w:left="189" w:hanging="189"/>
              <w:contextualSpacing/>
              <w:rPr>
                <w:rFonts w:cs="Arial"/>
                <w:sz w:val="16"/>
                <w:szCs w:val="16"/>
              </w:rPr>
            </w:pPr>
            <w:r w:rsidRPr="00756DA5">
              <w:rPr>
                <w:sz w:val="16"/>
                <w:szCs w:val="16"/>
              </w:rPr>
              <w:t>the bolt locking devices;</w:t>
            </w:r>
          </w:p>
          <w:p w:rsidR="00054DA8" w:rsidRPr="00756DA5" w:rsidP="00054DA8">
            <w:pPr>
              <w:numPr>
                <w:ilvl w:val="3"/>
                <w:numId w:val="1"/>
              </w:numPr>
              <w:spacing w:line="280" w:lineRule="exact"/>
              <w:ind w:left="189" w:hanging="189"/>
              <w:contextualSpacing/>
              <w:rPr>
                <w:sz w:val="16"/>
                <w:szCs w:val="16"/>
              </w:rPr>
            </w:pPr>
            <w:r w:rsidRPr="00756DA5">
              <w:rPr>
                <w:sz w:val="16"/>
                <w:szCs w:val="16"/>
              </w:rPr>
              <w:t>compliance</w:t>
            </w:r>
            <w:r w:rsidRPr="00756DA5">
              <w:rPr>
                <w:sz w:val="16"/>
                <w:szCs w:val="16"/>
              </w:rPr>
              <w:t xml:space="preserve"> with bolt tightening instructions and, more generally, compliance with the specifications and best practices at the time of installation and of maintenance operations on these assemblies.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The internal instructions formalise and describe the principle of the deployment of new models of bolted assemblies throughout the network have been published.</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C</w:t>
            </w:r>
          </w:p>
        </w:tc>
      </w:tr>
      <w:tr w:rsidTr="00380326">
        <w:tblPrEx>
          <w:tblW w:w="15331" w:type="dxa"/>
          <w:tblInd w:w="-459" w:type="dxa"/>
          <w:tblLayout w:type="fixed"/>
          <w:tblLook w:val="04A0"/>
        </w:tblPrEx>
        <w:trPr>
          <w:trHeight w:val="1618"/>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Identify the switches and crossings or groups thereof that have special features requiring strengthened maintenance or early regeneration with respect to the general instructions.</w:t>
            </w:r>
          </w:p>
          <w:p w:rsidR="00054DA8" w:rsidRPr="00756DA5" w:rsidP="00054DA8">
            <w:pPr>
              <w:spacing w:line="280" w:lineRule="exact"/>
              <w:rPr>
                <w:rFonts w:cs="Arial"/>
                <w:sz w:val="16"/>
                <w:szCs w:val="16"/>
              </w:rPr>
            </w:pPr>
            <w:r w:rsidRPr="00756DA5">
              <w:rPr>
                <w:sz w:val="16"/>
                <w:szCs w:val="16"/>
              </w:rPr>
              <w:t xml:space="preserve">Include provisions for the general organisation of maintenance or for that of the facilities that ensure that these specific details </w:t>
            </w:r>
            <w:r w:rsidRPr="00756DA5">
              <w:rPr>
                <w:sz w:val="16"/>
                <w:szCs w:val="16"/>
              </w:rPr>
              <w:t>are taken</w:t>
            </w:r>
            <w:r w:rsidRPr="00756DA5">
              <w:rPr>
                <w:sz w:val="16"/>
                <w:szCs w:val="16"/>
              </w:rPr>
              <w:t xml:space="preserve"> into account in a reliable and auditable manner.</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The process and organisation making it possible to define ‘rapidly evolving devices’ is in place. Deployment throughout France </w:t>
            </w:r>
            <w:r w:rsidRPr="00756DA5">
              <w:rPr>
                <w:color w:val="000000" w:themeColor="text1"/>
                <w:sz w:val="16"/>
                <w:szCs w:val="16"/>
              </w:rPr>
              <w:t>has been partially completed</w:t>
            </w:r>
            <w:r w:rsidRPr="00756DA5">
              <w:rPr>
                <w:color w:val="000000" w:themeColor="text1"/>
                <w:sz w:val="16"/>
                <w:szCs w:val="16"/>
              </w:rPr>
              <w:t xml:space="preserve">. Feedback on the effectiveness of this process is to </w:t>
            </w:r>
            <w:r w:rsidRPr="00756DA5">
              <w:rPr>
                <w:color w:val="000000" w:themeColor="text1"/>
                <w:sz w:val="16"/>
                <w:szCs w:val="16"/>
              </w:rPr>
              <w:t>be provided</w:t>
            </w:r>
            <w:r w:rsidRPr="00756DA5">
              <w:rPr>
                <w:color w:val="000000" w:themeColor="text1"/>
                <w:sz w:val="16"/>
                <w:szCs w:val="16"/>
              </w:rPr>
              <w:t>.</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rPr>
              <w:t>O</w:t>
            </w:r>
          </w:p>
        </w:tc>
      </w:tr>
      <w:tr w:rsidTr="00380326">
        <w:tblPrEx>
          <w:tblW w:w="15331" w:type="dxa"/>
          <w:tblInd w:w="-459" w:type="dxa"/>
          <w:tblLayout w:type="fixed"/>
          <w:tblLook w:val="04A0"/>
        </w:tblPrEx>
        <w:trPr>
          <w:trHeight w:val="1538"/>
        </w:trPr>
        <w:tc>
          <w:tcPr>
            <w:tcW w:w="880" w:type="dxa"/>
            <w:vAlign w:val="center"/>
          </w:tcPr>
          <w:p w:rsidR="00054DA8" w:rsidRPr="00756DA5" w:rsidP="00054DA8">
            <w:pPr>
              <w:spacing w:line="280" w:lineRule="exact"/>
              <w:jc w:val="center"/>
              <w:rPr>
                <w:rFonts w:cs="Arial"/>
                <w:sz w:val="16"/>
                <w:szCs w:val="16"/>
              </w:rPr>
            </w:pPr>
            <w:r w:rsidRPr="00756DA5">
              <w:rPr>
                <w:sz w:val="16"/>
                <w:szCs w:val="16"/>
              </w:rPr>
              <w:t>04/2014</w:t>
            </w:r>
          </w:p>
        </w:tc>
        <w:tc>
          <w:tcPr>
            <w:tcW w:w="1701" w:type="dxa"/>
            <w:vAlign w:val="center"/>
          </w:tcPr>
          <w:p w:rsidR="00054DA8" w:rsidRPr="00756DA5" w:rsidP="00054DA8">
            <w:pPr>
              <w:spacing w:line="280" w:lineRule="exact"/>
              <w:jc w:val="center"/>
              <w:rPr>
                <w:rFonts w:cs="Arial"/>
                <w:sz w:val="16"/>
                <w:szCs w:val="16"/>
              </w:rPr>
            </w:pPr>
            <w:r w:rsidRPr="00756DA5">
              <w:rPr>
                <w:sz w:val="16"/>
                <w:szCs w:val="16"/>
              </w:rPr>
              <w:t>Collision between a TER regional express train and a mobile crane in Marseille (department 13) on 13 April 2013</w:t>
            </w:r>
          </w:p>
        </w:tc>
        <w:tc>
          <w:tcPr>
            <w:tcW w:w="567" w:type="dxa"/>
            <w:vAlign w:val="center"/>
          </w:tcPr>
          <w:p w:rsidR="00054DA8" w:rsidRPr="00756DA5" w:rsidP="00054DA8">
            <w:pPr>
              <w:spacing w:line="280" w:lineRule="exact"/>
              <w:jc w:val="center"/>
              <w:rPr>
                <w:rFonts w:cs="Arial"/>
                <w:sz w:val="16"/>
                <w:szCs w:val="16"/>
              </w:rPr>
            </w:pPr>
            <w:r w:rsidRPr="00756DA5">
              <w:rPr>
                <w:sz w:val="16"/>
                <w:szCs w:val="16"/>
              </w:rPr>
              <w:t>R1</w:t>
            </w:r>
          </w:p>
        </w:tc>
        <w:tc>
          <w:tcPr>
            <w:tcW w:w="5244" w:type="dxa"/>
            <w:vAlign w:val="center"/>
          </w:tcPr>
          <w:p w:rsidR="00054DA8" w:rsidRPr="00756DA5" w:rsidP="00054DA8">
            <w:pPr>
              <w:spacing w:line="280" w:lineRule="exact"/>
              <w:rPr>
                <w:rFonts w:cs="Arial"/>
                <w:sz w:val="16"/>
                <w:szCs w:val="16"/>
              </w:rPr>
            </w:pPr>
            <w:r w:rsidRPr="00756DA5">
              <w:rPr>
                <w:sz w:val="16"/>
                <w:szCs w:val="16"/>
              </w:rPr>
              <w:t>Prohibit the crossing of level crossing No 1 on the railway line from Miramas to Marseille via the Côte Bleue by heavy goods vehicles coming from rue Albert Cohen that have characteristics which prevent them from progressing easily over railway premises. Indicate this prohibition from the junction of chemin du Passet and rue Albert Cohen.</w:t>
            </w:r>
          </w:p>
        </w:tc>
        <w:tc>
          <w:tcPr>
            <w:tcW w:w="1610" w:type="dxa"/>
            <w:vAlign w:val="center"/>
          </w:tcPr>
          <w:p w:rsidR="00054DA8" w:rsidRPr="00756DA5" w:rsidP="00054DA8">
            <w:pPr>
              <w:spacing w:line="280" w:lineRule="exact"/>
              <w:jc w:val="center"/>
              <w:rPr>
                <w:rFonts w:cs="Arial"/>
                <w:sz w:val="16"/>
                <w:szCs w:val="16"/>
              </w:rPr>
            </w:pPr>
            <w:r w:rsidRPr="00756DA5">
              <w:rPr>
                <w:sz w:val="16"/>
                <w:szCs w:val="16"/>
              </w:rPr>
              <w:t>Bouches-du-Rhône Prefecture</w:t>
            </w:r>
          </w:p>
          <w:p w:rsidR="00054DA8" w:rsidRPr="00756DA5" w:rsidP="00054DA8">
            <w:pPr>
              <w:spacing w:line="280" w:lineRule="exact"/>
              <w:jc w:val="center"/>
              <w:rPr>
                <w:rFonts w:cs="Arial"/>
                <w:sz w:val="16"/>
                <w:szCs w:val="16"/>
              </w:rPr>
            </w:pPr>
          </w:p>
          <w:p w:rsidR="00054DA8" w:rsidRPr="00756DA5" w:rsidP="00054DA8">
            <w:pPr>
              <w:spacing w:line="280" w:lineRule="exact"/>
              <w:jc w:val="center"/>
              <w:rPr>
                <w:rFonts w:cs="Arial"/>
                <w:sz w:val="16"/>
                <w:szCs w:val="16"/>
              </w:rPr>
            </w:pPr>
            <w:r w:rsidRPr="00756DA5">
              <w:rPr>
                <w:sz w:val="16"/>
                <w:szCs w:val="16"/>
              </w:rPr>
              <w:t>City of Marselle</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Signs announcing the prohibition from the junction of chemin du Passet and rue Albert Cohen </w:t>
            </w:r>
            <w:r w:rsidRPr="00756DA5">
              <w:rPr>
                <w:color w:val="000000" w:themeColor="text1"/>
                <w:sz w:val="16"/>
                <w:szCs w:val="16"/>
              </w:rPr>
              <w:t>should be put up</w:t>
            </w:r>
            <w:r w:rsidRPr="00756DA5">
              <w:rPr>
                <w:color w:val="000000" w:themeColor="text1"/>
                <w:sz w:val="16"/>
                <w:szCs w:val="16"/>
              </w:rPr>
              <w:t>.</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O</w:t>
            </w:r>
          </w:p>
        </w:tc>
      </w:tr>
    </w:tbl>
    <w:p w:rsidR="00054DA8" w:rsidRPr="00756DA5" w:rsidP="00054DA8">
      <w:pPr>
        <w:spacing w:line="280" w:lineRule="exact"/>
        <w:rPr>
          <w:rFonts w:cs="Arial"/>
          <w:color w:val="FFFFFF" w:themeColor="background1"/>
          <w:szCs w:val="20"/>
          <w:highlight w:val="red"/>
        </w:rPr>
      </w:pPr>
    </w:p>
    <w:p w:rsidR="00054DA8" w:rsidRPr="00756DA5" w:rsidP="00054DA8">
      <w:pPr>
        <w:spacing w:line="280" w:lineRule="exact"/>
        <w:jc w:val="left"/>
        <w:rPr>
          <w:rFonts w:cs="Arial"/>
          <w:color w:val="FFFFFF" w:themeColor="background1"/>
          <w:szCs w:val="20"/>
          <w:highlight w:val="red"/>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4105"/>
      </w:tblGrid>
      <w:tr w:rsidTr="00E62FA9">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89" w:type="dxa"/>
          </w:tcPr>
          <w:p w:rsidR="00E62FA9" w:rsidRPr="00756DA5" w:rsidP="00E62FA9">
            <w:pPr>
              <w:pageBreakBefore/>
              <w:spacing w:after="200" w:line="280" w:lineRule="exact"/>
            </w:pPr>
            <w:bookmarkStart w:id="113" w:name="_Toc490823870"/>
            <w:bookmarkStart w:id="114" w:name="_Toc490823956"/>
            <w:r w:rsidRPr="00756DA5">
              <w:rPr>
                <w:b/>
                <w:bCs/>
                <w:szCs w:val="20"/>
              </w:rPr>
              <w:t xml:space="preserve">■ </w:t>
            </w:r>
            <w:r w:rsidRPr="00756DA5">
              <w:rPr>
                <w:b/>
              </w:rPr>
              <w:t>Reports published in 2015</w:t>
            </w:r>
            <w:bookmarkEnd w:id="113"/>
            <w:bookmarkEnd w:id="114"/>
          </w:p>
        </w:tc>
        <w:tc>
          <w:tcPr>
            <w:tcW w:w="4105" w:type="dxa"/>
          </w:tcPr>
          <w:p w:rsidR="00E62FA9" w:rsidRPr="00756DA5" w:rsidP="00E62FA9">
            <w:pPr>
              <w:spacing w:after="200" w:line="280" w:lineRule="exact"/>
              <w:ind w:left="57"/>
              <w:rPr>
                <w:rFonts w:asciiTheme="minorHAnsi" w:hAnsiTheme="minorHAnsi"/>
                <w:sz w:val="22"/>
              </w:rPr>
            </w:pPr>
            <w:r w:rsidRPr="00756DA5">
              <w:t>Caption code: Closed = C; Open = O.</w:t>
            </w:r>
          </w:p>
        </w:tc>
      </w:tr>
    </w:tbl>
    <w:tbl>
      <w:tblPr>
        <w:tblStyle w:val="Grilledutableau1"/>
        <w:tblW w:w="15331" w:type="dxa"/>
        <w:tblInd w:w="-459" w:type="dxa"/>
        <w:tblLayout w:type="fixed"/>
        <w:tblLook w:val="04A0"/>
      </w:tblPr>
      <w:tblGrid>
        <w:gridCol w:w="880"/>
        <w:gridCol w:w="1701"/>
        <w:gridCol w:w="567"/>
        <w:gridCol w:w="5244"/>
        <w:gridCol w:w="1610"/>
        <w:gridCol w:w="4632"/>
        <w:gridCol w:w="697"/>
      </w:tblGrid>
      <w:tr w:rsidTr="00380326">
        <w:tblPrEx>
          <w:tblW w:w="15331" w:type="dxa"/>
          <w:tblInd w:w="-459" w:type="dxa"/>
          <w:tblLayout w:type="fixed"/>
          <w:tblLook w:val="04A0"/>
        </w:tblPrEx>
        <w:tc>
          <w:tcPr>
            <w:tcW w:w="880" w:type="dxa"/>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701" w:type="dxa"/>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567" w:type="dxa"/>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244" w:type="dxa"/>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610" w:type="dxa"/>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vAlign w:val="center"/>
          </w:tcPr>
          <w:p w:rsidR="00054DA8" w:rsidRPr="00756DA5" w:rsidP="00054DA8">
            <w:pPr>
              <w:spacing w:line="280" w:lineRule="exact"/>
              <w:jc w:val="center"/>
              <w:rPr>
                <w:rFonts w:cs="Arial"/>
                <w:b/>
                <w:sz w:val="16"/>
                <w:szCs w:val="16"/>
              </w:rPr>
            </w:pPr>
            <w:r w:rsidRPr="00756DA5">
              <w:rPr>
                <w:b/>
                <w:sz w:val="16"/>
                <w:szCs w:val="16"/>
              </w:rPr>
              <w:t>Status of measures monitored by the EPSF at end of 2017</w:t>
            </w:r>
          </w:p>
        </w:tc>
        <w:tc>
          <w:tcPr>
            <w:tcW w:w="697" w:type="dxa"/>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380326">
        <w:tblPrEx>
          <w:tblW w:w="15331" w:type="dxa"/>
          <w:tblInd w:w="-459" w:type="dxa"/>
          <w:tblLayout w:type="fixed"/>
          <w:tblLook w:val="04A0"/>
        </w:tblPrEx>
        <w:trPr>
          <w:trHeight w:val="821"/>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05/2015</w:t>
            </w:r>
          </w:p>
        </w:tc>
        <w:tc>
          <w:tcPr>
            <w:tcW w:w="1701"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following a drift in Modane (department 73) on 24 January 2013</w:t>
            </w:r>
          </w:p>
        </w:tc>
        <w:tc>
          <w:tcPr>
            <w:tcW w:w="567"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R1</w:t>
            </w:r>
          </w:p>
        </w:tc>
        <w:tc>
          <w:tcPr>
            <w:tcW w:w="5244" w:type="dxa"/>
            <w:vMerge w:val="restart"/>
            <w:shd w:val="clear" w:color="auto" w:fill="auto"/>
            <w:vAlign w:val="center"/>
          </w:tcPr>
          <w:p w:rsidR="00054DA8" w:rsidRPr="00756DA5" w:rsidP="00054DA8">
            <w:pPr>
              <w:spacing w:line="280" w:lineRule="exact"/>
              <w:rPr>
                <w:rFonts w:cs="Arial"/>
                <w:sz w:val="16"/>
                <w:szCs w:val="16"/>
              </w:rPr>
            </w:pPr>
            <w:r w:rsidRPr="00756DA5">
              <w:rPr>
                <w:sz w:val="16"/>
                <w:szCs w:val="16"/>
              </w:rPr>
              <w:t xml:space="preserve">Tighten and clarify the maintenance rule with the objective to find and eliminate coupling </w:t>
            </w:r>
            <w:r w:rsidRPr="00756DA5">
              <w:rPr>
                <w:sz w:val="16"/>
                <w:szCs w:val="16"/>
              </w:rPr>
              <w:t>tensioners which</w:t>
            </w:r>
            <w:r w:rsidRPr="00756DA5">
              <w:rPr>
                <w:sz w:val="16"/>
                <w:szCs w:val="16"/>
              </w:rPr>
              <w:t xml:space="preserve"> do not bear the marks of conformity with the European standard or recognised national standards in the wagon fleet of which you are the entity in charge of maintenance.</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Ermewa</w:t>
            </w:r>
          </w:p>
        </w:tc>
        <w:tc>
          <w:tcPr>
            <w:tcW w:w="4632" w:type="dxa"/>
            <w:shd w:val="clear" w:color="auto" w:fill="auto"/>
            <w:vAlign w:val="center"/>
          </w:tcPr>
          <w:p w:rsidR="00054DA8" w:rsidRPr="00756DA5" w:rsidP="00054DA8">
            <w:pPr>
              <w:spacing w:line="280" w:lineRule="exact"/>
              <w:jc w:val="left"/>
              <w:rPr>
                <w:rFonts w:cs="Arial"/>
                <w:sz w:val="16"/>
                <w:szCs w:val="16"/>
              </w:rPr>
            </w:pPr>
            <w:r w:rsidRPr="00756DA5">
              <w:rPr>
                <w:color w:val="000000" w:themeColor="text1"/>
                <w:sz w:val="16"/>
                <w:szCs w:val="16"/>
              </w:rPr>
              <w:t>In progress</w:t>
            </w:r>
          </w:p>
        </w:tc>
        <w:tc>
          <w:tcPr>
            <w:tcW w:w="697"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O</w:t>
            </w:r>
          </w:p>
        </w:tc>
      </w:tr>
      <w:tr w:rsidTr="00380326">
        <w:tblPrEx>
          <w:tblW w:w="15331" w:type="dxa"/>
          <w:tblInd w:w="-459" w:type="dxa"/>
          <w:tblLayout w:type="fixed"/>
          <w:tblLook w:val="04A0"/>
        </w:tblPrEx>
        <w:trPr>
          <w:trHeight w:val="1101"/>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vMerge/>
            <w:shd w:val="clear" w:color="auto" w:fill="auto"/>
            <w:vAlign w:val="center"/>
          </w:tcPr>
          <w:p w:rsidR="00054DA8" w:rsidRPr="00756DA5" w:rsidP="00054DA8">
            <w:pPr>
              <w:spacing w:line="280" w:lineRule="exact"/>
              <w:jc w:val="center"/>
              <w:rPr>
                <w:rFonts w:cs="Arial"/>
                <w:sz w:val="16"/>
                <w:szCs w:val="16"/>
              </w:rPr>
            </w:pPr>
          </w:p>
        </w:tc>
        <w:tc>
          <w:tcPr>
            <w:tcW w:w="5244" w:type="dxa"/>
            <w:vMerge/>
            <w:shd w:val="clear" w:color="auto" w:fill="auto"/>
            <w:vAlign w:val="center"/>
          </w:tcPr>
          <w:p w:rsidR="00054DA8" w:rsidRPr="00756DA5" w:rsidP="00054DA8">
            <w:pPr>
              <w:spacing w:line="280" w:lineRule="exact"/>
              <w:rPr>
                <w:rFonts w:cs="Arial"/>
                <w:sz w:val="16"/>
                <w:szCs w:val="16"/>
              </w:rPr>
            </w:pP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p w:rsidR="00054DA8" w:rsidRPr="00756DA5" w:rsidP="00054DA8">
            <w:pPr>
              <w:spacing w:line="280" w:lineRule="exact"/>
              <w:jc w:val="center"/>
              <w:rPr>
                <w:rFonts w:cs="Arial"/>
                <w:color w:val="000000"/>
                <w:sz w:val="16"/>
                <w:szCs w:val="16"/>
              </w:rPr>
            </w:pPr>
            <w:r w:rsidRPr="00756DA5">
              <w:rPr>
                <w:color w:val="000000"/>
                <w:sz w:val="16"/>
                <w:szCs w:val="16"/>
              </w:rPr>
              <w:t>Stock Management</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Inspection sheet V C3 503 version C ‘rolling stock draw gear’ applicable as at 14 April 2017 was published.</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4F81BD" w:themeColor="accent1"/>
                <w:sz w:val="16"/>
                <w:szCs w:val="16"/>
              </w:rPr>
            </w:pPr>
            <w:r w:rsidRPr="00756DA5">
              <w:rPr>
                <w:color w:val="000000" w:themeColor="text1"/>
                <w:sz w:val="16"/>
                <w:szCs w:val="16"/>
              </w:rPr>
              <w:t>Closed</w:t>
            </w:r>
          </w:p>
        </w:tc>
        <w:tc>
          <w:tcPr>
            <w:tcW w:w="697" w:type="dxa"/>
            <w:vMerge/>
            <w:shd w:val="clear" w:color="auto" w:fill="auto"/>
            <w:vAlign w:val="center"/>
          </w:tcPr>
          <w:p w:rsidR="00054DA8" w:rsidRPr="00756DA5" w:rsidP="00054DA8">
            <w:pPr>
              <w:spacing w:line="280" w:lineRule="exact"/>
              <w:jc w:val="center"/>
              <w:rPr>
                <w:rFonts w:cs="Arial"/>
                <w:sz w:val="16"/>
                <w:szCs w:val="16"/>
              </w:rPr>
            </w:pPr>
          </w:p>
        </w:tc>
      </w:tr>
      <w:tr w:rsidTr="00380326">
        <w:tblPrEx>
          <w:tblW w:w="15331" w:type="dxa"/>
          <w:tblInd w:w="-459" w:type="dxa"/>
          <w:tblLayout w:type="fixed"/>
          <w:tblLook w:val="04A0"/>
        </w:tblPrEx>
        <w:trPr>
          <w:trHeight w:val="822"/>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R2</w:t>
            </w:r>
          </w:p>
        </w:tc>
        <w:tc>
          <w:tcPr>
            <w:tcW w:w="5244" w:type="dxa"/>
            <w:vMerge w:val="restart"/>
            <w:shd w:val="clear" w:color="auto" w:fill="auto"/>
            <w:vAlign w:val="center"/>
          </w:tcPr>
          <w:p w:rsidR="00054DA8" w:rsidRPr="00756DA5" w:rsidP="00054DA8">
            <w:pPr>
              <w:spacing w:line="280" w:lineRule="exact"/>
              <w:rPr>
                <w:rFonts w:cs="Arial"/>
                <w:sz w:val="16"/>
                <w:szCs w:val="16"/>
              </w:rPr>
            </w:pPr>
            <w:r w:rsidRPr="00756DA5">
              <w:rPr>
                <w:sz w:val="16"/>
                <w:szCs w:val="16"/>
              </w:rPr>
              <w:t xml:space="preserve">In the case of C3A and C3W type distributors, carrying out a research on the modification of the specifications of the ‘cut-off’ and ‘first-time’ cuffs devices, or of their assembly, is required to ensure the seal of the brake cylinder circuit up to </w:t>
            </w:r>
            <w:r w:rsidRPr="00756DA5">
              <w:rPr>
                <w:sz w:val="16"/>
                <w:szCs w:val="16"/>
              </w:rPr>
              <w:t>-25°C</w:t>
            </w:r>
            <w:r w:rsidRPr="00756DA5">
              <w:rPr>
                <w:sz w:val="16"/>
                <w:szCs w:val="16"/>
              </w:rPr>
              <w:t xml:space="preserve"> for a lifetime consistent with the maintenance schemes.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FAIVELEY-TRANSPORT</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Study in progress</w:t>
            </w:r>
          </w:p>
        </w:tc>
        <w:tc>
          <w:tcPr>
            <w:tcW w:w="697" w:type="dxa"/>
            <w:vMerge w:val="restart"/>
            <w:shd w:val="clear" w:color="auto" w:fill="auto"/>
            <w:vAlign w:val="center"/>
          </w:tcPr>
          <w:p w:rsidR="00054DA8" w:rsidRPr="00756DA5" w:rsidP="00054DA8">
            <w:pPr>
              <w:spacing w:line="280" w:lineRule="exact"/>
              <w:jc w:val="center"/>
              <w:rPr>
                <w:rFonts w:cs="Arial"/>
                <w:sz w:val="16"/>
                <w:szCs w:val="16"/>
              </w:rPr>
            </w:pPr>
            <w:r w:rsidRPr="00756DA5">
              <w:rPr>
                <w:color w:val="000000"/>
                <w:sz w:val="16"/>
                <w:szCs w:val="16"/>
              </w:rPr>
              <w:t>O</w:t>
            </w:r>
          </w:p>
        </w:tc>
      </w:tr>
      <w:tr w:rsidTr="00380326">
        <w:tblPrEx>
          <w:tblW w:w="15331" w:type="dxa"/>
          <w:tblInd w:w="-459" w:type="dxa"/>
          <w:tblLayout w:type="fixed"/>
          <w:tblLook w:val="04A0"/>
        </w:tblPrEx>
        <w:trPr>
          <w:trHeight w:val="851"/>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vMerge/>
            <w:shd w:val="clear" w:color="auto" w:fill="auto"/>
            <w:vAlign w:val="center"/>
          </w:tcPr>
          <w:p w:rsidR="00054DA8" w:rsidRPr="00756DA5" w:rsidP="00054DA8">
            <w:pPr>
              <w:spacing w:line="280" w:lineRule="exact"/>
              <w:jc w:val="center"/>
              <w:rPr>
                <w:rFonts w:cs="Arial"/>
                <w:sz w:val="16"/>
                <w:szCs w:val="16"/>
              </w:rPr>
            </w:pPr>
          </w:p>
        </w:tc>
        <w:tc>
          <w:tcPr>
            <w:tcW w:w="5244" w:type="dxa"/>
            <w:vMerge/>
            <w:shd w:val="clear" w:color="auto" w:fill="auto"/>
            <w:vAlign w:val="center"/>
          </w:tcPr>
          <w:p w:rsidR="00054DA8" w:rsidRPr="00756DA5" w:rsidP="00054DA8">
            <w:pPr>
              <w:spacing w:line="280" w:lineRule="exact"/>
              <w:rPr>
                <w:rFonts w:cs="Arial"/>
                <w:sz w:val="16"/>
                <w:szCs w:val="16"/>
              </w:rPr>
            </w:pP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p w:rsidR="00054DA8" w:rsidRPr="00756DA5" w:rsidP="00054DA8">
            <w:pPr>
              <w:spacing w:line="280" w:lineRule="exact"/>
              <w:jc w:val="center"/>
              <w:rPr>
                <w:rFonts w:cs="Arial"/>
                <w:color w:val="000000"/>
                <w:sz w:val="16"/>
                <w:szCs w:val="16"/>
              </w:rPr>
            </w:pPr>
            <w:r w:rsidRPr="00756DA5">
              <w:rPr>
                <w:color w:val="000000"/>
                <w:sz w:val="16"/>
                <w:szCs w:val="16"/>
              </w:rPr>
              <w:t>Stock Management</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Awaiting the results of the study launched by Faiveley Transport.</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4F81BD" w:themeColor="accent1"/>
                <w:sz w:val="16"/>
                <w:szCs w:val="16"/>
              </w:rPr>
            </w:pPr>
            <w:r w:rsidRPr="00756DA5">
              <w:rPr>
                <w:color w:val="000000" w:themeColor="text1"/>
                <w:sz w:val="16"/>
                <w:szCs w:val="16"/>
              </w:rPr>
              <w:t>In progress</w:t>
            </w:r>
          </w:p>
        </w:tc>
        <w:tc>
          <w:tcPr>
            <w:tcW w:w="697" w:type="dxa"/>
            <w:vMerge/>
            <w:shd w:val="clear" w:color="auto" w:fill="auto"/>
            <w:vAlign w:val="center"/>
          </w:tcPr>
          <w:p w:rsidR="00054DA8" w:rsidRPr="00756DA5" w:rsidP="00054DA8">
            <w:pPr>
              <w:spacing w:line="280" w:lineRule="exact"/>
              <w:jc w:val="center"/>
              <w:rPr>
                <w:rFonts w:cs="Arial"/>
                <w:color w:val="000000"/>
                <w:sz w:val="16"/>
                <w:szCs w:val="16"/>
              </w:rPr>
            </w:pPr>
          </w:p>
        </w:tc>
      </w:tr>
      <w:tr w:rsidTr="00380326">
        <w:tblPrEx>
          <w:tblW w:w="15331" w:type="dxa"/>
          <w:tblInd w:w="-459" w:type="dxa"/>
          <w:tblLayout w:type="fixed"/>
          <w:tblLook w:val="04A0"/>
        </w:tblPrEx>
        <w:trPr>
          <w:trHeight w:val="1209"/>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 xml:space="preserve">As soon as the modification subject to the R2 recommendation has been finalised, it has to </w:t>
            </w:r>
            <w:r w:rsidRPr="00756DA5">
              <w:rPr>
                <w:sz w:val="16"/>
                <w:szCs w:val="16"/>
              </w:rPr>
              <w:t>be applied</w:t>
            </w:r>
            <w:r w:rsidRPr="00756DA5">
              <w:rPr>
                <w:sz w:val="16"/>
                <w:szCs w:val="16"/>
              </w:rPr>
              <w:t xml:space="preserve"> during the revision of the relevant distributors of the wagons of which you are the entity in charge of maintenance.</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p w:rsidR="00054DA8" w:rsidRPr="00756DA5" w:rsidP="00054DA8">
            <w:pPr>
              <w:spacing w:line="280" w:lineRule="exact"/>
              <w:jc w:val="center"/>
              <w:rPr>
                <w:rFonts w:cs="Arial"/>
                <w:color w:val="000000"/>
                <w:sz w:val="16"/>
                <w:szCs w:val="16"/>
              </w:rPr>
            </w:pPr>
            <w:r w:rsidRPr="00756DA5">
              <w:rPr>
                <w:color w:val="000000"/>
                <w:sz w:val="16"/>
                <w:szCs w:val="16"/>
              </w:rPr>
              <w:t>Stock Management</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Awaiting the outcome of the studies required by recommendation R2.</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r w:rsidTr="00380326">
        <w:tblPrEx>
          <w:tblW w:w="15331" w:type="dxa"/>
          <w:tblInd w:w="-459" w:type="dxa"/>
          <w:tblLayout w:type="fixed"/>
          <w:tblLook w:val="04A0"/>
        </w:tblPrEx>
        <w:trPr>
          <w:trHeight w:val="1605"/>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06/2015</w:t>
            </w:r>
          </w:p>
        </w:tc>
        <w:tc>
          <w:tcPr>
            <w:tcW w:w="1701"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Drift of a TER regional express train in Mérens-les-Vals (department 09) on 18 December 2013</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R2</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 xml:space="preserve">Specify in the procedures manuals issued for the staff responsible for </w:t>
            </w:r>
            <w:r w:rsidRPr="00756DA5">
              <w:rPr>
                <w:sz w:val="16"/>
                <w:szCs w:val="16"/>
              </w:rPr>
              <w:t>railway traffic management measures</w:t>
            </w:r>
            <w:r w:rsidRPr="00756DA5">
              <w:rPr>
                <w:sz w:val="16"/>
                <w:szCs w:val="16"/>
              </w:rPr>
              <w:t xml:space="preserve"> to be taken in the event of significant skidding, in particular when it is repetitive and not restricted to a specific location.</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The working group set up in order to respond to this recommendation reported its findings in October 2017. This </w:t>
            </w:r>
            <w:r w:rsidRPr="00756DA5">
              <w:rPr>
                <w:color w:val="000000" w:themeColor="text1"/>
                <w:sz w:val="16"/>
                <w:szCs w:val="16"/>
              </w:rPr>
              <w:t>was followed</w:t>
            </w:r>
            <w:r w:rsidRPr="00756DA5">
              <w:rPr>
                <w:color w:val="000000" w:themeColor="text1"/>
                <w:sz w:val="16"/>
                <w:szCs w:val="16"/>
              </w:rPr>
              <w:t xml:space="preserve"> by testing, which began in November 2017 and ended in May 2018. A </w:t>
            </w:r>
            <w:r w:rsidRPr="00756DA5">
              <w:rPr>
                <w:color w:val="000000" w:themeColor="text1"/>
                <w:sz w:val="16"/>
                <w:szCs w:val="16"/>
              </w:rPr>
              <w:t>roll-out</w:t>
            </w:r>
            <w:r w:rsidRPr="00756DA5">
              <w:rPr>
                <w:color w:val="000000" w:themeColor="text1"/>
                <w:sz w:val="16"/>
                <w:szCs w:val="16"/>
              </w:rPr>
              <w:t xml:space="preserve"> is planned in the second half of 2018.</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The updating of procedures </w:t>
            </w:r>
            <w:r w:rsidRPr="00756DA5">
              <w:rPr>
                <w:color w:val="000000" w:themeColor="text1"/>
                <w:sz w:val="16"/>
                <w:szCs w:val="16"/>
              </w:rPr>
              <w:t>is planned</w:t>
            </w:r>
            <w:r w:rsidRPr="00756DA5">
              <w:rPr>
                <w:color w:val="000000" w:themeColor="text1"/>
                <w:sz w:val="16"/>
                <w:szCs w:val="16"/>
              </w:rPr>
              <w:t xml:space="preserve"> in June 2018 (if the testing is conclusive).</w:t>
            </w:r>
          </w:p>
          <w:p w:rsidR="00054DA8" w:rsidRPr="00756DA5" w:rsidP="00054DA8">
            <w:pPr>
              <w:spacing w:line="280" w:lineRule="exact"/>
              <w:rPr>
                <w:rFonts w:cs="Arial"/>
                <w:sz w:val="16"/>
                <w:szCs w:val="16"/>
              </w:rPr>
            </w:pPr>
          </w:p>
          <w:p w:rsidR="00054DA8" w:rsidRPr="00756DA5" w:rsidP="00054DA8">
            <w:pPr>
              <w:spacing w:line="280" w:lineRule="exact"/>
              <w:rPr>
                <w:rFonts w:cs="Arial"/>
                <w:sz w:val="16"/>
                <w:szCs w:val="16"/>
              </w:rPr>
            </w:pPr>
            <w:r w:rsidRPr="00756DA5">
              <w:rPr>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r w:rsidTr="00380326">
        <w:tblPrEx>
          <w:tblW w:w="15331" w:type="dxa"/>
          <w:tblInd w:w="-459" w:type="dxa"/>
          <w:tblLayout w:type="fixed"/>
          <w:tblLook w:val="04A0"/>
        </w:tblPrEx>
        <w:trPr>
          <w:trHeight w:val="995"/>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R3</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To set up, within the Toulouse service station, organisational structure and a check making it possible to ensure that each time an AGC train passes through, its sand boxes will be properly filled.</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tc>
        <w:tc>
          <w:tcPr>
            <w:tcW w:w="4632" w:type="dxa"/>
            <w:vAlign w:val="center"/>
          </w:tcPr>
          <w:p w:rsidR="00054DA8" w:rsidRPr="00756DA5" w:rsidP="00054DA8">
            <w:pPr>
              <w:spacing w:line="280" w:lineRule="exact"/>
              <w:jc w:val="left"/>
              <w:rPr>
                <w:rFonts w:cs="Arial"/>
                <w:color w:val="000000"/>
                <w:sz w:val="16"/>
                <w:szCs w:val="16"/>
              </w:rPr>
            </w:pPr>
            <w:r w:rsidRPr="00756DA5">
              <w:rPr>
                <w:color w:val="000000" w:themeColor="text1"/>
                <w:sz w:val="16"/>
                <w:szCs w:val="16"/>
              </w:rPr>
              <w:t>Closed after tool put in place to monitor and inspect the organisational structure decided on.</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C</w:t>
            </w:r>
          </w:p>
        </w:tc>
      </w:tr>
      <w:tr w:rsidTr="00380326">
        <w:tblPrEx>
          <w:tblW w:w="15331" w:type="dxa"/>
          <w:tblInd w:w="-459" w:type="dxa"/>
          <w:tblLayout w:type="fixed"/>
          <w:tblLook w:val="04A0"/>
        </w:tblPrEx>
        <w:trPr>
          <w:trHeight w:val="1984"/>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R4</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Improve the braking performance of large capacity self-propelled train sets in case of poor adhesion by:</w:t>
            </w:r>
          </w:p>
          <w:p w:rsidR="00054DA8" w:rsidRPr="00756DA5" w:rsidP="00054DA8">
            <w:pPr>
              <w:spacing w:line="280" w:lineRule="exact"/>
              <w:rPr>
                <w:rFonts w:cs="Arial"/>
                <w:sz w:val="16"/>
                <w:szCs w:val="16"/>
              </w:rPr>
            </w:pPr>
            <w:r w:rsidRPr="00756DA5">
              <w:rPr>
                <w:sz w:val="16"/>
                <w:szCs w:val="16"/>
              </w:rPr>
              <w:t>- rapidly lowering to a level as low as possible compatible with the constraints on this rolling stock, the infrastructure and comfort of the passengers, the speed limit below which the pads of their electromagnetic brake must not be in contact with the rails;</w:t>
            </w:r>
          </w:p>
          <w:p w:rsidR="00054DA8" w:rsidRPr="00756DA5" w:rsidP="00054DA8">
            <w:pPr>
              <w:spacing w:line="280" w:lineRule="exact"/>
              <w:rPr>
                <w:rFonts w:cs="Arial"/>
                <w:sz w:val="16"/>
                <w:szCs w:val="16"/>
              </w:rPr>
            </w:pPr>
            <w:r w:rsidRPr="00756DA5">
              <w:rPr>
                <w:sz w:val="16"/>
                <w:szCs w:val="16"/>
              </w:rPr>
              <w:t>- prescribing and organising systematic verification of the functioning and filling of their sand boxes during all their passages through a service station.</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A memorandum is in the process of validation.</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r w:rsidTr="00380326">
        <w:tblPrEx>
          <w:tblW w:w="15331" w:type="dxa"/>
          <w:tblInd w:w="-459" w:type="dxa"/>
          <w:tblLayout w:type="fixed"/>
          <w:tblLook w:val="04A0"/>
        </w:tblPrEx>
        <w:trPr>
          <w:trHeight w:val="1828"/>
        </w:trPr>
        <w:tc>
          <w:tcPr>
            <w:tcW w:w="880"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06/2015</w:t>
            </w:r>
          </w:p>
        </w:tc>
        <w:tc>
          <w:tcPr>
            <w:tcW w:w="1701"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Collision between a TGV high-speed train and a load-carrying road vehicle in Saint-Rémy-de-Sillé (department 72) on 15 October 2013</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R1</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 xml:space="preserve">Prevent, by any appropriate means, the access of low-clearance vehicles to municipal road no 3 or correct the profile along this road immediately to the north of level crossing No 128 so that these vehicles can cross it without </w:t>
            </w:r>
            <w:r w:rsidRPr="00756DA5">
              <w:rPr>
                <w:sz w:val="16"/>
                <w:szCs w:val="16"/>
              </w:rPr>
              <w:t>getting</w:t>
            </w:r>
            <w:r w:rsidRPr="00756DA5">
              <w:rPr>
                <w:sz w:val="16"/>
                <w:szCs w:val="16"/>
              </w:rPr>
              <w:t xml:space="preserve"> stuck.</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p w:rsidR="00054DA8" w:rsidRPr="00756DA5" w:rsidP="00054DA8">
            <w:pPr>
              <w:spacing w:line="280" w:lineRule="exact"/>
              <w:jc w:val="center"/>
              <w:rPr>
                <w:rFonts w:cs="Arial"/>
                <w:color w:val="000000"/>
                <w:sz w:val="16"/>
                <w:szCs w:val="16"/>
              </w:rPr>
            </w:pPr>
          </w:p>
          <w:p w:rsidR="00054DA8" w:rsidRPr="00756DA5" w:rsidP="00054DA8">
            <w:pPr>
              <w:spacing w:line="280" w:lineRule="exact"/>
              <w:jc w:val="center"/>
              <w:rPr>
                <w:rFonts w:cs="Arial"/>
                <w:color w:val="000000"/>
                <w:sz w:val="16"/>
                <w:szCs w:val="16"/>
              </w:rPr>
            </w:pPr>
            <w:r w:rsidRPr="00756DA5">
              <w:rPr>
                <w:color w:val="000000"/>
                <w:sz w:val="16"/>
                <w:szCs w:val="16"/>
              </w:rPr>
              <w:t>Municipality of Saint-Rémy-de-Sillé</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A study </w:t>
            </w:r>
            <w:r w:rsidRPr="00756DA5">
              <w:rPr>
                <w:color w:val="000000" w:themeColor="text1"/>
                <w:sz w:val="16"/>
                <w:szCs w:val="16"/>
              </w:rPr>
              <w:t>has been launched</w:t>
            </w:r>
            <w:r w:rsidRPr="00756DA5">
              <w:rPr>
                <w:color w:val="000000" w:themeColor="text1"/>
                <w:sz w:val="16"/>
                <w:szCs w:val="16"/>
              </w:rPr>
              <w:t xml:space="preserve"> for the correction of the road profile, which would determine the technical and financial feasibility of improving the road crossing conditions of the LC.</w:t>
            </w:r>
          </w:p>
          <w:p w:rsidR="00054DA8" w:rsidRPr="00756DA5" w:rsidP="00054DA8">
            <w:pPr>
              <w:spacing w:line="280" w:lineRule="exact"/>
              <w:rPr>
                <w:rFonts w:cs="Arial"/>
                <w:color w:val="000000" w:themeColor="text1"/>
                <w:sz w:val="16"/>
                <w:szCs w:val="16"/>
              </w:rPr>
            </w:pPr>
            <w:r w:rsidRPr="00756DA5">
              <w:rPr>
                <w:color w:val="000000" w:themeColor="text1"/>
                <w:sz w:val="16"/>
                <w:szCs w:val="16"/>
              </w:rPr>
              <w:t>Based on the results of the study and of the level of improvement of the safety conditions, the municipality and SNCF Réseau will make a decision on the continuation of the studies and work.</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r w:rsidTr="00380326">
        <w:tblPrEx>
          <w:tblW w:w="15331" w:type="dxa"/>
          <w:tblInd w:w="-459" w:type="dxa"/>
          <w:tblLayout w:type="fixed"/>
          <w:tblLook w:val="04A0"/>
        </w:tblPrEx>
        <w:trPr>
          <w:trHeight w:val="1414"/>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09/2015</w:t>
            </w:r>
          </w:p>
        </w:tc>
        <w:tc>
          <w:tcPr>
            <w:tcW w:w="1701"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Derailment of an Intercités train in Bretigny-sur-Orge (department 91) on 12 July 2013</w:t>
            </w:r>
          </w:p>
          <w:p w:rsidR="00054DA8" w:rsidRPr="00756DA5" w:rsidP="00054DA8">
            <w:pPr>
              <w:spacing w:line="280" w:lineRule="exact"/>
              <w:jc w:val="center"/>
              <w:rPr>
                <w:rFonts w:cs="Arial"/>
                <w:sz w:val="16"/>
                <w:szCs w:val="16"/>
              </w:rPr>
            </w:pPr>
            <w:r w:rsidRPr="00756DA5">
              <w:rPr>
                <w:sz w:val="16"/>
                <w:szCs w:val="16"/>
              </w:rPr>
              <w:t>(Final report)</w:t>
            </w: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R4</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Regularly check, through external audits and on the basis of explicit objectives, that the changes in the average age of the various components of the national railway network complies with the guidelines adopted and that the resources allocated to maintenance are consistent with the needs relating to the condition of the installations and the expected performance.</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An audit </w:t>
            </w:r>
            <w:r w:rsidRPr="00756DA5">
              <w:rPr>
                <w:color w:val="000000" w:themeColor="text1"/>
                <w:sz w:val="16"/>
                <w:szCs w:val="16"/>
              </w:rPr>
              <w:t>has been ordered</w:t>
            </w:r>
            <w:r w:rsidRPr="00756DA5">
              <w:rPr>
                <w:color w:val="000000" w:themeColor="text1"/>
                <w:sz w:val="16"/>
                <w:szCs w:val="16"/>
              </w:rPr>
              <w:t xml:space="preserve"> to be able to assess, among other things, the changes in the condition of the network from the perspective of the economic goals specified in the new goals agreement and from the perspective of the associated strategic choices.</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r w:rsidTr="00380326">
        <w:tblPrEx>
          <w:tblW w:w="15331" w:type="dxa"/>
          <w:tblInd w:w="-459" w:type="dxa"/>
          <w:tblLayout w:type="fixed"/>
          <w:tblLook w:val="04A0"/>
        </w:tblPrEx>
        <w:trPr>
          <w:trHeight w:val="2262"/>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R5</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Improve the policy for the assignment of executives to facilities for the maintenance of railway infrastructure:</w:t>
            </w:r>
          </w:p>
          <w:p w:rsidR="00054DA8" w:rsidRPr="00756DA5" w:rsidP="00054DA8">
            <w:pPr>
              <w:spacing w:line="280" w:lineRule="exact"/>
              <w:rPr>
                <w:rFonts w:cs="Arial"/>
                <w:sz w:val="16"/>
                <w:szCs w:val="16"/>
              </w:rPr>
            </w:pPr>
            <w:r w:rsidRPr="00756DA5">
              <w:rPr>
                <w:sz w:val="16"/>
                <w:szCs w:val="16"/>
              </w:rPr>
              <w:t>- by avoiding concentrations of young executives in the operational units and taking account of this objective in determining the organisational frameworks for these units;</w:t>
            </w:r>
          </w:p>
          <w:p w:rsidR="00054DA8" w:rsidRPr="00756DA5" w:rsidP="00054DA8">
            <w:pPr>
              <w:spacing w:line="280" w:lineRule="exact"/>
              <w:rPr>
                <w:rFonts w:cs="Arial"/>
                <w:sz w:val="16"/>
                <w:szCs w:val="16"/>
              </w:rPr>
            </w:pPr>
            <w:r w:rsidRPr="00756DA5">
              <w:rPr>
                <w:sz w:val="16"/>
                <w:szCs w:val="16"/>
              </w:rPr>
              <w:t>- by making sure to set up teams to lead the rail sectors with a local manager, a support technician and an operational technician who have abilities, skills and seniority that usefully complement each other;</w:t>
            </w:r>
          </w:p>
          <w:p w:rsidR="00054DA8" w:rsidRPr="00756DA5" w:rsidP="00054DA8">
            <w:pPr>
              <w:spacing w:line="280" w:lineRule="exact"/>
              <w:rPr>
                <w:rFonts w:cs="Arial"/>
                <w:sz w:val="16"/>
                <w:szCs w:val="16"/>
              </w:rPr>
            </w:pPr>
            <w:r w:rsidRPr="00756DA5">
              <w:rPr>
                <w:sz w:val="16"/>
                <w:szCs w:val="16"/>
              </w:rPr>
              <w:t xml:space="preserve">- </w:t>
            </w:r>
            <w:r w:rsidRPr="00756DA5">
              <w:rPr>
                <w:sz w:val="16"/>
                <w:szCs w:val="16"/>
              </w:rPr>
              <w:t>by</w:t>
            </w:r>
            <w:r w:rsidRPr="00756DA5">
              <w:rPr>
                <w:sz w:val="16"/>
                <w:szCs w:val="16"/>
              </w:rPr>
              <w:t xml:space="preserve"> reducing their turnover, especially in facilities located in the Île-de-France region.</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 xml:space="preserve">The majority of the actions decided on by SNCF Réseau </w:t>
            </w:r>
            <w:r w:rsidRPr="00756DA5">
              <w:rPr>
                <w:color w:val="000000" w:themeColor="text1"/>
                <w:sz w:val="16"/>
                <w:szCs w:val="16"/>
              </w:rPr>
              <w:t>have been implemented</w:t>
            </w:r>
            <w:r w:rsidRPr="00756DA5">
              <w:rPr>
                <w:color w:val="000000" w:themeColor="text1"/>
                <w:sz w:val="16"/>
                <w:szCs w:val="16"/>
              </w:rPr>
              <w:t>.</w:t>
            </w: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 xml:space="preserve">Testing is underway of the mechanism making it possible </w:t>
            </w:r>
            <w:r w:rsidRPr="00756DA5">
              <w:rPr>
                <w:color w:val="000000" w:themeColor="text1"/>
                <w:sz w:val="16"/>
                <w:szCs w:val="16"/>
              </w:rPr>
              <w:t>to significantly reduce</w:t>
            </w:r>
            <w:r w:rsidRPr="00756DA5">
              <w:rPr>
                <w:color w:val="000000" w:themeColor="text1"/>
                <w:sz w:val="16"/>
                <w:szCs w:val="16"/>
              </w:rPr>
              <w:t xml:space="preserve"> the risks of appointments of young executives whose profiles prove to be incompatible with the professional environment of their assignments.</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4F81BD" w:themeColor="accen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r w:rsidTr="00380326">
        <w:tblPrEx>
          <w:tblW w:w="15331" w:type="dxa"/>
          <w:tblInd w:w="-459" w:type="dxa"/>
          <w:tblLayout w:type="fixed"/>
          <w:tblLook w:val="04A0"/>
        </w:tblPrEx>
        <w:trPr>
          <w:trHeight w:val="1827"/>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701" w:type="dxa"/>
            <w:vMerge/>
            <w:shd w:val="clear" w:color="auto" w:fill="auto"/>
            <w:vAlign w:val="center"/>
          </w:tcPr>
          <w:p w:rsidR="00054DA8" w:rsidRPr="00756DA5" w:rsidP="00054DA8">
            <w:pPr>
              <w:spacing w:line="280" w:lineRule="exact"/>
              <w:jc w:val="center"/>
              <w:rPr>
                <w:rFonts w:cs="Arial"/>
                <w:sz w:val="16"/>
                <w:szCs w:val="16"/>
              </w:rPr>
            </w:pPr>
          </w:p>
        </w:tc>
        <w:tc>
          <w:tcPr>
            <w:tcW w:w="56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R6</w:t>
            </w:r>
          </w:p>
        </w:tc>
        <w:tc>
          <w:tcPr>
            <w:tcW w:w="5244" w:type="dxa"/>
            <w:shd w:val="clear" w:color="auto" w:fill="auto"/>
            <w:vAlign w:val="center"/>
          </w:tcPr>
          <w:p w:rsidR="00054DA8" w:rsidRPr="00756DA5" w:rsidP="00054DA8">
            <w:pPr>
              <w:spacing w:line="280" w:lineRule="exact"/>
              <w:rPr>
                <w:rFonts w:cs="Arial"/>
                <w:sz w:val="16"/>
                <w:szCs w:val="16"/>
              </w:rPr>
            </w:pPr>
            <w:r w:rsidRPr="00756DA5">
              <w:rPr>
                <w:sz w:val="16"/>
                <w:szCs w:val="16"/>
              </w:rPr>
              <w:t>To systematically integrate</w:t>
            </w:r>
            <w:r w:rsidRPr="00756DA5">
              <w:rPr>
                <w:sz w:val="16"/>
                <w:szCs w:val="16"/>
              </w:rPr>
              <w:t xml:space="preserve"> into the safety audits of the facilities for the maintenance of railway infrastructure, checks on the actual condition of a sample of equipment that was recently monitored or maintained in order to evaluate how relevant the maintenance rules are and how well they have been implemented.</w:t>
            </w:r>
          </w:p>
          <w:p w:rsidR="00054DA8" w:rsidRPr="00756DA5" w:rsidP="00054DA8">
            <w:pPr>
              <w:spacing w:line="280" w:lineRule="exact"/>
              <w:rPr>
                <w:rFonts w:cs="Arial"/>
                <w:sz w:val="16"/>
                <w:szCs w:val="16"/>
              </w:rPr>
            </w:pPr>
            <w:r w:rsidRPr="00756DA5">
              <w:rPr>
                <w:sz w:val="16"/>
                <w:szCs w:val="16"/>
              </w:rPr>
              <w:t xml:space="preserve">Particular attention </w:t>
            </w:r>
            <w:r w:rsidRPr="00756DA5">
              <w:rPr>
                <w:sz w:val="16"/>
                <w:szCs w:val="16"/>
              </w:rPr>
              <w:t>should be paid</w:t>
            </w:r>
            <w:r w:rsidRPr="00756DA5">
              <w:rPr>
                <w:sz w:val="16"/>
                <w:szCs w:val="16"/>
              </w:rPr>
              <w:t xml:space="preserve"> to the performance of the monitoring rounds and the B-type checks on switches and crossings.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The verification of the actual condition of installations </w:t>
            </w:r>
            <w:r w:rsidRPr="00756DA5">
              <w:rPr>
                <w:color w:val="000000" w:themeColor="text1"/>
                <w:sz w:val="16"/>
                <w:szCs w:val="16"/>
              </w:rPr>
              <w:t>has been incorporated</w:t>
            </w:r>
            <w:r w:rsidRPr="00756DA5">
              <w:rPr>
                <w:color w:val="000000" w:themeColor="text1"/>
                <w:sz w:val="16"/>
                <w:szCs w:val="16"/>
              </w:rPr>
              <w:t xml:space="preserve"> in a lasting manner into the framework of internal safety audits carried out by the ASNO.</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The incorporation of this type of verification into the audits carried out by the operational management in maintenance facilities </w:t>
            </w:r>
            <w:r w:rsidRPr="00756DA5">
              <w:rPr>
                <w:color w:val="000000" w:themeColor="text1"/>
                <w:sz w:val="16"/>
                <w:szCs w:val="16"/>
              </w:rPr>
              <w:t>has been initiated</w:t>
            </w:r>
            <w:r w:rsidRPr="00756DA5">
              <w:rPr>
                <w:color w:val="000000" w:themeColor="text1"/>
                <w:sz w:val="16"/>
                <w:szCs w:val="16"/>
              </w:rPr>
              <w:t>.</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sz w:val="16"/>
                <w:szCs w:val="16"/>
              </w:rPr>
            </w:pPr>
            <w:r w:rsidRPr="00756DA5">
              <w:rPr>
                <w:color w:val="000000" w:themeColor="text1"/>
                <w:sz w:val="16"/>
                <w:szCs w:val="16"/>
              </w:rPr>
              <w:t xml:space="preserve">In progress </w:t>
            </w:r>
          </w:p>
        </w:tc>
        <w:tc>
          <w:tcPr>
            <w:tcW w:w="697"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O</w:t>
            </w:r>
          </w:p>
        </w:tc>
      </w:tr>
    </w:tbl>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8"/>
        <w:gridCol w:w="4076"/>
      </w:tblGrid>
      <w:tr w:rsidTr="004F08FC">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918" w:type="dxa"/>
          </w:tcPr>
          <w:p w:rsidR="004F08FC" w:rsidRPr="00756DA5" w:rsidP="00E62FA9">
            <w:pPr>
              <w:pageBreakBefore/>
              <w:spacing w:after="200" w:line="280" w:lineRule="exact"/>
            </w:pPr>
            <w:r w:rsidRPr="00756DA5">
              <w:rPr>
                <w:b/>
                <w:bCs/>
                <w:szCs w:val="20"/>
              </w:rPr>
              <w:t xml:space="preserve">■ </w:t>
            </w:r>
            <w:r w:rsidRPr="00756DA5">
              <w:rPr>
                <w:b/>
              </w:rPr>
              <w:t>Reports published in 2016</w:t>
            </w:r>
          </w:p>
        </w:tc>
        <w:tc>
          <w:tcPr>
            <w:tcW w:w="4076" w:type="dxa"/>
          </w:tcPr>
          <w:p w:rsidR="004F08FC" w:rsidRPr="00756DA5" w:rsidP="004F08FC">
            <w:pPr>
              <w:spacing w:after="200" w:line="280" w:lineRule="exact"/>
              <w:ind w:left="57"/>
            </w:pPr>
            <w:r w:rsidRPr="00756DA5">
              <w:t>Caption code: Closed = C; Open = O.</w:t>
            </w:r>
          </w:p>
        </w:tc>
      </w:tr>
    </w:tbl>
    <w:tbl>
      <w:tblPr>
        <w:tblStyle w:val="Grilledutableau1"/>
        <w:tblW w:w="15331" w:type="dxa"/>
        <w:tblInd w:w="-459" w:type="dxa"/>
        <w:tblLayout w:type="fixed"/>
        <w:tblLook w:val="04A0"/>
      </w:tblPr>
      <w:tblGrid>
        <w:gridCol w:w="880"/>
        <w:gridCol w:w="1559"/>
        <w:gridCol w:w="567"/>
        <w:gridCol w:w="5386"/>
        <w:gridCol w:w="1610"/>
        <w:gridCol w:w="4632"/>
        <w:gridCol w:w="697"/>
      </w:tblGrid>
      <w:tr w:rsidTr="00380326">
        <w:tblPrEx>
          <w:tblW w:w="15331" w:type="dxa"/>
          <w:tblInd w:w="-459" w:type="dxa"/>
          <w:tblLayout w:type="fixed"/>
          <w:tblLook w:val="04A0"/>
        </w:tblPrEx>
        <w:tc>
          <w:tcPr>
            <w:tcW w:w="880" w:type="dxa"/>
            <w:shd w:val="clear" w:color="auto" w:fill="auto"/>
            <w:vAlign w:val="center"/>
          </w:tcPr>
          <w:p w:rsidR="00054DA8" w:rsidRPr="00756DA5" w:rsidP="00054DA8">
            <w:pPr>
              <w:spacing w:line="280" w:lineRule="exact"/>
              <w:jc w:val="center"/>
              <w:rPr>
                <w:rFonts w:cs="Arial"/>
                <w:b/>
                <w:color w:val="000000" w:themeColor="text1"/>
                <w:sz w:val="16"/>
                <w:szCs w:val="16"/>
              </w:rPr>
            </w:pPr>
            <w:r w:rsidRPr="00756DA5">
              <w:rPr>
                <w:b/>
                <w:color w:val="000000" w:themeColor="text1"/>
                <w:sz w:val="16"/>
                <w:szCs w:val="16"/>
              </w:rPr>
              <w:t>Report date</w:t>
            </w:r>
          </w:p>
        </w:tc>
        <w:tc>
          <w:tcPr>
            <w:tcW w:w="1559" w:type="dxa"/>
            <w:shd w:val="clear" w:color="auto" w:fill="auto"/>
            <w:vAlign w:val="center"/>
          </w:tcPr>
          <w:p w:rsidR="00054DA8" w:rsidRPr="00756DA5" w:rsidP="00054DA8">
            <w:pPr>
              <w:spacing w:line="280" w:lineRule="exact"/>
              <w:jc w:val="center"/>
              <w:rPr>
                <w:rFonts w:cs="Arial"/>
                <w:b/>
                <w:color w:val="000000" w:themeColor="text1"/>
                <w:sz w:val="16"/>
                <w:szCs w:val="16"/>
              </w:rPr>
            </w:pPr>
            <w:r w:rsidRPr="00756DA5">
              <w:rPr>
                <w:b/>
                <w:color w:val="000000" w:themeColor="text1"/>
                <w:sz w:val="16"/>
                <w:szCs w:val="16"/>
              </w:rPr>
              <w:t>Investigation title</w:t>
            </w:r>
          </w:p>
        </w:tc>
        <w:tc>
          <w:tcPr>
            <w:tcW w:w="567" w:type="dxa"/>
            <w:shd w:val="clear" w:color="auto" w:fill="auto"/>
            <w:vAlign w:val="center"/>
          </w:tcPr>
          <w:p w:rsidR="00054DA8" w:rsidRPr="00756DA5" w:rsidP="00054DA8">
            <w:pPr>
              <w:spacing w:line="280" w:lineRule="exact"/>
              <w:jc w:val="center"/>
              <w:rPr>
                <w:rFonts w:cs="Arial"/>
                <w:b/>
                <w:color w:val="000000" w:themeColor="text1"/>
                <w:sz w:val="16"/>
                <w:szCs w:val="16"/>
              </w:rPr>
            </w:pPr>
            <w:r w:rsidRPr="00756DA5">
              <w:rPr>
                <w:b/>
                <w:color w:val="000000" w:themeColor="text1"/>
                <w:sz w:val="16"/>
                <w:szCs w:val="16"/>
              </w:rPr>
              <w:t>No</w:t>
            </w:r>
          </w:p>
        </w:tc>
        <w:tc>
          <w:tcPr>
            <w:tcW w:w="5386" w:type="dxa"/>
            <w:shd w:val="clear" w:color="auto" w:fill="auto"/>
            <w:vAlign w:val="center"/>
          </w:tcPr>
          <w:p w:rsidR="00054DA8" w:rsidRPr="00756DA5" w:rsidP="00054DA8">
            <w:pPr>
              <w:spacing w:line="280" w:lineRule="exact"/>
              <w:jc w:val="center"/>
              <w:rPr>
                <w:rFonts w:cs="Arial"/>
                <w:b/>
                <w:color w:val="000000" w:themeColor="text1"/>
                <w:sz w:val="16"/>
                <w:szCs w:val="16"/>
              </w:rPr>
            </w:pPr>
            <w:r w:rsidRPr="00756DA5">
              <w:rPr>
                <w:b/>
                <w:color w:val="000000" w:themeColor="text1"/>
                <w:sz w:val="16"/>
                <w:szCs w:val="16"/>
              </w:rPr>
              <w:t>Wording of the BEA-TT recommendation</w:t>
            </w:r>
          </w:p>
        </w:tc>
        <w:tc>
          <w:tcPr>
            <w:tcW w:w="1610" w:type="dxa"/>
            <w:shd w:val="clear" w:color="auto" w:fill="auto"/>
            <w:vAlign w:val="center"/>
          </w:tcPr>
          <w:p w:rsidR="00054DA8" w:rsidRPr="00756DA5" w:rsidP="00054DA8">
            <w:pPr>
              <w:spacing w:line="280" w:lineRule="exact"/>
              <w:jc w:val="center"/>
              <w:rPr>
                <w:rFonts w:cs="Arial"/>
                <w:b/>
                <w:color w:val="000000" w:themeColor="text1"/>
                <w:sz w:val="16"/>
                <w:szCs w:val="16"/>
              </w:rPr>
            </w:pPr>
            <w:r w:rsidRPr="00756DA5">
              <w:rPr>
                <w:b/>
                <w:color w:val="000000" w:themeColor="text1"/>
                <w:sz w:val="16"/>
                <w:szCs w:val="16"/>
              </w:rPr>
              <w:t>Entity</w:t>
            </w:r>
          </w:p>
        </w:tc>
        <w:tc>
          <w:tcPr>
            <w:tcW w:w="4632" w:type="dxa"/>
            <w:vAlign w:val="center"/>
          </w:tcPr>
          <w:p w:rsidR="00054DA8" w:rsidRPr="00756DA5" w:rsidP="00054DA8">
            <w:pPr>
              <w:spacing w:line="280" w:lineRule="exact"/>
              <w:jc w:val="center"/>
              <w:rPr>
                <w:rFonts w:cs="Arial"/>
                <w:b/>
                <w:color w:val="000000" w:themeColor="text1"/>
                <w:sz w:val="16"/>
                <w:szCs w:val="16"/>
              </w:rPr>
            </w:pPr>
            <w:r w:rsidRPr="00756DA5">
              <w:rPr>
                <w:b/>
                <w:sz w:val="16"/>
                <w:szCs w:val="16"/>
              </w:rPr>
              <w:t>Status of measures monitored by the EPSF at end of 2017</w:t>
            </w:r>
          </w:p>
        </w:tc>
        <w:tc>
          <w:tcPr>
            <w:tcW w:w="697" w:type="dxa"/>
            <w:shd w:val="clear" w:color="auto" w:fill="auto"/>
            <w:vAlign w:val="center"/>
          </w:tcPr>
          <w:p w:rsidR="00054DA8" w:rsidRPr="00756DA5" w:rsidP="00054DA8">
            <w:pPr>
              <w:spacing w:line="280" w:lineRule="exact"/>
              <w:jc w:val="center"/>
              <w:rPr>
                <w:rFonts w:cs="Arial"/>
                <w:b/>
                <w:color w:val="000000" w:themeColor="text1"/>
                <w:sz w:val="16"/>
                <w:szCs w:val="16"/>
              </w:rPr>
            </w:pPr>
            <w:r w:rsidRPr="00756DA5">
              <w:rPr>
                <w:b/>
                <w:color w:val="000000" w:themeColor="text1"/>
                <w:sz w:val="16"/>
                <w:szCs w:val="16"/>
              </w:rPr>
              <w:t>Code</w:t>
            </w:r>
          </w:p>
        </w:tc>
      </w:tr>
      <w:tr w:rsidTr="00380326">
        <w:tblPrEx>
          <w:tblW w:w="15331" w:type="dxa"/>
          <w:tblInd w:w="-459" w:type="dxa"/>
          <w:tblLayout w:type="fixed"/>
          <w:tblLook w:val="04A0"/>
        </w:tblPrEx>
        <w:trPr>
          <w:trHeight w:val="1671"/>
        </w:trPr>
        <w:tc>
          <w:tcPr>
            <w:tcW w:w="880"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01/2016</w:t>
            </w:r>
          </w:p>
        </w:tc>
        <w:tc>
          <w:tcPr>
            <w:tcW w:w="1559"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Multiple fracture of rail passed at high speed by trains in Carbonne (department 31) on 26 November 2013</w:t>
            </w: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R1</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In accordance with the programme established after the rail fracture in Carbonne, replace, based on the condition of the track and local operating conditions, the half-sets of switches with the old-style machining on which a rail fracture </w:t>
            </w:r>
            <w:r w:rsidRPr="00756DA5">
              <w:rPr>
                <w:color w:val="000000" w:themeColor="text1"/>
                <w:sz w:val="16"/>
                <w:szCs w:val="16"/>
              </w:rPr>
              <w:t>cannot be detected</w:t>
            </w:r>
            <w:r w:rsidRPr="00756DA5">
              <w:rPr>
                <w:color w:val="000000" w:themeColor="text1"/>
                <w:sz w:val="16"/>
                <w:szCs w:val="16"/>
              </w:rPr>
              <w:t xml:space="preserve"> by a track circuit.</w:t>
            </w:r>
          </w:p>
          <w:p w:rsidR="00054DA8" w:rsidRPr="00756DA5" w:rsidP="00054DA8">
            <w:pPr>
              <w:spacing w:line="280" w:lineRule="exact"/>
              <w:rPr>
                <w:rFonts w:cs="Arial"/>
                <w:color w:val="000000" w:themeColor="text1"/>
                <w:sz w:val="16"/>
                <w:szCs w:val="16"/>
              </w:rPr>
            </w:pPr>
            <w:r w:rsidRPr="00756DA5">
              <w:rPr>
                <w:color w:val="000000" w:themeColor="text1"/>
                <w:sz w:val="16"/>
                <w:szCs w:val="16"/>
              </w:rPr>
              <w:t>At the same time, ensure the implementation of enhanced procedures for monitoring all defects affecting this apparatus.</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As at 31 August 2017, 39 % of the apparatus replacements provided for by the plan </w:t>
            </w:r>
            <w:r w:rsidRPr="00756DA5">
              <w:rPr>
                <w:color w:val="000000" w:themeColor="text1"/>
                <w:sz w:val="16"/>
                <w:szCs w:val="16"/>
              </w:rPr>
              <w:t>had been carried out</w:t>
            </w:r>
            <w:r w:rsidRPr="00756DA5">
              <w:rPr>
                <w:color w:val="000000" w:themeColor="text1"/>
                <w:sz w:val="16"/>
                <w:szCs w:val="16"/>
              </w:rPr>
              <w:t>. Although a delay of a few months for the replacement of certain apparatus is regrettable, the target for full completion of the operation remains set at 31 January 2021.</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975"/>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On sections of line without a track circuit connected to the signalling system, take into account, in the operating procedures, the risk of a rail fracture in the event of the malfunction of the whole installation based on a track circuit.</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730"/>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R3</w:t>
            </w:r>
          </w:p>
        </w:tc>
        <w:tc>
          <w:tcPr>
            <w:tcW w:w="5386" w:type="dxa"/>
            <w:vMerge w:val="restart"/>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Consider changes to the enforceable standard relating to train traffic providing for, in the case of doubt regarding the nature of the impact felt on the train, a lighter procedure than the current procedure for signalling an abnormal impact, particularly for sections of lines not continuously covered by track circuits connected to the signalling system.</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1559"/>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386" w:type="dxa"/>
            <w:vMerge/>
            <w:shd w:val="clear" w:color="auto" w:fill="auto"/>
            <w:vAlign w:val="center"/>
          </w:tcPr>
          <w:p w:rsidR="00054DA8" w:rsidRPr="00756DA5" w:rsidP="00054DA8">
            <w:pPr>
              <w:spacing w:line="280" w:lineRule="exact"/>
              <w:rPr>
                <w:rFonts w:cs="Arial"/>
                <w:color w:val="000000" w:themeColor="text1"/>
                <w:sz w:val="16"/>
                <w:szCs w:val="16"/>
              </w:rPr>
            </w:pP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EPSF</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In accordance with commitments undertaken, the EPSF participated in the working group initiated by SNCF Réseau. In 2017, </w:t>
            </w:r>
            <w:r w:rsidRPr="00756DA5">
              <w:rPr>
                <w:color w:val="000000" w:themeColor="text1"/>
                <w:sz w:val="16"/>
                <w:szCs w:val="16"/>
              </w:rPr>
              <w:t>a proposal for changes to the standard were produced by this working group</w:t>
            </w:r>
            <w:r w:rsidRPr="00756DA5">
              <w:rPr>
                <w:color w:val="000000" w:themeColor="text1"/>
                <w:sz w:val="16"/>
                <w:szCs w:val="16"/>
              </w:rPr>
              <w:t>.</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r>
      <w:tr w:rsidTr="00380326">
        <w:tblPrEx>
          <w:tblW w:w="15331" w:type="dxa"/>
          <w:tblInd w:w="-459" w:type="dxa"/>
          <w:tblLayout w:type="fixed"/>
          <w:tblLook w:val="04A0"/>
        </w:tblPrEx>
        <w:trPr>
          <w:trHeight w:val="2225"/>
        </w:trPr>
        <w:tc>
          <w:tcPr>
            <w:tcW w:w="88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01/2016</w:t>
            </w:r>
          </w:p>
        </w:tc>
        <w:tc>
          <w:tcPr>
            <w:tcW w:w="155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 xml:space="preserve">Rear-end collision between a TER regional express train and a TGV </w:t>
            </w:r>
            <w:r w:rsidRPr="00756DA5">
              <w:rPr>
                <w:color w:val="000000" w:themeColor="text1"/>
                <w:sz w:val="16"/>
                <w:szCs w:val="16"/>
              </w:rPr>
              <w:t>high speed</w:t>
            </w:r>
            <w:r w:rsidRPr="00756DA5">
              <w:rPr>
                <w:color w:val="000000" w:themeColor="text1"/>
                <w:sz w:val="16"/>
                <w:szCs w:val="16"/>
              </w:rPr>
              <w:t xml:space="preserve"> train in Denguin (department 64) on 17 July 2014.</w:t>
            </w: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In addition to scheduled premises maintenance and cleaning operations, recommend the searching for and reporting of rodent intrusion and cabling damage during any preventive or corrective interventions carried out in signalling facilities. Organise the traceability of signalling and standardise the timeframes for corrective interventions.</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Regarding the planned changes to procedures:</w:t>
            </w:r>
          </w:p>
          <w:p w:rsidR="00054DA8" w:rsidRPr="00756DA5" w:rsidP="00054DA8">
            <w:pPr>
              <w:pStyle w:val="ListParagraph"/>
              <w:numPr>
                <w:ilvl w:val="0"/>
                <w:numId w:val="34"/>
              </w:numPr>
              <w:spacing w:line="280" w:lineRule="exact"/>
              <w:ind w:left="126" w:hanging="126"/>
              <w:rPr>
                <w:rFonts w:cs="Arial"/>
                <w:color w:val="000000" w:themeColor="text1"/>
                <w:sz w:val="16"/>
                <w:szCs w:val="16"/>
              </w:rPr>
            </w:pPr>
            <w:r w:rsidRPr="00756DA5">
              <w:rPr>
                <w:color w:val="000000" w:themeColor="text1"/>
                <w:sz w:val="16"/>
                <w:szCs w:val="16"/>
              </w:rPr>
              <w:t>the update of MT00366 dealing with maintenance periods was published in 2017;</w:t>
            </w:r>
          </w:p>
          <w:p w:rsidR="00054DA8" w:rsidRPr="00756DA5" w:rsidP="00637609">
            <w:pPr>
              <w:pStyle w:val="ListParagraph"/>
              <w:numPr>
                <w:ilvl w:val="0"/>
                <w:numId w:val="34"/>
              </w:numPr>
              <w:spacing w:line="280" w:lineRule="exact"/>
              <w:ind w:left="126" w:hanging="126"/>
              <w:rPr>
                <w:rFonts w:cs="Arial"/>
                <w:color w:val="000000" w:themeColor="text1"/>
                <w:sz w:val="16"/>
                <w:szCs w:val="16"/>
              </w:rPr>
            </w:pPr>
            <w:r w:rsidRPr="00756DA5">
              <w:rPr>
                <w:color w:val="000000" w:themeColor="text1"/>
                <w:sz w:val="16"/>
                <w:szCs w:val="16"/>
              </w:rPr>
              <w:t>an</w:t>
            </w:r>
            <w:r w:rsidRPr="00756DA5">
              <w:rPr>
                <w:color w:val="000000" w:themeColor="text1"/>
                <w:sz w:val="16"/>
                <w:szCs w:val="16"/>
              </w:rPr>
              <w:t xml:space="preserve"> initial version of MT00494 was drafted in order to actions to be carried out in the event of signs of the presence of rodents. The final version of this text </w:t>
            </w:r>
            <w:r w:rsidRPr="00756DA5">
              <w:rPr>
                <w:color w:val="000000" w:themeColor="text1"/>
                <w:sz w:val="16"/>
                <w:szCs w:val="16"/>
              </w:rPr>
              <w:t>will be published</w:t>
            </w:r>
            <w:r w:rsidRPr="00756DA5">
              <w:rPr>
                <w:color w:val="000000" w:themeColor="text1"/>
                <w:sz w:val="16"/>
                <w:szCs w:val="16"/>
              </w:rPr>
              <w:t xml:space="preserve"> in 2018.</w:t>
            </w: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1879"/>
        </w:trPr>
        <w:tc>
          <w:tcPr>
            <w:tcW w:w="88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05/2016</w:t>
            </w:r>
          </w:p>
        </w:tc>
        <w:tc>
          <w:tcPr>
            <w:tcW w:w="155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A TER regional express train stopped at a platform was hit by an infrastructure monitoring train in Saint-Germain-des-Fossés (department 03) on 15 December 2014</w:t>
            </w: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R1</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Ensure the recording and traceability of telephone calls between train drivers and staff of the traffic and routing management service whose telephone numbers appear in the technical records for the lines of the national railway network.</w:t>
            </w:r>
          </w:p>
        </w:tc>
        <w:tc>
          <w:tcPr>
            <w:tcW w:w="1610"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The installation of recorders in signal boxes is in progress.</w:t>
            </w:r>
          </w:p>
          <w:p w:rsidR="00054DA8" w:rsidRPr="00756DA5" w:rsidP="00054DA8">
            <w:pPr>
              <w:spacing w:line="280" w:lineRule="exact"/>
              <w:contextualSpacing/>
              <w:rPr>
                <w:rFonts w:cs="Arial"/>
                <w:color w:val="000000" w:themeColor="text1"/>
                <w:sz w:val="16"/>
                <w:szCs w:val="16"/>
              </w:rPr>
            </w:pPr>
          </w:p>
          <w:p w:rsidR="00054DA8" w:rsidRPr="00756DA5" w:rsidP="00054DA8">
            <w:pPr>
              <w:spacing w:line="280" w:lineRule="exact"/>
              <w:contextualSpacing/>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2648"/>
        </w:trPr>
        <w:tc>
          <w:tcPr>
            <w:tcW w:w="880"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08/2016</w:t>
            </w:r>
          </w:p>
        </w:tc>
        <w:tc>
          <w:tcPr>
            <w:tcW w:w="1559"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Unexpected deviation of an RER regional express network A train onto service tracks in Saint- Germain-en-Laye (department 78) on 9 December 2014</w:t>
            </w: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R1</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Improve the practical training and supervision of young maintenance managers on aspects relating to works on safety installations, placing particular emphasis on the mandatory requirements specific to work on switches.</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SNCF Réseau decided that measure should apply both to the initial training </w:t>
            </w:r>
            <w:r w:rsidRPr="00756DA5">
              <w:rPr>
                <w:color w:val="000000" w:themeColor="text1"/>
                <w:sz w:val="16"/>
                <w:szCs w:val="16"/>
              </w:rPr>
              <w:t>of its supervisors and operators, and to support in the form of continuous training</w:t>
            </w:r>
            <w:r w:rsidRPr="00756DA5">
              <w:rPr>
                <w:color w:val="000000" w:themeColor="text1"/>
                <w:sz w:val="16"/>
                <w:szCs w:val="16"/>
              </w:rPr>
              <w:t>.</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In 2015, the specifications for signalling training </w:t>
            </w:r>
            <w:r w:rsidRPr="00756DA5">
              <w:rPr>
                <w:color w:val="000000" w:themeColor="text1"/>
                <w:sz w:val="16"/>
                <w:szCs w:val="16"/>
              </w:rPr>
              <w:t>were amended</w:t>
            </w:r>
            <w:r w:rsidRPr="00756DA5">
              <w:rPr>
                <w:color w:val="000000" w:themeColor="text1"/>
                <w:sz w:val="16"/>
                <w:szCs w:val="16"/>
              </w:rPr>
              <w:t xml:space="preserve"> to take account of a feedback sheet drawn up in response to the incident. Other reference documents are still to </w:t>
            </w:r>
            <w:r w:rsidRPr="00756DA5">
              <w:rPr>
                <w:color w:val="000000" w:themeColor="text1"/>
                <w:sz w:val="16"/>
                <w:szCs w:val="16"/>
              </w:rPr>
              <w:t>be amended</w:t>
            </w:r>
            <w:r w:rsidRPr="00756DA5">
              <w:rPr>
                <w:color w:val="000000" w:themeColor="text1"/>
                <w:sz w:val="16"/>
                <w:szCs w:val="16"/>
              </w:rPr>
              <w:t xml:space="preserve"> in particular to the ‘Raising awareness of testing’ module for young executives. The publication of these reference documents </w:t>
            </w:r>
            <w:r w:rsidRPr="00756DA5">
              <w:rPr>
                <w:color w:val="000000" w:themeColor="text1"/>
                <w:sz w:val="16"/>
                <w:szCs w:val="16"/>
              </w:rPr>
              <w:t>is planned</w:t>
            </w:r>
            <w:r w:rsidRPr="00756DA5">
              <w:rPr>
                <w:color w:val="000000" w:themeColor="text1"/>
                <w:sz w:val="16"/>
                <w:szCs w:val="16"/>
              </w:rPr>
              <w:t xml:space="preserve"> in 2018.</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1394"/>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Improve the readability of SNCF standards relating to work on safety systems by clearly highlighting the mandatory safety requirements and explaining the related issues. Continue drafting simple and educational function documents for operators for the various types of works on safety installations.</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1689"/>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R4</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Provide for local procedures to ensure the relevance of testing programmes developed as part of small-scale work on safety installations.</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IN 3137 ‘Safety control and monitoring in an establishment or similar entity within the </w:t>
            </w:r>
            <w:r w:rsidRPr="00756DA5">
              <w:rPr>
                <w:i/>
                <w:color w:val="000000" w:themeColor="text1"/>
                <w:sz w:val="16"/>
                <w:szCs w:val="16"/>
              </w:rPr>
              <w:t>Direction de la production industrielle</w:t>
            </w:r>
            <w:r w:rsidRPr="00756DA5">
              <w:rPr>
                <w:color w:val="000000" w:themeColor="text1"/>
                <w:sz w:val="16"/>
                <w:szCs w:val="16"/>
              </w:rPr>
              <w:t xml:space="preserve"> (Industrial Production Directorate)’ to better explain expectations is being rewritten.</w:t>
            </w: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1417"/>
        </w:trPr>
        <w:tc>
          <w:tcPr>
            <w:tcW w:w="880"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11/2016</w:t>
            </w:r>
          </w:p>
        </w:tc>
        <w:tc>
          <w:tcPr>
            <w:tcW w:w="1559" w:type="dxa"/>
            <w:vMerge w:val="restart"/>
            <w:shd w:val="clear" w:color="auto" w:fill="auto"/>
            <w:vAlign w:val="center"/>
          </w:tcPr>
          <w:p w:rsidR="00054DA8" w:rsidRPr="00756DA5" w:rsidP="004F08FC">
            <w:pPr>
              <w:pageBreakBefore/>
              <w:spacing w:line="280" w:lineRule="exact"/>
              <w:jc w:val="center"/>
              <w:rPr>
                <w:rFonts w:cs="Arial"/>
                <w:color w:val="000000" w:themeColor="text1"/>
                <w:sz w:val="16"/>
                <w:szCs w:val="16"/>
              </w:rPr>
            </w:pPr>
            <w:r w:rsidRPr="00756DA5">
              <w:rPr>
                <w:color w:val="000000" w:themeColor="text1"/>
                <w:sz w:val="16"/>
                <w:szCs w:val="16"/>
              </w:rPr>
              <w:t>Loss of control of a TER regional train after a collision with cattle in Serqueux (department 76) on 20 October 2015</w:t>
            </w: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R1</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Implementation of the AGC (</w:t>
            </w:r>
            <w:r w:rsidRPr="00756DA5">
              <w:rPr>
                <w:i/>
                <w:color w:val="000000" w:themeColor="text1"/>
                <w:sz w:val="16"/>
                <w:szCs w:val="16"/>
              </w:rPr>
              <w:t>autorail à grande capacité</w:t>
            </w:r>
            <w:r w:rsidRPr="00756DA5">
              <w:rPr>
                <w:color w:val="000000" w:themeColor="text1"/>
                <w:sz w:val="16"/>
                <w:szCs w:val="16"/>
              </w:rPr>
              <w:t>) [high-capacity train] improvement plan</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Implement, on all relevant rolling stock, </w:t>
            </w:r>
            <w:r w:rsidRPr="00756DA5">
              <w:rPr>
                <w:color w:val="000000" w:themeColor="text1"/>
                <w:sz w:val="16"/>
                <w:szCs w:val="16"/>
              </w:rPr>
              <w:t>the to</w:t>
            </w:r>
            <w:r w:rsidRPr="00756DA5">
              <w:rPr>
                <w:color w:val="000000" w:themeColor="text1"/>
                <w:sz w:val="16"/>
                <w:szCs w:val="16"/>
              </w:rPr>
              <w:t xml:space="preserve"> the purge valves and their protection before the end of December 2017 and the 72 V electrical circuit before the end of September 2019.</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Mobilités</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Two modifications concerning purge valves and electrical isolation are underway on the whole fleet.</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2255"/>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Positioning of the obstacle deflector and protection of vulnerable components under the carriage</w:t>
            </w:r>
          </w:p>
          <w:p w:rsidR="00054DA8" w:rsidRPr="00756DA5" w:rsidP="00054DA8">
            <w:pPr>
              <w:spacing w:line="280" w:lineRule="exact"/>
              <w:rPr>
                <w:rFonts w:cs="Arial"/>
                <w:color w:val="000000" w:themeColor="text1"/>
                <w:sz w:val="16"/>
                <w:szCs w:val="16"/>
              </w:rPr>
            </w:pPr>
            <w:r w:rsidRPr="00756DA5">
              <w:rPr>
                <w:color w:val="000000" w:themeColor="text1"/>
                <w:sz w:val="16"/>
                <w:szCs w:val="16"/>
              </w:rPr>
              <w:t>With the involvement of the railway sector and having determined the form most appropriate for the European context:</w:t>
            </w:r>
          </w:p>
          <w:p w:rsidR="00054DA8" w:rsidRPr="00756DA5" w:rsidP="00054DA8">
            <w:pPr>
              <w:spacing w:line="280" w:lineRule="exact"/>
              <w:rPr>
                <w:rFonts w:cs="Arial"/>
                <w:color w:val="000000" w:themeColor="text1"/>
                <w:sz w:val="16"/>
                <w:szCs w:val="16"/>
              </w:rPr>
            </w:pPr>
            <w:r w:rsidRPr="00756DA5">
              <w:rPr>
                <w:rFonts w:ascii="Segoe UI Symbol" w:hAnsi="Segoe UI Symbol"/>
                <w:color w:val="000000" w:themeColor="text1"/>
                <w:sz w:val="16"/>
                <w:szCs w:val="16"/>
              </w:rPr>
              <w:t>➢</w:t>
            </w:r>
            <w:r w:rsidRPr="00756DA5">
              <w:rPr>
                <w:color w:val="000000" w:themeColor="text1"/>
                <w:sz w:val="16"/>
                <w:szCs w:val="16"/>
              </w:rPr>
              <w:t xml:space="preserve"> explain how to calculate and use the construction gauge of the rolling stock in order to optimise the positioning of the obstacle deflector with respect to the risk of hitting and running over an obstacle on the track;</w:t>
            </w:r>
          </w:p>
          <w:p w:rsidR="00054DA8" w:rsidRPr="00756DA5" w:rsidP="00054DA8">
            <w:pPr>
              <w:spacing w:line="280" w:lineRule="exact"/>
              <w:rPr>
                <w:rFonts w:cs="Arial"/>
                <w:color w:val="000000" w:themeColor="text1"/>
                <w:sz w:val="16"/>
                <w:szCs w:val="16"/>
              </w:rPr>
            </w:pPr>
            <w:r w:rsidRPr="00756DA5">
              <w:rPr>
                <w:rFonts w:ascii="Segoe UI Symbol" w:hAnsi="Segoe UI Symbol"/>
                <w:color w:val="000000" w:themeColor="text1"/>
                <w:sz w:val="16"/>
                <w:szCs w:val="16"/>
              </w:rPr>
              <w:t>➢</w:t>
            </w:r>
            <w:r w:rsidRPr="00756DA5">
              <w:rPr>
                <w:color w:val="000000" w:themeColor="text1"/>
                <w:sz w:val="16"/>
                <w:szCs w:val="16"/>
              </w:rPr>
              <w:t xml:space="preserve"> formulate useful recommendations for identifying vulnerable components under the carriage, how to protect them, and the height of their position in relation to the obstacle deflector.</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EPSF</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Analysis underway with respect to the publication of the new version of the rolling stock gauge standard (EN 15273-2).</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986"/>
        </w:trPr>
        <w:tc>
          <w:tcPr>
            <w:tcW w:w="880"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11/2016</w:t>
            </w:r>
          </w:p>
        </w:tc>
        <w:tc>
          <w:tcPr>
            <w:tcW w:w="1559"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Derailment of a TGV high-speed train at Gare de Lyon station in Paris (department 75) on 28 January 2015</w:t>
            </w: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R1</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Improve the practical training and supervision of young maintenance staff members on aspects relating to the maintenance of very specific older safety systems.</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1548"/>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Improve the quality of local reference documents relating to the maintenance of safety systems by continuing to draft simple and educational function documents for operators concerning very specific older systems.</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Risk analysis work </w:t>
            </w:r>
            <w:r w:rsidRPr="00756DA5">
              <w:rPr>
                <w:color w:val="000000" w:themeColor="text1"/>
                <w:sz w:val="16"/>
                <w:szCs w:val="16"/>
              </w:rPr>
              <w:t>has been launched</w:t>
            </w:r>
            <w:r w:rsidRPr="00756DA5">
              <w:rPr>
                <w:color w:val="000000" w:themeColor="text1"/>
                <w:sz w:val="16"/>
                <w:szCs w:val="16"/>
              </w:rPr>
              <w:t xml:space="preserve"> to identify the very specific older installations for which difficulties would relate to their documentation.</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O</w:t>
            </w:r>
          </w:p>
        </w:tc>
      </w:tr>
      <w:tr w:rsidTr="00380326">
        <w:tblPrEx>
          <w:tblW w:w="15331" w:type="dxa"/>
          <w:tblInd w:w="-459" w:type="dxa"/>
          <w:tblLayout w:type="fixed"/>
          <w:tblLook w:val="04A0"/>
        </w:tblPrEx>
        <w:trPr>
          <w:trHeight w:val="1404"/>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R3</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Modernise, as soon as possible, the installations of Signal Boxes 1 and 2 at Paris-Gare-de-Lyon station.</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Placing in service of centralised network control (CNR) for Paris Gare de Lyon station in March 2017.</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sz w:val="16"/>
                <w:szCs w:val="16"/>
              </w:rPr>
              <w:t>C</w:t>
            </w:r>
          </w:p>
        </w:tc>
      </w:tr>
      <w:tr w:rsidTr="00380326">
        <w:tblPrEx>
          <w:tblW w:w="15331" w:type="dxa"/>
          <w:tblInd w:w="-459" w:type="dxa"/>
          <w:tblLayout w:type="fixed"/>
          <w:tblLook w:val="04A0"/>
        </w:tblPrEx>
        <w:trPr>
          <w:trHeight w:val="1133"/>
        </w:trPr>
        <w:tc>
          <w:tcPr>
            <w:tcW w:w="880"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11/2016</w:t>
            </w:r>
          </w:p>
        </w:tc>
        <w:tc>
          <w:tcPr>
            <w:tcW w:w="1559" w:type="dxa"/>
            <w:vMerge w:val="restart"/>
            <w:shd w:val="clear" w:color="auto" w:fill="auto"/>
            <w:vAlign w:val="center"/>
          </w:tcPr>
          <w:p w:rsidR="00054DA8" w:rsidRPr="00756DA5" w:rsidP="004F08FC">
            <w:pPr>
              <w:pageBreakBefore/>
              <w:spacing w:line="280" w:lineRule="exact"/>
              <w:jc w:val="center"/>
              <w:rPr>
                <w:rFonts w:cs="Arial"/>
                <w:color w:val="000000" w:themeColor="text1"/>
                <w:sz w:val="16"/>
                <w:szCs w:val="16"/>
              </w:rPr>
            </w:pPr>
            <w:r w:rsidRPr="00756DA5">
              <w:rPr>
                <w:color w:val="000000" w:themeColor="text1"/>
                <w:sz w:val="16"/>
                <w:szCs w:val="16"/>
              </w:rPr>
              <w:t>Derailment of a TER regional express train after running through a switch in Laroche-Migennes (department 89) on 1 December 2015</w:t>
            </w: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R1</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Clarify the procedures for the use of the safety installations at Point R and in particular when using the emergency key.</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An awareness-raising action for all staff members on familiarisation with the handling points </w:t>
            </w:r>
            <w:r w:rsidRPr="00756DA5">
              <w:rPr>
                <w:color w:val="000000" w:themeColor="text1"/>
                <w:sz w:val="16"/>
                <w:szCs w:val="16"/>
              </w:rPr>
              <w:t>was carried out</w:t>
            </w:r>
            <w:r w:rsidRPr="00756DA5">
              <w:rPr>
                <w:color w:val="000000" w:themeColor="text1"/>
                <w:sz w:val="16"/>
                <w:szCs w:val="16"/>
              </w:rPr>
              <w:t>.</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sz w:val="16"/>
                <w:szCs w:val="16"/>
              </w:rPr>
              <w:t>C</w:t>
            </w:r>
          </w:p>
        </w:tc>
      </w:tr>
      <w:tr w:rsidTr="00380326">
        <w:tblPrEx>
          <w:tblW w:w="15331" w:type="dxa"/>
          <w:tblInd w:w="-459" w:type="dxa"/>
          <w:tblLayout w:type="fixed"/>
          <w:tblLook w:val="04A0"/>
        </w:tblPrEx>
        <w:trPr>
          <w:trHeight w:val="1121"/>
        </w:trPr>
        <w:tc>
          <w:tcPr>
            <w:tcW w:w="880"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155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Clarify the roles and missions of the permanent operational managers at the regional and national level, particularly in terms of safety, so as not to interfere in the missions of local operators.</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SNCF Réseau</w:t>
            </w:r>
          </w:p>
        </w:tc>
        <w:tc>
          <w:tcPr>
            <w:tcW w:w="4632" w:type="dxa"/>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Revision of the texts in order to clarify the roles and missions of managers </w:t>
            </w:r>
            <w:r w:rsidRPr="00756DA5">
              <w:rPr>
                <w:color w:val="000000" w:themeColor="text1"/>
                <w:sz w:val="16"/>
                <w:szCs w:val="16"/>
              </w:rPr>
              <w:t>has been carried out</w:t>
            </w:r>
            <w:r w:rsidRPr="00756DA5">
              <w:rPr>
                <w:color w:val="000000" w:themeColor="text1"/>
                <w:sz w:val="16"/>
                <w:szCs w:val="16"/>
              </w:rPr>
              <w:t>.</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sz w:val="16"/>
                <w:szCs w:val="16"/>
              </w:rPr>
              <w:t>C</w:t>
            </w:r>
          </w:p>
        </w:tc>
      </w:tr>
      <w:tr w:rsidTr="00380326">
        <w:tblPrEx>
          <w:tblW w:w="15331" w:type="dxa"/>
          <w:tblInd w:w="-459" w:type="dxa"/>
          <w:tblLayout w:type="fixed"/>
          <w:tblLook w:val="04A0"/>
        </w:tblPrEx>
        <w:trPr>
          <w:trHeight w:val="1842"/>
        </w:trPr>
        <w:tc>
          <w:tcPr>
            <w:tcW w:w="88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12/2016</w:t>
            </w:r>
          </w:p>
        </w:tc>
        <w:tc>
          <w:tcPr>
            <w:tcW w:w="155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Collision between an abnormal load and an Intercités train in Nangis (department 77) on 21 April 2015</w:t>
            </w:r>
          </w:p>
        </w:tc>
        <w:tc>
          <w:tcPr>
            <w:tcW w:w="56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386"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Amend the Order of 18 March 1991, particularly in relation to level crossings, to extend the use of the telephones installed at level crossings to include alerting railway traffic managers in the event of an emergency.</w:t>
            </w:r>
          </w:p>
        </w:tc>
        <w:tc>
          <w:tcPr>
            <w:tcW w:w="1610"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DGITM</w:t>
            </w:r>
          </w:p>
        </w:tc>
        <w:tc>
          <w:tcPr>
            <w:tcW w:w="4632" w:type="dxa"/>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Order of 19 April 2017 amending the Order of 18 March 1991 on the classification, regulation and equipment of level crossings was published in OJFR No 0109 of 10 May 2017</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sz w:val="16"/>
                <w:szCs w:val="16"/>
              </w:rPr>
              <w:t>C</w:t>
            </w:r>
          </w:p>
        </w:tc>
      </w:tr>
    </w:tbl>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8"/>
        <w:gridCol w:w="4076"/>
      </w:tblGrid>
      <w:tr w:rsidTr="00691798">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918" w:type="dxa"/>
          </w:tcPr>
          <w:p w:rsidR="00691798" w:rsidRPr="00756DA5" w:rsidP="004F08FC">
            <w:pPr>
              <w:pageBreakBefore/>
              <w:spacing w:after="200" w:line="280" w:lineRule="exact"/>
            </w:pPr>
            <w:r w:rsidRPr="00756DA5">
              <w:rPr>
                <w:b/>
                <w:bCs/>
                <w:szCs w:val="20"/>
              </w:rPr>
              <w:t xml:space="preserve">■ </w:t>
            </w:r>
            <w:r w:rsidRPr="00756DA5">
              <w:rPr>
                <w:b/>
              </w:rPr>
              <w:t>Reports published in 2017</w:t>
            </w:r>
            <w:r w:rsidRPr="00756DA5">
              <w:t xml:space="preserve"> </w:t>
            </w:r>
          </w:p>
        </w:tc>
        <w:tc>
          <w:tcPr>
            <w:tcW w:w="4076" w:type="dxa"/>
          </w:tcPr>
          <w:p w:rsidR="00691798" w:rsidRPr="00756DA5" w:rsidP="00691798">
            <w:pPr>
              <w:spacing w:line="280" w:lineRule="exact"/>
              <w:ind w:left="57"/>
            </w:pPr>
            <w:r w:rsidRPr="00756DA5">
              <w:t>Caption code: Closed = C; Open = O.</w:t>
            </w:r>
          </w:p>
        </w:tc>
      </w:tr>
    </w:tbl>
    <w:tbl>
      <w:tblPr>
        <w:tblStyle w:val="Grilledutableau1"/>
        <w:tblW w:w="15331" w:type="dxa"/>
        <w:tblInd w:w="-459" w:type="dxa"/>
        <w:tblLayout w:type="fixed"/>
        <w:tblLook w:val="04A0"/>
      </w:tblPr>
      <w:tblGrid>
        <w:gridCol w:w="880"/>
        <w:gridCol w:w="1559"/>
        <w:gridCol w:w="709"/>
        <w:gridCol w:w="5244"/>
        <w:gridCol w:w="1610"/>
        <w:gridCol w:w="4632"/>
        <w:gridCol w:w="697"/>
      </w:tblGrid>
      <w:tr w:rsidTr="00380326">
        <w:tblPrEx>
          <w:tblW w:w="15331" w:type="dxa"/>
          <w:tblInd w:w="-459" w:type="dxa"/>
          <w:tblLayout w:type="fixed"/>
          <w:tblLook w:val="04A0"/>
        </w:tblPrEx>
        <w:trPr>
          <w:trHeight w:val="694"/>
        </w:trPr>
        <w:tc>
          <w:tcPr>
            <w:tcW w:w="880" w:type="dxa"/>
            <w:vAlign w:val="center"/>
          </w:tcPr>
          <w:p w:rsidR="00054DA8" w:rsidRPr="00756DA5" w:rsidP="00054DA8">
            <w:pPr>
              <w:spacing w:line="280" w:lineRule="exact"/>
              <w:jc w:val="center"/>
              <w:rPr>
                <w:rFonts w:cs="Arial"/>
                <w:b/>
                <w:sz w:val="16"/>
                <w:szCs w:val="16"/>
              </w:rPr>
            </w:pPr>
            <w:r w:rsidRPr="00756DA5">
              <w:rPr>
                <w:b/>
                <w:sz w:val="16"/>
                <w:szCs w:val="16"/>
              </w:rPr>
              <w:t>Report date</w:t>
            </w:r>
          </w:p>
        </w:tc>
        <w:tc>
          <w:tcPr>
            <w:tcW w:w="1559" w:type="dxa"/>
            <w:vAlign w:val="center"/>
          </w:tcPr>
          <w:p w:rsidR="00054DA8" w:rsidRPr="00756DA5" w:rsidP="00054DA8">
            <w:pPr>
              <w:spacing w:line="280" w:lineRule="exact"/>
              <w:jc w:val="center"/>
              <w:rPr>
                <w:rFonts w:cs="Arial"/>
                <w:b/>
                <w:sz w:val="16"/>
                <w:szCs w:val="16"/>
              </w:rPr>
            </w:pPr>
            <w:r w:rsidRPr="00756DA5">
              <w:rPr>
                <w:b/>
                <w:sz w:val="16"/>
                <w:szCs w:val="16"/>
              </w:rPr>
              <w:t>Investigation title</w:t>
            </w:r>
          </w:p>
        </w:tc>
        <w:tc>
          <w:tcPr>
            <w:tcW w:w="709" w:type="dxa"/>
            <w:vAlign w:val="center"/>
          </w:tcPr>
          <w:p w:rsidR="00054DA8" w:rsidRPr="00756DA5" w:rsidP="00054DA8">
            <w:pPr>
              <w:spacing w:line="280" w:lineRule="exact"/>
              <w:jc w:val="center"/>
              <w:rPr>
                <w:rFonts w:cs="Arial"/>
                <w:b/>
                <w:sz w:val="16"/>
                <w:szCs w:val="16"/>
              </w:rPr>
            </w:pPr>
            <w:r w:rsidRPr="00756DA5">
              <w:rPr>
                <w:b/>
                <w:sz w:val="16"/>
                <w:szCs w:val="16"/>
              </w:rPr>
              <w:t>No</w:t>
            </w:r>
          </w:p>
        </w:tc>
        <w:tc>
          <w:tcPr>
            <w:tcW w:w="5244" w:type="dxa"/>
            <w:vAlign w:val="center"/>
          </w:tcPr>
          <w:p w:rsidR="00054DA8" w:rsidRPr="00756DA5" w:rsidP="00054DA8">
            <w:pPr>
              <w:spacing w:line="280" w:lineRule="exact"/>
              <w:jc w:val="center"/>
              <w:rPr>
                <w:rFonts w:cs="Arial"/>
                <w:b/>
                <w:sz w:val="16"/>
                <w:szCs w:val="16"/>
              </w:rPr>
            </w:pPr>
            <w:r w:rsidRPr="00756DA5">
              <w:rPr>
                <w:b/>
                <w:sz w:val="16"/>
                <w:szCs w:val="16"/>
              </w:rPr>
              <w:t>Wording of the BEA-TT recommendation</w:t>
            </w:r>
          </w:p>
        </w:tc>
        <w:tc>
          <w:tcPr>
            <w:tcW w:w="1610" w:type="dxa"/>
            <w:vAlign w:val="center"/>
          </w:tcPr>
          <w:p w:rsidR="00054DA8" w:rsidRPr="00756DA5" w:rsidP="00054DA8">
            <w:pPr>
              <w:spacing w:line="280" w:lineRule="exact"/>
              <w:jc w:val="center"/>
              <w:rPr>
                <w:rFonts w:cs="Arial"/>
                <w:b/>
                <w:sz w:val="16"/>
                <w:szCs w:val="16"/>
              </w:rPr>
            </w:pPr>
            <w:r w:rsidRPr="00756DA5">
              <w:rPr>
                <w:b/>
                <w:sz w:val="16"/>
                <w:szCs w:val="16"/>
              </w:rPr>
              <w:t>Entity</w:t>
            </w:r>
          </w:p>
        </w:tc>
        <w:tc>
          <w:tcPr>
            <w:tcW w:w="4632" w:type="dxa"/>
            <w:vAlign w:val="center"/>
          </w:tcPr>
          <w:p w:rsidR="00054DA8" w:rsidRPr="00756DA5" w:rsidP="00054DA8">
            <w:pPr>
              <w:spacing w:line="280" w:lineRule="exact"/>
              <w:jc w:val="center"/>
              <w:rPr>
                <w:rFonts w:cs="Arial"/>
                <w:b/>
                <w:sz w:val="16"/>
                <w:szCs w:val="16"/>
              </w:rPr>
            </w:pPr>
            <w:r w:rsidRPr="00756DA5">
              <w:rPr>
                <w:b/>
                <w:sz w:val="16"/>
                <w:szCs w:val="16"/>
              </w:rPr>
              <w:t>Status of measures monitored by the EPSF at end of 2017</w:t>
            </w:r>
          </w:p>
        </w:tc>
        <w:tc>
          <w:tcPr>
            <w:tcW w:w="697" w:type="dxa"/>
            <w:vAlign w:val="center"/>
          </w:tcPr>
          <w:p w:rsidR="00054DA8" w:rsidRPr="00756DA5" w:rsidP="00054DA8">
            <w:pPr>
              <w:spacing w:line="280" w:lineRule="exact"/>
              <w:jc w:val="center"/>
              <w:rPr>
                <w:rFonts w:cs="Arial"/>
                <w:b/>
                <w:sz w:val="16"/>
                <w:szCs w:val="16"/>
              </w:rPr>
            </w:pPr>
            <w:r w:rsidRPr="00756DA5">
              <w:rPr>
                <w:b/>
                <w:sz w:val="16"/>
                <w:szCs w:val="16"/>
              </w:rPr>
              <w:t>Code</w:t>
            </w:r>
          </w:p>
        </w:tc>
      </w:tr>
      <w:tr w:rsidTr="00380326">
        <w:tblPrEx>
          <w:tblW w:w="15331" w:type="dxa"/>
          <w:tblInd w:w="-459" w:type="dxa"/>
          <w:tblLayout w:type="fixed"/>
          <w:tblLook w:val="04A0"/>
        </w:tblPrEx>
        <w:trPr>
          <w:trHeight w:val="615"/>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01/2017</w:t>
            </w:r>
          </w:p>
        </w:tc>
        <w:tc>
          <w:tcPr>
            <w:tcW w:w="1559"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Derailment of a TER regional train at the entrance switch of the station of Sainte-Pazanne (department 44) on 12 October 2015</w:t>
            </w:r>
          </w:p>
        </w:tc>
        <w:tc>
          <w:tcPr>
            <w:tcW w:w="709"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R1</w:t>
            </w:r>
          </w:p>
        </w:tc>
        <w:tc>
          <w:tcPr>
            <w:tcW w:w="5244" w:type="dxa"/>
            <w:vMerge w:val="restart"/>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Launch appropriate studies or investigations to improve the understanding of this phenomenon of the soiling of wheels.</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Without delay, consider this phenomenon and the possibility of de-shunting on clean rails in reflection on de-shunting, including on ITE (</w:t>
            </w:r>
            <w:r w:rsidRPr="00756DA5">
              <w:rPr>
                <w:i/>
                <w:color w:val="000000" w:themeColor="text1"/>
                <w:sz w:val="16"/>
                <w:szCs w:val="16"/>
              </w:rPr>
              <w:t>installation terminale embranchée</w:t>
            </w:r>
            <w:r w:rsidRPr="00756DA5">
              <w:rPr>
                <w:color w:val="000000" w:themeColor="text1"/>
                <w:sz w:val="16"/>
                <w:szCs w:val="16"/>
              </w:rPr>
              <w:t>) (rail-connected terminal) track circuits and examine the appropriateness of equipment of X 73500 trains with scrubbers (or any other wheel cleaning equipment).</w:t>
            </w:r>
          </w:p>
          <w:p w:rsidR="00054DA8" w:rsidRPr="00756DA5" w:rsidP="00054DA8">
            <w:pPr>
              <w:spacing w:line="280" w:lineRule="exact"/>
              <w:rPr>
                <w:rFonts w:cs="Arial"/>
                <w:color w:val="000000" w:themeColor="text1"/>
                <w:sz w:val="16"/>
                <w:szCs w:val="16"/>
              </w:rPr>
            </w:pPr>
            <w:r w:rsidRPr="00756DA5">
              <w:rPr>
                <w:color w:val="000000" w:themeColor="text1"/>
                <w:sz w:val="16"/>
                <w:szCs w:val="16"/>
              </w:rPr>
              <w:t>- Consider the outcomes of these studies to make changes if necessary to the standards for the admission of rolling stock onto the RFN and at the European level, in conjunction with the European Railway Agency.</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vMerge w:val="restart"/>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Study in progress</w:t>
            </w:r>
          </w:p>
        </w:tc>
        <w:tc>
          <w:tcPr>
            <w:tcW w:w="697"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O</w:t>
            </w:r>
          </w:p>
        </w:tc>
      </w:tr>
      <w:tr w:rsidTr="00380326">
        <w:tblPrEx>
          <w:tblW w:w="15331" w:type="dxa"/>
          <w:tblInd w:w="-459" w:type="dxa"/>
          <w:tblLayout w:type="fixed"/>
          <w:tblLook w:val="04A0"/>
        </w:tblPrEx>
        <w:trPr>
          <w:trHeight w:val="615"/>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244" w:type="dxa"/>
            <w:vMerge/>
            <w:shd w:val="clear" w:color="auto" w:fill="auto"/>
            <w:vAlign w:val="center"/>
          </w:tcPr>
          <w:p w:rsidR="00054DA8" w:rsidRPr="00756DA5" w:rsidP="00054DA8">
            <w:pPr>
              <w:spacing w:line="280" w:lineRule="exact"/>
              <w:rPr>
                <w:rFonts w:cs="Arial"/>
                <w:color w:val="000000" w:themeColor="text1"/>
                <w:sz w:val="16"/>
                <w:szCs w:val="16"/>
              </w:rPr>
            </w:pP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tc>
        <w:tc>
          <w:tcPr>
            <w:tcW w:w="4632" w:type="dxa"/>
            <w:vMerge/>
            <w:shd w:val="clear" w:color="auto" w:fill="auto"/>
            <w:vAlign w:val="center"/>
          </w:tcPr>
          <w:p w:rsidR="00054DA8" w:rsidRPr="00756DA5" w:rsidP="00054DA8">
            <w:pPr>
              <w:spacing w:line="280" w:lineRule="exact"/>
              <w:jc w:val="left"/>
              <w:rPr>
                <w:rFonts w:cs="Arial"/>
                <w:color w:val="000000" w:themeColor="text1"/>
                <w:sz w:val="16"/>
                <w:szCs w:val="16"/>
              </w:rPr>
            </w:pPr>
          </w:p>
        </w:tc>
        <w:tc>
          <w:tcPr>
            <w:tcW w:w="697" w:type="dxa"/>
            <w:vMerge/>
            <w:shd w:val="clear" w:color="auto" w:fill="auto"/>
            <w:vAlign w:val="center"/>
          </w:tcPr>
          <w:p w:rsidR="00054DA8" w:rsidRPr="00756DA5" w:rsidP="00054DA8">
            <w:pPr>
              <w:spacing w:line="280" w:lineRule="exact"/>
              <w:jc w:val="center"/>
              <w:rPr>
                <w:rFonts w:cs="Arial"/>
                <w:sz w:val="16"/>
                <w:szCs w:val="16"/>
              </w:rPr>
            </w:pPr>
          </w:p>
        </w:tc>
      </w:tr>
      <w:tr w:rsidTr="00380326">
        <w:tblPrEx>
          <w:tblW w:w="15331" w:type="dxa"/>
          <w:tblInd w:w="-459" w:type="dxa"/>
          <w:tblLayout w:type="fixed"/>
          <w:tblLook w:val="04A0"/>
        </w:tblPrEx>
        <w:trPr>
          <w:trHeight w:val="940"/>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244" w:type="dxa"/>
            <w:vMerge/>
            <w:shd w:val="clear" w:color="auto" w:fill="auto"/>
            <w:vAlign w:val="center"/>
          </w:tcPr>
          <w:p w:rsidR="00054DA8" w:rsidRPr="00756DA5" w:rsidP="00054DA8">
            <w:pPr>
              <w:spacing w:line="280" w:lineRule="exact"/>
              <w:rPr>
                <w:rFonts w:cs="Arial"/>
                <w:color w:val="000000" w:themeColor="text1"/>
                <w:sz w:val="16"/>
                <w:szCs w:val="16"/>
              </w:rPr>
            </w:pP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EPSF</w:t>
            </w:r>
          </w:p>
        </w:tc>
        <w:tc>
          <w:tcPr>
            <w:tcW w:w="4632" w:type="dxa"/>
            <w:vMerge/>
            <w:shd w:val="clear" w:color="auto" w:fill="auto"/>
            <w:vAlign w:val="center"/>
          </w:tcPr>
          <w:p w:rsidR="00054DA8" w:rsidRPr="00756DA5" w:rsidP="00054DA8">
            <w:pPr>
              <w:spacing w:line="280" w:lineRule="exact"/>
              <w:jc w:val="left"/>
              <w:rPr>
                <w:rFonts w:cs="Arial"/>
                <w:color w:val="000000" w:themeColor="text1"/>
                <w:sz w:val="16"/>
                <w:szCs w:val="16"/>
              </w:rPr>
            </w:pPr>
          </w:p>
        </w:tc>
        <w:tc>
          <w:tcPr>
            <w:tcW w:w="697" w:type="dxa"/>
            <w:vMerge/>
            <w:shd w:val="clear" w:color="auto" w:fill="auto"/>
            <w:vAlign w:val="center"/>
          </w:tcPr>
          <w:p w:rsidR="00054DA8" w:rsidRPr="00756DA5" w:rsidP="00054DA8">
            <w:pPr>
              <w:spacing w:line="280" w:lineRule="exact"/>
              <w:jc w:val="center"/>
              <w:rPr>
                <w:rFonts w:cs="Arial"/>
                <w:sz w:val="16"/>
                <w:szCs w:val="16"/>
              </w:rPr>
            </w:pPr>
          </w:p>
        </w:tc>
      </w:tr>
      <w:tr w:rsidTr="00380326">
        <w:tblPrEx>
          <w:tblW w:w="15331" w:type="dxa"/>
          <w:tblInd w:w="-459" w:type="dxa"/>
          <w:tblLayout w:type="fixed"/>
          <w:tblLook w:val="04A0"/>
        </w:tblPrEx>
        <w:trPr>
          <w:trHeight w:val="1252"/>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244"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Examine the appropriateness of planning systematic cleaning of rails after renewal, including outside of track circuit zones.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IN 3188 including the obligation to deoxidise renewed rails of lines without no track circuit during work carried out on a ‘closed line’ </w:t>
            </w:r>
            <w:r w:rsidRPr="00756DA5">
              <w:rPr>
                <w:color w:val="000000" w:themeColor="text1"/>
                <w:sz w:val="16"/>
                <w:szCs w:val="16"/>
              </w:rPr>
              <w:t>was revised</w:t>
            </w:r>
            <w:r w:rsidRPr="00756DA5">
              <w:rPr>
                <w:color w:val="000000" w:themeColor="text1"/>
                <w:sz w:val="16"/>
                <w:szCs w:val="16"/>
              </w:rPr>
              <w:t>.</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w:t>
            </w:r>
          </w:p>
        </w:tc>
      </w:tr>
      <w:tr w:rsidTr="00380326">
        <w:tblPrEx>
          <w:tblW w:w="15331" w:type="dxa"/>
          <w:tblInd w:w="-459" w:type="dxa"/>
          <w:tblLayout w:type="fixed"/>
          <w:tblLook w:val="04A0"/>
        </w:tblPrEx>
        <w:trPr>
          <w:trHeight w:val="1412"/>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R3</w:t>
            </w:r>
          </w:p>
        </w:tc>
        <w:tc>
          <w:tcPr>
            <w:tcW w:w="5244"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Formalise the criteria and the process for the granting of S6A No 4 approvals </w:t>
            </w:r>
            <w:r w:rsidRPr="00756DA5">
              <w:rPr>
                <w:color w:val="000000" w:themeColor="text1"/>
                <w:sz w:val="16"/>
                <w:szCs w:val="16"/>
              </w:rPr>
              <w:t>so as to</w:t>
            </w:r>
            <w:r w:rsidRPr="00756DA5">
              <w:rPr>
                <w:color w:val="000000" w:themeColor="text1"/>
                <w:sz w:val="16"/>
                <w:szCs w:val="16"/>
              </w:rPr>
              <w:t xml:space="preserve"> limit them to cases where they correspond to a real need for the operation of the apparatus concerned.</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IN 1575 ‘Specific measures for the handling of traffic likely to disrupt the operation of interlocking apparatus with track circuits’ is in the process of being rewritten.</w:t>
            </w:r>
          </w:p>
          <w:p w:rsidR="00054DA8" w:rsidRPr="00756DA5" w:rsidP="00054DA8">
            <w:pPr>
              <w:spacing w:line="280" w:lineRule="exact"/>
              <w:rPr>
                <w:rFonts w:cs="Arial"/>
                <w:color w:val="000000" w:themeColor="text1"/>
                <w:sz w:val="16"/>
                <w:szCs w:val="16"/>
              </w:rPr>
            </w:pPr>
          </w:p>
          <w:p w:rsidR="00054DA8" w:rsidRPr="00756DA5" w:rsidP="00054DA8">
            <w:pPr>
              <w:spacing w:line="280" w:lineRule="exac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p>
          <w:p w:rsidR="00054DA8" w:rsidRPr="00756DA5" w:rsidP="00054DA8">
            <w:pPr>
              <w:spacing w:line="280" w:lineRule="exact"/>
              <w:jc w:val="center"/>
              <w:rPr>
                <w:rFonts w:cs="Arial"/>
                <w:sz w:val="16"/>
                <w:szCs w:val="16"/>
              </w:rPr>
            </w:pPr>
            <w:r w:rsidRPr="00756DA5">
              <w:rPr>
                <w:sz w:val="16"/>
                <w:szCs w:val="16"/>
              </w:rPr>
              <w:t>O</w:t>
            </w:r>
          </w:p>
        </w:tc>
      </w:tr>
      <w:tr w:rsidTr="00380326">
        <w:tblPrEx>
          <w:tblW w:w="15331" w:type="dxa"/>
          <w:tblInd w:w="-459" w:type="dxa"/>
          <w:tblLayout w:type="fixed"/>
          <w:tblLook w:val="04A0"/>
        </w:tblPrEx>
        <w:trPr>
          <w:trHeight w:val="849"/>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R4</w:t>
            </w:r>
          </w:p>
        </w:tc>
        <w:tc>
          <w:tcPr>
            <w:tcW w:w="5244"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Consider the functionalities of modern apparatus in order to be able to adapt them to the real needs of the stations where they are located and thereby limit their vulnerability in the event of de-shunting.</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In progress</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O</w:t>
            </w:r>
          </w:p>
        </w:tc>
      </w:tr>
      <w:tr w:rsidTr="00380326">
        <w:tblPrEx>
          <w:tblW w:w="15331" w:type="dxa"/>
          <w:tblInd w:w="-459" w:type="dxa"/>
          <w:tblLayout w:type="fixed"/>
          <w:tblLook w:val="04A0"/>
        </w:tblPrEx>
        <w:trPr>
          <w:trHeight w:val="1102"/>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R5</w:t>
            </w:r>
          </w:p>
        </w:tc>
        <w:tc>
          <w:tcPr>
            <w:tcW w:w="5244" w:type="dxa"/>
            <w:shd w:val="clear" w:color="auto" w:fill="auto"/>
            <w:vAlign w:val="center"/>
          </w:tcPr>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In the context of feedback on de-shunting incidents and in the evaluation of the effectiveness of action plans, systematically identify the main type of track circuits concerned, in particular UM71 and ITE.</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All of the characteristics of de-shunting </w:t>
            </w:r>
            <w:r w:rsidRPr="00756DA5">
              <w:rPr>
                <w:color w:val="000000" w:themeColor="text1"/>
                <w:sz w:val="16"/>
                <w:szCs w:val="16"/>
              </w:rPr>
              <w:t>are listed</w:t>
            </w:r>
            <w:r w:rsidRPr="00756DA5">
              <w:rPr>
                <w:color w:val="000000" w:themeColor="text1"/>
                <w:sz w:val="16"/>
                <w:szCs w:val="16"/>
              </w:rPr>
              <w:t xml:space="preserve"> in a file. A committee for the classification of the severity de-shunting events has been set up within SNCF Réseau in order to provide quality assurance for the monitoring of de-shunting</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w:t>
            </w:r>
          </w:p>
        </w:tc>
      </w:tr>
      <w:tr w:rsidTr="00380326">
        <w:tblPrEx>
          <w:tblW w:w="15331" w:type="dxa"/>
          <w:tblInd w:w="-459" w:type="dxa"/>
          <w:tblLayout w:type="fixed"/>
          <w:tblLook w:val="04A0"/>
        </w:tblPrEx>
        <w:trPr>
          <w:trHeight w:val="565"/>
        </w:trPr>
        <w:tc>
          <w:tcPr>
            <w:tcW w:w="880"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06/2017</w:t>
            </w:r>
          </w:p>
        </w:tc>
        <w:tc>
          <w:tcPr>
            <w:tcW w:w="1559"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Derailment of a TGV high-speed test train in Eckwersheim (department 67) on 14 November 2015</w:t>
            </w:r>
          </w:p>
        </w:tc>
        <w:tc>
          <w:tcPr>
            <w:tcW w:w="709" w:type="dxa"/>
            <w:vMerge w:val="restart"/>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R1</w:t>
            </w:r>
          </w:p>
        </w:tc>
        <w:tc>
          <w:tcPr>
            <w:tcW w:w="5244" w:type="dxa"/>
            <w:vMerge w:val="restart"/>
            <w:shd w:val="clear" w:color="auto" w:fill="auto"/>
            <w:vAlign w:val="center"/>
          </w:tcPr>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Complete the process underway to clarify and development the requirements for approval of the high-speed lines included in SNCF reference document IN 3279.</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Raise them at the international level, in the UIC by SNCF Réseau and in the ERA by the EPSF.</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Réseau</w:t>
            </w:r>
          </w:p>
        </w:tc>
        <w:tc>
          <w:tcPr>
            <w:tcW w:w="4632" w:type="dxa"/>
            <w:vMerge w:val="restart"/>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 xml:space="preserve">A process to supplement the rules for </w:t>
            </w:r>
            <w:r w:rsidRPr="00756DA5">
              <w:rPr>
                <w:color w:val="000000" w:themeColor="text1"/>
                <w:sz w:val="16"/>
                <w:szCs w:val="16"/>
              </w:rPr>
              <w:t>the approve</w:t>
            </w:r>
            <w:r w:rsidRPr="00756DA5">
              <w:rPr>
                <w:color w:val="000000" w:themeColor="text1"/>
                <w:sz w:val="16"/>
                <w:szCs w:val="16"/>
              </w:rPr>
              <w:t xml:space="preserve"> of the new high-speed lines has been initiated.</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vMerge w:val="restart"/>
            <w:shd w:val="clear" w:color="auto" w:fill="auto"/>
            <w:vAlign w:val="center"/>
          </w:tcPr>
          <w:p w:rsidR="00054DA8" w:rsidRPr="00756DA5" w:rsidP="00054DA8">
            <w:pPr>
              <w:spacing w:line="280" w:lineRule="exact"/>
              <w:jc w:val="center"/>
              <w:rPr>
                <w:rFonts w:cs="Arial"/>
                <w:sz w:val="16"/>
                <w:szCs w:val="16"/>
              </w:rPr>
            </w:pPr>
            <w:r w:rsidRPr="00756DA5">
              <w:rPr>
                <w:sz w:val="16"/>
                <w:szCs w:val="16"/>
              </w:rPr>
              <w:t>C</w:t>
            </w:r>
          </w:p>
        </w:tc>
      </w:tr>
      <w:tr w:rsidTr="00380326">
        <w:tblPrEx>
          <w:tblW w:w="15331" w:type="dxa"/>
          <w:tblInd w:w="-459" w:type="dxa"/>
          <w:tblLayout w:type="fixed"/>
          <w:tblLook w:val="04A0"/>
        </w:tblPrEx>
        <w:trPr>
          <w:trHeight w:val="701"/>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vMerge/>
            <w:shd w:val="clear" w:color="auto" w:fill="auto"/>
            <w:vAlign w:val="center"/>
          </w:tcPr>
          <w:p w:rsidR="00054DA8" w:rsidRPr="00756DA5" w:rsidP="00054DA8">
            <w:pPr>
              <w:spacing w:line="280" w:lineRule="exact"/>
              <w:jc w:val="center"/>
              <w:rPr>
                <w:rFonts w:cs="Arial"/>
                <w:color w:val="000000" w:themeColor="text1"/>
                <w:sz w:val="16"/>
                <w:szCs w:val="16"/>
              </w:rPr>
            </w:pPr>
          </w:p>
        </w:tc>
        <w:tc>
          <w:tcPr>
            <w:tcW w:w="5244" w:type="dxa"/>
            <w:vMerge/>
            <w:shd w:val="clear" w:color="auto" w:fill="auto"/>
            <w:vAlign w:val="center"/>
          </w:tcPr>
          <w:p w:rsidR="00054DA8" w:rsidRPr="00756DA5" w:rsidP="00054DA8">
            <w:pPr>
              <w:spacing w:line="280" w:lineRule="exact"/>
              <w:ind w:left="189"/>
              <w:contextualSpacing/>
              <w:rPr>
                <w:rFonts w:cs="Arial"/>
                <w:color w:val="000000" w:themeColor="text1"/>
                <w:sz w:val="16"/>
                <w:szCs w:val="16"/>
              </w:rPr>
            </w:pP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EPSF</w:t>
            </w:r>
          </w:p>
        </w:tc>
        <w:tc>
          <w:tcPr>
            <w:tcW w:w="4632" w:type="dxa"/>
            <w:vMerge/>
            <w:shd w:val="clear" w:color="auto" w:fill="auto"/>
            <w:vAlign w:val="center"/>
          </w:tcPr>
          <w:p w:rsidR="00054DA8" w:rsidRPr="00756DA5" w:rsidP="00054DA8">
            <w:pPr>
              <w:spacing w:line="280" w:lineRule="exact"/>
              <w:jc w:val="left"/>
              <w:rPr>
                <w:rFonts w:cs="Arial"/>
                <w:color w:val="000000" w:themeColor="text1"/>
                <w:sz w:val="16"/>
                <w:szCs w:val="16"/>
              </w:rPr>
            </w:pPr>
          </w:p>
        </w:tc>
        <w:tc>
          <w:tcPr>
            <w:tcW w:w="697" w:type="dxa"/>
            <w:vMerge/>
            <w:shd w:val="clear" w:color="auto" w:fill="auto"/>
            <w:vAlign w:val="center"/>
          </w:tcPr>
          <w:p w:rsidR="00054DA8" w:rsidRPr="00756DA5" w:rsidP="00054DA8">
            <w:pPr>
              <w:spacing w:line="280" w:lineRule="exact"/>
              <w:jc w:val="center"/>
              <w:rPr>
                <w:rFonts w:cs="Arial"/>
                <w:sz w:val="16"/>
                <w:szCs w:val="16"/>
              </w:rPr>
            </w:pPr>
          </w:p>
        </w:tc>
      </w:tr>
      <w:tr w:rsidTr="00380326">
        <w:tblPrEx>
          <w:tblW w:w="15331" w:type="dxa"/>
          <w:tblInd w:w="-459" w:type="dxa"/>
          <w:tblLayout w:type="fixed"/>
          <w:tblLook w:val="04A0"/>
        </w:tblPrEx>
        <w:trPr>
          <w:trHeight w:val="1559"/>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R2</w:t>
            </w:r>
          </w:p>
        </w:tc>
        <w:tc>
          <w:tcPr>
            <w:tcW w:w="5244" w:type="dxa"/>
            <w:shd w:val="clear" w:color="auto" w:fill="auto"/>
            <w:vAlign w:val="center"/>
          </w:tcPr>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xml:space="preserve">Improve the methods for preliminary risk analysis </w:t>
            </w:r>
            <w:r w:rsidRPr="00756DA5">
              <w:rPr>
                <w:color w:val="000000" w:themeColor="text1"/>
                <w:sz w:val="16"/>
                <w:szCs w:val="16"/>
              </w:rPr>
              <w:t>in order to effectively research</w:t>
            </w:r>
            <w:r w:rsidRPr="00756DA5">
              <w:rPr>
                <w:color w:val="000000" w:themeColor="text1"/>
                <w:sz w:val="16"/>
                <w:szCs w:val="16"/>
              </w:rPr>
              <w:t xml:space="preserve"> the dangers relating to the specific characteristics of the line in conjunction with the planned testing campaign. Inform the specific risk actors identified.</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xml:space="preserve">The BEA-TT invites all railway testing project managers working on the lines planned in the country </w:t>
            </w:r>
            <w:r w:rsidRPr="00756DA5">
              <w:rPr>
                <w:color w:val="000000" w:themeColor="text1"/>
                <w:sz w:val="16"/>
                <w:szCs w:val="16"/>
              </w:rPr>
              <w:t>to also ensure</w:t>
            </w:r>
            <w:r w:rsidRPr="00756DA5">
              <w:rPr>
                <w:color w:val="000000" w:themeColor="text1"/>
                <w:sz w:val="16"/>
                <w:szCs w:val="16"/>
              </w:rPr>
              <w:t xml:space="preserve"> the quality of their methods.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SYSTRA</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 xml:space="preserve">Standardisation of the risk analysis method </w:t>
            </w:r>
            <w:r w:rsidRPr="00756DA5">
              <w:rPr>
                <w:color w:val="000000" w:themeColor="text1"/>
                <w:sz w:val="16"/>
                <w:szCs w:val="16"/>
              </w:rPr>
              <w:t>has been established</w:t>
            </w:r>
            <w:r w:rsidRPr="00756DA5">
              <w:rPr>
                <w:color w:val="000000" w:themeColor="text1"/>
                <w:sz w:val="16"/>
                <w:szCs w:val="16"/>
              </w:rPr>
              <w:t>.</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w:t>
            </w:r>
          </w:p>
        </w:tc>
      </w:tr>
      <w:tr w:rsidTr="00380326">
        <w:tblPrEx>
          <w:tblW w:w="15331" w:type="dxa"/>
          <w:tblInd w:w="-459" w:type="dxa"/>
          <w:tblLayout w:type="fixed"/>
          <w:tblLook w:val="04A0"/>
        </w:tblPrEx>
        <w:trPr>
          <w:trHeight w:val="1683"/>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color w:val="000000" w:themeColor="text1"/>
                <w:sz w:val="16"/>
                <w:szCs w:val="16"/>
              </w:rPr>
            </w:pPr>
            <w:r w:rsidRPr="00756DA5">
              <w:rPr>
                <w:color w:val="000000" w:themeColor="text1"/>
                <w:sz w:val="16"/>
                <w:szCs w:val="16"/>
              </w:rPr>
              <w:t>R3</w:t>
            </w:r>
          </w:p>
        </w:tc>
        <w:tc>
          <w:tcPr>
            <w:tcW w:w="5244" w:type="dxa"/>
            <w:shd w:val="clear" w:color="auto" w:fill="auto"/>
            <w:vAlign w:val="center"/>
          </w:tcPr>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Set up a system for the selection, training and authorisation of test drivers and CTTs (</w:t>
            </w:r>
            <w:r w:rsidRPr="00756DA5">
              <w:rPr>
                <w:i/>
                <w:color w:val="000000" w:themeColor="text1"/>
                <w:sz w:val="16"/>
                <w:szCs w:val="16"/>
              </w:rPr>
              <w:t>cadre transport de traction</w:t>
            </w:r>
            <w:r w:rsidRPr="00756DA5">
              <w:rPr>
                <w:color w:val="000000" w:themeColor="text1"/>
                <w:sz w:val="16"/>
                <w:szCs w:val="16"/>
              </w:rPr>
              <w:t>) [traction transport executives] to ensure that driving teams are provided which have the skills and qualifications that are compatible with the specific characteristics, the complexity and the level of risk of the planned testing.</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xml:space="preserve">The BEA-TT invites the other railway undertakings likely to perform test runs on the RFN </w:t>
            </w:r>
            <w:r w:rsidRPr="00756DA5">
              <w:rPr>
                <w:color w:val="000000" w:themeColor="text1"/>
                <w:sz w:val="16"/>
                <w:szCs w:val="16"/>
              </w:rPr>
              <w:t>to also implement</w:t>
            </w:r>
            <w:r w:rsidRPr="00756DA5">
              <w:rPr>
                <w:color w:val="000000" w:themeColor="text1"/>
                <w:sz w:val="16"/>
                <w:szCs w:val="16"/>
              </w:rPr>
              <w:t xml:space="preserve"> this recommendation.</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tc>
        <w:tc>
          <w:tcPr>
            <w:tcW w:w="4632" w:type="dxa"/>
            <w:shd w:val="clear" w:color="auto" w:fill="auto"/>
            <w:vAlign w:val="center"/>
          </w:tcPr>
          <w:p w:rsidR="00054DA8" w:rsidRPr="00756DA5" w:rsidP="00054DA8">
            <w:pPr>
              <w:spacing w:line="280" w:lineRule="exact"/>
              <w:rPr>
                <w:rFonts w:cs="Arial"/>
                <w:color w:val="000000" w:themeColor="text1"/>
                <w:sz w:val="16"/>
                <w:szCs w:val="16"/>
              </w:rPr>
            </w:pPr>
            <w:r w:rsidRPr="00756DA5">
              <w:rPr>
                <w:color w:val="000000" w:themeColor="text1"/>
                <w:sz w:val="16"/>
                <w:szCs w:val="16"/>
              </w:rPr>
              <w:t>A complementary system has been set up to increase access to the driving of test trains.</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w:t>
            </w:r>
          </w:p>
        </w:tc>
      </w:tr>
      <w:tr w:rsidTr="00380326">
        <w:tblPrEx>
          <w:tblW w:w="15331" w:type="dxa"/>
          <w:tblInd w:w="-459" w:type="dxa"/>
          <w:tblLayout w:type="fixed"/>
          <w:tblLook w:val="04A0"/>
        </w:tblPrEx>
        <w:trPr>
          <w:trHeight w:val="2416"/>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R4</w:t>
            </w:r>
          </w:p>
        </w:tc>
        <w:tc>
          <w:tcPr>
            <w:tcW w:w="5244" w:type="dxa"/>
            <w:shd w:val="clear" w:color="auto" w:fill="auto"/>
            <w:vAlign w:val="center"/>
          </w:tcPr>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xml:space="preserve">Make available to testing teams the practical tools to support them in determining </w:t>
            </w:r>
            <w:r w:rsidRPr="00756DA5">
              <w:rPr>
                <w:color w:val="000000" w:themeColor="text1"/>
                <w:sz w:val="16"/>
                <w:szCs w:val="16"/>
              </w:rPr>
              <w:t>braking strategies and the methods to ensure that the strategies adopted are properly understood by each person</w:t>
            </w:r>
            <w:r w:rsidRPr="00756DA5">
              <w:rPr>
                <w:color w:val="000000" w:themeColor="text1"/>
                <w:sz w:val="16"/>
                <w:szCs w:val="16"/>
              </w:rPr>
              <w:t>.</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xml:space="preserve">Define, for the main types of test, the allocation of task within the driving team and, for the other tests, develop the methods to enable the CTT to implement this allocation and ensure that it </w:t>
            </w:r>
            <w:r w:rsidRPr="00756DA5">
              <w:rPr>
                <w:color w:val="000000" w:themeColor="text1"/>
                <w:sz w:val="16"/>
                <w:szCs w:val="16"/>
              </w:rPr>
              <w:t>is properly understood</w:t>
            </w:r>
            <w:r w:rsidRPr="00756DA5">
              <w:rPr>
                <w:color w:val="000000" w:themeColor="text1"/>
                <w:sz w:val="16"/>
                <w:szCs w:val="16"/>
              </w:rPr>
              <w:t>.</w:t>
            </w:r>
          </w:p>
          <w:p w:rsidR="00054DA8" w:rsidRPr="00756DA5" w:rsidP="00054DA8">
            <w:pPr>
              <w:spacing w:line="280" w:lineRule="exact"/>
              <w:ind w:left="189"/>
              <w:contextualSpacing/>
            </w:pPr>
            <w:r w:rsidRPr="00756DA5">
              <w:rPr>
                <w:color w:val="000000" w:themeColor="text1"/>
                <w:sz w:val="16"/>
                <w:szCs w:val="16"/>
              </w:rPr>
              <w:t xml:space="preserve">The BEA-TT invites the other railway undertakings likely to perform test runs on the RFN </w:t>
            </w:r>
            <w:r w:rsidRPr="00756DA5">
              <w:rPr>
                <w:color w:val="000000" w:themeColor="text1"/>
                <w:sz w:val="16"/>
                <w:szCs w:val="16"/>
              </w:rPr>
              <w:t>to also implement</w:t>
            </w:r>
            <w:r w:rsidRPr="00756DA5">
              <w:rPr>
                <w:color w:val="000000" w:themeColor="text1"/>
                <w:sz w:val="16"/>
                <w:szCs w:val="16"/>
              </w:rPr>
              <w:t xml:space="preserve"> this recommendation.</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All the tools available to actors in trial runs have been reviewed</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w:t>
            </w:r>
          </w:p>
        </w:tc>
      </w:tr>
      <w:tr w:rsidTr="00380326">
        <w:tblPrEx>
          <w:tblW w:w="15331" w:type="dxa"/>
          <w:tblInd w:w="-459" w:type="dxa"/>
          <w:tblLayout w:type="fixed"/>
          <w:tblLook w:val="04A0"/>
        </w:tblPrEx>
        <w:trPr>
          <w:trHeight w:val="3543"/>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R5</w:t>
            </w:r>
          </w:p>
        </w:tc>
        <w:tc>
          <w:tcPr>
            <w:tcW w:w="5244" w:type="dxa"/>
            <w:shd w:val="clear" w:color="auto" w:fill="auto"/>
            <w:vAlign w:val="center"/>
          </w:tcPr>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Develop the reference documents for the organisation of testing campaigns taking in to account the feedback from the Eckwersheim accident so as to ensure in particular:</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the experience and competence of the testing manager with respect to the criticality of the planned tests;</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the scheduling of the test runs allowing preparation time and sufficient debriefing;</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the organisation of consultation between the test manager and the CTT favouring direct contacts;</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the redefinition of the role of the driver avoiding having him or her be the interface between the test manager and the CTT, and limiting the risk of interference with the tasks of the driving team;</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xml:space="preserve">- </w:t>
            </w:r>
            <w:r w:rsidRPr="00756DA5">
              <w:rPr>
                <w:color w:val="000000" w:themeColor="text1"/>
                <w:sz w:val="16"/>
                <w:szCs w:val="16"/>
              </w:rPr>
              <w:t>the</w:t>
            </w:r>
            <w:r w:rsidRPr="00756DA5">
              <w:rPr>
                <w:color w:val="000000" w:themeColor="text1"/>
                <w:sz w:val="16"/>
                <w:szCs w:val="16"/>
              </w:rPr>
              <w:t xml:space="preserve"> realistic and clearly demonstrated allocation of responsibilities between the test manager and the CTT.</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 xml:space="preserve">The BEA-TT invites the other railway undertakings likely to organise or to perform test runs or testing campaigns on the RFN </w:t>
            </w:r>
            <w:r w:rsidRPr="00756DA5">
              <w:rPr>
                <w:color w:val="000000" w:themeColor="text1"/>
                <w:sz w:val="16"/>
                <w:szCs w:val="16"/>
              </w:rPr>
              <w:t>to also implement</w:t>
            </w:r>
            <w:r w:rsidRPr="00756DA5">
              <w:rPr>
                <w:color w:val="000000" w:themeColor="text1"/>
                <w:sz w:val="16"/>
                <w:szCs w:val="16"/>
              </w:rPr>
              <w:t xml:space="preserve"> this recommendation.</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SYSTRA</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 xml:space="preserve">All the reference document </w:t>
            </w:r>
            <w:r w:rsidRPr="00756DA5">
              <w:rPr>
                <w:color w:val="000000" w:themeColor="text1"/>
                <w:sz w:val="16"/>
                <w:szCs w:val="16"/>
              </w:rPr>
              <w:t>have been reviewed</w:t>
            </w:r>
            <w:r w:rsidRPr="00756DA5">
              <w:rPr>
                <w:color w:val="000000" w:themeColor="text1"/>
                <w:sz w:val="16"/>
                <w:szCs w:val="16"/>
              </w:rPr>
              <w:t xml:space="preserve"> taking into account the feedback from the accident.</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w:t>
            </w:r>
          </w:p>
        </w:tc>
      </w:tr>
      <w:tr w:rsidTr="00380326">
        <w:tblPrEx>
          <w:tblW w:w="15331" w:type="dxa"/>
          <w:tblInd w:w="-459" w:type="dxa"/>
          <w:tblLayout w:type="fixed"/>
          <w:tblLook w:val="04A0"/>
        </w:tblPrEx>
        <w:trPr>
          <w:trHeight w:val="2126"/>
        </w:trPr>
        <w:tc>
          <w:tcPr>
            <w:tcW w:w="880" w:type="dxa"/>
            <w:vMerge/>
            <w:shd w:val="clear" w:color="auto" w:fill="auto"/>
            <w:vAlign w:val="center"/>
          </w:tcPr>
          <w:p w:rsidR="00054DA8" w:rsidRPr="00756DA5" w:rsidP="00054DA8">
            <w:pPr>
              <w:spacing w:line="280" w:lineRule="exact"/>
              <w:jc w:val="center"/>
              <w:rPr>
                <w:rFonts w:cs="Arial"/>
                <w:sz w:val="16"/>
                <w:szCs w:val="16"/>
              </w:rPr>
            </w:pPr>
          </w:p>
        </w:tc>
        <w:tc>
          <w:tcPr>
            <w:tcW w:w="1559" w:type="dxa"/>
            <w:vMerge/>
            <w:shd w:val="clear" w:color="auto" w:fill="auto"/>
            <w:vAlign w:val="center"/>
          </w:tcPr>
          <w:p w:rsidR="00054DA8" w:rsidRPr="00756DA5" w:rsidP="00054DA8">
            <w:pPr>
              <w:spacing w:line="280" w:lineRule="exact"/>
              <w:jc w:val="center"/>
              <w:rPr>
                <w:rFonts w:cs="Arial"/>
                <w:sz w:val="16"/>
                <w:szCs w:val="16"/>
              </w:rPr>
            </w:pPr>
          </w:p>
        </w:tc>
        <w:tc>
          <w:tcPr>
            <w:tcW w:w="709"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R6</w:t>
            </w:r>
          </w:p>
        </w:tc>
        <w:tc>
          <w:tcPr>
            <w:tcW w:w="5244" w:type="dxa"/>
            <w:shd w:val="clear" w:color="auto" w:fill="auto"/>
            <w:vAlign w:val="center"/>
          </w:tcPr>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In testing involving the installation of an intercom system between the driving cab and the test manager, systematically install a system for recording the sounds in the cab and the communication over the intercom.</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The BEA-TT invites the AEF (</w:t>
            </w:r>
            <w:r w:rsidRPr="00756DA5">
              <w:rPr>
                <w:i/>
                <w:color w:val="000000" w:themeColor="text1"/>
                <w:sz w:val="16"/>
                <w:szCs w:val="16"/>
              </w:rPr>
              <w:t>Agence d’Essai Ferroviaire</w:t>
            </w:r>
            <w:r w:rsidRPr="00756DA5">
              <w:rPr>
                <w:color w:val="000000" w:themeColor="text1"/>
                <w:sz w:val="16"/>
                <w:szCs w:val="16"/>
              </w:rPr>
              <w:t>) [Railway Test Agency] to continue the development of the ESVE (</w:t>
            </w:r>
            <w:r w:rsidRPr="00756DA5">
              <w:rPr>
                <w:i/>
                <w:color w:val="000000" w:themeColor="text1"/>
                <w:sz w:val="16"/>
                <w:szCs w:val="16"/>
              </w:rPr>
              <w:t>Equipement de Surveillance de la Vitesse en Essai</w:t>
            </w:r>
            <w:r w:rsidRPr="00756DA5">
              <w:rPr>
                <w:color w:val="000000" w:themeColor="text1"/>
                <w:sz w:val="16"/>
                <w:szCs w:val="16"/>
              </w:rPr>
              <w:t>) [test speed monitoring equipment] and to come up with new technical devices geared towards improve the safety of test trains.</w:t>
            </w:r>
          </w:p>
          <w:p w:rsidR="00054DA8" w:rsidRPr="00756DA5" w:rsidP="00054DA8">
            <w:pPr>
              <w:spacing w:line="280" w:lineRule="exact"/>
              <w:ind w:left="189"/>
              <w:contextualSpacing/>
              <w:rPr>
                <w:rFonts w:cs="Arial"/>
                <w:color w:val="000000" w:themeColor="text1"/>
                <w:sz w:val="16"/>
                <w:szCs w:val="16"/>
              </w:rPr>
            </w:pPr>
            <w:r w:rsidRPr="00756DA5">
              <w:rPr>
                <w:color w:val="000000" w:themeColor="text1"/>
                <w:sz w:val="16"/>
                <w:szCs w:val="16"/>
              </w:rPr>
              <w:t>It also invites the other railway testing operators likely to work in France to develop similar systems.</w:t>
            </w:r>
          </w:p>
        </w:tc>
        <w:tc>
          <w:tcPr>
            <w:tcW w:w="1610" w:type="dxa"/>
            <w:shd w:val="clear" w:color="auto" w:fill="auto"/>
            <w:vAlign w:val="center"/>
          </w:tcPr>
          <w:p w:rsidR="00054DA8" w:rsidRPr="00756DA5" w:rsidP="00054DA8">
            <w:pPr>
              <w:spacing w:line="280" w:lineRule="exact"/>
              <w:jc w:val="center"/>
              <w:rPr>
                <w:rFonts w:cs="Arial"/>
                <w:color w:val="000000"/>
                <w:sz w:val="16"/>
                <w:szCs w:val="16"/>
              </w:rPr>
            </w:pPr>
            <w:r w:rsidRPr="00756DA5">
              <w:rPr>
                <w:color w:val="000000"/>
                <w:sz w:val="16"/>
                <w:szCs w:val="16"/>
              </w:rPr>
              <w:t>SNCF Mobilités</w:t>
            </w:r>
          </w:p>
        </w:tc>
        <w:tc>
          <w:tcPr>
            <w:tcW w:w="4632" w:type="dxa"/>
            <w:shd w:val="clear" w:color="auto" w:fill="auto"/>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This specific equipment (camera, recorder) is systematically set up during the tests in question.</w:t>
            </w:r>
          </w:p>
          <w:p w:rsidR="00054DA8" w:rsidRPr="00756DA5" w:rsidP="00054DA8">
            <w:pPr>
              <w:spacing w:line="280" w:lineRule="exact"/>
              <w:jc w:val="left"/>
              <w:rPr>
                <w:rFonts w:cs="Arial"/>
                <w:color w:val="000000" w:themeColor="text1"/>
                <w:sz w:val="16"/>
                <w:szCs w:val="16"/>
              </w:rPr>
            </w:pPr>
          </w:p>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Closed</w:t>
            </w:r>
          </w:p>
        </w:tc>
        <w:tc>
          <w:tcPr>
            <w:tcW w:w="697" w:type="dxa"/>
            <w:shd w:val="clear" w:color="auto" w:fill="auto"/>
            <w:vAlign w:val="center"/>
          </w:tcPr>
          <w:p w:rsidR="00054DA8" w:rsidRPr="00756DA5" w:rsidP="00054DA8">
            <w:pPr>
              <w:spacing w:line="280" w:lineRule="exact"/>
              <w:jc w:val="center"/>
              <w:rPr>
                <w:rFonts w:cs="Arial"/>
                <w:sz w:val="16"/>
                <w:szCs w:val="16"/>
              </w:rPr>
            </w:pPr>
            <w:r w:rsidRPr="00756DA5">
              <w:rPr>
                <w:sz w:val="16"/>
                <w:szCs w:val="16"/>
              </w:rPr>
              <w:t>C</w:t>
            </w:r>
          </w:p>
        </w:tc>
      </w:tr>
      <w:tr w:rsidTr="00380326">
        <w:tblPrEx>
          <w:tblW w:w="15331" w:type="dxa"/>
          <w:tblInd w:w="-459" w:type="dxa"/>
          <w:tblLayout w:type="fixed"/>
          <w:tblLook w:val="04A0"/>
        </w:tblPrEx>
        <w:trPr>
          <w:trHeight w:val="2545"/>
        </w:trPr>
        <w:tc>
          <w:tcPr>
            <w:tcW w:w="880" w:type="dxa"/>
            <w:vMerge w:val="restart"/>
            <w:vAlign w:val="center"/>
          </w:tcPr>
          <w:p w:rsidR="00054DA8" w:rsidRPr="00756DA5" w:rsidP="00054DA8">
            <w:pPr>
              <w:spacing w:line="280" w:lineRule="exact"/>
              <w:jc w:val="center"/>
              <w:rPr>
                <w:rFonts w:cs="Arial"/>
                <w:sz w:val="16"/>
                <w:szCs w:val="16"/>
              </w:rPr>
            </w:pPr>
            <w:r w:rsidRPr="00756DA5">
              <w:rPr>
                <w:sz w:val="16"/>
                <w:szCs w:val="18"/>
              </w:rPr>
              <w:t>11/2017</w:t>
            </w:r>
          </w:p>
        </w:tc>
        <w:tc>
          <w:tcPr>
            <w:tcW w:w="1559" w:type="dxa"/>
            <w:vMerge w:val="restart"/>
            <w:vAlign w:val="center"/>
          </w:tcPr>
          <w:p w:rsidR="00054DA8" w:rsidRPr="00756DA5" w:rsidP="00054DA8">
            <w:pPr>
              <w:spacing w:line="280" w:lineRule="exact"/>
              <w:jc w:val="center"/>
              <w:rPr>
                <w:rFonts w:cs="Arial"/>
                <w:sz w:val="16"/>
                <w:szCs w:val="16"/>
              </w:rPr>
            </w:pPr>
          </w:p>
          <w:p w:rsidR="00054DA8" w:rsidRPr="00756DA5" w:rsidP="00054DA8">
            <w:pPr>
              <w:spacing w:line="280" w:lineRule="exact"/>
              <w:jc w:val="center"/>
              <w:rPr>
                <w:rFonts w:cs="Arial"/>
                <w:sz w:val="16"/>
                <w:szCs w:val="16"/>
              </w:rPr>
            </w:pPr>
          </w:p>
          <w:p w:rsidR="00054DA8" w:rsidRPr="00756DA5" w:rsidP="00054DA8">
            <w:pPr>
              <w:spacing w:line="280" w:lineRule="exact"/>
              <w:jc w:val="center"/>
              <w:rPr>
                <w:rFonts w:cs="Arial"/>
                <w:sz w:val="16"/>
                <w:szCs w:val="16"/>
              </w:rPr>
            </w:pPr>
          </w:p>
          <w:p w:rsidR="00054DA8" w:rsidRPr="00756DA5" w:rsidP="00054DA8">
            <w:pPr>
              <w:spacing w:line="280" w:lineRule="exact"/>
              <w:jc w:val="center"/>
              <w:rPr>
                <w:rFonts w:cs="Arial"/>
                <w:sz w:val="16"/>
                <w:szCs w:val="16"/>
              </w:rPr>
            </w:pPr>
            <w:r w:rsidRPr="00756DA5">
              <w:rPr>
                <w:sz w:val="16"/>
                <w:szCs w:val="16"/>
              </w:rPr>
              <w:t>Multiple broken rails between Beillant and Jonzac stations (department 17) on 13 December 2016</w:t>
            </w:r>
          </w:p>
        </w:tc>
        <w:tc>
          <w:tcPr>
            <w:tcW w:w="709" w:type="dxa"/>
            <w:vAlign w:val="center"/>
          </w:tcPr>
          <w:p w:rsidR="00054DA8" w:rsidRPr="00756DA5" w:rsidP="00054DA8">
            <w:pPr>
              <w:spacing w:line="280" w:lineRule="exact"/>
              <w:jc w:val="center"/>
              <w:rPr>
                <w:rFonts w:cs="Arial"/>
                <w:sz w:val="16"/>
                <w:szCs w:val="16"/>
              </w:rPr>
            </w:pPr>
            <w:r w:rsidRPr="00756DA5">
              <w:rPr>
                <w:color w:val="000000" w:themeColor="text1"/>
                <w:sz w:val="16"/>
                <w:szCs w:val="16"/>
              </w:rPr>
              <w:t>R1</w:t>
            </w:r>
          </w:p>
        </w:tc>
        <w:tc>
          <w:tcPr>
            <w:tcW w:w="5244" w:type="dxa"/>
            <w:vAlign w:val="center"/>
          </w:tcPr>
          <w:p w:rsidR="00054DA8" w:rsidRPr="00756DA5" w:rsidP="00054DA8">
            <w:pPr>
              <w:spacing w:line="280" w:lineRule="exact"/>
              <w:rPr>
                <w:rFonts w:cs="Arial"/>
                <w:sz w:val="16"/>
                <w:szCs w:val="16"/>
              </w:rPr>
            </w:pPr>
            <w:r w:rsidRPr="00756DA5">
              <w:rPr>
                <w:sz w:val="16"/>
                <w:szCs w:val="16"/>
              </w:rPr>
              <w:t>Measure, in a sample of 30 wagons selected at random from the fleet of 185 EX 90 wagons, the pressure delivered by the load-sensitive valves in an empty state.</w:t>
            </w:r>
          </w:p>
          <w:p w:rsidR="00054DA8" w:rsidRPr="00756DA5" w:rsidP="00054DA8">
            <w:pPr>
              <w:spacing w:line="280" w:lineRule="exact"/>
              <w:rPr>
                <w:rFonts w:cs="Arial"/>
                <w:sz w:val="16"/>
                <w:szCs w:val="16"/>
              </w:rPr>
            </w:pPr>
            <w:r w:rsidRPr="00756DA5">
              <w:rPr>
                <w:sz w:val="16"/>
                <w:szCs w:val="16"/>
              </w:rPr>
              <w:t xml:space="preserve">If anomalies </w:t>
            </w:r>
            <w:r w:rsidRPr="00756DA5">
              <w:rPr>
                <w:sz w:val="16"/>
                <w:szCs w:val="16"/>
              </w:rPr>
              <w:t>are observed</w:t>
            </w:r>
            <w:r w:rsidRPr="00756DA5">
              <w:rPr>
                <w:sz w:val="16"/>
                <w:szCs w:val="16"/>
              </w:rPr>
              <w:t xml:space="preserve"> in a significant number, look for the causes, in conjunction with the supplier of the equipment.</w:t>
            </w:r>
          </w:p>
          <w:p w:rsidR="00054DA8" w:rsidRPr="00756DA5" w:rsidP="00054DA8">
            <w:pPr>
              <w:spacing w:line="280" w:lineRule="exact"/>
              <w:rPr>
                <w:rFonts w:cs="Arial"/>
                <w:sz w:val="16"/>
                <w:szCs w:val="16"/>
              </w:rPr>
            </w:pPr>
          </w:p>
          <w:p w:rsidR="00054DA8" w:rsidRPr="00756DA5" w:rsidP="00054DA8">
            <w:pPr>
              <w:spacing w:line="280" w:lineRule="exact"/>
              <w:rPr>
                <w:rFonts w:cs="Arial"/>
                <w:sz w:val="16"/>
                <w:szCs w:val="16"/>
              </w:rPr>
            </w:pPr>
            <w:r w:rsidRPr="00756DA5">
              <w:rPr>
                <w:sz w:val="16"/>
                <w:szCs w:val="16"/>
              </w:rPr>
              <w:t xml:space="preserve">The BEA-TT therefore invites SNCF Mobilités to specify the tolerances to </w:t>
            </w:r>
            <w:r w:rsidRPr="00756DA5">
              <w:rPr>
                <w:sz w:val="16"/>
                <w:szCs w:val="16"/>
              </w:rPr>
              <w:t>be applied</w:t>
            </w:r>
            <w:r w:rsidRPr="00756DA5">
              <w:rPr>
                <w:sz w:val="16"/>
                <w:szCs w:val="16"/>
              </w:rPr>
              <w:t xml:space="preserve"> during the brake testing of wagons equipped with the load-sensitive empty/loaded device.</w:t>
            </w:r>
          </w:p>
          <w:p w:rsidR="00054DA8" w:rsidRPr="00756DA5" w:rsidP="00054DA8">
            <w:pPr>
              <w:spacing w:line="280" w:lineRule="exact"/>
              <w:rPr>
                <w:rFonts w:cs="Arial"/>
                <w:sz w:val="16"/>
                <w:szCs w:val="16"/>
              </w:rPr>
            </w:pPr>
            <w:r w:rsidRPr="00756DA5">
              <w:rPr>
                <w:sz w:val="16"/>
                <w:szCs w:val="16"/>
              </w:rPr>
              <w:t>The BEA-TT invites Ermewa with its manufacturer to analyse the cause for the rapid deviation in pressure of the valves (wagon left the plant in 2015).</w:t>
            </w:r>
          </w:p>
        </w:tc>
        <w:tc>
          <w:tcPr>
            <w:tcW w:w="1610" w:type="dxa"/>
            <w:vAlign w:val="center"/>
          </w:tcPr>
          <w:p w:rsidR="00054DA8" w:rsidRPr="00756DA5" w:rsidP="00054DA8">
            <w:pPr>
              <w:spacing w:line="280" w:lineRule="exact"/>
              <w:jc w:val="center"/>
              <w:rPr>
                <w:rFonts w:cs="Arial"/>
                <w:sz w:val="16"/>
                <w:szCs w:val="16"/>
              </w:rPr>
            </w:pPr>
            <w:r w:rsidRPr="00756DA5">
              <w:rPr>
                <w:sz w:val="16"/>
                <w:szCs w:val="16"/>
              </w:rPr>
              <w:t>Ermewa</w:t>
            </w:r>
          </w:p>
        </w:tc>
        <w:tc>
          <w:tcPr>
            <w:tcW w:w="4632" w:type="dxa"/>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Expectation of a response before the end of the first quarter of 2018</w:t>
            </w:r>
          </w:p>
        </w:tc>
        <w:tc>
          <w:tcPr>
            <w:tcW w:w="697" w:type="dxa"/>
            <w:vAlign w:val="center"/>
          </w:tcPr>
          <w:p w:rsidR="00054DA8" w:rsidRPr="00756DA5" w:rsidP="00054DA8">
            <w:pPr>
              <w:spacing w:line="280" w:lineRule="exact"/>
              <w:jc w:val="center"/>
              <w:rPr>
                <w:rFonts w:cs="Arial"/>
                <w:sz w:val="16"/>
                <w:szCs w:val="16"/>
              </w:rPr>
            </w:pPr>
            <w:r w:rsidRPr="00756DA5">
              <w:rPr>
                <w:sz w:val="16"/>
                <w:szCs w:val="16"/>
              </w:rPr>
              <w:t>O</w:t>
            </w:r>
          </w:p>
        </w:tc>
      </w:tr>
      <w:tr w:rsidTr="00380326">
        <w:tblPrEx>
          <w:tblW w:w="15331" w:type="dxa"/>
          <w:tblInd w:w="-459" w:type="dxa"/>
          <w:tblLayout w:type="fixed"/>
          <w:tblLook w:val="04A0"/>
        </w:tblPrEx>
        <w:trPr>
          <w:trHeight w:val="1965"/>
        </w:trPr>
        <w:tc>
          <w:tcPr>
            <w:tcW w:w="880" w:type="dxa"/>
            <w:vMerge/>
          </w:tcPr>
          <w:p w:rsidR="00054DA8" w:rsidRPr="00756DA5" w:rsidP="00054DA8">
            <w:pPr>
              <w:spacing w:line="280" w:lineRule="exact"/>
              <w:jc w:val="center"/>
              <w:rPr>
                <w:rFonts w:cs="Arial"/>
                <w:sz w:val="16"/>
                <w:szCs w:val="16"/>
              </w:rPr>
            </w:pPr>
          </w:p>
        </w:tc>
        <w:tc>
          <w:tcPr>
            <w:tcW w:w="1559" w:type="dxa"/>
            <w:vMerge/>
          </w:tcPr>
          <w:p w:rsidR="00054DA8" w:rsidRPr="00756DA5" w:rsidP="00054DA8">
            <w:pPr>
              <w:spacing w:line="280" w:lineRule="exact"/>
              <w:jc w:val="center"/>
              <w:rPr>
                <w:rFonts w:cs="Arial"/>
                <w:sz w:val="16"/>
                <w:szCs w:val="16"/>
              </w:rPr>
            </w:pPr>
          </w:p>
        </w:tc>
        <w:tc>
          <w:tcPr>
            <w:tcW w:w="709" w:type="dxa"/>
            <w:vAlign w:val="center"/>
          </w:tcPr>
          <w:p w:rsidR="00054DA8" w:rsidRPr="00756DA5" w:rsidP="00054DA8">
            <w:pPr>
              <w:spacing w:line="280" w:lineRule="exact"/>
              <w:jc w:val="center"/>
              <w:rPr>
                <w:rFonts w:cs="Arial"/>
                <w:sz w:val="16"/>
                <w:szCs w:val="16"/>
              </w:rPr>
            </w:pPr>
            <w:r w:rsidRPr="00756DA5">
              <w:rPr>
                <w:color w:val="000000" w:themeColor="text1"/>
                <w:sz w:val="16"/>
                <w:szCs w:val="16"/>
              </w:rPr>
              <w:t>R2</w:t>
            </w:r>
          </w:p>
        </w:tc>
        <w:tc>
          <w:tcPr>
            <w:tcW w:w="5244" w:type="dxa"/>
            <w:vAlign w:val="center"/>
          </w:tcPr>
          <w:p w:rsidR="00054DA8" w:rsidRPr="00756DA5" w:rsidP="00054DA8">
            <w:pPr>
              <w:tabs>
                <w:tab w:val="left" w:pos="3210"/>
              </w:tabs>
              <w:spacing w:line="280" w:lineRule="exact"/>
              <w:rPr>
                <w:rFonts w:cs="Arial"/>
                <w:sz w:val="16"/>
                <w:szCs w:val="16"/>
              </w:rPr>
            </w:pPr>
            <w:r w:rsidRPr="00756DA5">
              <w:rPr>
                <w:sz w:val="16"/>
                <w:szCs w:val="16"/>
              </w:rPr>
              <w:t xml:space="preserve">In training and monitoring actions, do what is necessary for all the staff members who are like to supervise trains in motion or to manage traffic are aware of the risks inherent in the running of wagons with flats that are outside the tolerances. Make them understand that if they fail to take action, the flats may be exacerbated and the wagons in question may at any time cause rail fractures or run for fairly long periods while submitting the track to </w:t>
            </w:r>
            <w:r w:rsidRPr="00756DA5">
              <w:rPr>
                <w:sz w:val="16"/>
                <w:szCs w:val="16"/>
              </w:rPr>
              <w:t>impacts</w:t>
            </w:r>
            <w:r w:rsidRPr="00756DA5">
              <w:rPr>
                <w:sz w:val="16"/>
                <w:szCs w:val="16"/>
              </w:rPr>
              <w:t xml:space="preserve"> and abnormal constraints.</w:t>
            </w:r>
          </w:p>
        </w:tc>
        <w:tc>
          <w:tcPr>
            <w:tcW w:w="1610" w:type="dxa"/>
            <w:vAlign w:val="center"/>
          </w:tcPr>
          <w:p w:rsidR="00054DA8" w:rsidRPr="00756DA5" w:rsidP="00054DA8">
            <w:pPr>
              <w:spacing w:line="280" w:lineRule="exact"/>
              <w:jc w:val="center"/>
              <w:rPr>
                <w:rFonts w:cs="Arial"/>
                <w:sz w:val="16"/>
                <w:szCs w:val="16"/>
              </w:rPr>
            </w:pPr>
            <w:r w:rsidRPr="00756DA5">
              <w:rPr>
                <w:sz w:val="16"/>
                <w:szCs w:val="16"/>
              </w:rPr>
              <w:t>SNCF Réseau</w:t>
            </w:r>
          </w:p>
        </w:tc>
        <w:tc>
          <w:tcPr>
            <w:tcW w:w="4632" w:type="dxa"/>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Expectation of a response before the end of the first quarter of 2018</w:t>
            </w:r>
          </w:p>
        </w:tc>
        <w:tc>
          <w:tcPr>
            <w:tcW w:w="697" w:type="dxa"/>
            <w:vAlign w:val="center"/>
          </w:tcPr>
          <w:p w:rsidR="00054DA8" w:rsidRPr="00756DA5" w:rsidP="00054DA8">
            <w:pPr>
              <w:spacing w:line="280" w:lineRule="exact"/>
              <w:jc w:val="center"/>
              <w:rPr>
                <w:rFonts w:cs="Arial"/>
                <w:sz w:val="16"/>
                <w:szCs w:val="16"/>
              </w:rPr>
            </w:pPr>
            <w:r w:rsidRPr="00756DA5">
              <w:rPr>
                <w:sz w:val="16"/>
                <w:szCs w:val="16"/>
              </w:rPr>
              <w:t>O</w:t>
            </w:r>
          </w:p>
        </w:tc>
      </w:tr>
      <w:tr w:rsidTr="00380326">
        <w:tblPrEx>
          <w:tblW w:w="15331" w:type="dxa"/>
          <w:tblInd w:w="-459" w:type="dxa"/>
          <w:tblLayout w:type="fixed"/>
          <w:tblLook w:val="04A0"/>
        </w:tblPrEx>
        <w:trPr>
          <w:trHeight w:val="1796"/>
        </w:trPr>
        <w:tc>
          <w:tcPr>
            <w:tcW w:w="880" w:type="dxa"/>
            <w:vMerge/>
          </w:tcPr>
          <w:p w:rsidR="00054DA8" w:rsidRPr="00756DA5" w:rsidP="00054DA8">
            <w:pPr>
              <w:spacing w:line="280" w:lineRule="exact"/>
              <w:jc w:val="center"/>
              <w:rPr>
                <w:rFonts w:cs="Arial"/>
                <w:sz w:val="16"/>
                <w:szCs w:val="16"/>
              </w:rPr>
            </w:pPr>
          </w:p>
        </w:tc>
        <w:tc>
          <w:tcPr>
            <w:tcW w:w="1559" w:type="dxa"/>
            <w:vMerge/>
          </w:tcPr>
          <w:p w:rsidR="00054DA8" w:rsidRPr="00756DA5" w:rsidP="00054DA8">
            <w:pPr>
              <w:spacing w:line="280" w:lineRule="exact"/>
              <w:jc w:val="center"/>
              <w:rPr>
                <w:rFonts w:cs="Arial"/>
                <w:sz w:val="16"/>
                <w:szCs w:val="16"/>
              </w:rPr>
            </w:pPr>
          </w:p>
        </w:tc>
        <w:tc>
          <w:tcPr>
            <w:tcW w:w="709" w:type="dxa"/>
            <w:vAlign w:val="center"/>
          </w:tcPr>
          <w:p w:rsidR="00054DA8" w:rsidRPr="00756DA5" w:rsidP="00054DA8">
            <w:pPr>
              <w:spacing w:line="280" w:lineRule="exact"/>
              <w:jc w:val="center"/>
              <w:rPr>
                <w:rFonts w:cs="Arial"/>
                <w:sz w:val="16"/>
                <w:szCs w:val="16"/>
              </w:rPr>
            </w:pPr>
            <w:r w:rsidRPr="00756DA5">
              <w:rPr>
                <w:color w:val="000000" w:themeColor="text1"/>
                <w:sz w:val="16"/>
                <w:szCs w:val="16"/>
              </w:rPr>
              <w:t>R3</w:t>
            </w:r>
          </w:p>
        </w:tc>
        <w:tc>
          <w:tcPr>
            <w:tcW w:w="5244" w:type="dxa"/>
            <w:vAlign w:val="center"/>
          </w:tcPr>
          <w:p w:rsidR="00054DA8" w:rsidRPr="00756DA5" w:rsidP="00054DA8">
            <w:pPr>
              <w:spacing w:line="280" w:lineRule="exact"/>
              <w:rPr>
                <w:rFonts w:cs="Arial"/>
                <w:sz w:val="16"/>
                <w:szCs w:val="16"/>
              </w:rPr>
            </w:pPr>
            <w:r w:rsidRPr="00756DA5">
              <w:rPr>
                <w:sz w:val="16"/>
                <w:szCs w:val="16"/>
              </w:rPr>
              <w:t xml:space="preserve">Develop and then implement a policy for the deployment of convoy anomaly detectors on the main freight traffic flows. The purpose of this collection of detectors should be to stop convoys of vehicles with dangerous wheel defects but also to identify and to report to the railway undertaking, to the entity in charge of maintenance (ECM) or to the keeper concerned, vehicles with defects </w:t>
            </w:r>
            <w:r w:rsidRPr="00756DA5">
              <w:rPr>
                <w:sz w:val="16"/>
                <w:szCs w:val="16"/>
              </w:rPr>
              <w:t>that are non-critical but which may damage the infrastructure</w:t>
            </w:r>
            <w:r w:rsidRPr="00756DA5">
              <w:rPr>
                <w:sz w:val="16"/>
                <w:szCs w:val="16"/>
              </w:rPr>
              <w:t>.</w:t>
            </w:r>
          </w:p>
        </w:tc>
        <w:tc>
          <w:tcPr>
            <w:tcW w:w="1610" w:type="dxa"/>
            <w:vAlign w:val="center"/>
          </w:tcPr>
          <w:p w:rsidR="00054DA8" w:rsidRPr="00756DA5" w:rsidP="00054DA8">
            <w:pPr>
              <w:spacing w:line="280" w:lineRule="exact"/>
              <w:jc w:val="center"/>
              <w:rPr>
                <w:rFonts w:cs="Arial"/>
                <w:sz w:val="16"/>
                <w:szCs w:val="16"/>
              </w:rPr>
            </w:pPr>
            <w:r w:rsidRPr="00756DA5">
              <w:rPr>
                <w:sz w:val="16"/>
                <w:szCs w:val="16"/>
              </w:rPr>
              <w:t>SNCF Réseau</w:t>
            </w:r>
          </w:p>
        </w:tc>
        <w:tc>
          <w:tcPr>
            <w:tcW w:w="4632" w:type="dxa"/>
            <w:vAlign w:val="center"/>
          </w:tcPr>
          <w:p w:rsidR="00054DA8" w:rsidRPr="00756DA5" w:rsidP="00054DA8">
            <w:pPr>
              <w:spacing w:line="280" w:lineRule="exact"/>
              <w:jc w:val="left"/>
              <w:rPr>
                <w:rFonts w:cs="Arial"/>
                <w:color w:val="000000" w:themeColor="text1"/>
                <w:sz w:val="16"/>
                <w:szCs w:val="16"/>
              </w:rPr>
            </w:pPr>
            <w:r w:rsidRPr="00756DA5">
              <w:rPr>
                <w:color w:val="000000" w:themeColor="text1"/>
                <w:sz w:val="16"/>
                <w:szCs w:val="16"/>
              </w:rPr>
              <w:t>Expectation of a response before the end of the first quarter of 2018</w:t>
            </w:r>
          </w:p>
        </w:tc>
        <w:tc>
          <w:tcPr>
            <w:tcW w:w="697" w:type="dxa"/>
            <w:vAlign w:val="center"/>
          </w:tcPr>
          <w:p w:rsidR="00054DA8" w:rsidRPr="00756DA5" w:rsidP="00054DA8">
            <w:pPr>
              <w:spacing w:line="280" w:lineRule="exact"/>
              <w:jc w:val="center"/>
              <w:rPr>
                <w:rFonts w:cs="Arial"/>
                <w:sz w:val="16"/>
                <w:szCs w:val="16"/>
              </w:rPr>
            </w:pPr>
            <w:r w:rsidRPr="00756DA5">
              <w:rPr>
                <w:sz w:val="16"/>
                <w:szCs w:val="16"/>
              </w:rPr>
              <w:t>O</w:t>
            </w:r>
          </w:p>
        </w:tc>
      </w:tr>
    </w:tbl>
    <w:p w:rsidR="007B0985" w:rsidRPr="00756DA5" w:rsidP="00D87169">
      <w:pPr>
        <w:pStyle w:val="Heading2"/>
        <w:rPr>
          <w:rFonts w:cs="Arial"/>
          <w:strike/>
          <w:szCs w:val="20"/>
          <w:lang w:eastAsia="fr-FR"/>
        </w:rPr>
        <w:sectPr w:rsidSect="007127B2">
          <w:footerReference w:type="default" r:id="rId85"/>
          <w:pgSz w:w="16838" w:h="11906" w:orient="landscape"/>
          <w:pgMar w:top="1417" w:right="1417" w:bottom="1417" w:left="1417" w:header="708" w:footer="708" w:gutter="0"/>
          <w:cols w:space="708"/>
          <w:docGrid w:linePitch="360"/>
        </w:sectPr>
      </w:pPr>
    </w:p>
    <w:p w:rsidR="007B0985" w:rsidRPr="00756DA5" w:rsidP="007B0985">
      <w:pPr>
        <w:pStyle w:val="Heading1"/>
        <w:rPr>
          <w:rFonts w:cs="Arial"/>
        </w:rPr>
      </w:pPr>
      <w:bookmarkStart w:id="115" w:name="_Toc401225952"/>
      <w:bookmarkStart w:id="116" w:name="_Toc430770529"/>
      <w:bookmarkStart w:id="117" w:name="_Toc494469643"/>
      <w:bookmarkStart w:id="118" w:name="_Hlk523479894"/>
      <w:bookmarkStart w:id="119" w:name="_Toc533153890"/>
      <w:r w:rsidRPr="00756DA5">
        <w:t>Annex 8 – Abbreviations and acronyms used in this report</w:t>
      </w:r>
      <w:bookmarkEnd w:id="115"/>
      <w:bookmarkEnd w:id="116"/>
      <w:bookmarkEnd w:id="117"/>
      <w:bookmarkEnd w:id="119"/>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9"/>
        <w:gridCol w:w="7796"/>
      </w:tblGrid>
      <w:tr w:rsidTr="00FA1BBC">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389" w:type="dxa"/>
          </w:tcPr>
          <w:p w:rsidR="00112116" w:rsidRPr="00756DA5" w:rsidP="002E7FC7">
            <w:pPr>
              <w:spacing w:line="280" w:lineRule="exact"/>
              <w:jc w:val="left"/>
              <w:rPr>
                <w:rFonts w:eastAsia="Times New Roman" w:cs="Arial"/>
                <w:szCs w:val="20"/>
              </w:rPr>
            </w:pPr>
            <w:r w:rsidRPr="00756DA5">
              <w:t>AMEC</w:t>
            </w:r>
          </w:p>
        </w:tc>
        <w:tc>
          <w:tcPr>
            <w:tcW w:w="7796" w:type="dxa"/>
          </w:tcPr>
          <w:p w:rsidR="00112116" w:rsidRPr="00756DA5" w:rsidP="00D802BD">
            <w:pPr>
              <w:spacing w:line="280" w:lineRule="exact"/>
              <w:jc w:val="left"/>
              <w:rPr>
                <w:rFonts w:eastAsia="Times New Roman" w:cs="Arial"/>
                <w:szCs w:val="20"/>
              </w:rPr>
            </w:pPr>
            <w:r w:rsidRPr="00756DA5">
              <w:rPr>
                <w:i/>
              </w:rPr>
              <w:t>autorisation de mise en exploitation commerciale</w:t>
            </w:r>
            <w:r w:rsidRPr="00756DA5">
              <w:t xml:space="preserve"> (authorisation for placing into commercial service)</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NSA</w:t>
            </w:r>
          </w:p>
        </w:tc>
        <w:tc>
          <w:tcPr>
            <w:tcW w:w="7796" w:type="dxa"/>
          </w:tcPr>
          <w:p w:rsidR="00112116" w:rsidRPr="00756DA5" w:rsidP="00D802BD">
            <w:pPr>
              <w:spacing w:line="280" w:lineRule="exact"/>
              <w:jc w:val="left"/>
              <w:rPr>
                <w:rFonts w:eastAsia="Times New Roman" w:cs="Arial"/>
                <w:szCs w:val="20"/>
              </w:rPr>
            </w:pPr>
            <w:r w:rsidRPr="00756DA5">
              <w:t>National safety authority</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rPr>
                <w:color w:val="000000" w:themeColor="text1"/>
                <w:szCs w:val="20"/>
              </w:rPr>
              <w:t>AV</w:t>
            </w:r>
          </w:p>
        </w:tc>
        <w:tc>
          <w:tcPr>
            <w:tcW w:w="7796" w:type="dxa"/>
          </w:tcPr>
          <w:p w:rsidR="00112116" w:rsidRPr="00756DA5" w:rsidP="00D802BD">
            <w:pPr>
              <w:spacing w:line="280" w:lineRule="exact"/>
              <w:jc w:val="left"/>
              <w:rPr>
                <w:rFonts w:eastAsia="Times New Roman" w:cs="Arial"/>
                <w:szCs w:val="20"/>
              </w:rPr>
            </w:pPr>
            <w:r w:rsidRPr="00756DA5">
              <w:rPr>
                <w:i/>
                <w:color w:val="000000" w:themeColor="text1"/>
                <w:szCs w:val="20"/>
              </w:rPr>
              <w:t>avec voyageur</w:t>
            </w:r>
            <w:r w:rsidRPr="00756DA5">
              <w:rPr>
                <w:color w:val="000000" w:themeColor="text1"/>
                <w:szCs w:val="20"/>
              </w:rPr>
              <w:t xml:space="preserve"> (train with passengers)</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color w:val="000000" w:themeColor="text1"/>
                <w:szCs w:val="20"/>
                <w:lang w:eastAsia="fr-FR"/>
              </w:rPr>
            </w:pPr>
          </w:p>
        </w:tc>
        <w:tc>
          <w:tcPr>
            <w:tcW w:w="7796" w:type="dxa"/>
          </w:tcPr>
          <w:p w:rsidR="00112116" w:rsidRPr="00756DA5" w:rsidP="00112116">
            <w:pPr>
              <w:spacing w:line="280" w:lineRule="exact"/>
              <w:ind w:left="57"/>
              <w:jc w:val="left"/>
              <w:rPr>
                <w:rFonts w:eastAsia="Times New Roman" w:cs="Arial"/>
                <w:color w:val="000000" w:themeColor="text1"/>
                <w:szCs w:val="20"/>
                <w:lang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BAL</w:t>
            </w:r>
          </w:p>
        </w:tc>
        <w:tc>
          <w:tcPr>
            <w:tcW w:w="7796" w:type="dxa"/>
          </w:tcPr>
          <w:p w:rsidR="00112116" w:rsidRPr="00756DA5" w:rsidP="00D802BD">
            <w:pPr>
              <w:spacing w:line="280" w:lineRule="exact"/>
              <w:jc w:val="left"/>
              <w:rPr>
                <w:rFonts w:eastAsia="Times New Roman" w:cs="Arial"/>
                <w:szCs w:val="20"/>
              </w:rPr>
            </w:pPr>
            <w:r w:rsidRPr="00756DA5">
              <w:rPr>
                <w:i/>
              </w:rPr>
              <w:t>block automatique lumineux</w:t>
            </w:r>
            <w:r w:rsidRPr="00756DA5">
              <w:t xml:space="preserve"> (automatic block signalling)</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BEA-TT</w:t>
            </w:r>
          </w:p>
        </w:tc>
        <w:tc>
          <w:tcPr>
            <w:tcW w:w="7796" w:type="dxa"/>
          </w:tcPr>
          <w:p w:rsidR="00112116" w:rsidRPr="00756DA5" w:rsidP="00D802BD">
            <w:pPr>
              <w:spacing w:line="280" w:lineRule="exact"/>
              <w:jc w:val="left"/>
              <w:rPr>
                <w:rFonts w:eastAsia="Times New Roman" w:cs="Arial"/>
                <w:szCs w:val="20"/>
              </w:rPr>
            </w:pPr>
            <w:r w:rsidRPr="00756DA5">
              <w:rPr>
                <w:i/>
              </w:rPr>
              <w:t>Bureau d’enquête sur les accidents de transport terrestre</w:t>
            </w:r>
            <w:r w:rsidRPr="00756DA5">
              <w:t xml:space="preserve"> (Land transport accident investigation bureau)</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BIAS</w:t>
            </w:r>
          </w:p>
        </w:tc>
        <w:tc>
          <w:tcPr>
            <w:tcW w:w="7796" w:type="dxa"/>
          </w:tcPr>
          <w:p w:rsidR="00112116" w:rsidRPr="00756DA5" w:rsidP="00D802BD">
            <w:pPr>
              <w:spacing w:line="280" w:lineRule="exact"/>
              <w:jc w:val="left"/>
              <w:rPr>
                <w:rFonts w:eastAsia="Times New Roman" w:cs="Arial"/>
                <w:szCs w:val="20"/>
              </w:rPr>
            </w:pPr>
            <w:r w:rsidRPr="00756DA5">
              <w:rPr>
                <w:i/>
              </w:rPr>
              <w:t>boucle inductive d’aide au shuntage</w:t>
            </w:r>
            <w:r w:rsidRPr="00756DA5">
              <w:t xml:space="preserve"> (induction loop to aid shunting)</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eastAsia="fr-FR"/>
              </w:rPr>
            </w:pPr>
          </w:p>
        </w:tc>
        <w:tc>
          <w:tcPr>
            <w:tcW w:w="7796" w:type="dxa"/>
          </w:tcPr>
          <w:p w:rsidR="00112116"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EC</w:t>
            </w:r>
          </w:p>
        </w:tc>
        <w:tc>
          <w:tcPr>
            <w:tcW w:w="7796" w:type="dxa"/>
          </w:tcPr>
          <w:p w:rsidR="00112116" w:rsidRPr="00756DA5" w:rsidP="00D802BD">
            <w:pPr>
              <w:spacing w:line="280" w:lineRule="exact"/>
              <w:jc w:val="left"/>
              <w:rPr>
                <w:rFonts w:eastAsia="Times New Roman" w:cs="Arial"/>
                <w:szCs w:val="20"/>
              </w:rPr>
            </w:pPr>
            <w:r w:rsidRPr="00756DA5">
              <w:t>European Commission</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SC</w:t>
            </w:r>
          </w:p>
        </w:tc>
        <w:tc>
          <w:tcPr>
            <w:tcW w:w="7796" w:type="dxa"/>
          </w:tcPr>
          <w:p w:rsidR="00112116" w:rsidRPr="00756DA5" w:rsidP="00D802BD">
            <w:pPr>
              <w:spacing w:line="280" w:lineRule="exact"/>
              <w:jc w:val="left"/>
              <w:rPr>
                <w:rFonts w:eastAsia="Times New Roman" w:cs="Arial"/>
                <w:szCs w:val="20"/>
              </w:rPr>
            </w:pPr>
            <w:r w:rsidRPr="00756DA5">
              <w:t>Safety certificate</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GCU</w:t>
            </w:r>
          </w:p>
        </w:tc>
        <w:tc>
          <w:tcPr>
            <w:tcW w:w="7796" w:type="dxa"/>
          </w:tcPr>
          <w:p w:rsidR="00112116" w:rsidRPr="00756DA5" w:rsidP="00D802BD">
            <w:pPr>
              <w:spacing w:line="280" w:lineRule="exact"/>
              <w:jc w:val="left"/>
              <w:rPr>
                <w:rFonts w:eastAsia="Times New Roman" w:cs="Arial"/>
                <w:szCs w:val="20"/>
              </w:rPr>
            </w:pPr>
            <w:r w:rsidRPr="00756DA5">
              <w:t>General contract of use of wagons</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eastAsia="fr-FR"/>
              </w:rPr>
            </w:pPr>
          </w:p>
        </w:tc>
        <w:tc>
          <w:tcPr>
            <w:tcW w:w="7796" w:type="dxa"/>
          </w:tcPr>
          <w:p w:rsidR="00112116"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DGITM</w:t>
            </w:r>
          </w:p>
        </w:tc>
        <w:tc>
          <w:tcPr>
            <w:tcW w:w="7796" w:type="dxa"/>
          </w:tcPr>
          <w:p w:rsidR="00112116" w:rsidRPr="00756DA5" w:rsidP="00D802BD">
            <w:pPr>
              <w:spacing w:line="280" w:lineRule="exact"/>
              <w:jc w:val="left"/>
              <w:rPr>
                <w:rFonts w:eastAsia="Times New Roman" w:cs="Arial"/>
                <w:szCs w:val="20"/>
              </w:rPr>
            </w:pPr>
            <w:r w:rsidRPr="00756DA5">
              <w:rPr>
                <w:i/>
              </w:rPr>
              <w:t>Direction générale des infrastructures, des transports et de la mer au ministère chargé des transports</w:t>
            </w:r>
            <w:r w:rsidRPr="00756DA5">
              <w:t xml:space="preserve"> (Directorate-General for Infrastructure, Transport and the Sea at the Ministry of Transport)</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DRN</w:t>
            </w:r>
          </w:p>
        </w:tc>
        <w:tc>
          <w:tcPr>
            <w:tcW w:w="7796" w:type="dxa"/>
          </w:tcPr>
          <w:p w:rsidR="00112116" w:rsidRPr="00756DA5" w:rsidP="00D802BD">
            <w:pPr>
              <w:spacing w:line="280" w:lineRule="exact"/>
              <w:jc w:val="left"/>
              <w:rPr>
                <w:rFonts w:eastAsia="Times New Roman" w:cs="Arial"/>
                <w:szCs w:val="20"/>
              </w:rPr>
            </w:pPr>
            <w:r w:rsidRPr="00756DA5">
              <w:rPr>
                <w:i/>
              </w:rPr>
              <w:t>document des références nationales</w:t>
            </w:r>
            <w:r w:rsidRPr="00756DA5">
              <w:t xml:space="preserve"> (national references document)</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eastAsia="fr-FR"/>
              </w:rPr>
            </w:pPr>
          </w:p>
        </w:tc>
        <w:tc>
          <w:tcPr>
            <w:tcW w:w="7796" w:type="dxa"/>
          </w:tcPr>
          <w:p w:rsidR="00112116"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ECM</w:t>
            </w:r>
          </w:p>
        </w:tc>
        <w:tc>
          <w:tcPr>
            <w:tcW w:w="7796" w:type="dxa"/>
          </w:tcPr>
          <w:p w:rsidR="00112116" w:rsidRPr="00756DA5" w:rsidP="00112116">
            <w:pPr>
              <w:spacing w:line="280" w:lineRule="exact"/>
              <w:jc w:val="left"/>
              <w:rPr>
                <w:rFonts w:eastAsia="Times New Roman" w:cs="Arial"/>
                <w:szCs w:val="20"/>
              </w:rPr>
            </w:pPr>
            <w:r w:rsidRPr="00756DA5">
              <w:t>Entity in charge of maintenance</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ECM</w:t>
            </w:r>
          </w:p>
        </w:tc>
        <w:tc>
          <w:tcPr>
            <w:tcW w:w="7796" w:type="dxa"/>
          </w:tcPr>
          <w:p w:rsidR="00112116" w:rsidRPr="00756DA5" w:rsidP="00112116">
            <w:pPr>
              <w:spacing w:line="280" w:lineRule="exact"/>
              <w:jc w:val="left"/>
              <w:rPr>
                <w:rFonts w:eastAsia="Times New Roman" w:cs="Arial"/>
                <w:szCs w:val="20"/>
              </w:rPr>
            </w:pPr>
            <w:r w:rsidRPr="00756DA5">
              <w:t>Entity in charge of maintenance</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RU</w:t>
            </w:r>
          </w:p>
        </w:tc>
        <w:tc>
          <w:tcPr>
            <w:tcW w:w="7796" w:type="dxa"/>
          </w:tcPr>
          <w:p w:rsidR="00112116" w:rsidRPr="00756DA5" w:rsidP="00112116">
            <w:pPr>
              <w:spacing w:line="280" w:lineRule="exact"/>
              <w:jc w:val="left"/>
              <w:rPr>
                <w:rFonts w:eastAsia="Times New Roman" w:cs="Arial"/>
                <w:szCs w:val="20"/>
              </w:rPr>
            </w:pPr>
            <w:r w:rsidRPr="00756DA5">
              <w:t>Railway undertaking</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ERA</w:t>
            </w:r>
          </w:p>
        </w:tc>
        <w:tc>
          <w:tcPr>
            <w:tcW w:w="7796" w:type="dxa"/>
          </w:tcPr>
          <w:p w:rsidR="00112116" w:rsidRPr="00756DA5" w:rsidP="00112116">
            <w:pPr>
              <w:spacing w:line="280" w:lineRule="exact"/>
              <w:jc w:val="left"/>
              <w:rPr>
                <w:rFonts w:eastAsia="Times New Roman" w:cs="Arial"/>
                <w:szCs w:val="20"/>
              </w:rPr>
            </w:pPr>
            <w:r w:rsidRPr="00756DA5">
              <w:t>European Union Agency for Railways</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ERAIL</w:t>
            </w:r>
          </w:p>
        </w:tc>
        <w:tc>
          <w:tcPr>
            <w:tcW w:w="7796" w:type="dxa"/>
          </w:tcPr>
          <w:p w:rsidR="00112116" w:rsidRPr="00756DA5" w:rsidP="00112116">
            <w:pPr>
              <w:spacing w:line="280" w:lineRule="exact"/>
              <w:jc w:val="left"/>
              <w:rPr>
                <w:rFonts w:cs="Arial"/>
                <w:szCs w:val="20"/>
              </w:rPr>
            </w:pPr>
            <w:r w:rsidRPr="00756DA5">
              <w:t>European Railway Accident Information Links</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ERTMS</w:t>
            </w:r>
          </w:p>
        </w:tc>
        <w:tc>
          <w:tcPr>
            <w:tcW w:w="7796" w:type="dxa"/>
          </w:tcPr>
          <w:p w:rsidR="00112116" w:rsidRPr="00756DA5" w:rsidP="00112116">
            <w:pPr>
              <w:spacing w:line="280" w:lineRule="exact"/>
              <w:jc w:val="left"/>
              <w:rPr>
                <w:rFonts w:eastAsia="Times New Roman" w:cs="Arial"/>
                <w:szCs w:val="20"/>
              </w:rPr>
            </w:pPr>
            <w:r w:rsidRPr="00756DA5">
              <w:t>European Rail Traffic Management System</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ETCS</w:t>
            </w:r>
          </w:p>
        </w:tc>
        <w:tc>
          <w:tcPr>
            <w:tcW w:w="7796" w:type="dxa"/>
          </w:tcPr>
          <w:p w:rsidR="00112116" w:rsidRPr="00756DA5" w:rsidP="00D802BD">
            <w:pPr>
              <w:spacing w:line="280" w:lineRule="exact"/>
              <w:jc w:val="left"/>
              <w:rPr>
                <w:rFonts w:eastAsia="Times New Roman" w:cs="Arial"/>
                <w:szCs w:val="20"/>
              </w:rPr>
            </w:pPr>
            <w:r w:rsidRPr="00756DA5">
              <w:t>European Train Control System</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val="fr-LU" w:eastAsia="fr-FR"/>
              </w:rPr>
            </w:pPr>
          </w:p>
        </w:tc>
        <w:tc>
          <w:tcPr>
            <w:tcW w:w="7796" w:type="dxa"/>
          </w:tcPr>
          <w:p w:rsidR="00112116" w:rsidRPr="00756DA5" w:rsidP="00112116">
            <w:pPr>
              <w:spacing w:line="280" w:lineRule="exact"/>
              <w:ind w:left="57"/>
              <w:jc w:val="left"/>
              <w:rPr>
                <w:rFonts w:eastAsia="Times New Roman" w:cs="Arial"/>
                <w:szCs w:val="20"/>
                <w:lang w:val="fr-LU"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CSI</w:t>
            </w:r>
          </w:p>
        </w:tc>
        <w:tc>
          <w:tcPr>
            <w:tcW w:w="7796" w:type="dxa"/>
          </w:tcPr>
          <w:p w:rsidR="00112116" w:rsidRPr="00756DA5" w:rsidP="00D802BD">
            <w:pPr>
              <w:spacing w:line="280" w:lineRule="exact"/>
              <w:jc w:val="left"/>
              <w:rPr>
                <w:rFonts w:eastAsia="Times New Roman" w:cs="Arial"/>
                <w:szCs w:val="20"/>
              </w:rPr>
            </w:pPr>
            <w:r w:rsidRPr="00756DA5">
              <w:t>Common safety indicator</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val="fr-LU" w:eastAsia="fr-FR"/>
              </w:rPr>
            </w:pPr>
          </w:p>
        </w:tc>
        <w:tc>
          <w:tcPr>
            <w:tcW w:w="7796" w:type="dxa"/>
          </w:tcPr>
          <w:p w:rsidR="00112116" w:rsidRPr="00756DA5" w:rsidP="00112116">
            <w:pPr>
              <w:spacing w:line="280" w:lineRule="exact"/>
              <w:ind w:left="57"/>
              <w:jc w:val="left"/>
              <w:rPr>
                <w:rFonts w:eastAsia="Times New Roman" w:cs="Arial"/>
                <w:szCs w:val="20"/>
                <w:lang w:val="fr-LU"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JNS</w:t>
            </w:r>
          </w:p>
        </w:tc>
        <w:tc>
          <w:tcPr>
            <w:tcW w:w="7796" w:type="dxa"/>
          </w:tcPr>
          <w:p w:rsidR="00112116" w:rsidRPr="00756DA5" w:rsidP="00D802BD">
            <w:pPr>
              <w:spacing w:line="280" w:lineRule="exact"/>
              <w:jc w:val="left"/>
              <w:rPr>
                <w:rFonts w:eastAsia="Times New Roman" w:cs="Arial"/>
                <w:szCs w:val="20"/>
              </w:rPr>
            </w:pPr>
            <w:r w:rsidRPr="00756DA5">
              <w:t>Joint Network Secretariat</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val="fr-LU" w:eastAsia="fr-FR"/>
              </w:rPr>
            </w:pPr>
          </w:p>
        </w:tc>
        <w:tc>
          <w:tcPr>
            <w:tcW w:w="7796" w:type="dxa"/>
          </w:tcPr>
          <w:p w:rsidR="00112116" w:rsidRPr="00756DA5" w:rsidP="00112116">
            <w:pPr>
              <w:spacing w:line="280" w:lineRule="exact"/>
              <w:ind w:left="57"/>
              <w:jc w:val="left"/>
              <w:rPr>
                <w:rFonts w:eastAsia="Times New Roman" w:cs="Arial"/>
                <w:szCs w:val="20"/>
                <w:lang w:val="fr-LU"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KVB</w:t>
            </w:r>
          </w:p>
        </w:tc>
        <w:tc>
          <w:tcPr>
            <w:tcW w:w="7796" w:type="dxa"/>
          </w:tcPr>
          <w:p w:rsidR="00112116" w:rsidRPr="00756DA5" w:rsidP="00D802BD">
            <w:pPr>
              <w:spacing w:line="280" w:lineRule="exact"/>
              <w:jc w:val="left"/>
              <w:rPr>
                <w:rFonts w:eastAsia="Times New Roman" w:cs="Arial"/>
                <w:szCs w:val="20"/>
              </w:rPr>
            </w:pPr>
            <w:r w:rsidRPr="00756DA5">
              <w:rPr>
                <w:i/>
              </w:rPr>
              <w:t>contrôle de vitesse par balise</w:t>
            </w:r>
            <w:r w:rsidRPr="00756DA5">
              <w:t xml:space="preserve"> (speed control using balises)</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val="fr-LU" w:eastAsia="fr-FR"/>
              </w:rPr>
            </w:pPr>
          </w:p>
        </w:tc>
        <w:tc>
          <w:tcPr>
            <w:tcW w:w="7796" w:type="dxa"/>
          </w:tcPr>
          <w:p w:rsidR="00112116" w:rsidRPr="00756DA5" w:rsidP="00112116">
            <w:pPr>
              <w:spacing w:line="280" w:lineRule="exact"/>
              <w:ind w:left="57"/>
              <w:jc w:val="left"/>
              <w:rPr>
                <w:rFonts w:eastAsia="Times New Roman" w:cs="Arial"/>
                <w:szCs w:val="20"/>
                <w:lang w:val="fr-LU"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CSI</w:t>
            </w:r>
          </w:p>
        </w:tc>
        <w:tc>
          <w:tcPr>
            <w:tcW w:w="7796" w:type="dxa"/>
          </w:tcPr>
          <w:p w:rsidR="00112116" w:rsidRPr="00756DA5" w:rsidP="00D802BD">
            <w:pPr>
              <w:spacing w:line="280" w:lineRule="exact"/>
              <w:jc w:val="left"/>
              <w:rPr>
                <w:rFonts w:eastAsia="Times New Roman" w:cs="Arial"/>
                <w:szCs w:val="20"/>
              </w:rPr>
            </w:pPr>
            <w:r w:rsidRPr="00756DA5">
              <w:t>Common safety indicator</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eastAsia="fr-FR"/>
              </w:rPr>
            </w:pPr>
          </w:p>
        </w:tc>
        <w:tc>
          <w:tcPr>
            <w:tcW w:w="7796" w:type="dxa"/>
          </w:tcPr>
          <w:p w:rsidR="00112116"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JNS</w:t>
            </w:r>
          </w:p>
        </w:tc>
        <w:tc>
          <w:tcPr>
            <w:tcW w:w="7796" w:type="dxa"/>
          </w:tcPr>
          <w:p w:rsidR="00112116" w:rsidRPr="00756DA5" w:rsidP="00D802BD">
            <w:pPr>
              <w:spacing w:line="280" w:lineRule="exact"/>
              <w:jc w:val="left"/>
              <w:rPr>
                <w:rFonts w:eastAsia="Times New Roman" w:cs="Arial"/>
                <w:szCs w:val="20"/>
              </w:rPr>
            </w:pPr>
            <w:r w:rsidRPr="00756DA5">
              <w:t>Joint Network Secretariat</w:t>
            </w: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lang w:eastAsia="fr-FR"/>
              </w:rPr>
            </w:pPr>
          </w:p>
        </w:tc>
        <w:tc>
          <w:tcPr>
            <w:tcW w:w="7796" w:type="dxa"/>
          </w:tcPr>
          <w:p w:rsidR="00112116"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112116" w:rsidRPr="00756DA5" w:rsidP="002E7FC7">
            <w:pPr>
              <w:spacing w:line="280" w:lineRule="exact"/>
              <w:jc w:val="left"/>
              <w:rPr>
                <w:rFonts w:eastAsia="Times New Roman" w:cs="Arial"/>
                <w:szCs w:val="20"/>
              </w:rPr>
            </w:pPr>
            <w:r w:rsidRPr="00756DA5">
              <w:t>KVB</w:t>
            </w:r>
          </w:p>
        </w:tc>
        <w:tc>
          <w:tcPr>
            <w:tcW w:w="7796" w:type="dxa"/>
          </w:tcPr>
          <w:p w:rsidR="00112116" w:rsidRPr="00756DA5" w:rsidP="00D802BD">
            <w:pPr>
              <w:spacing w:line="280" w:lineRule="exact"/>
              <w:jc w:val="left"/>
              <w:rPr>
                <w:rFonts w:eastAsia="Times New Roman" w:cs="Arial"/>
                <w:szCs w:val="20"/>
              </w:rPr>
            </w:pPr>
            <w:r w:rsidRPr="00756DA5">
              <w:rPr>
                <w:i/>
              </w:rPr>
              <w:t>contrôle de vitesse par balise</w:t>
            </w:r>
            <w:r w:rsidRPr="00756DA5">
              <w:t xml:space="preserve"> (speed control using balises)</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lang w:eastAsia="fr-FR"/>
              </w:rPr>
            </w:pPr>
          </w:p>
        </w:tc>
        <w:tc>
          <w:tcPr>
            <w:tcW w:w="7796" w:type="dxa"/>
          </w:tcPr>
          <w:p w:rsidR="00D802BD"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rPr>
                <w:color w:val="000000" w:themeColor="text1"/>
                <w:szCs w:val="20"/>
              </w:rPr>
              <w:t>BPL HSL</w:t>
            </w:r>
          </w:p>
        </w:tc>
        <w:tc>
          <w:tcPr>
            <w:tcW w:w="7796" w:type="dxa"/>
          </w:tcPr>
          <w:p w:rsidR="00D802BD" w:rsidRPr="00756DA5" w:rsidP="00D802BD">
            <w:pPr>
              <w:spacing w:line="280" w:lineRule="exact"/>
              <w:jc w:val="left"/>
              <w:rPr>
                <w:rFonts w:eastAsia="Times New Roman" w:cs="Arial"/>
                <w:szCs w:val="20"/>
              </w:rPr>
            </w:pPr>
            <w:r w:rsidRPr="00756DA5">
              <w:rPr>
                <w:color w:val="000000" w:themeColor="text1"/>
                <w:szCs w:val="20"/>
              </w:rPr>
              <w:t>Brittany-Pays de la Loire high-speed line</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rPr>
                <w:color w:val="000000" w:themeColor="text1"/>
                <w:szCs w:val="20"/>
              </w:rPr>
              <w:t>CNM HSL</w:t>
            </w:r>
          </w:p>
        </w:tc>
        <w:tc>
          <w:tcPr>
            <w:tcW w:w="7796" w:type="dxa"/>
          </w:tcPr>
          <w:p w:rsidR="00D802BD" w:rsidRPr="00756DA5" w:rsidP="00D802BD">
            <w:pPr>
              <w:spacing w:line="260" w:lineRule="exact"/>
              <w:contextualSpacing/>
              <w:rPr>
                <w:rFonts w:cs="Arial"/>
                <w:szCs w:val="20"/>
              </w:rPr>
            </w:pPr>
            <w:r w:rsidRPr="00756DA5">
              <w:t>Nîmes and Montpellier Bypass high-speed line</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rPr>
                <w:color w:val="000000" w:themeColor="text1"/>
                <w:szCs w:val="20"/>
              </w:rPr>
              <w:t>SEA HSL</w:t>
            </w:r>
          </w:p>
        </w:tc>
        <w:tc>
          <w:tcPr>
            <w:tcW w:w="7796" w:type="dxa"/>
          </w:tcPr>
          <w:p w:rsidR="00D802BD" w:rsidRPr="00756DA5" w:rsidP="00D802BD">
            <w:pPr>
              <w:spacing w:line="280" w:lineRule="exact"/>
              <w:jc w:val="left"/>
              <w:rPr>
                <w:rFonts w:eastAsia="Times New Roman" w:cs="Arial"/>
                <w:szCs w:val="20"/>
              </w:rPr>
            </w:pPr>
            <w:r w:rsidRPr="00756DA5">
              <w:rPr>
                <w:color w:val="000000" w:themeColor="text1"/>
                <w:szCs w:val="20"/>
              </w:rPr>
              <w:t>South Europe Atlantic high-speed line</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lang w:eastAsia="fr-FR"/>
              </w:rPr>
            </w:pPr>
          </w:p>
        </w:tc>
        <w:tc>
          <w:tcPr>
            <w:tcW w:w="7796" w:type="dxa"/>
          </w:tcPr>
          <w:p w:rsidR="00D802BD"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AMC</w:t>
            </w:r>
          </w:p>
        </w:tc>
        <w:tc>
          <w:tcPr>
            <w:tcW w:w="7796" w:type="dxa"/>
          </w:tcPr>
          <w:p w:rsidR="00D802BD" w:rsidRPr="00756DA5" w:rsidP="00D802BD">
            <w:pPr>
              <w:spacing w:line="280" w:lineRule="exact"/>
              <w:jc w:val="left"/>
              <w:rPr>
                <w:rFonts w:eastAsia="Times New Roman" w:cs="Arial"/>
                <w:szCs w:val="20"/>
              </w:rPr>
            </w:pPr>
            <w:r w:rsidRPr="00756DA5">
              <w:t>acceptable means of compliance</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FWSI</w:t>
            </w:r>
          </w:p>
        </w:tc>
        <w:tc>
          <w:tcPr>
            <w:tcW w:w="7796" w:type="dxa"/>
          </w:tcPr>
          <w:p w:rsidR="00D802BD" w:rsidRPr="00756DA5" w:rsidP="00D802BD">
            <w:pPr>
              <w:spacing w:line="280" w:lineRule="exact"/>
              <w:jc w:val="left"/>
              <w:rPr>
                <w:rFonts w:eastAsia="Times New Roman" w:cs="Arial"/>
                <w:szCs w:val="20"/>
              </w:rPr>
            </w:pPr>
            <w:r w:rsidRPr="00756DA5">
              <w:t>Fatalities and weighted serious injuries</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CSM</w:t>
            </w:r>
          </w:p>
        </w:tc>
        <w:tc>
          <w:tcPr>
            <w:tcW w:w="7796" w:type="dxa"/>
          </w:tcPr>
          <w:p w:rsidR="00D802BD" w:rsidRPr="00756DA5" w:rsidP="00D802BD">
            <w:pPr>
              <w:spacing w:line="280" w:lineRule="exact"/>
              <w:jc w:val="left"/>
              <w:rPr>
                <w:rFonts w:eastAsia="Times New Roman" w:cs="Arial"/>
                <w:szCs w:val="20"/>
              </w:rPr>
            </w:pPr>
            <w:r w:rsidRPr="00756DA5">
              <w:t>Common safety method</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lang w:eastAsia="fr-FR"/>
              </w:rPr>
            </w:pPr>
          </w:p>
        </w:tc>
        <w:tc>
          <w:tcPr>
            <w:tcW w:w="7796" w:type="dxa"/>
          </w:tcPr>
          <w:p w:rsidR="00D802BD"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CST</w:t>
            </w:r>
          </w:p>
        </w:tc>
        <w:tc>
          <w:tcPr>
            <w:tcW w:w="7796" w:type="dxa"/>
          </w:tcPr>
          <w:p w:rsidR="00D802BD" w:rsidRPr="00756DA5" w:rsidP="00D802BD">
            <w:pPr>
              <w:spacing w:line="280" w:lineRule="exact"/>
              <w:jc w:val="left"/>
              <w:rPr>
                <w:rFonts w:eastAsia="Times New Roman" w:cs="Arial"/>
                <w:szCs w:val="20"/>
              </w:rPr>
            </w:pPr>
            <w:r w:rsidRPr="00756DA5">
              <w:t>Common safety target</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lang w:eastAsia="fr-FR"/>
              </w:rPr>
            </w:pPr>
          </w:p>
        </w:tc>
        <w:tc>
          <w:tcPr>
            <w:tcW w:w="7796" w:type="dxa"/>
          </w:tcPr>
          <w:p w:rsidR="00D802BD"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PIS</w:t>
            </w:r>
          </w:p>
        </w:tc>
        <w:tc>
          <w:tcPr>
            <w:tcW w:w="7796" w:type="dxa"/>
          </w:tcPr>
          <w:p w:rsidR="00D802BD" w:rsidRPr="00756DA5" w:rsidP="00D802BD">
            <w:pPr>
              <w:spacing w:line="280" w:lineRule="exact"/>
              <w:jc w:val="left"/>
              <w:rPr>
                <w:rFonts w:eastAsia="Times New Roman" w:cs="Arial"/>
                <w:szCs w:val="20"/>
              </w:rPr>
            </w:pPr>
            <w:r w:rsidRPr="00756DA5">
              <w:rPr>
                <w:i/>
              </w:rPr>
              <w:t>plan d’intervention et de sécurité</w:t>
            </w:r>
            <w:r w:rsidRPr="00756DA5">
              <w:t xml:space="preserve"> (intervention and safety plan)</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LC</w:t>
            </w:r>
          </w:p>
        </w:tc>
        <w:tc>
          <w:tcPr>
            <w:tcW w:w="7796" w:type="dxa"/>
          </w:tcPr>
          <w:p w:rsidR="00D802BD" w:rsidRPr="00756DA5" w:rsidP="00D802BD">
            <w:pPr>
              <w:spacing w:line="280" w:lineRule="exact"/>
              <w:jc w:val="left"/>
              <w:rPr>
                <w:rFonts w:eastAsia="Times New Roman" w:cs="Arial"/>
                <w:szCs w:val="20"/>
              </w:rPr>
            </w:pPr>
            <w:r w:rsidRPr="00756DA5">
              <w:t>Level crossing</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lang w:eastAsia="fr-FR"/>
              </w:rPr>
            </w:pPr>
          </w:p>
        </w:tc>
        <w:tc>
          <w:tcPr>
            <w:tcW w:w="7796" w:type="dxa"/>
          </w:tcPr>
          <w:p w:rsidR="00D802BD" w:rsidRPr="00756DA5" w:rsidP="00112116">
            <w:pPr>
              <w:spacing w:line="280" w:lineRule="exact"/>
              <w:ind w:left="57"/>
              <w:jc w:val="left"/>
              <w:rPr>
                <w:rFonts w:eastAsia="Times New Roman" w:cs="Arial"/>
                <w:szCs w:val="20"/>
                <w:lang w:eastAsia="fr-FR"/>
              </w:rPr>
            </w:pP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RC</w:t>
            </w:r>
          </w:p>
        </w:tc>
        <w:tc>
          <w:tcPr>
            <w:tcW w:w="7796" w:type="dxa"/>
          </w:tcPr>
          <w:p w:rsidR="00D802BD" w:rsidRPr="00756DA5" w:rsidP="00D802BD">
            <w:pPr>
              <w:spacing w:line="280" w:lineRule="exact"/>
              <w:jc w:val="left"/>
              <w:rPr>
                <w:rFonts w:eastAsia="Times New Roman" w:cs="Arial"/>
                <w:szCs w:val="20"/>
              </w:rPr>
            </w:pPr>
            <w:r w:rsidRPr="00756DA5">
              <w:t>Recommendation</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Feedback</w:t>
            </w:r>
          </w:p>
        </w:tc>
        <w:tc>
          <w:tcPr>
            <w:tcW w:w="7796" w:type="dxa"/>
          </w:tcPr>
          <w:p w:rsidR="00D802BD" w:rsidRPr="00756DA5" w:rsidP="00D802BD">
            <w:pPr>
              <w:spacing w:line="280" w:lineRule="exact"/>
              <w:jc w:val="left"/>
              <w:rPr>
                <w:rFonts w:eastAsia="Times New Roman" w:cs="Arial"/>
                <w:szCs w:val="20"/>
              </w:rPr>
            </w:pPr>
            <w:r w:rsidRPr="00756DA5">
              <w:t>Feedback</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RFN</w:t>
            </w:r>
          </w:p>
        </w:tc>
        <w:tc>
          <w:tcPr>
            <w:tcW w:w="7796" w:type="dxa"/>
          </w:tcPr>
          <w:p w:rsidR="00D802BD" w:rsidRPr="00756DA5" w:rsidP="00D802BD">
            <w:pPr>
              <w:spacing w:line="280" w:lineRule="exact"/>
              <w:jc w:val="left"/>
              <w:rPr>
                <w:rFonts w:eastAsia="Times New Roman" w:cs="Arial"/>
                <w:szCs w:val="20"/>
              </w:rPr>
            </w:pPr>
            <w:r w:rsidRPr="00756DA5">
              <w:rPr>
                <w:i/>
              </w:rPr>
              <w:t>Réseau ferré national</w:t>
            </w:r>
            <w:r w:rsidRPr="00756DA5">
              <w:t xml:space="preserve"> (National railway network)</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RFF</w:t>
            </w:r>
          </w:p>
        </w:tc>
        <w:tc>
          <w:tcPr>
            <w:tcW w:w="7796" w:type="dxa"/>
          </w:tcPr>
          <w:p w:rsidR="00D802BD" w:rsidRPr="00756DA5" w:rsidP="00D802BD">
            <w:pPr>
              <w:spacing w:line="280" w:lineRule="exact"/>
              <w:jc w:val="left"/>
              <w:rPr>
                <w:rFonts w:eastAsia="Times New Roman" w:cs="Arial"/>
                <w:szCs w:val="20"/>
              </w:rPr>
            </w:pPr>
            <w:r w:rsidRPr="00756DA5">
              <w:rPr>
                <w:i/>
              </w:rPr>
              <w:t>Réseau ferré de France</w:t>
            </w:r>
            <w:r w:rsidRPr="00756DA5">
              <w:t xml:space="preserve"> (formerly SNCF Réseau)</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RSRD2</w:t>
            </w:r>
          </w:p>
        </w:tc>
        <w:tc>
          <w:tcPr>
            <w:tcW w:w="7796" w:type="dxa"/>
          </w:tcPr>
          <w:p w:rsidR="00D802BD" w:rsidRPr="00756DA5" w:rsidP="00D802BD">
            <w:pPr>
              <w:spacing w:line="280" w:lineRule="exact"/>
              <w:jc w:val="left"/>
              <w:rPr>
                <w:rFonts w:eastAsia="Times New Roman" w:cs="Arial"/>
                <w:szCs w:val="20"/>
              </w:rPr>
            </w:pPr>
            <w:r w:rsidRPr="00756DA5">
              <w:t>Rolling Stock Reference Database</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lang w:eastAsia="fr-FR"/>
              </w:rPr>
            </w:pPr>
          </w:p>
        </w:tc>
        <w:tc>
          <w:tcPr>
            <w:tcW w:w="7796" w:type="dxa"/>
          </w:tcPr>
          <w:p w:rsidR="00D802BD" w:rsidRPr="00756DA5" w:rsidP="00D802BD">
            <w:pPr>
              <w:spacing w:line="280" w:lineRule="exact"/>
              <w:jc w:val="left"/>
              <w:rPr>
                <w:rFonts w:eastAsia="Times New Roman" w:cs="Arial"/>
                <w:szCs w:val="20"/>
                <w:lang w:eastAsia="fr-FR"/>
              </w:rPr>
            </w:pP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SAI</w:t>
            </w:r>
          </w:p>
        </w:tc>
        <w:tc>
          <w:tcPr>
            <w:tcW w:w="7796" w:type="dxa"/>
          </w:tcPr>
          <w:p w:rsidR="00D802BD" w:rsidRPr="00756DA5" w:rsidP="00D802BD">
            <w:pPr>
              <w:spacing w:line="280" w:lineRule="exact"/>
              <w:jc w:val="left"/>
              <w:rPr>
                <w:rFonts w:eastAsia="Times New Roman" w:cs="Arial"/>
                <w:szCs w:val="20"/>
              </w:rPr>
            </w:pPr>
            <w:r w:rsidRPr="00756DA5">
              <w:rPr>
                <w:i/>
              </w:rPr>
              <w:t>signal d’alarme par téléphonie</w:t>
            </w:r>
            <w:r w:rsidRPr="00756DA5">
              <w:t xml:space="preserve"> (intercom emergency signal)</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SAM</w:t>
            </w:r>
          </w:p>
        </w:tc>
        <w:tc>
          <w:tcPr>
            <w:tcW w:w="7796" w:type="dxa"/>
          </w:tcPr>
          <w:p w:rsidR="00D802BD" w:rsidRPr="00756DA5" w:rsidP="00D802BD">
            <w:pPr>
              <w:spacing w:line="280" w:lineRule="exact"/>
              <w:jc w:val="left"/>
              <w:rPr>
                <w:rFonts w:eastAsia="Times New Roman" w:cs="Arial"/>
                <w:szCs w:val="20"/>
              </w:rPr>
            </w:pPr>
            <w:r w:rsidRPr="00756DA5">
              <w:rPr>
                <w:i/>
              </w:rPr>
              <w:t>spécification d’autorisation du matériel roulant</w:t>
            </w:r>
            <w:r w:rsidRPr="00756DA5">
              <w:t xml:space="preserve"> (rolling stock authorisation specification)</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SCOTES</w:t>
            </w:r>
          </w:p>
        </w:tc>
        <w:tc>
          <w:tcPr>
            <w:tcW w:w="7796" w:type="dxa"/>
          </w:tcPr>
          <w:p w:rsidR="00D802BD" w:rsidRPr="00756DA5" w:rsidP="00D802BD">
            <w:pPr>
              <w:spacing w:line="280" w:lineRule="exact"/>
              <w:jc w:val="left"/>
              <w:rPr>
                <w:rFonts w:eastAsia="Times New Roman" w:cs="Arial"/>
                <w:szCs w:val="20"/>
              </w:rPr>
            </w:pPr>
            <w:r w:rsidRPr="00756DA5">
              <w:rPr>
                <w:i/>
              </w:rPr>
              <w:t>Système Commun de Traitement des Événements de Sécurité</w:t>
            </w:r>
            <w:r w:rsidRPr="00756DA5">
              <w:t xml:space="preserve"> [Common System for the Processing of Safety Events]</w:t>
            </w:r>
          </w:p>
        </w:tc>
      </w:tr>
      <w:tr w:rsidTr="00FA1BBC">
        <w:tblPrEx>
          <w:tblW w:w="0" w:type="auto"/>
          <w:tblInd w:w="-113" w:type="dxa"/>
          <w:tblLook w:val="04A0"/>
        </w:tblPrEx>
        <w:tc>
          <w:tcPr>
            <w:tcW w:w="1389" w:type="dxa"/>
          </w:tcPr>
          <w:p w:rsidR="00D802BD" w:rsidRPr="00756DA5" w:rsidP="002E7FC7">
            <w:pPr>
              <w:spacing w:line="280" w:lineRule="exact"/>
              <w:jc w:val="left"/>
              <w:rPr>
                <w:rFonts w:eastAsia="Times New Roman" w:cs="Arial"/>
                <w:szCs w:val="20"/>
              </w:rPr>
            </w:pPr>
            <w:r w:rsidRPr="00756DA5">
              <w:t>TSI</w:t>
            </w:r>
          </w:p>
        </w:tc>
        <w:tc>
          <w:tcPr>
            <w:tcW w:w="7796" w:type="dxa"/>
          </w:tcPr>
          <w:p w:rsidR="00D802BD" w:rsidRPr="00756DA5" w:rsidP="00D802BD">
            <w:pPr>
              <w:spacing w:line="280" w:lineRule="exact"/>
              <w:jc w:val="left"/>
              <w:rPr>
                <w:rFonts w:eastAsia="Times New Roman" w:cs="Arial"/>
                <w:szCs w:val="20"/>
              </w:rPr>
            </w:pPr>
            <w:r w:rsidRPr="00756DA5">
              <w:t>Technical Specification for Interoperability</w:t>
            </w: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p>
        </w:tc>
        <w:tc>
          <w:tcPr>
            <w:tcW w:w="7796" w:type="dxa"/>
          </w:tcPr>
          <w:p w:rsidR="00D802BD" w:rsidRPr="00756DA5" w:rsidP="00D802BD">
            <w:pPr>
              <w:spacing w:line="280" w:lineRule="exact"/>
              <w:jc w:val="left"/>
              <w:rPr>
                <w:rFonts w:cs="Arial"/>
                <w:szCs w:val="20"/>
              </w:rPr>
            </w:pP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r w:rsidRPr="00756DA5">
              <w:t>TES</w:t>
            </w:r>
          </w:p>
        </w:tc>
        <w:tc>
          <w:tcPr>
            <w:tcW w:w="7796" w:type="dxa"/>
          </w:tcPr>
          <w:p w:rsidR="00D802BD" w:rsidRPr="00756DA5" w:rsidP="00D802BD">
            <w:pPr>
              <w:spacing w:line="280" w:lineRule="exact"/>
              <w:jc w:val="left"/>
              <w:rPr>
                <w:rFonts w:cs="Arial"/>
                <w:szCs w:val="20"/>
              </w:rPr>
            </w:pPr>
            <w:r w:rsidRPr="00756DA5">
              <w:rPr>
                <w:i/>
              </w:rPr>
              <w:t>tâches essentielles pour la sécurité</w:t>
            </w:r>
            <w:r w:rsidRPr="00756DA5">
              <w:t xml:space="preserve"> (essential safety tasks)</w:t>
            </w: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r w:rsidRPr="00756DA5">
              <w:t>TGV</w:t>
            </w:r>
          </w:p>
        </w:tc>
        <w:tc>
          <w:tcPr>
            <w:tcW w:w="7796" w:type="dxa"/>
          </w:tcPr>
          <w:p w:rsidR="00D802BD" w:rsidRPr="00756DA5" w:rsidP="00D802BD">
            <w:pPr>
              <w:spacing w:line="280" w:lineRule="exact"/>
              <w:jc w:val="left"/>
              <w:rPr>
                <w:rFonts w:cs="Arial"/>
                <w:szCs w:val="20"/>
              </w:rPr>
            </w:pPr>
            <w:r w:rsidRPr="00756DA5">
              <w:rPr>
                <w:i/>
              </w:rPr>
              <w:t>train à grande vitesse</w:t>
            </w:r>
            <w:r w:rsidRPr="00756DA5">
              <w:t xml:space="preserve"> (high-speed train)</w:t>
            </w: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r w:rsidRPr="00756DA5">
              <w:t>TMD</w:t>
            </w:r>
          </w:p>
        </w:tc>
        <w:tc>
          <w:tcPr>
            <w:tcW w:w="7796" w:type="dxa"/>
          </w:tcPr>
          <w:p w:rsidR="00D802BD" w:rsidRPr="00756DA5" w:rsidP="00D802BD">
            <w:pPr>
              <w:spacing w:line="280" w:lineRule="exact"/>
              <w:jc w:val="left"/>
              <w:rPr>
                <w:rFonts w:cs="Arial"/>
                <w:szCs w:val="20"/>
              </w:rPr>
            </w:pPr>
            <w:r w:rsidRPr="00756DA5">
              <w:rPr>
                <w:i/>
              </w:rPr>
              <w:t>transport de marchandise dangereuse</w:t>
            </w:r>
            <w:r w:rsidRPr="00756DA5">
              <w:t xml:space="preserve"> (dangerous goods transport)</w:t>
            </w: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r w:rsidRPr="00756DA5">
              <w:t>TSAE</w:t>
            </w:r>
          </w:p>
        </w:tc>
        <w:tc>
          <w:tcPr>
            <w:tcW w:w="7796" w:type="dxa"/>
          </w:tcPr>
          <w:p w:rsidR="00D802BD" w:rsidRPr="00756DA5" w:rsidP="00D802BD">
            <w:pPr>
              <w:spacing w:line="280" w:lineRule="exact"/>
              <w:jc w:val="left"/>
              <w:rPr>
                <w:rFonts w:cs="Arial"/>
                <w:szCs w:val="20"/>
              </w:rPr>
            </w:pPr>
            <w:r w:rsidRPr="00756DA5">
              <w:rPr>
                <w:i/>
              </w:rPr>
              <w:t>tâches de sécurité autres qu’essentielles</w:t>
            </w:r>
            <w:r w:rsidRPr="00756DA5">
              <w:t xml:space="preserve"> (non-essential safety tasks)</w:t>
            </w: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r w:rsidRPr="00756DA5">
              <w:t>TVM</w:t>
            </w:r>
          </w:p>
        </w:tc>
        <w:tc>
          <w:tcPr>
            <w:tcW w:w="7796" w:type="dxa"/>
          </w:tcPr>
          <w:p w:rsidR="00D802BD" w:rsidRPr="00756DA5" w:rsidP="00D802BD">
            <w:pPr>
              <w:spacing w:line="280" w:lineRule="exact"/>
              <w:jc w:val="left"/>
              <w:rPr>
                <w:rFonts w:cs="Arial"/>
                <w:szCs w:val="20"/>
              </w:rPr>
            </w:pPr>
            <w:r w:rsidRPr="00756DA5">
              <w:rPr>
                <w:i/>
              </w:rPr>
              <w:t>transmission voie machine</w:t>
            </w:r>
            <w:r w:rsidRPr="00756DA5">
              <w:t xml:space="preserve"> (track-machine transmission)</w:t>
            </w: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r w:rsidRPr="00756DA5">
              <w:t>TVP</w:t>
            </w:r>
          </w:p>
        </w:tc>
        <w:tc>
          <w:tcPr>
            <w:tcW w:w="7796" w:type="dxa"/>
          </w:tcPr>
          <w:p w:rsidR="00D802BD" w:rsidRPr="00756DA5" w:rsidP="00D802BD">
            <w:pPr>
              <w:spacing w:line="280" w:lineRule="exact"/>
              <w:jc w:val="left"/>
              <w:rPr>
                <w:rFonts w:cs="Arial"/>
                <w:szCs w:val="20"/>
              </w:rPr>
            </w:pPr>
            <w:r w:rsidRPr="00756DA5">
              <w:rPr>
                <w:i/>
              </w:rPr>
              <w:t>traversée de voie pour piéton</w:t>
            </w:r>
            <w:r w:rsidRPr="00756DA5">
              <w:t xml:space="preserve"> (pedestrian railway crossing)</w:t>
            </w: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p>
        </w:tc>
        <w:tc>
          <w:tcPr>
            <w:tcW w:w="7796" w:type="dxa"/>
          </w:tcPr>
          <w:p w:rsidR="00D802BD" w:rsidRPr="00756DA5" w:rsidP="00D802BD">
            <w:pPr>
              <w:spacing w:line="280" w:lineRule="exact"/>
              <w:jc w:val="left"/>
              <w:rPr>
                <w:rFonts w:cs="Arial"/>
                <w:szCs w:val="20"/>
              </w:rPr>
            </w:pP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r w:rsidRPr="00756DA5">
              <w:t>EU</w:t>
            </w:r>
          </w:p>
        </w:tc>
        <w:tc>
          <w:tcPr>
            <w:tcW w:w="7796" w:type="dxa"/>
          </w:tcPr>
          <w:p w:rsidR="00D802BD" w:rsidRPr="00756DA5" w:rsidP="00D802BD">
            <w:pPr>
              <w:spacing w:line="280" w:lineRule="exact"/>
              <w:jc w:val="left"/>
              <w:rPr>
                <w:rFonts w:cs="Arial"/>
                <w:szCs w:val="20"/>
              </w:rPr>
            </w:pPr>
            <w:r w:rsidRPr="00756DA5">
              <w:t>European Union</w:t>
            </w: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p>
        </w:tc>
        <w:tc>
          <w:tcPr>
            <w:tcW w:w="7796" w:type="dxa"/>
          </w:tcPr>
          <w:p w:rsidR="00D802BD" w:rsidRPr="00756DA5" w:rsidP="00112116">
            <w:pPr>
              <w:spacing w:line="280" w:lineRule="exact"/>
              <w:ind w:left="57"/>
              <w:jc w:val="left"/>
              <w:rPr>
                <w:rFonts w:cs="Arial"/>
                <w:szCs w:val="20"/>
              </w:rPr>
            </w:pPr>
          </w:p>
        </w:tc>
      </w:tr>
      <w:tr w:rsidTr="00FA1BBC">
        <w:tblPrEx>
          <w:tblW w:w="0" w:type="auto"/>
          <w:tblInd w:w="-113" w:type="dxa"/>
          <w:tblLook w:val="04A0"/>
        </w:tblPrEx>
        <w:tc>
          <w:tcPr>
            <w:tcW w:w="1389" w:type="dxa"/>
          </w:tcPr>
          <w:p w:rsidR="00D802BD" w:rsidRPr="00756DA5" w:rsidP="002E7FC7">
            <w:pPr>
              <w:spacing w:line="280" w:lineRule="exact"/>
              <w:jc w:val="left"/>
              <w:rPr>
                <w:rFonts w:cs="Arial"/>
                <w:szCs w:val="20"/>
              </w:rPr>
            </w:pPr>
            <w:r w:rsidRPr="00756DA5">
              <w:t>NRV</w:t>
            </w:r>
          </w:p>
        </w:tc>
        <w:tc>
          <w:tcPr>
            <w:tcW w:w="7796" w:type="dxa"/>
          </w:tcPr>
          <w:p w:rsidR="00D802BD" w:rsidRPr="00756DA5" w:rsidP="00D802BD">
            <w:pPr>
              <w:spacing w:line="280" w:lineRule="exact"/>
              <w:jc w:val="left"/>
              <w:rPr>
                <w:rFonts w:cs="Arial"/>
                <w:szCs w:val="20"/>
              </w:rPr>
            </w:pPr>
            <w:r w:rsidRPr="00756DA5">
              <w:t>National reference values</w:t>
            </w:r>
          </w:p>
        </w:tc>
      </w:tr>
    </w:tbl>
    <w:p w:rsidR="00DA2BF1" w:rsidRPr="00756DA5" w:rsidP="00DA2BF1">
      <w:pPr>
        <w:spacing w:after="0" w:line="280" w:lineRule="exact"/>
        <w:jc w:val="left"/>
        <w:rPr>
          <w:rFonts w:eastAsia="Times New Roman" w:cs="Arial"/>
          <w:szCs w:val="20"/>
          <w:lang w:eastAsia="fr-FR"/>
        </w:rPr>
      </w:pPr>
    </w:p>
    <w:p w:rsidR="00A83CAB" w:rsidRPr="00756DA5">
      <w:pPr>
        <w:jc w:val="left"/>
        <w:rPr>
          <w:rFonts w:cs="Arial"/>
          <w:szCs w:val="20"/>
        </w:rPr>
      </w:pPr>
      <w:bookmarkEnd w:id="118"/>
      <w:r w:rsidRPr="00756DA5">
        <w:br w:type="page"/>
      </w:r>
      <w:r w:rsidRPr="00756DA5">
        <w:br w:type="page"/>
      </w:r>
    </w:p>
    <w:p w:rsidR="007B0985" w:rsidRPr="00380326" w:rsidP="00380326"/>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756DA5" w:rsidP="007B0985">
      <w:pPr>
        <w:rPr>
          <w:rFonts w:cs="Arial"/>
          <w:lang w:eastAsia="fr-FR"/>
        </w:rPr>
      </w:pPr>
    </w:p>
    <w:p w:rsidR="007B0985" w:rsidRPr="00380326" w:rsidP="00380326"/>
    <w:p w:rsidR="00971CF9" w:rsidRPr="00380326" w:rsidP="00380326"/>
    <w:p w:rsidR="00691798" w:rsidRPr="00756DA5" w:rsidP="00691798">
      <w:pPr>
        <w:spacing w:after="0"/>
        <w:jc w:val="left"/>
        <w:rPr>
          <w:rFonts w:cs="Arial"/>
          <w:b/>
          <w:color w:val="000000" w:themeColor="text1"/>
          <w:szCs w:val="20"/>
        </w:rPr>
      </w:pPr>
      <w:r w:rsidRPr="00756DA5">
        <w:rPr>
          <w:b/>
          <w:color w:val="000000" w:themeColor="text1"/>
          <w:szCs w:val="20"/>
        </w:rPr>
        <w:t>EPSF</w:t>
      </w:r>
    </w:p>
    <w:p w:rsidR="00691798" w:rsidRPr="00756DA5" w:rsidP="00691798">
      <w:pPr>
        <w:spacing w:after="0"/>
        <w:jc w:val="left"/>
        <w:rPr>
          <w:rFonts w:cs="Arial"/>
          <w:color w:val="000000" w:themeColor="text1"/>
          <w:szCs w:val="20"/>
        </w:rPr>
      </w:pPr>
      <w:r w:rsidRPr="00756DA5">
        <w:rPr>
          <w:color w:val="000000" w:themeColor="text1"/>
          <w:szCs w:val="20"/>
        </w:rPr>
        <w:t>60, rue de la Vallée</w:t>
      </w:r>
    </w:p>
    <w:p w:rsidR="00691798" w:rsidRPr="00756DA5" w:rsidP="00691798">
      <w:pPr>
        <w:spacing w:after="0"/>
        <w:jc w:val="left"/>
        <w:rPr>
          <w:rFonts w:cs="Arial"/>
          <w:color w:val="000000" w:themeColor="text1"/>
          <w:szCs w:val="20"/>
        </w:rPr>
      </w:pPr>
      <w:r w:rsidRPr="00756DA5">
        <w:rPr>
          <w:color w:val="000000" w:themeColor="text1"/>
          <w:szCs w:val="20"/>
        </w:rPr>
        <w:t>CS 11758</w:t>
      </w:r>
    </w:p>
    <w:p w:rsidR="00691798" w:rsidRPr="00756DA5" w:rsidP="00691798">
      <w:pPr>
        <w:spacing w:after="0"/>
        <w:jc w:val="left"/>
        <w:rPr>
          <w:rFonts w:cs="Arial"/>
          <w:color w:val="000000" w:themeColor="text1"/>
          <w:szCs w:val="20"/>
        </w:rPr>
      </w:pPr>
      <w:r w:rsidRPr="00756DA5">
        <w:rPr>
          <w:color w:val="000000" w:themeColor="text1"/>
          <w:szCs w:val="20"/>
        </w:rPr>
        <w:t>80017</w:t>
      </w:r>
      <w:r w:rsidRPr="00756DA5">
        <w:rPr>
          <w:color w:val="000000" w:themeColor="text1"/>
          <w:szCs w:val="20"/>
        </w:rPr>
        <w:t xml:space="preserve"> Amiens Cedex 1</w:t>
      </w:r>
    </w:p>
    <w:p w:rsidR="00A83CAB" w:rsidRPr="00756DA5" w:rsidP="00A83CAB">
      <w:pPr>
        <w:jc w:val="left"/>
        <w:rPr>
          <w:rFonts w:cs="Arial"/>
          <w:color w:val="000000" w:themeColor="text1"/>
          <w:szCs w:val="20"/>
        </w:rPr>
      </w:pPr>
      <w:r w:rsidRPr="00756DA5">
        <w:rPr>
          <w:color w:val="000000" w:themeColor="text1"/>
          <w:szCs w:val="20"/>
        </w:rPr>
        <w:t>Tel. 33 (0)3 22 33 95 95</w:t>
      </w:r>
    </w:p>
    <w:p w:rsidR="00691798" w:rsidRPr="00756DA5" w:rsidP="00691798">
      <w:pPr>
        <w:spacing w:after="0"/>
        <w:jc w:val="left"/>
      </w:pPr>
      <w:hyperlink r:id="rId86" w:history="1">
        <w:r w:rsidRPr="00756DA5" w:rsidR="009350B4">
          <w:rPr>
            <w:rStyle w:val="Hyperlink"/>
          </w:rPr>
          <w:t>epsf@securite-ferroviaire.fr</w:t>
        </w:r>
      </w:hyperlink>
    </w:p>
    <w:p w:rsidR="00A83CAB" w:rsidRPr="00756DA5" w:rsidP="00A83CAB">
      <w:pPr>
        <w:jc w:val="left"/>
        <w:rPr>
          <w:rStyle w:val="Hyperlink"/>
          <w:rFonts w:cs="Arial"/>
          <w:szCs w:val="20"/>
        </w:rPr>
      </w:pPr>
      <w:hyperlink r:id="rId87" w:history="1">
        <w:r w:rsidRPr="00756DA5" w:rsidR="009350B4">
          <w:rPr>
            <w:rStyle w:val="Hyperlink"/>
          </w:rPr>
          <w:t>www.securite-ferroviaire.fr</w:t>
        </w:r>
      </w:hyperlink>
    </w:p>
    <w:sectPr w:rsidSect="00F403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PF DinText Pro Ligh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6DA5" w:rsidRPr="00756DA5" w:rsidP="00692F1A">
    <w:pPr>
      <w:pStyle w:val="Footer"/>
      <w:ind w:left="1361"/>
      <w:rPr>
        <w:noProof/>
      </w:rPr>
    </w:pPr>
    <w:r w:rsidRPr="00756DA5">
      <w:t>EPSF Annual Report on Railway Traffic Safety – 2017</w:t>
    </w:r>
    <w:r w:rsidRPr="00756DA5">
      <w:tab/>
    </w:r>
    <w:r w:rsidRPr="00756DA5">
      <w:fldChar w:fldCharType="begin"/>
    </w:r>
    <w:r w:rsidRPr="00756DA5">
      <w:instrText xml:space="preserve"> PAGE   \* MERGEFORMAT </w:instrText>
    </w:r>
    <w:r w:rsidRPr="00756DA5">
      <w:fldChar w:fldCharType="separate"/>
    </w:r>
    <w:r w:rsidR="00B03928">
      <w:rPr>
        <w:noProof/>
      </w:rPr>
      <w:t>21</w:t>
    </w:r>
    <w:r w:rsidRPr="00756DA5">
      <w:fldChar w:fldCharType="end"/>
    </w:r>
    <w:r w:rsidRPr="00756DA5">
      <w:t>/</w:t>
    </w:r>
    <w:r w:rsidRPr="00756DA5">
      <w:rPr>
        <w:noProof/>
      </w:rPr>
      <w:fldChar w:fldCharType="begin"/>
    </w:r>
    <w:r w:rsidRPr="00756DA5">
      <w:rPr>
        <w:noProof/>
      </w:rPr>
      <w:instrText xml:space="preserve"> NUMPAGES   \* MERGEFORMAT </w:instrText>
    </w:r>
    <w:r w:rsidRPr="00756DA5">
      <w:rPr>
        <w:noProof/>
      </w:rPr>
      <w:fldChar w:fldCharType="separate"/>
    </w:r>
    <w:r w:rsidR="00B03928">
      <w:rPr>
        <w:noProof/>
      </w:rPr>
      <w:t>109</w:t>
    </w:r>
    <w:r w:rsidRPr="00756DA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6DA5" w:rsidRPr="00756DA5" w:rsidP="005E6DC1">
    <w:pPr>
      <w:pStyle w:val="Footer"/>
      <w:ind w:left="1361"/>
    </w:pPr>
    <w:r w:rsidRPr="00756DA5">
      <w:t>EPSF Annual Report on Railway Traffic Safety – 2017</w:t>
    </w:r>
    <w:r w:rsidRPr="00756DA5">
      <w:tab/>
    </w:r>
    <w:r w:rsidRPr="00756DA5">
      <w:fldChar w:fldCharType="begin"/>
    </w:r>
    <w:r w:rsidRPr="00756DA5">
      <w:instrText xml:space="preserve"> PAGE   \* MERGEFORMAT </w:instrText>
    </w:r>
    <w:r w:rsidRPr="00756DA5">
      <w:fldChar w:fldCharType="separate"/>
    </w:r>
    <w:r w:rsidR="00B03928">
      <w:rPr>
        <w:noProof/>
      </w:rPr>
      <w:t>106</w:t>
    </w:r>
    <w:r w:rsidRPr="00756DA5">
      <w:fldChar w:fldCharType="end"/>
    </w:r>
    <w:r w:rsidRPr="00756DA5">
      <w:t>/</w:t>
    </w:r>
    <w:r w:rsidRPr="00756DA5">
      <w:rPr>
        <w:noProof/>
      </w:rPr>
      <w:fldChar w:fldCharType="begin"/>
    </w:r>
    <w:r w:rsidRPr="00756DA5">
      <w:rPr>
        <w:noProof/>
      </w:rPr>
      <w:instrText xml:space="preserve"> NUMPAGES   \* MERGEFORMAT </w:instrText>
    </w:r>
    <w:r w:rsidRPr="00756DA5">
      <w:rPr>
        <w:noProof/>
      </w:rPr>
      <w:fldChar w:fldCharType="separate"/>
    </w:r>
    <w:r w:rsidR="00B03928">
      <w:rPr>
        <w:noProof/>
      </w:rPr>
      <w:t>109</w:t>
    </w:r>
    <w:r w:rsidRPr="00756D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56DA5" w:rsidRPr="00756DA5" w:rsidP="000D00E4">
      <w:pPr>
        <w:spacing w:after="0" w:line="240" w:lineRule="auto"/>
      </w:pPr>
      <w:r w:rsidRPr="00756DA5">
        <w:separator/>
      </w:r>
    </w:p>
  </w:footnote>
  <w:footnote w:type="continuationSeparator" w:id="1">
    <w:p w:rsidR="00756DA5" w:rsidRPr="00756DA5" w:rsidP="000D00E4">
      <w:pPr>
        <w:spacing w:after="0" w:line="240" w:lineRule="auto"/>
      </w:pPr>
      <w:r w:rsidRPr="00756DA5">
        <w:continuationSeparator/>
      </w:r>
    </w:p>
  </w:footnote>
  <w:footnote w:id="2">
    <w:p w:rsidR="00756DA5" w:rsidRPr="00756DA5" w:rsidP="00DF624F">
      <w:pPr>
        <w:spacing w:line="280" w:lineRule="exact"/>
        <w:rPr>
          <w:rFonts w:cs="Arial"/>
          <w:szCs w:val="20"/>
          <w:shd w:val="clear" w:color="auto" w:fill="FFFFFF"/>
        </w:rPr>
      </w:pPr>
      <w:r w:rsidRPr="00756DA5">
        <w:rPr>
          <w:rStyle w:val="FootnoteReference"/>
        </w:rPr>
        <w:footnoteRef/>
      </w:r>
      <w:r w:rsidRPr="00756DA5">
        <w:t xml:space="preserve"> </w:t>
      </w:r>
      <w:r w:rsidRPr="00756DA5">
        <w:rPr>
          <w:sz w:val="16"/>
          <w:szCs w:val="16"/>
          <w:shd w:val="clear" w:color="auto" w:fill="FFFFFF"/>
        </w:rPr>
        <w:t>Sources: SDES (</w:t>
      </w:r>
      <w:r w:rsidRPr="00756DA5">
        <w:rPr>
          <w:i/>
          <w:sz w:val="16"/>
          <w:szCs w:val="16"/>
          <w:shd w:val="clear" w:color="auto" w:fill="FFFFFF"/>
        </w:rPr>
        <w:t xml:space="preserve">Service de la donnée </w:t>
      </w:r>
      <w:r w:rsidRPr="00756DA5">
        <w:rPr>
          <w:i/>
          <w:sz w:val="16"/>
          <w:szCs w:val="16"/>
          <w:shd w:val="clear" w:color="auto" w:fill="FFFFFF"/>
        </w:rPr>
        <w:t>et</w:t>
      </w:r>
      <w:r w:rsidRPr="00756DA5">
        <w:rPr>
          <w:i/>
          <w:sz w:val="16"/>
          <w:szCs w:val="16"/>
          <w:shd w:val="clear" w:color="auto" w:fill="FFFFFF"/>
        </w:rPr>
        <w:t xml:space="preserve"> des études statistiques</w:t>
      </w:r>
      <w:r w:rsidRPr="00756DA5">
        <w:rPr>
          <w:sz w:val="16"/>
          <w:szCs w:val="16"/>
          <w:shd w:val="clear" w:color="auto" w:fill="FFFFFF"/>
        </w:rPr>
        <w:t xml:space="preserve"> [Department of Data and Statistical Studies]), CCTN (</w:t>
      </w:r>
      <w:r w:rsidRPr="00756DA5">
        <w:rPr>
          <w:i/>
          <w:sz w:val="16"/>
          <w:szCs w:val="16"/>
          <w:shd w:val="clear" w:color="auto" w:fill="FFFFFF"/>
        </w:rPr>
        <w:t>Commission des comptes de transport de la Nation</w:t>
      </w:r>
      <w:r w:rsidRPr="00756DA5">
        <w:rPr>
          <w:sz w:val="16"/>
          <w:szCs w:val="16"/>
          <w:shd w:val="clear" w:color="auto" w:fill="FFFFFF"/>
        </w:rPr>
        <w:t xml:space="preserve"> [National Transport Accounts Committee]) 2017.</w:t>
      </w:r>
    </w:p>
    <w:p w:rsidR="00756DA5" w:rsidRPr="00756DA5" w:rsidP="00DF624F">
      <w:pPr>
        <w:pStyle w:val="FootnoteText"/>
      </w:pPr>
    </w:p>
  </w:footnote>
  <w:footnote w:id="3">
    <w:p w:rsidR="00756DA5" w:rsidRPr="00756DA5">
      <w:pPr>
        <w:pStyle w:val="FootnoteText"/>
        <w:rPr>
          <w:szCs w:val="16"/>
        </w:rPr>
      </w:pPr>
      <w:r w:rsidRPr="00756DA5">
        <w:rPr>
          <w:rStyle w:val="FootnoteReference"/>
        </w:rPr>
        <w:footnoteRef/>
      </w:r>
      <w:r w:rsidRPr="00756DA5">
        <w:t xml:space="preserve"> </w:t>
      </w:r>
      <w:r w:rsidRPr="00756DA5">
        <w:rPr>
          <w:rStyle w:val="field-content2"/>
          <w:color w:val="333333"/>
          <w:szCs w:val="16"/>
        </w:rPr>
        <w:t>European Train Control System (automatic train control system for European railway networks).</w:t>
      </w:r>
    </w:p>
  </w:footnote>
  <w:footnote w:id="4">
    <w:p w:rsidR="00756DA5" w:rsidRPr="00756DA5">
      <w:pPr>
        <w:pStyle w:val="FootnoteText"/>
      </w:pPr>
      <w:r w:rsidRPr="00756DA5">
        <w:rPr>
          <w:rStyle w:val="FootnoteReference"/>
        </w:rPr>
        <w:footnoteRef/>
      </w:r>
      <w:r w:rsidRPr="00756DA5">
        <w:t xml:space="preserve"> </w:t>
      </w:r>
      <w:r w:rsidRPr="00756DA5">
        <w:rPr>
          <w:i/>
        </w:rPr>
        <w:t>Block automatique lumineux</w:t>
      </w:r>
      <w:r w:rsidRPr="00756DA5">
        <w:t xml:space="preserve"> (automatic block signalling).</w:t>
      </w:r>
    </w:p>
  </w:footnote>
  <w:footnote w:id="5">
    <w:p w:rsidR="00756DA5" w:rsidRPr="00756DA5">
      <w:pPr>
        <w:pStyle w:val="FootnoteText"/>
        <w:rPr>
          <w:szCs w:val="16"/>
        </w:rPr>
      </w:pPr>
      <w:r w:rsidRPr="00756DA5">
        <w:rPr>
          <w:rStyle w:val="FootnoteReference"/>
          <w:sz w:val="16"/>
          <w:szCs w:val="16"/>
        </w:rPr>
        <w:footnoteRef/>
      </w:r>
      <w:r w:rsidRPr="00756DA5">
        <w:t xml:space="preserve"> Purely national scale at the initiative of the EPSF in close consultation with all operators (cf. p. 25).</w:t>
      </w:r>
    </w:p>
  </w:footnote>
  <w:footnote w:id="6">
    <w:p w:rsidR="00756DA5" w:rsidRPr="00756DA5">
      <w:pPr>
        <w:pStyle w:val="FootnoteText"/>
      </w:pPr>
      <w:r w:rsidRPr="00756DA5">
        <w:rPr>
          <w:rStyle w:val="FootnoteReference"/>
        </w:rPr>
        <w:footnoteRef/>
      </w:r>
      <w:r w:rsidRPr="00756DA5">
        <w:t xml:space="preserve"> This category </w:t>
      </w:r>
      <w:r w:rsidRPr="00756DA5">
        <w:t>is more specifically defined</w:t>
      </w:r>
      <w:r w:rsidRPr="00756DA5">
        <w:t xml:space="preserve"> in the ‘People seriously injured’ part of the same section.</w:t>
      </w:r>
    </w:p>
  </w:footnote>
  <w:footnote w:id="7">
    <w:p w:rsidR="00756DA5" w:rsidRPr="00756DA5" w:rsidP="00CD62BB">
      <w:pPr>
        <w:pStyle w:val="FootnoteText"/>
        <w:rPr>
          <w:szCs w:val="16"/>
        </w:rPr>
      </w:pPr>
      <w:r w:rsidRPr="00756DA5">
        <w:rPr>
          <w:rStyle w:val="FootnoteReference"/>
        </w:rPr>
        <w:footnoteRef/>
      </w:r>
      <w:r w:rsidRPr="00756DA5">
        <w:t xml:space="preserve"> On the missions and statutes of the EPSF.</w:t>
      </w:r>
    </w:p>
    <w:p w:rsidR="00756DA5" w:rsidRPr="00756DA5" w:rsidP="00CD62BB">
      <w:pPr>
        <w:pStyle w:val="FootnoteText"/>
      </w:pPr>
    </w:p>
  </w:footnote>
  <w:footnote w:id="8">
    <w:p w:rsidR="00756DA5" w:rsidRPr="00756DA5">
      <w:pPr>
        <w:pStyle w:val="FootnoteText"/>
      </w:pPr>
      <w:r w:rsidRPr="00756DA5">
        <w:rPr>
          <w:rStyle w:val="FootnoteReference"/>
        </w:rPr>
        <w:footnoteRef/>
      </w:r>
      <w:r w:rsidRPr="00756DA5">
        <w:t xml:space="preserve"> </w:t>
      </w:r>
      <w:r w:rsidRPr="00756DA5">
        <w:rPr>
          <w:i/>
        </w:rPr>
        <w:t>Système Commun de Traitement des Événements de Sécurité</w:t>
      </w:r>
      <w:r w:rsidRPr="00756DA5">
        <w:t xml:space="preserve"> [Common System for the Processing of Safety Events]</w:t>
      </w:r>
    </w:p>
  </w:footnote>
  <w:footnote w:id="9">
    <w:p w:rsidR="00756DA5" w:rsidRPr="00756DA5" w:rsidP="006D6EEB">
      <w:pPr>
        <w:pStyle w:val="FootnoteText"/>
        <w:rPr>
          <w:szCs w:val="16"/>
        </w:rPr>
      </w:pPr>
      <w:r w:rsidRPr="00756DA5">
        <w:rPr>
          <w:rStyle w:val="FootnoteReference"/>
          <w:sz w:val="16"/>
          <w:szCs w:val="16"/>
        </w:rPr>
        <w:footnoteRef/>
      </w:r>
      <w:r w:rsidRPr="00756DA5">
        <w:t xml:space="preserve"> Commission Regulation (EU) No 445/2011 of 10 May 2011 on a system of certification of entities in charge of maintenance for freight wagons and amending Regulation (EC) No 653/2007.</w:t>
      </w:r>
    </w:p>
  </w:footnote>
  <w:footnote w:id="10">
    <w:p w:rsidR="00756DA5" w:rsidRPr="00756DA5" w:rsidP="006D6EEB">
      <w:pPr>
        <w:pStyle w:val="FootnoteText"/>
        <w:rPr>
          <w:szCs w:val="16"/>
        </w:rPr>
      </w:pPr>
      <w:r w:rsidRPr="00756DA5">
        <w:rPr>
          <w:rStyle w:val="FootnoteReference"/>
          <w:sz w:val="16"/>
          <w:szCs w:val="16"/>
        </w:rPr>
        <w:footnoteRef/>
      </w:r>
      <w:r w:rsidRPr="00756DA5">
        <w:t xml:space="preserve"> Commission Regulation (EC) No 352/2009 of 24 April 2009 on the adoption of a common safety method on risk evaluation and assessment as referred to in Article 6(3</w:t>
      </w:r>
      <w:r w:rsidRPr="00756DA5">
        <w:t>)(</w:t>
      </w:r>
      <w:r w:rsidRPr="00756DA5">
        <w:t>a) of Directive 2004/49/EC of the European Parliament and of the Council.</w:t>
      </w:r>
    </w:p>
  </w:footnote>
  <w:footnote w:id="11">
    <w:p w:rsidR="00756DA5" w:rsidRPr="00756DA5" w:rsidP="006D6EEB">
      <w:pPr>
        <w:pStyle w:val="FootnoteText"/>
      </w:pPr>
      <w:r w:rsidRPr="00756DA5">
        <w:rPr>
          <w:rStyle w:val="FootnoteReference"/>
          <w:sz w:val="16"/>
          <w:szCs w:val="16"/>
        </w:rPr>
        <w:footnoteRef/>
      </w:r>
      <w:r w:rsidRPr="00756DA5">
        <w:t xml:space="preserve"> Commission Implementing Regulation (EU) No 402/2013 of 30 April 2013 on the common safety method for risk evaluation and assessment and repealing Regulation (EC) No 352/2009.</w:t>
      </w:r>
    </w:p>
  </w:footnote>
  <w:footnote w:id="12">
    <w:p w:rsidR="00756DA5" w:rsidRPr="00756DA5" w:rsidP="00682440">
      <w:pPr>
        <w:pStyle w:val="FootnoteText"/>
      </w:pPr>
      <w:r w:rsidRPr="00756DA5">
        <w:rPr>
          <w:rStyle w:val="FootnoteReference"/>
          <w:sz w:val="16"/>
        </w:rPr>
        <w:footnoteRef/>
      </w:r>
      <w:r w:rsidRPr="00756DA5">
        <w:t xml:space="preserve"> Geometry defect, similar to a twisting of the </w:t>
      </w:r>
      <w:r w:rsidRPr="00756DA5">
        <w:t>rail, that</w:t>
      </w:r>
      <w:r w:rsidRPr="00756DA5">
        <w:t xml:space="preserve"> can by itself cause a derailment when certain limit values are exceeded.</w:t>
      </w:r>
    </w:p>
  </w:footnote>
  <w:footnote w:id="13">
    <w:p w:rsidR="00756DA5" w:rsidRPr="00756DA5" w:rsidP="00682440">
      <w:pPr>
        <w:pStyle w:val="FootnoteText"/>
      </w:pPr>
      <w:r w:rsidRPr="00756DA5">
        <w:rPr>
          <w:rStyle w:val="FootnoteReference"/>
          <w:sz w:val="16"/>
        </w:rPr>
        <w:footnoteRef/>
      </w:r>
      <w:r w:rsidRPr="00756DA5">
        <w:t xml:space="preserve"> </w:t>
      </w:r>
      <w:r w:rsidRPr="00756DA5">
        <w:rPr>
          <w:i/>
        </w:rPr>
        <w:t>Audit de Sécurité National Opérationnel</w:t>
      </w:r>
      <w:r w:rsidRPr="00756DA5">
        <w:t xml:space="preserve"> (internal National Operational Safety Audit) by SNCF Réseau that periodically assess the level of operational control and of management of safety at maintenance facilities.</w:t>
      </w:r>
    </w:p>
  </w:footnote>
  <w:footnote w:id="14">
    <w:p w:rsidR="00756DA5" w:rsidRPr="00756DA5" w:rsidP="00867B76">
      <w:pPr>
        <w:pStyle w:val="FootnoteText"/>
      </w:pPr>
      <w:r w:rsidRPr="00756DA5">
        <w:rPr>
          <w:rStyle w:val="FootnoteReference"/>
        </w:rPr>
        <w:footnoteRef/>
      </w:r>
      <w:r w:rsidRPr="00756DA5">
        <w:t xml:space="preserve"> The ICSI is an association governed by the Law of 1901 and created in 2003. It was born out of the joint initiative of manufacturers, university academics, researchers and local authorities that work collectively to improve safety in companies, to promote an open and public debate between high-risk companies and civil society, and to promote the cultural adaptation of all society’s actors to the issues of risks and safety.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6DA5" w:rsidRPr="00756DA5">
    <w:pPr>
      <w:pStyle w:val="Header"/>
    </w:pPr>
  </w:p>
  <w:p w:rsidR="00756DA5" w:rsidRPr="00756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C71228"/>
    <w:multiLevelType w:val="hybridMultilevel"/>
    <w:tmpl w:val="BDF6290E"/>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CA0A81"/>
    <w:multiLevelType w:val="hybridMultilevel"/>
    <w:tmpl w:val="6BC4CF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3CB2E81"/>
    <w:multiLevelType w:val="hybridMultilevel"/>
    <w:tmpl w:val="A4DC2412"/>
    <w:styleLink w:val="List0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8E90D11"/>
    <w:multiLevelType w:val="hybridMultilevel"/>
    <w:tmpl w:val="FCB40B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E00F8D"/>
    <w:multiLevelType w:val="hybridMultilevel"/>
    <w:tmpl w:val="8294C80A"/>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EB27D6B"/>
    <w:multiLevelType w:val="hybridMultilevel"/>
    <w:tmpl w:val="11EE2468"/>
    <w:lvl w:ilvl="0">
      <w:start w:val="2016"/>
      <w:numFmt w:val="bullet"/>
      <w:lvlText w:val="–"/>
      <w:lvlJc w:val="left"/>
      <w:pPr>
        <w:ind w:left="720" w:hanging="360"/>
      </w:pPr>
      <w:rPr>
        <w:rFonts w:ascii="Arial" w:hAnsi="Arial" w:eastAsiaTheme="minorHAnsi"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955167A"/>
    <w:multiLevelType w:val="hybridMultilevel"/>
    <w:tmpl w:val="60180D58"/>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9E51B8B"/>
    <w:multiLevelType w:val="hybridMultilevel"/>
    <w:tmpl w:val="54FE200C"/>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C30BD8"/>
    <w:multiLevelType w:val="hybridMultilevel"/>
    <w:tmpl w:val="7F102B0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4396743"/>
    <w:multiLevelType w:val="multilevel"/>
    <w:tmpl w:val="7AC41E7A"/>
    <w:styleLink w:val="Tiret11"/>
    <w:lvl w:ilvl="0">
      <w:start w:val="1"/>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0">
    <w:nsid w:val="25A84C13"/>
    <w:multiLevelType w:val="multilevel"/>
    <w:tmpl w:val="98BCE59C"/>
    <w:styleLink w:val="List011"/>
    <w:lvl w:ilvl="0">
      <w:start w:val="1"/>
      <w:numFmt w:val="bullet"/>
      <w:lvlText w:val="-"/>
      <w:lvlJc w:val="left"/>
      <w:pPr>
        <w:tabs>
          <w:tab w:val="num" w:pos="240"/>
        </w:tabs>
        <w:ind w:left="240" w:hanging="240"/>
      </w:pPr>
      <w:rPr>
        <w:rFonts w:ascii="Arial" w:eastAsia="Arial" w:hAnsi="Arial" w:cs="Arial"/>
        <w:position w:val="4"/>
        <w:sz w:val="24"/>
        <w:szCs w:val="24"/>
      </w:rPr>
    </w:lvl>
    <w:lvl w:ilvl="1">
      <w:start w:val="1"/>
      <w:numFmt w:val="bullet"/>
      <w:lvlText w:val="-"/>
      <w:lvlJc w:val="left"/>
      <w:pPr>
        <w:tabs>
          <w:tab w:val="num" w:pos="458"/>
        </w:tabs>
        <w:ind w:left="458" w:hanging="218"/>
      </w:pPr>
      <w:rPr>
        <w:rFonts w:ascii="Arial" w:eastAsia="Arial" w:hAnsi="Arial" w:cs="Arial"/>
        <w:position w:val="4"/>
        <w:sz w:val="24"/>
        <w:szCs w:val="24"/>
      </w:rPr>
    </w:lvl>
    <w:lvl w:ilvl="2">
      <w:start w:val="1"/>
      <w:numFmt w:val="bullet"/>
      <w:lvlText w:val="-"/>
      <w:lvlJc w:val="left"/>
      <w:pPr>
        <w:tabs>
          <w:tab w:val="num" w:pos="698"/>
        </w:tabs>
        <w:ind w:left="698" w:hanging="218"/>
      </w:pPr>
      <w:rPr>
        <w:rFonts w:ascii="Arial" w:eastAsia="Arial" w:hAnsi="Arial" w:cs="Arial"/>
        <w:position w:val="4"/>
        <w:sz w:val="24"/>
        <w:szCs w:val="24"/>
      </w:rPr>
    </w:lvl>
    <w:lvl w:ilvl="3">
      <w:start w:val="1"/>
      <w:numFmt w:val="bullet"/>
      <w:lvlText w:val="-"/>
      <w:lvlJc w:val="left"/>
      <w:pPr>
        <w:tabs>
          <w:tab w:val="num" w:pos="938"/>
        </w:tabs>
        <w:ind w:left="938" w:hanging="218"/>
      </w:pPr>
      <w:rPr>
        <w:rFonts w:ascii="Arial" w:eastAsia="Arial" w:hAnsi="Arial" w:cs="Arial"/>
        <w:position w:val="4"/>
        <w:sz w:val="24"/>
        <w:szCs w:val="24"/>
      </w:rPr>
    </w:lvl>
    <w:lvl w:ilvl="4">
      <w:start w:val="1"/>
      <w:numFmt w:val="bullet"/>
      <w:lvlText w:val="-"/>
      <w:lvlJc w:val="left"/>
      <w:pPr>
        <w:tabs>
          <w:tab w:val="num" w:pos="1178"/>
        </w:tabs>
        <w:ind w:left="1178" w:hanging="218"/>
      </w:pPr>
      <w:rPr>
        <w:rFonts w:ascii="Arial" w:eastAsia="Arial" w:hAnsi="Arial" w:cs="Arial"/>
        <w:position w:val="4"/>
        <w:sz w:val="24"/>
        <w:szCs w:val="24"/>
      </w:rPr>
    </w:lvl>
    <w:lvl w:ilvl="5">
      <w:start w:val="1"/>
      <w:numFmt w:val="bullet"/>
      <w:lvlText w:val="-"/>
      <w:lvlJc w:val="left"/>
      <w:pPr>
        <w:tabs>
          <w:tab w:val="num" w:pos="1418"/>
        </w:tabs>
        <w:ind w:left="1418" w:hanging="218"/>
      </w:pPr>
      <w:rPr>
        <w:rFonts w:ascii="Arial" w:eastAsia="Arial" w:hAnsi="Arial" w:cs="Arial"/>
        <w:position w:val="4"/>
        <w:sz w:val="24"/>
        <w:szCs w:val="24"/>
      </w:rPr>
    </w:lvl>
    <w:lvl w:ilvl="6">
      <w:start w:val="1"/>
      <w:numFmt w:val="bullet"/>
      <w:lvlText w:val="-"/>
      <w:lvlJc w:val="left"/>
      <w:pPr>
        <w:tabs>
          <w:tab w:val="num" w:pos="1658"/>
        </w:tabs>
        <w:ind w:left="1658" w:hanging="218"/>
      </w:pPr>
      <w:rPr>
        <w:rFonts w:ascii="Arial" w:eastAsia="Arial" w:hAnsi="Arial" w:cs="Arial"/>
        <w:position w:val="4"/>
        <w:sz w:val="24"/>
        <w:szCs w:val="24"/>
      </w:rPr>
    </w:lvl>
    <w:lvl w:ilvl="7">
      <w:start w:val="1"/>
      <w:numFmt w:val="bullet"/>
      <w:lvlText w:val="-"/>
      <w:lvlJc w:val="left"/>
      <w:pPr>
        <w:tabs>
          <w:tab w:val="num" w:pos="1898"/>
        </w:tabs>
        <w:ind w:left="1898" w:hanging="218"/>
      </w:pPr>
      <w:rPr>
        <w:rFonts w:ascii="Arial" w:eastAsia="Arial" w:hAnsi="Arial" w:cs="Arial"/>
        <w:position w:val="4"/>
        <w:sz w:val="24"/>
        <w:szCs w:val="24"/>
      </w:rPr>
    </w:lvl>
    <w:lvl w:ilvl="8">
      <w:start w:val="1"/>
      <w:numFmt w:val="bullet"/>
      <w:lvlText w:val="-"/>
      <w:lvlJc w:val="left"/>
      <w:pPr>
        <w:tabs>
          <w:tab w:val="num" w:pos="2138"/>
        </w:tabs>
        <w:ind w:left="2138" w:hanging="218"/>
      </w:pPr>
      <w:rPr>
        <w:rFonts w:ascii="Arial" w:eastAsia="Arial" w:hAnsi="Arial" w:cs="Arial"/>
        <w:position w:val="4"/>
        <w:sz w:val="24"/>
        <w:szCs w:val="24"/>
      </w:rPr>
    </w:lvl>
  </w:abstractNum>
  <w:abstractNum w:abstractNumId="11">
    <w:nsid w:val="27AB7228"/>
    <w:multiLevelType w:val="multilevel"/>
    <w:tmpl w:val="75641598"/>
    <w:styleLink w:val="List012"/>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AFC3A3F"/>
    <w:multiLevelType w:val="multilevel"/>
    <w:tmpl w:val="69B26394"/>
    <w:styleLink w:val="Tiret12"/>
    <w:lvl w:ilvl="0">
      <w:start w:val="2"/>
      <w:numFmt w:val="decimal"/>
      <w:lvlText w:val="%1"/>
      <w:lvlJc w:val="left"/>
      <w:pPr>
        <w:ind w:left="787" w:hanging="645"/>
      </w:pPr>
      <w:rPr>
        <w:rFonts w:hint="default"/>
      </w:rPr>
    </w:lvl>
    <w:lvl w:ilvl="1">
      <w:start w:val="2"/>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3">
    <w:nsid w:val="2E0A63F3"/>
    <w:multiLevelType w:val="hybridMultilevel"/>
    <w:tmpl w:val="7B025E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EAC2B98"/>
    <w:multiLevelType w:val="hybridMultilevel"/>
    <w:tmpl w:val="BE9E32D8"/>
    <w:lvl w:ilvl="0">
      <w:start w:val="5"/>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2DD78B6"/>
    <w:multiLevelType w:val="hybridMultilevel"/>
    <w:tmpl w:val="CFE89CAC"/>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5E37177"/>
    <w:multiLevelType w:val="hybridMultilevel"/>
    <w:tmpl w:val="A010FADA"/>
    <w:lvl w:ilvl="0">
      <w:start w:val="2016"/>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38DB6F09"/>
    <w:multiLevelType w:val="hybridMultilevel"/>
    <w:tmpl w:val="0BCCEBCE"/>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8">
    <w:nsid w:val="3CD44CF8"/>
    <w:multiLevelType w:val="hybridMultilevel"/>
    <w:tmpl w:val="EFAE7786"/>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68E7A8D"/>
    <w:multiLevelType w:val="hybridMultilevel"/>
    <w:tmpl w:val="7BC24A50"/>
    <w:lvl w:ilvl="0">
      <w:start w:val="2016"/>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477B7582"/>
    <w:multiLevelType w:val="hybridMultilevel"/>
    <w:tmpl w:val="A044BC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8547FA1"/>
    <w:multiLevelType w:val="hybridMultilevel"/>
    <w:tmpl w:val="C44C26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B4F5AB0"/>
    <w:multiLevelType w:val="multilevel"/>
    <w:tmpl w:val="C310BD68"/>
    <w:styleLink w:val="List02"/>
    <w:lvl w:ilvl="0">
      <w:start w:val="1"/>
      <w:numFmt w:val="bullet"/>
      <w:lvlText w:val="-"/>
      <w:lvlJc w:val="left"/>
      <w:pPr>
        <w:tabs>
          <w:tab w:val="num" w:pos="240"/>
        </w:tabs>
        <w:ind w:left="240" w:hanging="240"/>
      </w:pPr>
      <w:rPr>
        <w:rFonts w:ascii="Arial" w:eastAsia="Arial" w:hAnsi="Arial" w:cs="Arial"/>
        <w:position w:val="4"/>
        <w:sz w:val="24"/>
        <w:szCs w:val="24"/>
      </w:rPr>
    </w:lvl>
    <w:lvl w:ilvl="1">
      <w:start w:val="1"/>
      <w:numFmt w:val="bullet"/>
      <w:lvlText w:val="-"/>
      <w:lvlJc w:val="left"/>
      <w:pPr>
        <w:tabs>
          <w:tab w:val="num" w:pos="458"/>
        </w:tabs>
        <w:ind w:left="458" w:hanging="218"/>
      </w:pPr>
      <w:rPr>
        <w:rFonts w:ascii="Arial" w:eastAsia="Arial" w:hAnsi="Arial" w:cs="Arial"/>
        <w:position w:val="4"/>
        <w:sz w:val="24"/>
        <w:szCs w:val="24"/>
      </w:rPr>
    </w:lvl>
    <w:lvl w:ilvl="2">
      <w:start w:val="1"/>
      <w:numFmt w:val="bullet"/>
      <w:lvlText w:val="-"/>
      <w:lvlJc w:val="left"/>
      <w:pPr>
        <w:tabs>
          <w:tab w:val="num" w:pos="698"/>
        </w:tabs>
        <w:ind w:left="698" w:hanging="218"/>
      </w:pPr>
      <w:rPr>
        <w:rFonts w:ascii="Arial" w:eastAsia="Arial" w:hAnsi="Arial" w:cs="Arial"/>
        <w:position w:val="4"/>
        <w:sz w:val="24"/>
        <w:szCs w:val="24"/>
      </w:rPr>
    </w:lvl>
    <w:lvl w:ilvl="3">
      <w:start w:val="1"/>
      <w:numFmt w:val="bullet"/>
      <w:lvlText w:val="-"/>
      <w:lvlJc w:val="left"/>
      <w:pPr>
        <w:tabs>
          <w:tab w:val="num" w:pos="938"/>
        </w:tabs>
        <w:ind w:left="938" w:hanging="218"/>
      </w:pPr>
      <w:rPr>
        <w:rFonts w:ascii="Arial" w:eastAsia="Arial" w:hAnsi="Arial" w:cs="Arial"/>
        <w:position w:val="4"/>
        <w:sz w:val="24"/>
        <w:szCs w:val="24"/>
      </w:rPr>
    </w:lvl>
    <w:lvl w:ilvl="4">
      <w:start w:val="1"/>
      <w:numFmt w:val="bullet"/>
      <w:lvlText w:val="-"/>
      <w:lvlJc w:val="left"/>
      <w:pPr>
        <w:tabs>
          <w:tab w:val="num" w:pos="1178"/>
        </w:tabs>
        <w:ind w:left="1178" w:hanging="218"/>
      </w:pPr>
      <w:rPr>
        <w:rFonts w:ascii="Arial" w:eastAsia="Arial" w:hAnsi="Arial" w:cs="Arial"/>
        <w:position w:val="4"/>
        <w:sz w:val="24"/>
        <w:szCs w:val="24"/>
      </w:rPr>
    </w:lvl>
    <w:lvl w:ilvl="5">
      <w:start w:val="1"/>
      <w:numFmt w:val="bullet"/>
      <w:lvlText w:val="-"/>
      <w:lvlJc w:val="left"/>
      <w:pPr>
        <w:tabs>
          <w:tab w:val="num" w:pos="1418"/>
        </w:tabs>
        <w:ind w:left="1418" w:hanging="218"/>
      </w:pPr>
      <w:rPr>
        <w:rFonts w:ascii="Arial" w:eastAsia="Arial" w:hAnsi="Arial" w:cs="Arial"/>
        <w:position w:val="4"/>
        <w:sz w:val="24"/>
        <w:szCs w:val="24"/>
      </w:rPr>
    </w:lvl>
    <w:lvl w:ilvl="6">
      <w:start w:val="1"/>
      <w:numFmt w:val="bullet"/>
      <w:lvlText w:val="-"/>
      <w:lvlJc w:val="left"/>
      <w:pPr>
        <w:tabs>
          <w:tab w:val="num" w:pos="1658"/>
        </w:tabs>
        <w:ind w:left="1658" w:hanging="218"/>
      </w:pPr>
      <w:rPr>
        <w:rFonts w:ascii="Arial" w:eastAsia="Arial" w:hAnsi="Arial" w:cs="Arial"/>
        <w:position w:val="4"/>
        <w:sz w:val="24"/>
        <w:szCs w:val="24"/>
      </w:rPr>
    </w:lvl>
    <w:lvl w:ilvl="7">
      <w:start w:val="1"/>
      <w:numFmt w:val="bullet"/>
      <w:lvlText w:val="-"/>
      <w:lvlJc w:val="left"/>
      <w:pPr>
        <w:tabs>
          <w:tab w:val="num" w:pos="1898"/>
        </w:tabs>
        <w:ind w:left="1898" w:hanging="218"/>
      </w:pPr>
      <w:rPr>
        <w:rFonts w:ascii="Arial" w:eastAsia="Arial" w:hAnsi="Arial" w:cs="Arial"/>
        <w:position w:val="4"/>
        <w:sz w:val="24"/>
        <w:szCs w:val="24"/>
      </w:rPr>
    </w:lvl>
    <w:lvl w:ilvl="8">
      <w:start w:val="1"/>
      <w:numFmt w:val="bullet"/>
      <w:lvlText w:val="-"/>
      <w:lvlJc w:val="left"/>
      <w:pPr>
        <w:tabs>
          <w:tab w:val="num" w:pos="2138"/>
        </w:tabs>
        <w:ind w:left="2138" w:hanging="218"/>
      </w:pPr>
      <w:rPr>
        <w:rFonts w:ascii="Arial" w:eastAsia="Arial" w:hAnsi="Arial" w:cs="Arial"/>
        <w:position w:val="4"/>
        <w:sz w:val="24"/>
        <w:szCs w:val="24"/>
      </w:rPr>
    </w:lvl>
  </w:abstractNum>
  <w:abstractNum w:abstractNumId="23">
    <w:nsid w:val="4F8D286B"/>
    <w:multiLevelType w:val="hybridMultilevel"/>
    <w:tmpl w:val="25C6884E"/>
    <w:lvl w:ilvl="0">
      <w:start w:val="2016"/>
      <w:numFmt w:val="bullet"/>
      <w:lvlText w:val="–"/>
      <w:lvlJc w:val="left"/>
      <w:pPr>
        <w:ind w:left="720" w:hanging="360"/>
      </w:pPr>
      <w:rPr>
        <w:rFonts w:ascii="Arial" w:hAnsi="Arial" w:eastAsiaTheme="minorHAnsi"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FB33D4B"/>
    <w:multiLevelType w:val="hybridMultilevel"/>
    <w:tmpl w:val="92AC3866"/>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33C7318"/>
    <w:multiLevelType w:val="hybridMultilevel"/>
    <w:tmpl w:val="8FA66EB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5DA40F9"/>
    <w:multiLevelType w:val="multilevel"/>
    <w:tmpl w:val="9A52BBF6"/>
    <w:lvl w:ilvl="0">
      <w:start w:val="1"/>
      <w:numFmt w:val="decimal"/>
      <w:lvlText w:val="%1."/>
      <w:lvlJc w:val="left"/>
      <w:pPr>
        <w:ind w:left="360" w:hanging="360"/>
      </w:pPr>
      <w:rPr>
        <w:rFonts w:hint="default"/>
        <w:color w:val="CAD122"/>
        <w:sz w:val="4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7D145F8"/>
    <w:multiLevelType w:val="hybridMultilevel"/>
    <w:tmpl w:val="C44C26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7E24CD5"/>
    <w:multiLevelType w:val="multilevel"/>
    <w:tmpl w:val="7D709980"/>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9">
    <w:nsid w:val="5810233D"/>
    <w:multiLevelType w:val="hybridMultilevel"/>
    <w:tmpl w:val="0D5E2E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8910695"/>
    <w:multiLevelType w:val="multilevel"/>
    <w:tmpl w:val="82DA7194"/>
    <w:styleLink w:val="Tiret3"/>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1">
    <w:nsid w:val="5A0C5AA2"/>
    <w:multiLevelType w:val="multilevel"/>
    <w:tmpl w:val="A6663C1A"/>
    <w:styleLink w:val="Tiret2"/>
    <w:lvl w:ilvl="0">
      <w:start w:val="1"/>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32">
    <w:nsid w:val="5A496277"/>
    <w:multiLevelType w:val="hybridMultilevel"/>
    <w:tmpl w:val="058C23FE"/>
    <w:lvl w:ilvl="0">
      <w:start w:val="0"/>
      <w:numFmt w:val="bullet"/>
      <w:lvlText w:val="-"/>
      <w:lvlJc w:val="left"/>
      <w:pPr>
        <w:ind w:left="720" w:hanging="360"/>
      </w:pPr>
      <w:rPr>
        <w:rFonts w:ascii="Arial" w:hAnsi="Arial" w:eastAsiaTheme="minorHAnsi" w:cs="Arial" w:hint="default"/>
      </w:rPr>
    </w:lvl>
    <w:lvl w:ilvl="1">
      <w:start w:val="0"/>
      <w:numFmt w:val="bullet"/>
      <w:lvlText w:val="•"/>
      <w:lvlJc w:val="left"/>
      <w:pPr>
        <w:ind w:left="1440" w:hanging="360"/>
      </w:pPr>
      <w:rPr>
        <w:rFonts w:ascii="Arial" w:hAnsi="Arial" w:eastAsiaTheme="minorHAnsi"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E3E4096"/>
    <w:multiLevelType w:val="hybridMultilevel"/>
    <w:tmpl w:val="1CF8B7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FA4617D"/>
    <w:multiLevelType w:val="hybridMultilevel"/>
    <w:tmpl w:val="5066D0BC"/>
    <w:styleLink w:val="List12"/>
    <w:lvl w:ilvl="0">
      <w:start w:val="1"/>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08E7855"/>
    <w:multiLevelType w:val="hybridMultilevel"/>
    <w:tmpl w:val="6A6AE6C0"/>
    <w:lvl w:ilvl="0">
      <w:start w:val="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15A0B4F"/>
    <w:multiLevelType w:val="hybridMultilevel"/>
    <w:tmpl w:val="3ED8448A"/>
    <w:lvl w:ilvl="0">
      <w:start w:val="2016"/>
      <w:numFmt w:val="bullet"/>
      <w:lvlText w:val="–"/>
      <w:lvlJc w:val="left"/>
      <w:pPr>
        <w:ind w:left="1065" w:hanging="705"/>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2617B94"/>
    <w:multiLevelType w:val="hybridMultilevel"/>
    <w:tmpl w:val="0556EDE6"/>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27578FA"/>
    <w:multiLevelType w:val="multilevel"/>
    <w:tmpl w:val="EDCC673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672D7E07"/>
    <w:multiLevelType w:val="hybridMultilevel"/>
    <w:tmpl w:val="30DAAB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B9C0A00"/>
    <w:multiLevelType w:val="hybridMultilevel"/>
    <w:tmpl w:val="6146514C"/>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2DC443A"/>
    <w:multiLevelType w:val="multilevel"/>
    <w:tmpl w:val="7D709980"/>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2">
    <w:nsid w:val="74622B96"/>
    <w:multiLevelType w:val="hybridMultilevel"/>
    <w:tmpl w:val="E1503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5FC2856"/>
    <w:multiLevelType w:val="multilevel"/>
    <w:tmpl w:val="5F14F1CA"/>
    <w:styleLink w:val="List11"/>
    <w:lvl w:ilvl="0">
      <w:start w:va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4">
    <w:nsid w:val="76003707"/>
    <w:multiLevelType w:val="hybridMultilevel"/>
    <w:tmpl w:val="F7227DBC"/>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B280C0B"/>
    <w:multiLevelType w:val="hybridMultilevel"/>
    <w:tmpl w:val="FEEA0C22"/>
    <w:lvl w:ilvl="0">
      <w:start w:val="2016"/>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7CC7262A"/>
    <w:multiLevelType w:val="hybridMultilevel"/>
    <w:tmpl w:val="A2B0CE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D266D84"/>
    <w:multiLevelType w:val="hybridMultilevel"/>
    <w:tmpl w:val="F67CB1B0"/>
    <w:lvl w:ilvl="0">
      <w:start w:val="10"/>
      <w:numFmt w:val="decimal"/>
      <w:lvlText w:val="%1"/>
      <w:lvlJc w:val="left"/>
      <w:pPr>
        <w:ind w:left="720" w:hanging="360"/>
      </w:pPr>
      <w:rPr>
        <w:rFonts w:cstheme="minorBid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FFB1F1C"/>
    <w:multiLevelType w:val="hybridMultilevel"/>
    <w:tmpl w:val="4B6CED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31"/>
  </w:num>
  <w:num w:numId="4">
    <w:abstractNumId w:val="10"/>
  </w:num>
  <w:num w:numId="5">
    <w:abstractNumId w:val="9"/>
  </w:num>
  <w:num w:numId="6">
    <w:abstractNumId w:val="43"/>
  </w:num>
  <w:num w:numId="7">
    <w:abstractNumId w:val="2"/>
  </w:num>
  <w:num w:numId="8">
    <w:abstractNumId w:val="30"/>
  </w:num>
  <w:num w:numId="9">
    <w:abstractNumId w:val="11"/>
  </w:num>
  <w:num w:numId="10">
    <w:abstractNumId w:val="12"/>
  </w:num>
  <w:num w:numId="11">
    <w:abstractNumId w:val="34"/>
  </w:num>
  <w:num w:numId="12">
    <w:abstractNumId w:val="26"/>
  </w:num>
  <w:num w:numId="13">
    <w:abstractNumId w:val="38"/>
  </w:num>
  <w:num w:numId="14">
    <w:abstractNumId w:val="0"/>
  </w:num>
  <w:num w:numId="15">
    <w:abstractNumId w:val="23"/>
  </w:num>
  <w:num w:numId="16">
    <w:abstractNumId w:val="28"/>
  </w:num>
  <w:num w:numId="17">
    <w:abstractNumId w:val="41"/>
  </w:num>
  <w:num w:numId="18">
    <w:abstractNumId w:val="39"/>
  </w:num>
  <w:num w:numId="19">
    <w:abstractNumId w:val="45"/>
  </w:num>
  <w:num w:numId="20">
    <w:abstractNumId w:val="48"/>
  </w:num>
  <w:num w:numId="21">
    <w:abstractNumId w:val="18"/>
  </w:num>
  <w:num w:numId="22">
    <w:abstractNumId w:val="24"/>
  </w:num>
  <w:num w:numId="23">
    <w:abstractNumId w:val="7"/>
  </w:num>
  <w:num w:numId="24">
    <w:abstractNumId w:val="37"/>
  </w:num>
  <w:num w:numId="25">
    <w:abstractNumId w:val="15"/>
  </w:num>
  <w:num w:numId="26">
    <w:abstractNumId w:val="5"/>
  </w:num>
  <w:num w:numId="27">
    <w:abstractNumId w:val="32"/>
  </w:num>
  <w:num w:numId="28">
    <w:abstractNumId w:val="36"/>
  </w:num>
  <w:num w:numId="29">
    <w:abstractNumId w:val="40"/>
  </w:num>
  <w:num w:numId="30">
    <w:abstractNumId w:val="14"/>
  </w:num>
  <w:num w:numId="31">
    <w:abstractNumId w:val="17"/>
  </w:num>
  <w:num w:numId="32">
    <w:abstractNumId w:val="33"/>
  </w:num>
  <w:num w:numId="33">
    <w:abstractNumId w:val="29"/>
  </w:num>
  <w:num w:numId="34">
    <w:abstractNumId w:val="8"/>
  </w:num>
  <w:num w:numId="35">
    <w:abstractNumId w:val="3"/>
  </w:num>
  <w:num w:numId="36">
    <w:abstractNumId w:val="44"/>
  </w:num>
  <w:num w:numId="37">
    <w:abstractNumId w:val="21"/>
  </w:num>
  <w:num w:numId="38">
    <w:abstractNumId w:val="27"/>
  </w:num>
  <w:num w:numId="39">
    <w:abstractNumId w:val="42"/>
  </w:num>
  <w:num w:numId="40">
    <w:abstractNumId w:val="13"/>
  </w:num>
  <w:num w:numId="41">
    <w:abstractNumId w:val="4"/>
  </w:num>
  <w:num w:numId="42">
    <w:abstractNumId w:val="6"/>
  </w:num>
  <w:num w:numId="43">
    <w:abstractNumId w:val="19"/>
  </w:num>
  <w:num w:numId="44">
    <w:abstractNumId w:val="16"/>
  </w:num>
  <w:num w:numId="45">
    <w:abstractNumId w:val="46"/>
  </w:num>
  <w:num w:numId="46">
    <w:abstractNumId w:val="20"/>
  </w:num>
  <w:num w:numId="47">
    <w:abstractNumId w:val="35"/>
  </w:num>
  <w:num w:numId="48">
    <w:abstractNumId w:val="25"/>
  </w:num>
  <w:num w:numId="49">
    <w:abstractNumId w:val="4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08"/>
  <w:autoHyphenation/>
  <w:hyphenationZone w:val="425"/>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D5"/>
    <w:rsid w:val="000000E7"/>
    <w:rsid w:val="000017B1"/>
    <w:rsid w:val="00003349"/>
    <w:rsid w:val="000034C6"/>
    <w:rsid w:val="00003956"/>
    <w:rsid w:val="00005572"/>
    <w:rsid w:val="00006E86"/>
    <w:rsid w:val="000115E4"/>
    <w:rsid w:val="00011609"/>
    <w:rsid w:val="00012E30"/>
    <w:rsid w:val="00013030"/>
    <w:rsid w:val="00015056"/>
    <w:rsid w:val="000152CF"/>
    <w:rsid w:val="0001599F"/>
    <w:rsid w:val="0001615F"/>
    <w:rsid w:val="000168A9"/>
    <w:rsid w:val="0001695F"/>
    <w:rsid w:val="00016B51"/>
    <w:rsid w:val="00017758"/>
    <w:rsid w:val="00020074"/>
    <w:rsid w:val="000218D3"/>
    <w:rsid w:val="00021CE7"/>
    <w:rsid w:val="00023A1F"/>
    <w:rsid w:val="00030586"/>
    <w:rsid w:val="000306C9"/>
    <w:rsid w:val="00031378"/>
    <w:rsid w:val="00031C2F"/>
    <w:rsid w:val="00031CBF"/>
    <w:rsid w:val="000328B3"/>
    <w:rsid w:val="00032B0E"/>
    <w:rsid w:val="00032D4F"/>
    <w:rsid w:val="00032DFA"/>
    <w:rsid w:val="00033903"/>
    <w:rsid w:val="00034EBC"/>
    <w:rsid w:val="00035083"/>
    <w:rsid w:val="000354BB"/>
    <w:rsid w:val="00036BFC"/>
    <w:rsid w:val="00036BFD"/>
    <w:rsid w:val="00040480"/>
    <w:rsid w:val="000436E1"/>
    <w:rsid w:val="00044566"/>
    <w:rsid w:val="000452A2"/>
    <w:rsid w:val="000453F0"/>
    <w:rsid w:val="00046037"/>
    <w:rsid w:val="00046D78"/>
    <w:rsid w:val="0004743F"/>
    <w:rsid w:val="00051AFB"/>
    <w:rsid w:val="0005439A"/>
    <w:rsid w:val="000543DA"/>
    <w:rsid w:val="000549DA"/>
    <w:rsid w:val="00054AAE"/>
    <w:rsid w:val="00054ADE"/>
    <w:rsid w:val="00054DA8"/>
    <w:rsid w:val="00055F5B"/>
    <w:rsid w:val="00056850"/>
    <w:rsid w:val="00056D75"/>
    <w:rsid w:val="00057794"/>
    <w:rsid w:val="00057A2B"/>
    <w:rsid w:val="00060404"/>
    <w:rsid w:val="00060ED7"/>
    <w:rsid w:val="0006111B"/>
    <w:rsid w:val="000616BC"/>
    <w:rsid w:val="00062B5D"/>
    <w:rsid w:val="00063DDB"/>
    <w:rsid w:val="000646D6"/>
    <w:rsid w:val="00064C48"/>
    <w:rsid w:val="000652A1"/>
    <w:rsid w:val="00066972"/>
    <w:rsid w:val="00070814"/>
    <w:rsid w:val="00070F19"/>
    <w:rsid w:val="00071596"/>
    <w:rsid w:val="00071697"/>
    <w:rsid w:val="00072A27"/>
    <w:rsid w:val="0007305A"/>
    <w:rsid w:val="00073904"/>
    <w:rsid w:val="000745D2"/>
    <w:rsid w:val="00075713"/>
    <w:rsid w:val="0007588E"/>
    <w:rsid w:val="000758A3"/>
    <w:rsid w:val="00076373"/>
    <w:rsid w:val="000763BE"/>
    <w:rsid w:val="000770B9"/>
    <w:rsid w:val="000779E1"/>
    <w:rsid w:val="0008008E"/>
    <w:rsid w:val="000810A7"/>
    <w:rsid w:val="0008149F"/>
    <w:rsid w:val="000826EF"/>
    <w:rsid w:val="00082A0F"/>
    <w:rsid w:val="00082C72"/>
    <w:rsid w:val="000842FA"/>
    <w:rsid w:val="000845C4"/>
    <w:rsid w:val="00084FFC"/>
    <w:rsid w:val="00085358"/>
    <w:rsid w:val="00085BD5"/>
    <w:rsid w:val="00086FDA"/>
    <w:rsid w:val="0008726B"/>
    <w:rsid w:val="0008743F"/>
    <w:rsid w:val="00091628"/>
    <w:rsid w:val="000917A1"/>
    <w:rsid w:val="00091C67"/>
    <w:rsid w:val="00092876"/>
    <w:rsid w:val="00094139"/>
    <w:rsid w:val="000943C5"/>
    <w:rsid w:val="000A0A0C"/>
    <w:rsid w:val="000A0E4E"/>
    <w:rsid w:val="000A4CFA"/>
    <w:rsid w:val="000A56A4"/>
    <w:rsid w:val="000A7B36"/>
    <w:rsid w:val="000B0BF9"/>
    <w:rsid w:val="000B27F1"/>
    <w:rsid w:val="000B2EA3"/>
    <w:rsid w:val="000B3AC1"/>
    <w:rsid w:val="000B3DF9"/>
    <w:rsid w:val="000B4117"/>
    <w:rsid w:val="000B4644"/>
    <w:rsid w:val="000B4C73"/>
    <w:rsid w:val="000C17C2"/>
    <w:rsid w:val="000C2066"/>
    <w:rsid w:val="000C2B48"/>
    <w:rsid w:val="000C2E6A"/>
    <w:rsid w:val="000C383E"/>
    <w:rsid w:val="000C4430"/>
    <w:rsid w:val="000C5586"/>
    <w:rsid w:val="000C558C"/>
    <w:rsid w:val="000C5D26"/>
    <w:rsid w:val="000C5FCE"/>
    <w:rsid w:val="000C6ECD"/>
    <w:rsid w:val="000D00E4"/>
    <w:rsid w:val="000D04D6"/>
    <w:rsid w:val="000D0566"/>
    <w:rsid w:val="000D0F92"/>
    <w:rsid w:val="000D1F96"/>
    <w:rsid w:val="000D2AEA"/>
    <w:rsid w:val="000D2F4B"/>
    <w:rsid w:val="000D3879"/>
    <w:rsid w:val="000D4F58"/>
    <w:rsid w:val="000D5DF5"/>
    <w:rsid w:val="000D6475"/>
    <w:rsid w:val="000E0558"/>
    <w:rsid w:val="000E07B3"/>
    <w:rsid w:val="000E1CF0"/>
    <w:rsid w:val="000E2F20"/>
    <w:rsid w:val="000E341A"/>
    <w:rsid w:val="000E430F"/>
    <w:rsid w:val="000E46FF"/>
    <w:rsid w:val="000E5AB6"/>
    <w:rsid w:val="000E5CD3"/>
    <w:rsid w:val="000E61B2"/>
    <w:rsid w:val="000E6755"/>
    <w:rsid w:val="000E6C14"/>
    <w:rsid w:val="000E7833"/>
    <w:rsid w:val="000F19E0"/>
    <w:rsid w:val="000F1C82"/>
    <w:rsid w:val="000F1E79"/>
    <w:rsid w:val="000F3155"/>
    <w:rsid w:val="000F328E"/>
    <w:rsid w:val="000F3339"/>
    <w:rsid w:val="000F3AD3"/>
    <w:rsid w:val="000F4ED7"/>
    <w:rsid w:val="000F4FAF"/>
    <w:rsid w:val="000F513F"/>
    <w:rsid w:val="000F5200"/>
    <w:rsid w:val="000F5FFD"/>
    <w:rsid w:val="000F674D"/>
    <w:rsid w:val="000F726D"/>
    <w:rsid w:val="000F7482"/>
    <w:rsid w:val="000F7E4E"/>
    <w:rsid w:val="0010013C"/>
    <w:rsid w:val="00100EEB"/>
    <w:rsid w:val="00101822"/>
    <w:rsid w:val="00101E76"/>
    <w:rsid w:val="00101F84"/>
    <w:rsid w:val="001031A3"/>
    <w:rsid w:val="001053D4"/>
    <w:rsid w:val="00105557"/>
    <w:rsid w:val="00105DF9"/>
    <w:rsid w:val="001073FF"/>
    <w:rsid w:val="00110547"/>
    <w:rsid w:val="00112116"/>
    <w:rsid w:val="00113090"/>
    <w:rsid w:val="0011498F"/>
    <w:rsid w:val="00114B25"/>
    <w:rsid w:val="00114B7D"/>
    <w:rsid w:val="00114CC8"/>
    <w:rsid w:val="00117B63"/>
    <w:rsid w:val="00117FAA"/>
    <w:rsid w:val="00120085"/>
    <w:rsid w:val="001221D6"/>
    <w:rsid w:val="0012243E"/>
    <w:rsid w:val="001249CE"/>
    <w:rsid w:val="00124CD3"/>
    <w:rsid w:val="00126A5D"/>
    <w:rsid w:val="00127390"/>
    <w:rsid w:val="00127C26"/>
    <w:rsid w:val="001309D8"/>
    <w:rsid w:val="00130A68"/>
    <w:rsid w:val="0013196D"/>
    <w:rsid w:val="00132013"/>
    <w:rsid w:val="001326E3"/>
    <w:rsid w:val="0013353E"/>
    <w:rsid w:val="00133F3A"/>
    <w:rsid w:val="00134B69"/>
    <w:rsid w:val="0013582F"/>
    <w:rsid w:val="00135CE2"/>
    <w:rsid w:val="00135FB2"/>
    <w:rsid w:val="001403D8"/>
    <w:rsid w:val="00142233"/>
    <w:rsid w:val="0014300A"/>
    <w:rsid w:val="001444E5"/>
    <w:rsid w:val="00146769"/>
    <w:rsid w:val="00146942"/>
    <w:rsid w:val="00150DBF"/>
    <w:rsid w:val="001529F5"/>
    <w:rsid w:val="00152DDC"/>
    <w:rsid w:val="001530B7"/>
    <w:rsid w:val="0015321E"/>
    <w:rsid w:val="0015449B"/>
    <w:rsid w:val="00155147"/>
    <w:rsid w:val="0015517F"/>
    <w:rsid w:val="0015664E"/>
    <w:rsid w:val="0015747C"/>
    <w:rsid w:val="00161044"/>
    <w:rsid w:val="001626C7"/>
    <w:rsid w:val="00165DCB"/>
    <w:rsid w:val="0016620B"/>
    <w:rsid w:val="00170631"/>
    <w:rsid w:val="00170A92"/>
    <w:rsid w:val="00171A49"/>
    <w:rsid w:val="00173668"/>
    <w:rsid w:val="00175890"/>
    <w:rsid w:val="001761E8"/>
    <w:rsid w:val="00176E96"/>
    <w:rsid w:val="00176EF1"/>
    <w:rsid w:val="001806BC"/>
    <w:rsid w:val="001809AF"/>
    <w:rsid w:val="00180DA4"/>
    <w:rsid w:val="001828B5"/>
    <w:rsid w:val="00184A09"/>
    <w:rsid w:val="00184E29"/>
    <w:rsid w:val="00185AB9"/>
    <w:rsid w:val="00185C32"/>
    <w:rsid w:val="00185FEB"/>
    <w:rsid w:val="0018647B"/>
    <w:rsid w:val="00186CB6"/>
    <w:rsid w:val="00187073"/>
    <w:rsid w:val="001873B8"/>
    <w:rsid w:val="001911A4"/>
    <w:rsid w:val="0019126D"/>
    <w:rsid w:val="001925E0"/>
    <w:rsid w:val="00192719"/>
    <w:rsid w:val="00193201"/>
    <w:rsid w:val="0019409A"/>
    <w:rsid w:val="0019590E"/>
    <w:rsid w:val="001971DA"/>
    <w:rsid w:val="00197263"/>
    <w:rsid w:val="001976C3"/>
    <w:rsid w:val="00197BFE"/>
    <w:rsid w:val="001A024A"/>
    <w:rsid w:val="001A162E"/>
    <w:rsid w:val="001A1D8A"/>
    <w:rsid w:val="001A1F59"/>
    <w:rsid w:val="001A4BE3"/>
    <w:rsid w:val="001A5956"/>
    <w:rsid w:val="001A69AB"/>
    <w:rsid w:val="001A7470"/>
    <w:rsid w:val="001A74AC"/>
    <w:rsid w:val="001A7E33"/>
    <w:rsid w:val="001B0D4D"/>
    <w:rsid w:val="001B15E1"/>
    <w:rsid w:val="001B237D"/>
    <w:rsid w:val="001B2BE1"/>
    <w:rsid w:val="001B2E14"/>
    <w:rsid w:val="001B3A49"/>
    <w:rsid w:val="001B492E"/>
    <w:rsid w:val="001B4B20"/>
    <w:rsid w:val="001B6083"/>
    <w:rsid w:val="001B6420"/>
    <w:rsid w:val="001B6707"/>
    <w:rsid w:val="001B674A"/>
    <w:rsid w:val="001B6A77"/>
    <w:rsid w:val="001B7C08"/>
    <w:rsid w:val="001C032C"/>
    <w:rsid w:val="001C1173"/>
    <w:rsid w:val="001C11EA"/>
    <w:rsid w:val="001C1293"/>
    <w:rsid w:val="001C1E0C"/>
    <w:rsid w:val="001C2B64"/>
    <w:rsid w:val="001C2F0B"/>
    <w:rsid w:val="001C32DC"/>
    <w:rsid w:val="001C3D90"/>
    <w:rsid w:val="001C5E39"/>
    <w:rsid w:val="001C637A"/>
    <w:rsid w:val="001C7716"/>
    <w:rsid w:val="001D0AB5"/>
    <w:rsid w:val="001D14DF"/>
    <w:rsid w:val="001D1FBA"/>
    <w:rsid w:val="001D3026"/>
    <w:rsid w:val="001D36C8"/>
    <w:rsid w:val="001D434F"/>
    <w:rsid w:val="001D5CB5"/>
    <w:rsid w:val="001D65BC"/>
    <w:rsid w:val="001D6825"/>
    <w:rsid w:val="001D7424"/>
    <w:rsid w:val="001E139C"/>
    <w:rsid w:val="001E1B0A"/>
    <w:rsid w:val="001E3A08"/>
    <w:rsid w:val="001E649B"/>
    <w:rsid w:val="001E791A"/>
    <w:rsid w:val="001F075F"/>
    <w:rsid w:val="001F1B75"/>
    <w:rsid w:val="001F49D9"/>
    <w:rsid w:val="001F4A83"/>
    <w:rsid w:val="001F607E"/>
    <w:rsid w:val="001F625B"/>
    <w:rsid w:val="001F67E6"/>
    <w:rsid w:val="001F6BED"/>
    <w:rsid w:val="001F6D11"/>
    <w:rsid w:val="001F6F67"/>
    <w:rsid w:val="001F73F3"/>
    <w:rsid w:val="00200BE5"/>
    <w:rsid w:val="002033C0"/>
    <w:rsid w:val="002037BB"/>
    <w:rsid w:val="002045B9"/>
    <w:rsid w:val="00205336"/>
    <w:rsid w:val="00205674"/>
    <w:rsid w:val="00205CCD"/>
    <w:rsid w:val="00206267"/>
    <w:rsid w:val="0020639A"/>
    <w:rsid w:val="00206652"/>
    <w:rsid w:val="00206BF0"/>
    <w:rsid w:val="00210C10"/>
    <w:rsid w:val="00210C96"/>
    <w:rsid w:val="00210CA8"/>
    <w:rsid w:val="002110D7"/>
    <w:rsid w:val="00211190"/>
    <w:rsid w:val="00213126"/>
    <w:rsid w:val="002132A4"/>
    <w:rsid w:val="00215A61"/>
    <w:rsid w:val="00216DD7"/>
    <w:rsid w:val="00216E2E"/>
    <w:rsid w:val="00220472"/>
    <w:rsid w:val="002204BF"/>
    <w:rsid w:val="00220FC9"/>
    <w:rsid w:val="00222161"/>
    <w:rsid w:val="002223B5"/>
    <w:rsid w:val="00222451"/>
    <w:rsid w:val="002224D7"/>
    <w:rsid w:val="0022335F"/>
    <w:rsid w:val="00224061"/>
    <w:rsid w:val="0022424E"/>
    <w:rsid w:val="00224905"/>
    <w:rsid w:val="00224AE9"/>
    <w:rsid w:val="00224E5C"/>
    <w:rsid w:val="002250D5"/>
    <w:rsid w:val="00225250"/>
    <w:rsid w:val="00226A3A"/>
    <w:rsid w:val="00227750"/>
    <w:rsid w:val="00227891"/>
    <w:rsid w:val="0023042E"/>
    <w:rsid w:val="002310E1"/>
    <w:rsid w:val="002318F9"/>
    <w:rsid w:val="00232F2F"/>
    <w:rsid w:val="00232FEE"/>
    <w:rsid w:val="0023324C"/>
    <w:rsid w:val="00233F2B"/>
    <w:rsid w:val="00234F76"/>
    <w:rsid w:val="0023539B"/>
    <w:rsid w:val="002356C7"/>
    <w:rsid w:val="00236583"/>
    <w:rsid w:val="00236825"/>
    <w:rsid w:val="00237609"/>
    <w:rsid w:val="00237DC4"/>
    <w:rsid w:val="00237F49"/>
    <w:rsid w:val="00240BE5"/>
    <w:rsid w:val="00240E43"/>
    <w:rsid w:val="0024258F"/>
    <w:rsid w:val="0024383D"/>
    <w:rsid w:val="00245A3C"/>
    <w:rsid w:val="00245A93"/>
    <w:rsid w:val="00246175"/>
    <w:rsid w:val="002466A7"/>
    <w:rsid w:val="00246FC0"/>
    <w:rsid w:val="00250404"/>
    <w:rsid w:val="002518BA"/>
    <w:rsid w:val="00252365"/>
    <w:rsid w:val="00252D4C"/>
    <w:rsid w:val="00253CEC"/>
    <w:rsid w:val="002547A7"/>
    <w:rsid w:val="00254DB7"/>
    <w:rsid w:val="0025544D"/>
    <w:rsid w:val="00255987"/>
    <w:rsid w:val="00255F67"/>
    <w:rsid w:val="00256CBC"/>
    <w:rsid w:val="00256CF5"/>
    <w:rsid w:val="0025718D"/>
    <w:rsid w:val="0026036B"/>
    <w:rsid w:val="002605E8"/>
    <w:rsid w:val="002626CB"/>
    <w:rsid w:val="00263692"/>
    <w:rsid w:val="0026712B"/>
    <w:rsid w:val="00267541"/>
    <w:rsid w:val="0027076C"/>
    <w:rsid w:val="00272416"/>
    <w:rsid w:val="0027243D"/>
    <w:rsid w:val="002725F4"/>
    <w:rsid w:val="00272E6F"/>
    <w:rsid w:val="0027378A"/>
    <w:rsid w:val="00273C15"/>
    <w:rsid w:val="00273DFE"/>
    <w:rsid w:val="002746A4"/>
    <w:rsid w:val="002753A7"/>
    <w:rsid w:val="00275AF6"/>
    <w:rsid w:val="00275E6A"/>
    <w:rsid w:val="002761CF"/>
    <w:rsid w:val="00276D70"/>
    <w:rsid w:val="0027776D"/>
    <w:rsid w:val="002777DA"/>
    <w:rsid w:val="00280444"/>
    <w:rsid w:val="002807C7"/>
    <w:rsid w:val="00280EA2"/>
    <w:rsid w:val="00281C80"/>
    <w:rsid w:val="00282268"/>
    <w:rsid w:val="00282762"/>
    <w:rsid w:val="00282E49"/>
    <w:rsid w:val="002834C5"/>
    <w:rsid w:val="00284B12"/>
    <w:rsid w:val="00285EBE"/>
    <w:rsid w:val="00286C26"/>
    <w:rsid w:val="00287370"/>
    <w:rsid w:val="00290363"/>
    <w:rsid w:val="002926AD"/>
    <w:rsid w:val="00292D30"/>
    <w:rsid w:val="00293D43"/>
    <w:rsid w:val="00295E2F"/>
    <w:rsid w:val="00296D1B"/>
    <w:rsid w:val="00297152"/>
    <w:rsid w:val="00297372"/>
    <w:rsid w:val="00297382"/>
    <w:rsid w:val="00297681"/>
    <w:rsid w:val="00297CC2"/>
    <w:rsid w:val="002A067D"/>
    <w:rsid w:val="002A0CD8"/>
    <w:rsid w:val="002A17E7"/>
    <w:rsid w:val="002A1CFB"/>
    <w:rsid w:val="002A20E7"/>
    <w:rsid w:val="002A259C"/>
    <w:rsid w:val="002A2B21"/>
    <w:rsid w:val="002A2BC7"/>
    <w:rsid w:val="002A30D4"/>
    <w:rsid w:val="002A3EB7"/>
    <w:rsid w:val="002A430E"/>
    <w:rsid w:val="002A5C5A"/>
    <w:rsid w:val="002A5DBA"/>
    <w:rsid w:val="002A6664"/>
    <w:rsid w:val="002A6C29"/>
    <w:rsid w:val="002A6CD8"/>
    <w:rsid w:val="002A730F"/>
    <w:rsid w:val="002A7DCB"/>
    <w:rsid w:val="002B07BD"/>
    <w:rsid w:val="002B0F14"/>
    <w:rsid w:val="002B158D"/>
    <w:rsid w:val="002B2456"/>
    <w:rsid w:val="002B304D"/>
    <w:rsid w:val="002B3582"/>
    <w:rsid w:val="002B419C"/>
    <w:rsid w:val="002B44F5"/>
    <w:rsid w:val="002B47DF"/>
    <w:rsid w:val="002B5384"/>
    <w:rsid w:val="002B5C2C"/>
    <w:rsid w:val="002B7410"/>
    <w:rsid w:val="002C02A7"/>
    <w:rsid w:val="002C11FC"/>
    <w:rsid w:val="002C1BD6"/>
    <w:rsid w:val="002C34EC"/>
    <w:rsid w:val="002C42F1"/>
    <w:rsid w:val="002C4E06"/>
    <w:rsid w:val="002C4E6A"/>
    <w:rsid w:val="002C512E"/>
    <w:rsid w:val="002D1395"/>
    <w:rsid w:val="002D19A3"/>
    <w:rsid w:val="002D1C84"/>
    <w:rsid w:val="002D1CEC"/>
    <w:rsid w:val="002D3353"/>
    <w:rsid w:val="002D40FC"/>
    <w:rsid w:val="002D4762"/>
    <w:rsid w:val="002D4915"/>
    <w:rsid w:val="002D4C62"/>
    <w:rsid w:val="002D50F1"/>
    <w:rsid w:val="002D5AF0"/>
    <w:rsid w:val="002D5B57"/>
    <w:rsid w:val="002D5B70"/>
    <w:rsid w:val="002D63A4"/>
    <w:rsid w:val="002D6B98"/>
    <w:rsid w:val="002E01A0"/>
    <w:rsid w:val="002E120C"/>
    <w:rsid w:val="002E2920"/>
    <w:rsid w:val="002E3642"/>
    <w:rsid w:val="002E42CD"/>
    <w:rsid w:val="002E44D1"/>
    <w:rsid w:val="002E46F9"/>
    <w:rsid w:val="002E5A4C"/>
    <w:rsid w:val="002E62CC"/>
    <w:rsid w:val="002E680B"/>
    <w:rsid w:val="002E6AAD"/>
    <w:rsid w:val="002E79A0"/>
    <w:rsid w:val="002E7AFA"/>
    <w:rsid w:val="002E7FC7"/>
    <w:rsid w:val="002F06AC"/>
    <w:rsid w:val="002F2938"/>
    <w:rsid w:val="002F500C"/>
    <w:rsid w:val="00300197"/>
    <w:rsid w:val="0030150B"/>
    <w:rsid w:val="003017D8"/>
    <w:rsid w:val="00301A26"/>
    <w:rsid w:val="003021D3"/>
    <w:rsid w:val="00302452"/>
    <w:rsid w:val="00302BED"/>
    <w:rsid w:val="00303CAB"/>
    <w:rsid w:val="00303D8E"/>
    <w:rsid w:val="00304200"/>
    <w:rsid w:val="00305D61"/>
    <w:rsid w:val="003061FA"/>
    <w:rsid w:val="00306AC4"/>
    <w:rsid w:val="00307267"/>
    <w:rsid w:val="00310982"/>
    <w:rsid w:val="00312B78"/>
    <w:rsid w:val="00313059"/>
    <w:rsid w:val="00314D16"/>
    <w:rsid w:val="003167FB"/>
    <w:rsid w:val="0031775B"/>
    <w:rsid w:val="00317A5D"/>
    <w:rsid w:val="003211A4"/>
    <w:rsid w:val="00321673"/>
    <w:rsid w:val="003219D0"/>
    <w:rsid w:val="00324004"/>
    <w:rsid w:val="00325114"/>
    <w:rsid w:val="00326742"/>
    <w:rsid w:val="003272E4"/>
    <w:rsid w:val="00327363"/>
    <w:rsid w:val="003274F2"/>
    <w:rsid w:val="00331DC4"/>
    <w:rsid w:val="00333EFE"/>
    <w:rsid w:val="00336546"/>
    <w:rsid w:val="003366C0"/>
    <w:rsid w:val="00337C17"/>
    <w:rsid w:val="00340A90"/>
    <w:rsid w:val="00340E1B"/>
    <w:rsid w:val="003420FA"/>
    <w:rsid w:val="00342D45"/>
    <w:rsid w:val="00342F0B"/>
    <w:rsid w:val="0034373A"/>
    <w:rsid w:val="00343945"/>
    <w:rsid w:val="003445CF"/>
    <w:rsid w:val="0034565E"/>
    <w:rsid w:val="00346066"/>
    <w:rsid w:val="00346517"/>
    <w:rsid w:val="00346A6C"/>
    <w:rsid w:val="00350E1F"/>
    <w:rsid w:val="00352C83"/>
    <w:rsid w:val="00353EF0"/>
    <w:rsid w:val="00354619"/>
    <w:rsid w:val="00354865"/>
    <w:rsid w:val="003548CB"/>
    <w:rsid w:val="0035570F"/>
    <w:rsid w:val="00355E11"/>
    <w:rsid w:val="00356D85"/>
    <w:rsid w:val="003575C8"/>
    <w:rsid w:val="00360591"/>
    <w:rsid w:val="00360631"/>
    <w:rsid w:val="00362164"/>
    <w:rsid w:val="00362DF8"/>
    <w:rsid w:val="00363698"/>
    <w:rsid w:val="0036388F"/>
    <w:rsid w:val="00363BE6"/>
    <w:rsid w:val="003660F2"/>
    <w:rsid w:val="00366B2F"/>
    <w:rsid w:val="0036784A"/>
    <w:rsid w:val="00370798"/>
    <w:rsid w:val="00370EAD"/>
    <w:rsid w:val="00371D3E"/>
    <w:rsid w:val="00372CB5"/>
    <w:rsid w:val="00372E5F"/>
    <w:rsid w:val="003738C0"/>
    <w:rsid w:val="00373E57"/>
    <w:rsid w:val="00373ED1"/>
    <w:rsid w:val="00374C9D"/>
    <w:rsid w:val="00375D1E"/>
    <w:rsid w:val="003763C1"/>
    <w:rsid w:val="00376E0E"/>
    <w:rsid w:val="00376F2A"/>
    <w:rsid w:val="003774B2"/>
    <w:rsid w:val="0037767C"/>
    <w:rsid w:val="003801F3"/>
    <w:rsid w:val="00380326"/>
    <w:rsid w:val="00380942"/>
    <w:rsid w:val="00380AA0"/>
    <w:rsid w:val="003810A0"/>
    <w:rsid w:val="00382C80"/>
    <w:rsid w:val="00383839"/>
    <w:rsid w:val="003839C1"/>
    <w:rsid w:val="00384952"/>
    <w:rsid w:val="003849F4"/>
    <w:rsid w:val="00387294"/>
    <w:rsid w:val="00390545"/>
    <w:rsid w:val="00390837"/>
    <w:rsid w:val="0039188E"/>
    <w:rsid w:val="0039543F"/>
    <w:rsid w:val="00395731"/>
    <w:rsid w:val="00395860"/>
    <w:rsid w:val="00395D8C"/>
    <w:rsid w:val="00396CB5"/>
    <w:rsid w:val="003974A1"/>
    <w:rsid w:val="003A0AF8"/>
    <w:rsid w:val="003A1932"/>
    <w:rsid w:val="003A22F5"/>
    <w:rsid w:val="003A4DAF"/>
    <w:rsid w:val="003A65EE"/>
    <w:rsid w:val="003A67EB"/>
    <w:rsid w:val="003A738B"/>
    <w:rsid w:val="003A758E"/>
    <w:rsid w:val="003A75E3"/>
    <w:rsid w:val="003B1559"/>
    <w:rsid w:val="003B28CC"/>
    <w:rsid w:val="003B2A1B"/>
    <w:rsid w:val="003B3147"/>
    <w:rsid w:val="003B3F3B"/>
    <w:rsid w:val="003B4169"/>
    <w:rsid w:val="003B50A5"/>
    <w:rsid w:val="003B5E3D"/>
    <w:rsid w:val="003B5F82"/>
    <w:rsid w:val="003B7217"/>
    <w:rsid w:val="003B731C"/>
    <w:rsid w:val="003B73F9"/>
    <w:rsid w:val="003B77D2"/>
    <w:rsid w:val="003B7B26"/>
    <w:rsid w:val="003C019E"/>
    <w:rsid w:val="003C083D"/>
    <w:rsid w:val="003C0CE8"/>
    <w:rsid w:val="003C1E57"/>
    <w:rsid w:val="003C3BB1"/>
    <w:rsid w:val="003C5DAE"/>
    <w:rsid w:val="003C6307"/>
    <w:rsid w:val="003C68F8"/>
    <w:rsid w:val="003C6CA3"/>
    <w:rsid w:val="003C7D08"/>
    <w:rsid w:val="003D05F4"/>
    <w:rsid w:val="003D1322"/>
    <w:rsid w:val="003D2368"/>
    <w:rsid w:val="003D30CC"/>
    <w:rsid w:val="003D3683"/>
    <w:rsid w:val="003D43EB"/>
    <w:rsid w:val="003D5AE8"/>
    <w:rsid w:val="003D5C62"/>
    <w:rsid w:val="003D5D24"/>
    <w:rsid w:val="003D766E"/>
    <w:rsid w:val="003D79E0"/>
    <w:rsid w:val="003E1567"/>
    <w:rsid w:val="003E1769"/>
    <w:rsid w:val="003E29B0"/>
    <w:rsid w:val="003E3194"/>
    <w:rsid w:val="003E6245"/>
    <w:rsid w:val="003E6563"/>
    <w:rsid w:val="003E66FB"/>
    <w:rsid w:val="003E688A"/>
    <w:rsid w:val="003E6D79"/>
    <w:rsid w:val="003E74C1"/>
    <w:rsid w:val="003E7528"/>
    <w:rsid w:val="003E7B97"/>
    <w:rsid w:val="003F1355"/>
    <w:rsid w:val="003F1C06"/>
    <w:rsid w:val="003F1D61"/>
    <w:rsid w:val="003F2A46"/>
    <w:rsid w:val="003F4284"/>
    <w:rsid w:val="003F4D38"/>
    <w:rsid w:val="003F566F"/>
    <w:rsid w:val="003F573A"/>
    <w:rsid w:val="003F6558"/>
    <w:rsid w:val="00401AD4"/>
    <w:rsid w:val="00402576"/>
    <w:rsid w:val="0040379A"/>
    <w:rsid w:val="004037CA"/>
    <w:rsid w:val="00405174"/>
    <w:rsid w:val="0040550A"/>
    <w:rsid w:val="00406979"/>
    <w:rsid w:val="00407431"/>
    <w:rsid w:val="00410A2C"/>
    <w:rsid w:val="004116C7"/>
    <w:rsid w:val="00411AA2"/>
    <w:rsid w:val="004127DB"/>
    <w:rsid w:val="004144CA"/>
    <w:rsid w:val="00414B13"/>
    <w:rsid w:val="00420128"/>
    <w:rsid w:val="004229A1"/>
    <w:rsid w:val="0042397F"/>
    <w:rsid w:val="00423F21"/>
    <w:rsid w:val="004240DB"/>
    <w:rsid w:val="0042410A"/>
    <w:rsid w:val="00424F26"/>
    <w:rsid w:val="0042502D"/>
    <w:rsid w:val="00425CB3"/>
    <w:rsid w:val="00426451"/>
    <w:rsid w:val="00426673"/>
    <w:rsid w:val="0042737B"/>
    <w:rsid w:val="00427C5B"/>
    <w:rsid w:val="0043071E"/>
    <w:rsid w:val="00433E07"/>
    <w:rsid w:val="004343C4"/>
    <w:rsid w:val="004351BD"/>
    <w:rsid w:val="004353FB"/>
    <w:rsid w:val="00437273"/>
    <w:rsid w:val="00437C81"/>
    <w:rsid w:val="00437E53"/>
    <w:rsid w:val="00440285"/>
    <w:rsid w:val="00440941"/>
    <w:rsid w:val="0044096C"/>
    <w:rsid w:val="00440D4B"/>
    <w:rsid w:val="00442B87"/>
    <w:rsid w:val="00443061"/>
    <w:rsid w:val="00443342"/>
    <w:rsid w:val="00445039"/>
    <w:rsid w:val="004452E8"/>
    <w:rsid w:val="00445A53"/>
    <w:rsid w:val="00447D8B"/>
    <w:rsid w:val="0045308B"/>
    <w:rsid w:val="004530A0"/>
    <w:rsid w:val="004552E2"/>
    <w:rsid w:val="00455D91"/>
    <w:rsid w:val="00456478"/>
    <w:rsid w:val="0045660F"/>
    <w:rsid w:val="004566A4"/>
    <w:rsid w:val="00457576"/>
    <w:rsid w:val="00457A7F"/>
    <w:rsid w:val="00460DB7"/>
    <w:rsid w:val="00461217"/>
    <w:rsid w:val="004621B0"/>
    <w:rsid w:val="004625FD"/>
    <w:rsid w:val="00462C77"/>
    <w:rsid w:val="00463953"/>
    <w:rsid w:val="00463B02"/>
    <w:rsid w:val="00463B4C"/>
    <w:rsid w:val="0046460E"/>
    <w:rsid w:val="00464A2D"/>
    <w:rsid w:val="00464EEB"/>
    <w:rsid w:val="00464F3C"/>
    <w:rsid w:val="00464F93"/>
    <w:rsid w:val="00465BFD"/>
    <w:rsid w:val="0046687A"/>
    <w:rsid w:val="00466EC0"/>
    <w:rsid w:val="00467409"/>
    <w:rsid w:val="004677F3"/>
    <w:rsid w:val="00470B42"/>
    <w:rsid w:val="00470B89"/>
    <w:rsid w:val="00470BE8"/>
    <w:rsid w:val="00471EE0"/>
    <w:rsid w:val="0047546F"/>
    <w:rsid w:val="00476522"/>
    <w:rsid w:val="00476A71"/>
    <w:rsid w:val="004804DF"/>
    <w:rsid w:val="004806C2"/>
    <w:rsid w:val="00481455"/>
    <w:rsid w:val="004815C5"/>
    <w:rsid w:val="00482815"/>
    <w:rsid w:val="004839EA"/>
    <w:rsid w:val="004845BB"/>
    <w:rsid w:val="00484A1E"/>
    <w:rsid w:val="004850CE"/>
    <w:rsid w:val="00485B05"/>
    <w:rsid w:val="00486231"/>
    <w:rsid w:val="00487C71"/>
    <w:rsid w:val="00490D43"/>
    <w:rsid w:val="004916EC"/>
    <w:rsid w:val="00491A0E"/>
    <w:rsid w:val="0049242C"/>
    <w:rsid w:val="00492C10"/>
    <w:rsid w:val="00492E04"/>
    <w:rsid w:val="00492EAC"/>
    <w:rsid w:val="004957A2"/>
    <w:rsid w:val="00496551"/>
    <w:rsid w:val="00496B1A"/>
    <w:rsid w:val="00496ED1"/>
    <w:rsid w:val="004A2C35"/>
    <w:rsid w:val="004A30DF"/>
    <w:rsid w:val="004A5895"/>
    <w:rsid w:val="004A65B8"/>
    <w:rsid w:val="004B0E80"/>
    <w:rsid w:val="004B1198"/>
    <w:rsid w:val="004B17C6"/>
    <w:rsid w:val="004B2EB0"/>
    <w:rsid w:val="004B374B"/>
    <w:rsid w:val="004B396D"/>
    <w:rsid w:val="004B425A"/>
    <w:rsid w:val="004B43F7"/>
    <w:rsid w:val="004B4B26"/>
    <w:rsid w:val="004B6DAB"/>
    <w:rsid w:val="004B7A5F"/>
    <w:rsid w:val="004B7AC7"/>
    <w:rsid w:val="004B7FD4"/>
    <w:rsid w:val="004C0184"/>
    <w:rsid w:val="004C01CE"/>
    <w:rsid w:val="004C0AF2"/>
    <w:rsid w:val="004C0CCE"/>
    <w:rsid w:val="004C1620"/>
    <w:rsid w:val="004C177E"/>
    <w:rsid w:val="004C34FD"/>
    <w:rsid w:val="004C3FF7"/>
    <w:rsid w:val="004C473C"/>
    <w:rsid w:val="004C4ADC"/>
    <w:rsid w:val="004C52A4"/>
    <w:rsid w:val="004C5406"/>
    <w:rsid w:val="004C7426"/>
    <w:rsid w:val="004D0BC0"/>
    <w:rsid w:val="004D0CE9"/>
    <w:rsid w:val="004D228E"/>
    <w:rsid w:val="004D27A7"/>
    <w:rsid w:val="004D3DAA"/>
    <w:rsid w:val="004D42CF"/>
    <w:rsid w:val="004D499B"/>
    <w:rsid w:val="004D54FC"/>
    <w:rsid w:val="004D5A0C"/>
    <w:rsid w:val="004D5EF6"/>
    <w:rsid w:val="004D5FEF"/>
    <w:rsid w:val="004D667B"/>
    <w:rsid w:val="004E032F"/>
    <w:rsid w:val="004E07BD"/>
    <w:rsid w:val="004E2DE1"/>
    <w:rsid w:val="004E2F32"/>
    <w:rsid w:val="004E339A"/>
    <w:rsid w:val="004E363F"/>
    <w:rsid w:val="004E453C"/>
    <w:rsid w:val="004E7315"/>
    <w:rsid w:val="004E77CD"/>
    <w:rsid w:val="004F08FC"/>
    <w:rsid w:val="004F0A22"/>
    <w:rsid w:val="004F0FE2"/>
    <w:rsid w:val="004F2584"/>
    <w:rsid w:val="004F3FF2"/>
    <w:rsid w:val="004F50B4"/>
    <w:rsid w:val="004F5409"/>
    <w:rsid w:val="004F5F0B"/>
    <w:rsid w:val="004F678F"/>
    <w:rsid w:val="004F68F9"/>
    <w:rsid w:val="004F71BF"/>
    <w:rsid w:val="004F799B"/>
    <w:rsid w:val="004F7B52"/>
    <w:rsid w:val="00500B35"/>
    <w:rsid w:val="00501B61"/>
    <w:rsid w:val="00503A46"/>
    <w:rsid w:val="00503A4D"/>
    <w:rsid w:val="00503ADB"/>
    <w:rsid w:val="00503BF3"/>
    <w:rsid w:val="00504125"/>
    <w:rsid w:val="00504755"/>
    <w:rsid w:val="00505616"/>
    <w:rsid w:val="00506217"/>
    <w:rsid w:val="005064B9"/>
    <w:rsid w:val="00506C1D"/>
    <w:rsid w:val="005075AF"/>
    <w:rsid w:val="005113B6"/>
    <w:rsid w:val="0051143C"/>
    <w:rsid w:val="0051282C"/>
    <w:rsid w:val="00513CEA"/>
    <w:rsid w:val="00514E15"/>
    <w:rsid w:val="005158F2"/>
    <w:rsid w:val="00516131"/>
    <w:rsid w:val="00516370"/>
    <w:rsid w:val="0051643E"/>
    <w:rsid w:val="00516750"/>
    <w:rsid w:val="005173A9"/>
    <w:rsid w:val="005202AF"/>
    <w:rsid w:val="005203CD"/>
    <w:rsid w:val="00521ABE"/>
    <w:rsid w:val="00524032"/>
    <w:rsid w:val="005243D1"/>
    <w:rsid w:val="00524E3B"/>
    <w:rsid w:val="005250C0"/>
    <w:rsid w:val="005256A1"/>
    <w:rsid w:val="00525D26"/>
    <w:rsid w:val="00525E71"/>
    <w:rsid w:val="00525EDC"/>
    <w:rsid w:val="005260FB"/>
    <w:rsid w:val="005267A0"/>
    <w:rsid w:val="0052685A"/>
    <w:rsid w:val="005269D0"/>
    <w:rsid w:val="00527D20"/>
    <w:rsid w:val="00531B35"/>
    <w:rsid w:val="00532829"/>
    <w:rsid w:val="00533AA1"/>
    <w:rsid w:val="00533F57"/>
    <w:rsid w:val="005347ED"/>
    <w:rsid w:val="0053495C"/>
    <w:rsid w:val="00534CB4"/>
    <w:rsid w:val="005353DE"/>
    <w:rsid w:val="005355FF"/>
    <w:rsid w:val="00535DBC"/>
    <w:rsid w:val="005374AB"/>
    <w:rsid w:val="00540F39"/>
    <w:rsid w:val="005411F6"/>
    <w:rsid w:val="00541DF3"/>
    <w:rsid w:val="0054218C"/>
    <w:rsid w:val="00543494"/>
    <w:rsid w:val="00544864"/>
    <w:rsid w:val="00545314"/>
    <w:rsid w:val="00546249"/>
    <w:rsid w:val="00546B46"/>
    <w:rsid w:val="005472D8"/>
    <w:rsid w:val="0054735B"/>
    <w:rsid w:val="00551446"/>
    <w:rsid w:val="00552D2C"/>
    <w:rsid w:val="005535C0"/>
    <w:rsid w:val="00553DA1"/>
    <w:rsid w:val="005548DD"/>
    <w:rsid w:val="00554C37"/>
    <w:rsid w:val="0055525B"/>
    <w:rsid w:val="0055563C"/>
    <w:rsid w:val="005575AE"/>
    <w:rsid w:val="0056030C"/>
    <w:rsid w:val="00560CC4"/>
    <w:rsid w:val="0056313E"/>
    <w:rsid w:val="0056345A"/>
    <w:rsid w:val="00564C65"/>
    <w:rsid w:val="00565260"/>
    <w:rsid w:val="005666F9"/>
    <w:rsid w:val="005670A5"/>
    <w:rsid w:val="0056743D"/>
    <w:rsid w:val="00571542"/>
    <w:rsid w:val="005721E5"/>
    <w:rsid w:val="00572334"/>
    <w:rsid w:val="00572C78"/>
    <w:rsid w:val="00573169"/>
    <w:rsid w:val="005736D1"/>
    <w:rsid w:val="005748B9"/>
    <w:rsid w:val="00574FB8"/>
    <w:rsid w:val="00575EFC"/>
    <w:rsid w:val="0057668B"/>
    <w:rsid w:val="0057757F"/>
    <w:rsid w:val="005806E2"/>
    <w:rsid w:val="005815AD"/>
    <w:rsid w:val="005816D5"/>
    <w:rsid w:val="00583C60"/>
    <w:rsid w:val="005858B6"/>
    <w:rsid w:val="00585C63"/>
    <w:rsid w:val="00586301"/>
    <w:rsid w:val="00586382"/>
    <w:rsid w:val="00586C18"/>
    <w:rsid w:val="00586D57"/>
    <w:rsid w:val="00587EE2"/>
    <w:rsid w:val="00587F0E"/>
    <w:rsid w:val="00590B25"/>
    <w:rsid w:val="00591595"/>
    <w:rsid w:val="00593927"/>
    <w:rsid w:val="00594CAB"/>
    <w:rsid w:val="005956C1"/>
    <w:rsid w:val="00595E9B"/>
    <w:rsid w:val="0059616C"/>
    <w:rsid w:val="005963B8"/>
    <w:rsid w:val="005965F6"/>
    <w:rsid w:val="00596BA4"/>
    <w:rsid w:val="0059721E"/>
    <w:rsid w:val="005A2181"/>
    <w:rsid w:val="005A2793"/>
    <w:rsid w:val="005A2D36"/>
    <w:rsid w:val="005A342C"/>
    <w:rsid w:val="005A377B"/>
    <w:rsid w:val="005A42E3"/>
    <w:rsid w:val="005A4F6C"/>
    <w:rsid w:val="005A67DC"/>
    <w:rsid w:val="005A78C3"/>
    <w:rsid w:val="005B1944"/>
    <w:rsid w:val="005B1B3C"/>
    <w:rsid w:val="005B2ACC"/>
    <w:rsid w:val="005B2C50"/>
    <w:rsid w:val="005B3021"/>
    <w:rsid w:val="005B325F"/>
    <w:rsid w:val="005B3692"/>
    <w:rsid w:val="005B4685"/>
    <w:rsid w:val="005B4717"/>
    <w:rsid w:val="005B4776"/>
    <w:rsid w:val="005B4CBF"/>
    <w:rsid w:val="005B5775"/>
    <w:rsid w:val="005B58D1"/>
    <w:rsid w:val="005B6B6E"/>
    <w:rsid w:val="005B6DC6"/>
    <w:rsid w:val="005B7024"/>
    <w:rsid w:val="005C1FA5"/>
    <w:rsid w:val="005C3046"/>
    <w:rsid w:val="005C30E3"/>
    <w:rsid w:val="005C3200"/>
    <w:rsid w:val="005C3E0A"/>
    <w:rsid w:val="005C5F5C"/>
    <w:rsid w:val="005C6DB1"/>
    <w:rsid w:val="005D0CCF"/>
    <w:rsid w:val="005D1AA0"/>
    <w:rsid w:val="005D1FC0"/>
    <w:rsid w:val="005D322F"/>
    <w:rsid w:val="005D4143"/>
    <w:rsid w:val="005D5031"/>
    <w:rsid w:val="005D5380"/>
    <w:rsid w:val="005D5541"/>
    <w:rsid w:val="005D5E61"/>
    <w:rsid w:val="005D631C"/>
    <w:rsid w:val="005D6412"/>
    <w:rsid w:val="005D65D1"/>
    <w:rsid w:val="005D7B31"/>
    <w:rsid w:val="005D7E57"/>
    <w:rsid w:val="005E065F"/>
    <w:rsid w:val="005E16BF"/>
    <w:rsid w:val="005E1748"/>
    <w:rsid w:val="005E1E25"/>
    <w:rsid w:val="005E23F0"/>
    <w:rsid w:val="005E34F6"/>
    <w:rsid w:val="005E4A96"/>
    <w:rsid w:val="005E4E02"/>
    <w:rsid w:val="005E6084"/>
    <w:rsid w:val="005E6DC1"/>
    <w:rsid w:val="005E7A27"/>
    <w:rsid w:val="005F0645"/>
    <w:rsid w:val="005F0D4F"/>
    <w:rsid w:val="005F0F5A"/>
    <w:rsid w:val="005F19B7"/>
    <w:rsid w:val="005F2209"/>
    <w:rsid w:val="005F30BE"/>
    <w:rsid w:val="005F616D"/>
    <w:rsid w:val="005F680D"/>
    <w:rsid w:val="005F697D"/>
    <w:rsid w:val="005F6FC7"/>
    <w:rsid w:val="006004EE"/>
    <w:rsid w:val="00601D01"/>
    <w:rsid w:val="006021B2"/>
    <w:rsid w:val="00602A54"/>
    <w:rsid w:val="00603939"/>
    <w:rsid w:val="00603C0D"/>
    <w:rsid w:val="00603DDA"/>
    <w:rsid w:val="0060673B"/>
    <w:rsid w:val="00607DA3"/>
    <w:rsid w:val="00610BEB"/>
    <w:rsid w:val="00611459"/>
    <w:rsid w:val="006117C8"/>
    <w:rsid w:val="00611E32"/>
    <w:rsid w:val="00611F34"/>
    <w:rsid w:val="006128A6"/>
    <w:rsid w:val="00612D55"/>
    <w:rsid w:val="006131CA"/>
    <w:rsid w:val="00613511"/>
    <w:rsid w:val="00613EEC"/>
    <w:rsid w:val="006142A2"/>
    <w:rsid w:val="006142CA"/>
    <w:rsid w:val="00615DD4"/>
    <w:rsid w:val="006161D4"/>
    <w:rsid w:val="006201FD"/>
    <w:rsid w:val="006202EF"/>
    <w:rsid w:val="006217CF"/>
    <w:rsid w:val="00621E53"/>
    <w:rsid w:val="00622211"/>
    <w:rsid w:val="0062279B"/>
    <w:rsid w:val="00623845"/>
    <w:rsid w:val="00623C85"/>
    <w:rsid w:val="00624BEB"/>
    <w:rsid w:val="00624D9A"/>
    <w:rsid w:val="00625900"/>
    <w:rsid w:val="00625F88"/>
    <w:rsid w:val="00626194"/>
    <w:rsid w:val="006271E5"/>
    <w:rsid w:val="00630A4C"/>
    <w:rsid w:val="00631776"/>
    <w:rsid w:val="00634178"/>
    <w:rsid w:val="00634B4C"/>
    <w:rsid w:val="0063560C"/>
    <w:rsid w:val="00635816"/>
    <w:rsid w:val="00635A0F"/>
    <w:rsid w:val="006371CC"/>
    <w:rsid w:val="00637609"/>
    <w:rsid w:val="006418AA"/>
    <w:rsid w:val="00641FEA"/>
    <w:rsid w:val="006456BD"/>
    <w:rsid w:val="00651FCC"/>
    <w:rsid w:val="00653972"/>
    <w:rsid w:val="00656837"/>
    <w:rsid w:val="006569D3"/>
    <w:rsid w:val="00656EA1"/>
    <w:rsid w:val="00657E5A"/>
    <w:rsid w:val="00660C5C"/>
    <w:rsid w:val="00661118"/>
    <w:rsid w:val="00661164"/>
    <w:rsid w:val="00662042"/>
    <w:rsid w:val="006627F4"/>
    <w:rsid w:val="00662CA0"/>
    <w:rsid w:val="00663073"/>
    <w:rsid w:val="00664432"/>
    <w:rsid w:val="00664DDD"/>
    <w:rsid w:val="00666373"/>
    <w:rsid w:val="006669B9"/>
    <w:rsid w:val="00670786"/>
    <w:rsid w:val="0067174D"/>
    <w:rsid w:val="00673C06"/>
    <w:rsid w:val="00674195"/>
    <w:rsid w:val="0067439F"/>
    <w:rsid w:val="00674E09"/>
    <w:rsid w:val="00675A53"/>
    <w:rsid w:val="00675AFE"/>
    <w:rsid w:val="00677B9F"/>
    <w:rsid w:val="00677CCA"/>
    <w:rsid w:val="00680624"/>
    <w:rsid w:val="006806F7"/>
    <w:rsid w:val="00680840"/>
    <w:rsid w:val="00680B61"/>
    <w:rsid w:val="006812CE"/>
    <w:rsid w:val="006816A2"/>
    <w:rsid w:val="00682440"/>
    <w:rsid w:val="00682942"/>
    <w:rsid w:val="00682FBC"/>
    <w:rsid w:val="006847C0"/>
    <w:rsid w:val="006874A9"/>
    <w:rsid w:val="006901F1"/>
    <w:rsid w:val="00690F71"/>
    <w:rsid w:val="00691798"/>
    <w:rsid w:val="00691E59"/>
    <w:rsid w:val="00692510"/>
    <w:rsid w:val="00692F1A"/>
    <w:rsid w:val="00693617"/>
    <w:rsid w:val="00694566"/>
    <w:rsid w:val="006957C1"/>
    <w:rsid w:val="00695B08"/>
    <w:rsid w:val="00695E05"/>
    <w:rsid w:val="006A0076"/>
    <w:rsid w:val="006A0A73"/>
    <w:rsid w:val="006A38CF"/>
    <w:rsid w:val="006A39EA"/>
    <w:rsid w:val="006A4324"/>
    <w:rsid w:val="006A4696"/>
    <w:rsid w:val="006A46AD"/>
    <w:rsid w:val="006A479E"/>
    <w:rsid w:val="006A4B76"/>
    <w:rsid w:val="006A56CC"/>
    <w:rsid w:val="006A6A6D"/>
    <w:rsid w:val="006A6E21"/>
    <w:rsid w:val="006A7BAE"/>
    <w:rsid w:val="006A7EE2"/>
    <w:rsid w:val="006B2AB7"/>
    <w:rsid w:val="006B3230"/>
    <w:rsid w:val="006B36E5"/>
    <w:rsid w:val="006B3FA9"/>
    <w:rsid w:val="006B456A"/>
    <w:rsid w:val="006B498E"/>
    <w:rsid w:val="006B4EA5"/>
    <w:rsid w:val="006B501D"/>
    <w:rsid w:val="006B54A6"/>
    <w:rsid w:val="006C12C2"/>
    <w:rsid w:val="006C2E48"/>
    <w:rsid w:val="006C7334"/>
    <w:rsid w:val="006D04EA"/>
    <w:rsid w:val="006D153D"/>
    <w:rsid w:val="006D1CC8"/>
    <w:rsid w:val="006D4316"/>
    <w:rsid w:val="006D4830"/>
    <w:rsid w:val="006D5009"/>
    <w:rsid w:val="006D5671"/>
    <w:rsid w:val="006D5D0B"/>
    <w:rsid w:val="006D6893"/>
    <w:rsid w:val="006D6EEB"/>
    <w:rsid w:val="006D6F9C"/>
    <w:rsid w:val="006D7472"/>
    <w:rsid w:val="006D7F59"/>
    <w:rsid w:val="006E070B"/>
    <w:rsid w:val="006E28B7"/>
    <w:rsid w:val="006E2A3C"/>
    <w:rsid w:val="006E3053"/>
    <w:rsid w:val="006E32D6"/>
    <w:rsid w:val="006E35F0"/>
    <w:rsid w:val="006E4326"/>
    <w:rsid w:val="006E46E3"/>
    <w:rsid w:val="006E49F8"/>
    <w:rsid w:val="006E63A5"/>
    <w:rsid w:val="006E6BD0"/>
    <w:rsid w:val="006F0E87"/>
    <w:rsid w:val="006F2DF8"/>
    <w:rsid w:val="006F2ED3"/>
    <w:rsid w:val="006F464E"/>
    <w:rsid w:val="006F478D"/>
    <w:rsid w:val="006F5EE1"/>
    <w:rsid w:val="006F68D4"/>
    <w:rsid w:val="006F7F7B"/>
    <w:rsid w:val="00700506"/>
    <w:rsid w:val="0070120D"/>
    <w:rsid w:val="00701BD7"/>
    <w:rsid w:val="007030D0"/>
    <w:rsid w:val="00704301"/>
    <w:rsid w:val="00705EB1"/>
    <w:rsid w:val="00706CCF"/>
    <w:rsid w:val="00706D2F"/>
    <w:rsid w:val="00707BB4"/>
    <w:rsid w:val="00707E29"/>
    <w:rsid w:val="00707EF8"/>
    <w:rsid w:val="00707F84"/>
    <w:rsid w:val="00710611"/>
    <w:rsid w:val="00710741"/>
    <w:rsid w:val="007107AF"/>
    <w:rsid w:val="00710C9C"/>
    <w:rsid w:val="00711F2B"/>
    <w:rsid w:val="007127B2"/>
    <w:rsid w:val="00712F6A"/>
    <w:rsid w:val="007145EF"/>
    <w:rsid w:val="0071515F"/>
    <w:rsid w:val="00715F90"/>
    <w:rsid w:val="007165F1"/>
    <w:rsid w:val="00716E78"/>
    <w:rsid w:val="007177AF"/>
    <w:rsid w:val="00721070"/>
    <w:rsid w:val="00721F82"/>
    <w:rsid w:val="00722788"/>
    <w:rsid w:val="00722B75"/>
    <w:rsid w:val="00722D90"/>
    <w:rsid w:val="00723EB8"/>
    <w:rsid w:val="0072530B"/>
    <w:rsid w:val="007257DA"/>
    <w:rsid w:val="0072607D"/>
    <w:rsid w:val="00727345"/>
    <w:rsid w:val="00727526"/>
    <w:rsid w:val="00727FAC"/>
    <w:rsid w:val="007319A4"/>
    <w:rsid w:val="00732FCF"/>
    <w:rsid w:val="007338AE"/>
    <w:rsid w:val="00733F77"/>
    <w:rsid w:val="00735241"/>
    <w:rsid w:val="0073597E"/>
    <w:rsid w:val="00735D57"/>
    <w:rsid w:val="00736513"/>
    <w:rsid w:val="0073693E"/>
    <w:rsid w:val="00736F59"/>
    <w:rsid w:val="00740989"/>
    <w:rsid w:val="0074248B"/>
    <w:rsid w:val="007431A2"/>
    <w:rsid w:val="0074322B"/>
    <w:rsid w:val="00744F4C"/>
    <w:rsid w:val="007450C7"/>
    <w:rsid w:val="0074539F"/>
    <w:rsid w:val="007462A1"/>
    <w:rsid w:val="00746FFA"/>
    <w:rsid w:val="00747039"/>
    <w:rsid w:val="007505E1"/>
    <w:rsid w:val="00750C2D"/>
    <w:rsid w:val="0075114B"/>
    <w:rsid w:val="007562C8"/>
    <w:rsid w:val="00756DA5"/>
    <w:rsid w:val="00756E98"/>
    <w:rsid w:val="00757457"/>
    <w:rsid w:val="00757BCB"/>
    <w:rsid w:val="00757E66"/>
    <w:rsid w:val="007601F3"/>
    <w:rsid w:val="00760C99"/>
    <w:rsid w:val="007618F1"/>
    <w:rsid w:val="00761D19"/>
    <w:rsid w:val="00763CA5"/>
    <w:rsid w:val="00764706"/>
    <w:rsid w:val="00764C60"/>
    <w:rsid w:val="00764E89"/>
    <w:rsid w:val="007666CD"/>
    <w:rsid w:val="00766BFF"/>
    <w:rsid w:val="007709D6"/>
    <w:rsid w:val="0077178D"/>
    <w:rsid w:val="00771CAA"/>
    <w:rsid w:val="00772517"/>
    <w:rsid w:val="0077300F"/>
    <w:rsid w:val="00773089"/>
    <w:rsid w:val="0077350F"/>
    <w:rsid w:val="007744BA"/>
    <w:rsid w:val="00774B48"/>
    <w:rsid w:val="0077506C"/>
    <w:rsid w:val="00776BF9"/>
    <w:rsid w:val="007770CA"/>
    <w:rsid w:val="007770DC"/>
    <w:rsid w:val="0077763E"/>
    <w:rsid w:val="00777B84"/>
    <w:rsid w:val="007806B9"/>
    <w:rsid w:val="00781751"/>
    <w:rsid w:val="00781C08"/>
    <w:rsid w:val="00782509"/>
    <w:rsid w:val="007829F2"/>
    <w:rsid w:val="00783EA6"/>
    <w:rsid w:val="00784184"/>
    <w:rsid w:val="00784B3D"/>
    <w:rsid w:val="00785A0B"/>
    <w:rsid w:val="00785B7B"/>
    <w:rsid w:val="00786020"/>
    <w:rsid w:val="0078630F"/>
    <w:rsid w:val="007863C7"/>
    <w:rsid w:val="00787ACD"/>
    <w:rsid w:val="007902F8"/>
    <w:rsid w:val="00790A2D"/>
    <w:rsid w:val="00791163"/>
    <w:rsid w:val="00791291"/>
    <w:rsid w:val="0079287D"/>
    <w:rsid w:val="00792B41"/>
    <w:rsid w:val="00792D89"/>
    <w:rsid w:val="00793246"/>
    <w:rsid w:val="00793A71"/>
    <w:rsid w:val="00794B63"/>
    <w:rsid w:val="00795AB9"/>
    <w:rsid w:val="00796867"/>
    <w:rsid w:val="00796BE5"/>
    <w:rsid w:val="007A0F6A"/>
    <w:rsid w:val="007A11B8"/>
    <w:rsid w:val="007A281A"/>
    <w:rsid w:val="007A31F9"/>
    <w:rsid w:val="007A3C87"/>
    <w:rsid w:val="007A5460"/>
    <w:rsid w:val="007A6E21"/>
    <w:rsid w:val="007A712D"/>
    <w:rsid w:val="007A7442"/>
    <w:rsid w:val="007A7E7D"/>
    <w:rsid w:val="007B0985"/>
    <w:rsid w:val="007B0BE2"/>
    <w:rsid w:val="007B1912"/>
    <w:rsid w:val="007B28CC"/>
    <w:rsid w:val="007B37EB"/>
    <w:rsid w:val="007B3977"/>
    <w:rsid w:val="007B4279"/>
    <w:rsid w:val="007B5349"/>
    <w:rsid w:val="007B56D2"/>
    <w:rsid w:val="007B7BDC"/>
    <w:rsid w:val="007C01FD"/>
    <w:rsid w:val="007C1A23"/>
    <w:rsid w:val="007C2091"/>
    <w:rsid w:val="007C2A78"/>
    <w:rsid w:val="007C3033"/>
    <w:rsid w:val="007C3798"/>
    <w:rsid w:val="007C3A82"/>
    <w:rsid w:val="007C3E1A"/>
    <w:rsid w:val="007C40FC"/>
    <w:rsid w:val="007C5979"/>
    <w:rsid w:val="007C5EF1"/>
    <w:rsid w:val="007C5FD3"/>
    <w:rsid w:val="007C619A"/>
    <w:rsid w:val="007C6490"/>
    <w:rsid w:val="007D145A"/>
    <w:rsid w:val="007D1ED6"/>
    <w:rsid w:val="007D2A05"/>
    <w:rsid w:val="007D2DC8"/>
    <w:rsid w:val="007D2F3D"/>
    <w:rsid w:val="007D3FBD"/>
    <w:rsid w:val="007D4492"/>
    <w:rsid w:val="007D480C"/>
    <w:rsid w:val="007D4D8D"/>
    <w:rsid w:val="007D5035"/>
    <w:rsid w:val="007D59B2"/>
    <w:rsid w:val="007D6193"/>
    <w:rsid w:val="007D65CB"/>
    <w:rsid w:val="007D6DB9"/>
    <w:rsid w:val="007D77C2"/>
    <w:rsid w:val="007D77E0"/>
    <w:rsid w:val="007E37F1"/>
    <w:rsid w:val="007E4326"/>
    <w:rsid w:val="007E4634"/>
    <w:rsid w:val="007E6DEE"/>
    <w:rsid w:val="007F1EE3"/>
    <w:rsid w:val="007F2B83"/>
    <w:rsid w:val="007F2F0D"/>
    <w:rsid w:val="007F4C01"/>
    <w:rsid w:val="008009C1"/>
    <w:rsid w:val="00801048"/>
    <w:rsid w:val="00802191"/>
    <w:rsid w:val="00803E7A"/>
    <w:rsid w:val="008043F2"/>
    <w:rsid w:val="00805691"/>
    <w:rsid w:val="008075A4"/>
    <w:rsid w:val="00810389"/>
    <w:rsid w:val="0081121B"/>
    <w:rsid w:val="008128D6"/>
    <w:rsid w:val="00814F77"/>
    <w:rsid w:val="00816058"/>
    <w:rsid w:val="0082071E"/>
    <w:rsid w:val="00820BF9"/>
    <w:rsid w:val="0082111E"/>
    <w:rsid w:val="00822651"/>
    <w:rsid w:val="00823381"/>
    <w:rsid w:val="008234C4"/>
    <w:rsid w:val="0082533D"/>
    <w:rsid w:val="00826BE3"/>
    <w:rsid w:val="00827225"/>
    <w:rsid w:val="00830237"/>
    <w:rsid w:val="008305CA"/>
    <w:rsid w:val="00830F62"/>
    <w:rsid w:val="0083176F"/>
    <w:rsid w:val="00831D9D"/>
    <w:rsid w:val="0083253D"/>
    <w:rsid w:val="00833919"/>
    <w:rsid w:val="00833C42"/>
    <w:rsid w:val="008349D8"/>
    <w:rsid w:val="0083544E"/>
    <w:rsid w:val="00837CBA"/>
    <w:rsid w:val="00837E5A"/>
    <w:rsid w:val="00840CB8"/>
    <w:rsid w:val="00840D2A"/>
    <w:rsid w:val="00840F8C"/>
    <w:rsid w:val="00841151"/>
    <w:rsid w:val="00841162"/>
    <w:rsid w:val="00841293"/>
    <w:rsid w:val="008433F9"/>
    <w:rsid w:val="00843A71"/>
    <w:rsid w:val="00843ACF"/>
    <w:rsid w:val="00843FB2"/>
    <w:rsid w:val="008444B6"/>
    <w:rsid w:val="0084454C"/>
    <w:rsid w:val="00845F8C"/>
    <w:rsid w:val="0084681A"/>
    <w:rsid w:val="00846B49"/>
    <w:rsid w:val="00847299"/>
    <w:rsid w:val="00847774"/>
    <w:rsid w:val="00847F8C"/>
    <w:rsid w:val="00851447"/>
    <w:rsid w:val="00852D67"/>
    <w:rsid w:val="0085586C"/>
    <w:rsid w:val="00855AF2"/>
    <w:rsid w:val="00857D3A"/>
    <w:rsid w:val="008604D0"/>
    <w:rsid w:val="008605D9"/>
    <w:rsid w:val="00861233"/>
    <w:rsid w:val="0086189E"/>
    <w:rsid w:val="00862798"/>
    <w:rsid w:val="0086399D"/>
    <w:rsid w:val="0086522B"/>
    <w:rsid w:val="00867B76"/>
    <w:rsid w:val="00870220"/>
    <w:rsid w:val="008707A2"/>
    <w:rsid w:val="00871700"/>
    <w:rsid w:val="008717A4"/>
    <w:rsid w:val="008738BE"/>
    <w:rsid w:val="00873D3F"/>
    <w:rsid w:val="00875F9B"/>
    <w:rsid w:val="00876D85"/>
    <w:rsid w:val="008774C9"/>
    <w:rsid w:val="00877A52"/>
    <w:rsid w:val="00877E5A"/>
    <w:rsid w:val="00880034"/>
    <w:rsid w:val="0088004D"/>
    <w:rsid w:val="0088008E"/>
    <w:rsid w:val="00880253"/>
    <w:rsid w:val="00881BCC"/>
    <w:rsid w:val="008831AD"/>
    <w:rsid w:val="008837F1"/>
    <w:rsid w:val="008838ED"/>
    <w:rsid w:val="008838F5"/>
    <w:rsid w:val="0088572D"/>
    <w:rsid w:val="00885EF4"/>
    <w:rsid w:val="00886853"/>
    <w:rsid w:val="008903E7"/>
    <w:rsid w:val="00890B5E"/>
    <w:rsid w:val="00891481"/>
    <w:rsid w:val="0089201B"/>
    <w:rsid w:val="00895239"/>
    <w:rsid w:val="00895348"/>
    <w:rsid w:val="0089637D"/>
    <w:rsid w:val="00897547"/>
    <w:rsid w:val="00897551"/>
    <w:rsid w:val="008A1DA8"/>
    <w:rsid w:val="008A45F2"/>
    <w:rsid w:val="008A59AB"/>
    <w:rsid w:val="008A6552"/>
    <w:rsid w:val="008A7826"/>
    <w:rsid w:val="008A7973"/>
    <w:rsid w:val="008A7CFB"/>
    <w:rsid w:val="008B02AE"/>
    <w:rsid w:val="008B0D32"/>
    <w:rsid w:val="008B163B"/>
    <w:rsid w:val="008B2151"/>
    <w:rsid w:val="008B2634"/>
    <w:rsid w:val="008B277F"/>
    <w:rsid w:val="008B2F7D"/>
    <w:rsid w:val="008B4413"/>
    <w:rsid w:val="008B5C49"/>
    <w:rsid w:val="008B6040"/>
    <w:rsid w:val="008B6130"/>
    <w:rsid w:val="008B713A"/>
    <w:rsid w:val="008B748D"/>
    <w:rsid w:val="008B7E84"/>
    <w:rsid w:val="008C07C8"/>
    <w:rsid w:val="008C1956"/>
    <w:rsid w:val="008C1A51"/>
    <w:rsid w:val="008C1D76"/>
    <w:rsid w:val="008C22A0"/>
    <w:rsid w:val="008C4228"/>
    <w:rsid w:val="008C4907"/>
    <w:rsid w:val="008C4DAB"/>
    <w:rsid w:val="008C626E"/>
    <w:rsid w:val="008C66E4"/>
    <w:rsid w:val="008C6C0B"/>
    <w:rsid w:val="008C7C12"/>
    <w:rsid w:val="008C7ED8"/>
    <w:rsid w:val="008C7F1C"/>
    <w:rsid w:val="008D0484"/>
    <w:rsid w:val="008D1647"/>
    <w:rsid w:val="008D3A62"/>
    <w:rsid w:val="008D3B82"/>
    <w:rsid w:val="008D48FB"/>
    <w:rsid w:val="008D6801"/>
    <w:rsid w:val="008D7DE9"/>
    <w:rsid w:val="008E0B7F"/>
    <w:rsid w:val="008E392A"/>
    <w:rsid w:val="008E4F41"/>
    <w:rsid w:val="008E68D9"/>
    <w:rsid w:val="008E7308"/>
    <w:rsid w:val="008E7ACE"/>
    <w:rsid w:val="008F0BE0"/>
    <w:rsid w:val="008F17A4"/>
    <w:rsid w:val="008F28AC"/>
    <w:rsid w:val="008F2E90"/>
    <w:rsid w:val="008F32B8"/>
    <w:rsid w:val="008F385B"/>
    <w:rsid w:val="008F43B2"/>
    <w:rsid w:val="008F49D3"/>
    <w:rsid w:val="008F4B21"/>
    <w:rsid w:val="008F5F65"/>
    <w:rsid w:val="008F6A14"/>
    <w:rsid w:val="00900123"/>
    <w:rsid w:val="009002C2"/>
    <w:rsid w:val="00901811"/>
    <w:rsid w:val="0090214C"/>
    <w:rsid w:val="00902A59"/>
    <w:rsid w:val="00903A02"/>
    <w:rsid w:val="00904359"/>
    <w:rsid w:val="009046F9"/>
    <w:rsid w:val="00905B57"/>
    <w:rsid w:val="00906F59"/>
    <w:rsid w:val="009105C9"/>
    <w:rsid w:val="00911722"/>
    <w:rsid w:val="0091204B"/>
    <w:rsid w:val="00913943"/>
    <w:rsid w:val="00913A1C"/>
    <w:rsid w:val="009149CF"/>
    <w:rsid w:val="009160F4"/>
    <w:rsid w:val="00917B0D"/>
    <w:rsid w:val="0092086E"/>
    <w:rsid w:val="00921AED"/>
    <w:rsid w:val="00923454"/>
    <w:rsid w:val="00924C22"/>
    <w:rsid w:val="009250AC"/>
    <w:rsid w:val="00925609"/>
    <w:rsid w:val="00925BB7"/>
    <w:rsid w:val="00926239"/>
    <w:rsid w:val="009268F1"/>
    <w:rsid w:val="00926A97"/>
    <w:rsid w:val="00926E9E"/>
    <w:rsid w:val="0093016A"/>
    <w:rsid w:val="00930DC6"/>
    <w:rsid w:val="00931DF2"/>
    <w:rsid w:val="00932918"/>
    <w:rsid w:val="009331DA"/>
    <w:rsid w:val="00933649"/>
    <w:rsid w:val="00933EBB"/>
    <w:rsid w:val="009344F6"/>
    <w:rsid w:val="009350B4"/>
    <w:rsid w:val="00935A4D"/>
    <w:rsid w:val="0093665B"/>
    <w:rsid w:val="00940245"/>
    <w:rsid w:val="009421C1"/>
    <w:rsid w:val="0094263F"/>
    <w:rsid w:val="00943EDB"/>
    <w:rsid w:val="00943FB5"/>
    <w:rsid w:val="00944ADC"/>
    <w:rsid w:val="00944DB9"/>
    <w:rsid w:val="009455CD"/>
    <w:rsid w:val="00945722"/>
    <w:rsid w:val="0094574C"/>
    <w:rsid w:val="00950415"/>
    <w:rsid w:val="00950D58"/>
    <w:rsid w:val="00950EEE"/>
    <w:rsid w:val="009512CE"/>
    <w:rsid w:val="009519C5"/>
    <w:rsid w:val="00952506"/>
    <w:rsid w:val="00952AF9"/>
    <w:rsid w:val="009535B6"/>
    <w:rsid w:val="0095367F"/>
    <w:rsid w:val="00953B92"/>
    <w:rsid w:val="0095443C"/>
    <w:rsid w:val="00954EEE"/>
    <w:rsid w:val="00955C9D"/>
    <w:rsid w:val="00955CB2"/>
    <w:rsid w:val="009561DF"/>
    <w:rsid w:val="00960159"/>
    <w:rsid w:val="00960F60"/>
    <w:rsid w:val="00961977"/>
    <w:rsid w:val="009664EA"/>
    <w:rsid w:val="00966CC7"/>
    <w:rsid w:val="00967DD1"/>
    <w:rsid w:val="00971CF9"/>
    <w:rsid w:val="0097301A"/>
    <w:rsid w:val="0097360F"/>
    <w:rsid w:val="009747D2"/>
    <w:rsid w:val="00975115"/>
    <w:rsid w:val="00976896"/>
    <w:rsid w:val="009769C0"/>
    <w:rsid w:val="00980CF0"/>
    <w:rsid w:val="00981638"/>
    <w:rsid w:val="0098184B"/>
    <w:rsid w:val="0098205D"/>
    <w:rsid w:val="00982146"/>
    <w:rsid w:val="00982468"/>
    <w:rsid w:val="00982C93"/>
    <w:rsid w:val="00982DAB"/>
    <w:rsid w:val="00983E8D"/>
    <w:rsid w:val="0098540A"/>
    <w:rsid w:val="009864EA"/>
    <w:rsid w:val="0098689D"/>
    <w:rsid w:val="00987708"/>
    <w:rsid w:val="009909F5"/>
    <w:rsid w:val="00991DC3"/>
    <w:rsid w:val="00992950"/>
    <w:rsid w:val="00992ED1"/>
    <w:rsid w:val="009936AA"/>
    <w:rsid w:val="00993BB0"/>
    <w:rsid w:val="009941AD"/>
    <w:rsid w:val="00994335"/>
    <w:rsid w:val="00994360"/>
    <w:rsid w:val="00995BE6"/>
    <w:rsid w:val="00996009"/>
    <w:rsid w:val="00996588"/>
    <w:rsid w:val="00996CE5"/>
    <w:rsid w:val="009974B4"/>
    <w:rsid w:val="009975B5"/>
    <w:rsid w:val="009A046E"/>
    <w:rsid w:val="009A1128"/>
    <w:rsid w:val="009A2FED"/>
    <w:rsid w:val="009A3005"/>
    <w:rsid w:val="009A3035"/>
    <w:rsid w:val="009A3992"/>
    <w:rsid w:val="009A39E2"/>
    <w:rsid w:val="009A3AE9"/>
    <w:rsid w:val="009A55BD"/>
    <w:rsid w:val="009A6FE4"/>
    <w:rsid w:val="009A7425"/>
    <w:rsid w:val="009A7BC0"/>
    <w:rsid w:val="009B13A6"/>
    <w:rsid w:val="009B1A30"/>
    <w:rsid w:val="009B2197"/>
    <w:rsid w:val="009B3B56"/>
    <w:rsid w:val="009B4531"/>
    <w:rsid w:val="009B4CCD"/>
    <w:rsid w:val="009B57DA"/>
    <w:rsid w:val="009B6229"/>
    <w:rsid w:val="009B6D6B"/>
    <w:rsid w:val="009B7217"/>
    <w:rsid w:val="009C0AA9"/>
    <w:rsid w:val="009C0E5C"/>
    <w:rsid w:val="009C1913"/>
    <w:rsid w:val="009C3E92"/>
    <w:rsid w:val="009C40A4"/>
    <w:rsid w:val="009C42C2"/>
    <w:rsid w:val="009C534A"/>
    <w:rsid w:val="009C5EB7"/>
    <w:rsid w:val="009C6128"/>
    <w:rsid w:val="009C72B4"/>
    <w:rsid w:val="009C7367"/>
    <w:rsid w:val="009C7CAA"/>
    <w:rsid w:val="009D28F7"/>
    <w:rsid w:val="009D2BD1"/>
    <w:rsid w:val="009D42EF"/>
    <w:rsid w:val="009D4AC9"/>
    <w:rsid w:val="009D5DF3"/>
    <w:rsid w:val="009D5F1C"/>
    <w:rsid w:val="009D6E09"/>
    <w:rsid w:val="009D718E"/>
    <w:rsid w:val="009D71FF"/>
    <w:rsid w:val="009D7D57"/>
    <w:rsid w:val="009D7FEC"/>
    <w:rsid w:val="009E069C"/>
    <w:rsid w:val="009E0E05"/>
    <w:rsid w:val="009E1257"/>
    <w:rsid w:val="009E1723"/>
    <w:rsid w:val="009E2CC1"/>
    <w:rsid w:val="009E49A2"/>
    <w:rsid w:val="009E4A42"/>
    <w:rsid w:val="009E5381"/>
    <w:rsid w:val="009E5AF7"/>
    <w:rsid w:val="009E5D1B"/>
    <w:rsid w:val="009F065D"/>
    <w:rsid w:val="009F16A8"/>
    <w:rsid w:val="009F253B"/>
    <w:rsid w:val="009F4299"/>
    <w:rsid w:val="009F601B"/>
    <w:rsid w:val="009F66B5"/>
    <w:rsid w:val="009F6CF4"/>
    <w:rsid w:val="009F71D2"/>
    <w:rsid w:val="009F744E"/>
    <w:rsid w:val="009F761C"/>
    <w:rsid w:val="009F7FE9"/>
    <w:rsid w:val="00A01E8E"/>
    <w:rsid w:val="00A02623"/>
    <w:rsid w:val="00A0267D"/>
    <w:rsid w:val="00A029B9"/>
    <w:rsid w:val="00A033C7"/>
    <w:rsid w:val="00A03BD8"/>
    <w:rsid w:val="00A0511A"/>
    <w:rsid w:val="00A05A4E"/>
    <w:rsid w:val="00A073FD"/>
    <w:rsid w:val="00A104B6"/>
    <w:rsid w:val="00A11095"/>
    <w:rsid w:val="00A11356"/>
    <w:rsid w:val="00A11591"/>
    <w:rsid w:val="00A1195B"/>
    <w:rsid w:val="00A11D24"/>
    <w:rsid w:val="00A12616"/>
    <w:rsid w:val="00A13D0F"/>
    <w:rsid w:val="00A1445E"/>
    <w:rsid w:val="00A15287"/>
    <w:rsid w:val="00A15678"/>
    <w:rsid w:val="00A1594D"/>
    <w:rsid w:val="00A1731D"/>
    <w:rsid w:val="00A176F9"/>
    <w:rsid w:val="00A17FA4"/>
    <w:rsid w:val="00A2101A"/>
    <w:rsid w:val="00A212EF"/>
    <w:rsid w:val="00A226B4"/>
    <w:rsid w:val="00A23D40"/>
    <w:rsid w:val="00A23FE4"/>
    <w:rsid w:val="00A24969"/>
    <w:rsid w:val="00A25EA3"/>
    <w:rsid w:val="00A261D8"/>
    <w:rsid w:val="00A264A6"/>
    <w:rsid w:val="00A2713A"/>
    <w:rsid w:val="00A3086B"/>
    <w:rsid w:val="00A30A45"/>
    <w:rsid w:val="00A31E41"/>
    <w:rsid w:val="00A322EE"/>
    <w:rsid w:val="00A338C4"/>
    <w:rsid w:val="00A33C16"/>
    <w:rsid w:val="00A347DD"/>
    <w:rsid w:val="00A3662C"/>
    <w:rsid w:val="00A36931"/>
    <w:rsid w:val="00A36A1B"/>
    <w:rsid w:val="00A40939"/>
    <w:rsid w:val="00A41267"/>
    <w:rsid w:val="00A41D85"/>
    <w:rsid w:val="00A42629"/>
    <w:rsid w:val="00A427BE"/>
    <w:rsid w:val="00A42815"/>
    <w:rsid w:val="00A43C6D"/>
    <w:rsid w:val="00A4587D"/>
    <w:rsid w:val="00A46552"/>
    <w:rsid w:val="00A46849"/>
    <w:rsid w:val="00A47DF0"/>
    <w:rsid w:val="00A50BB8"/>
    <w:rsid w:val="00A51C0A"/>
    <w:rsid w:val="00A52901"/>
    <w:rsid w:val="00A52A51"/>
    <w:rsid w:val="00A52D07"/>
    <w:rsid w:val="00A537D2"/>
    <w:rsid w:val="00A53E7D"/>
    <w:rsid w:val="00A54150"/>
    <w:rsid w:val="00A55482"/>
    <w:rsid w:val="00A56047"/>
    <w:rsid w:val="00A577DF"/>
    <w:rsid w:val="00A62276"/>
    <w:rsid w:val="00A623BD"/>
    <w:rsid w:val="00A62F98"/>
    <w:rsid w:val="00A64177"/>
    <w:rsid w:val="00A649F5"/>
    <w:rsid w:val="00A6505D"/>
    <w:rsid w:val="00A65EF2"/>
    <w:rsid w:val="00A66920"/>
    <w:rsid w:val="00A67CA0"/>
    <w:rsid w:val="00A709A3"/>
    <w:rsid w:val="00A7267F"/>
    <w:rsid w:val="00A72724"/>
    <w:rsid w:val="00A72EF5"/>
    <w:rsid w:val="00A73B4C"/>
    <w:rsid w:val="00A73B72"/>
    <w:rsid w:val="00A74268"/>
    <w:rsid w:val="00A745B9"/>
    <w:rsid w:val="00A754B5"/>
    <w:rsid w:val="00A766B1"/>
    <w:rsid w:val="00A76F0B"/>
    <w:rsid w:val="00A771A4"/>
    <w:rsid w:val="00A77C88"/>
    <w:rsid w:val="00A77CF4"/>
    <w:rsid w:val="00A80B1C"/>
    <w:rsid w:val="00A82DC4"/>
    <w:rsid w:val="00A83144"/>
    <w:rsid w:val="00A83CAB"/>
    <w:rsid w:val="00A83D9B"/>
    <w:rsid w:val="00A8485D"/>
    <w:rsid w:val="00A85413"/>
    <w:rsid w:val="00A85E56"/>
    <w:rsid w:val="00A877D1"/>
    <w:rsid w:val="00A87FB7"/>
    <w:rsid w:val="00A93079"/>
    <w:rsid w:val="00A93252"/>
    <w:rsid w:val="00A95393"/>
    <w:rsid w:val="00A95F60"/>
    <w:rsid w:val="00A96B63"/>
    <w:rsid w:val="00A9706C"/>
    <w:rsid w:val="00A97428"/>
    <w:rsid w:val="00A97774"/>
    <w:rsid w:val="00A97C34"/>
    <w:rsid w:val="00AA178C"/>
    <w:rsid w:val="00AA185C"/>
    <w:rsid w:val="00AA1D36"/>
    <w:rsid w:val="00AA2185"/>
    <w:rsid w:val="00AA2B9C"/>
    <w:rsid w:val="00AA2E5D"/>
    <w:rsid w:val="00AA3007"/>
    <w:rsid w:val="00AA469F"/>
    <w:rsid w:val="00AA4A01"/>
    <w:rsid w:val="00AA5815"/>
    <w:rsid w:val="00AA5D7F"/>
    <w:rsid w:val="00AA67E2"/>
    <w:rsid w:val="00AA7A95"/>
    <w:rsid w:val="00AB10AE"/>
    <w:rsid w:val="00AB1135"/>
    <w:rsid w:val="00AB1222"/>
    <w:rsid w:val="00AB18F6"/>
    <w:rsid w:val="00AB2AE1"/>
    <w:rsid w:val="00AB2B3D"/>
    <w:rsid w:val="00AB3FA3"/>
    <w:rsid w:val="00AB5ACD"/>
    <w:rsid w:val="00AB5D2F"/>
    <w:rsid w:val="00AB68D2"/>
    <w:rsid w:val="00AB7067"/>
    <w:rsid w:val="00AB7631"/>
    <w:rsid w:val="00AB7A24"/>
    <w:rsid w:val="00AC0569"/>
    <w:rsid w:val="00AC0DEE"/>
    <w:rsid w:val="00AC160B"/>
    <w:rsid w:val="00AC3394"/>
    <w:rsid w:val="00AC3C3A"/>
    <w:rsid w:val="00AC4376"/>
    <w:rsid w:val="00AC4AD5"/>
    <w:rsid w:val="00AC5C8E"/>
    <w:rsid w:val="00AC6B67"/>
    <w:rsid w:val="00AC6BEA"/>
    <w:rsid w:val="00AC78E9"/>
    <w:rsid w:val="00AD107C"/>
    <w:rsid w:val="00AD168A"/>
    <w:rsid w:val="00AD1971"/>
    <w:rsid w:val="00AD209B"/>
    <w:rsid w:val="00AD2AB8"/>
    <w:rsid w:val="00AD429B"/>
    <w:rsid w:val="00AD5204"/>
    <w:rsid w:val="00AD6F25"/>
    <w:rsid w:val="00AE2135"/>
    <w:rsid w:val="00AE4F20"/>
    <w:rsid w:val="00AE7073"/>
    <w:rsid w:val="00AE7557"/>
    <w:rsid w:val="00AF027B"/>
    <w:rsid w:val="00AF06B5"/>
    <w:rsid w:val="00AF1C88"/>
    <w:rsid w:val="00AF2BCD"/>
    <w:rsid w:val="00AF3E63"/>
    <w:rsid w:val="00AF3E66"/>
    <w:rsid w:val="00AF55FA"/>
    <w:rsid w:val="00AF5B9F"/>
    <w:rsid w:val="00AF5F5E"/>
    <w:rsid w:val="00AF686E"/>
    <w:rsid w:val="00AF717E"/>
    <w:rsid w:val="00AF76CE"/>
    <w:rsid w:val="00AF77C8"/>
    <w:rsid w:val="00AF7B4C"/>
    <w:rsid w:val="00AF7BD5"/>
    <w:rsid w:val="00B00371"/>
    <w:rsid w:val="00B0157E"/>
    <w:rsid w:val="00B01D70"/>
    <w:rsid w:val="00B02941"/>
    <w:rsid w:val="00B03475"/>
    <w:rsid w:val="00B03928"/>
    <w:rsid w:val="00B03D0B"/>
    <w:rsid w:val="00B04F8F"/>
    <w:rsid w:val="00B0566D"/>
    <w:rsid w:val="00B056A8"/>
    <w:rsid w:val="00B07948"/>
    <w:rsid w:val="00B12625"/>
    <w:rsid w:val="00B12FC7"/>
    <w:rsid w:val="00B1376E"/>
    <w:rsid w:val="00B14558"/>
    <w:rsid w:val="00B15C01"/>
    <w:rsid w:val="00B15EE0"/>
    <w:rsid w:val="00B17923"/>
    <w:rsid w:val="00B17D2B"/>
    <w:rsid w:val="00B2084A"/>
    <w:rsid w:val="00B21CBB"/>
    <w:rsid w:val="00B22040"/>
    <w:rsid w:val="00B221F2"/>
    <w:rsid w:val="00B22429"/>
    <w:rsid w:val="00B225DB"/>
    <w:rsid w:val="00B22BF6"/>
    <w:rsid w:val="00B23024"/>
    <w:rsid w:val="00B236AF"/>
    <w:rsid w:val="00B24E01"/>
    <w:rsid w:val="00B25F92"/>
    <w:rsid w:val="00B272A1"/>
    <w:rsid w:val="00B309F1"/>
    <w:rsid w:val="00B31D82"/>
    <w:rsid w:val="00B322D3"/>
    <w:rsid w:val="00B32357"/>
    <w:rsid w:val="00B3317C"/>
    <w:rsid w:val="00B334C1"/>
    <w:rsid w:val="00B345D4"/>
    <w:rsid w:val="00B35426"/>
    <w:rsid w:val="00B35FCB"/>
    <w:rsid w:val="00B37E3F"/>
    <w:rsid w:val="00B40A56"/>
    <w:rsid w:val="00B4129E"/>
    <w:rsid w:val="00B423A6"/>
    <w:rsid w:val="00B4299F"/>
    <w:rsid w:val="00B43A3F"/>
    <w:rsid w:val="00B43B6F"/>
    <w:rsid w:val="00B44063"/>
    <w:rsid w:val="00B44712"/>
    <w:rsid w:val="00B44AB3"/>
    <w:rsid w:val="00B44DE5"/>
    <w:rsid w:val="00B53541"/>
    <w:rsid w:val="00B56016"/>
    <w:rsid w:val="00B56776"/>
    <w:rsid w:val="00B56F28"/>
    <w:rsid w:val="00B5750B"/>
    <w:rsid w:val="00B61B1B"/>
    <w:rsid w:val="00B62B34"/>
    <w:rsid w:val="00B6318C"/>
    <w:rsid w:val="00B64E19"/>
    <w:rsid w:val="00B65521"/>
    <w:rsid w:val="00B65693"/>
    <w:rsid w:val="00B66C84"/>
    <w:rsid w:val="00B66EAA"/>
    <w:rsid w:val="00B67585"/>
    <w:rsid w:val="00B70C75"/>
    <w:rsid w:val="00B71A0D"/>
    <w:rsid w:val="00B71DDB"/>
    <w:rsid w:val="00B73197"/>
    <w:rsid w:val="00B75D4A"/>
    <w:rsid w:val="00B77099"/>
    <w:rsid w:val="00B77878"/>
    <w:rsid w:val="00B80E9D"/>
    <w:rsid w:val="00B81535"/>
    <w:rsid w:val="00B8226A"/>
    <w:rsid w:val="00B827EC"/>
    <w:rsid w:val="00B829B9"/>
    <w:rsid w:val="00B833C5"/>
    <w:rsid w:val="00B833D7"/>
    <w:rsid w:val="00B845D5"/>
    <w:rsid w:val="00B8488B"/>
    <w:rsid w:val="00B911D8"/>
    <w:rsid w:val="00B9149A"/>
    <w:rsid w:val="00B92CB3"/>
    <w:rsid w:val="00B93491"/>
    <w:rsid w:val="00B94482"/>
    <w:rsid w:val="00B944CC"/>
    <w:rsid w:val="00B951EA"/>
    <w:rsid w:val="00B95978"/>
    <w:rsid w:val="00B96A5B"/>
    <w:rsid w:val="00B971AA"/>
    <w:rsid w:val="00B971B9"/>
    <w:rsid w:val="00B97429"/>
    <w:rsid w:val="00B97BCB"/>
    <w:rsid w:val="00BA09DD"/>
    <w:rsid w:val="00BA27D1"/>
    <w:rsid w:val="00BA28F9"/>
    <w:rsid w:val="00BA2D14"/>
    <w:rsid w:val="00BA5C15"/>
    <w:rsid w:val="00BA6B0D"/>
    <w:rsid w:val="00BA732E"/>
    <w:rsid w:val="00BA73B5"/>
    <w:rsid w:val="00BA75E7"/>
    <w:rsid w:val="00BB0722"/>
    <w:rsid w:val="00BB12D4"/>
    <w:rsid w:val="00BB25A7"/>
    <w:rsid w:val="00BB5374"/>
    <w:rsid w:val="00BB70E6"/>
    <w:rsid w:val="00BC2F47"/>
    <w:rsid w:val="00BC30F0"/>
    <w:rsid w:val="00BC3895"/>
    <w:rsid w:val="00BC54B8"/>
    <w:rsid w:val="00BC64CC"/>
    <w:rsid w:val="00BC6D47"/>
    <w:rsid w:val="00BC6FE8"/>
    <w:rsid w:val="00BC7236"/>
    <w:rsid w:val="00BC7D0A"/>
    <w:rsid w:val="00BD0016"/>
    <w:rsid w:val="00BD21C8"/>
    <w:rsid w:val="00BD33A5"/>
    <w:rsid w:val="00BD34CF"/>
    <w:rsid w:val="00BD3B37"/>
    <w:rsid w:val="00BD4DF7"/>
    <w:rsid w:val="00BD4F80"/>
    <w:rsid w:val="00BD5F3F"/>
    <w:rsid w:val="00BD615C"/>
    <w:rsid w:val="00BD6998"/>
    <w:rsid w:val="00BD7D15"/>
    <w:rsid w:val="00BE02D3"/>
    <w:rsid w:val="00BE03E2"/>
    <w:rsid w:val="00BE088D"/>
    <w:rsid w:val="00BE0EFA"/>
    <w:rsid w:val="00BE21F6"/>
    <w:rsid w:val="00BE24B5"/>
    <w:rsid w:val="00BE24E9"/>
    <w:rsid w:val="00BE2AEA"/>
    <w:rsid w:val="00BE31A9"/>
    <w:rsid w:val="00BE32AF"/>
    <w:rsid w:val="00BE4839"/>
    <w:rsid w:val="00BE5253"/>
    <w:rsid w:val="00BE5AF4"/>
    <w:rsid w:val="00BE5B92"/>
    <w:rsid w:val="00BE6CBE"/>
    <w:rsid w:val="00BE721F"/>
    <w:rsid w:val="00BF0A45"/>
    <w:rsid w:val="00BF0D3A"/>
    <w:rsid w:val="00BF14F0"/>
    <w:rsid w:val="00BF1B8C"/>
    <w:rsid w:val="00BF1FA0"/>
    <w:rsid w:val="00BF2327"/>
    <w:rsid w:val="00BF23AB"/>
    <w:rsid w:val="00BF2C14"/>
    <w:rsid w:val="00BF3690"/>
    <w:rsid w:val="00BF3817"/>
    <w:rsid w:val="00BF3AFA"/>
    <w:rsid w:val="00BF3B1F"/>
    <w:rsid w:val="00BF61CD"/>
    <w:rsid w:val="00BF6869"/>
    <w:rsid w:val="00BF757E"/>
    <w:rsid w:val="00BF794F"/>
    <w:rsid w:val="00BF7D70"/>
    <w:rsid w:val="00BF7DAB"/>
    <w:rsid w:val="00C00031"/>
    <w:rsid w:val="00C00630"/>
    <w:rsid w:val="00C01AF2"/>
    <w:rsid w:val="00C01DA6"/>
    <w:rsid w:val="00C03769"/>
    <w:rsid w:val="00C03BF5"/>
    <w:rsid w:val="00C03DCB"/>
    <w:rsid w:val="00C04344"/>
    <w:rsid w:val="00C043A6"/>
    <w:rsid w:val="00C04E8E"/>
    <w:rsid w:val="00C0530D"/>
    <w:rsid w:val="00C0598D"/>
    <w:rsid w:val="00C05C67"/>
    <w:rsid w:val="00C0759E"/>
    <w:rsid w:val="00C07B80"/>
    <w:rsid w:val="00C1179E"/>
    <w:rsid w:val="00C11AC1"/>
    <w:rsid w:val="00C134FC"/>
    <w:rsid w:val="00C13756"/>
    <w:rsid w:val="00C14166"/>
    <w:rsid w:val="00C15BC8"/>
    <w:rsid w:val="00C1621D"/>
    <w:rsid w:val="00C16942"/>
    <w:rsid w:val="00C16AC0"/>
    <w:rsid w:val="00C1700D"/>
    <w:rsid w:val="00C17167"/>
    <w:rsid w:val="00C17838"/>
    <w:rsid w:val="00C20127"/>
    <w:rsid w:val="00C2073F"/>
    <w:rsid w:val="00C21150"/>
    <w:rsid w:val="00C21831"/>
    <w:rsid w:val="00C21E02"/>
    <w:rsid w:val="00C21E23"/>
    <w:rsid w:val="00C2299B"/>
    <w:rsid w:val="00C22B80"/>
    <w:rsid w:val="00C2395F"/>
    <w:rsid w:val="00C2491B"/>
    <w:rsid w:val="00C25732"/>
    <w:rsid w:val="00C26412"/>
    <w:rsid w:val="00C26C33"/>
    <w:rsid w:val="00C27ACB"/>
    <w:rsid w:val="00C3092E"/>
    <w:rsid w:val="00C3108E"/>
    <w:rsid w:val="00C31C88"/>
    <w:rsid w:val="00C32948"/>
    <w:rsid w:val="00C32C6C"/>
    <w:rsid w:val="00C331A4"/>
    <w:rsid w:val="00C3382C"/>
    <w:rsid w:val="00C34075"/>
    <w:rsid w:val="00C34E32"/>
    <w:rsid w:val="00C354E8"/>
    <w:rsid w:val="00C37654"/>
    <w:rsid w:val="00C40E56"/>
    <w:rsid w:val="00C41BB8"/>
    <w:rsid w:val="00C4400E"/>
    <w:rsid w:val="00C44F2A"/>
    <w:rsid w:val="00C45C2B"/>
    <w:rsid w:val="00C45E7C"/>
    <w:rsid w:val="00C46482"/>
    <w:rsid w:val="00C4686A"/>
    <w:rsid w:val="00C4686E"/>
    <w:rsid w:val="00C475CE"/>
    <w:rsid w:val="00C478FF"/>
    <w:rsid w:val="00C47B8D"/>
    <w:rsid w:val="00C501B5"/>
    <w:rsid w:val="00C508BF"/>
    <w:rsid w:val="00C5098D"/>
    <w:rsid w:val="00C5177D"/>
    <w:rsid w:val="00C51DE3"/>
    <w:rsid w:val="00C52054"/>
    <w:rsid w:val="00C52C71"/>
    <w:rsid w:val="00C53D3B"/>
    <w:rsid w:val="00C55570"/>
    <w:rsid w:val="00C555D9"/>
    <w:rsid w:val="00C558F7"/>
    <w:rsid w:val="00C56334"/>
    <w:rsid w:val="00C57FBB"/>
    <w:rsid w:val="00C6033D"/>
    <w:rsid w:val="00C618C9"/>
    <w:rsid w:val="00C62C7A"/>
    <w:rsid w:val="00C62F9B"/>
    <w:rsid w:val="00C64623"/>
    <w:rsid w:val="00C64B00"/>
    <w:rsid w:val="00C65501"/>
    <w:rsid w:val="00C65CDC"/>
    <w:rsid w:val="00C6644B"/>
    <w:rsid w:val="00C707D1"/>
    <w:rsid w:val="00C70C84"/>
    <w:rsid w:val="00C720AF"/>
    <w:rsid w:val="00C73A4C"/>
    <w:rsid w:val="00C74396"/>
    <w:rsid w:val="00C75FCD"/>
    <w:rsid w:val="00C7665A"/>
    <w:rsid w:val="00C80057"/>
    <w:rsid w:val="00C80546"/>
    <w:rsid w:val="00C844BF"/>
    <w:rsid w:val="00C84728"/>
    <w:rsid w:val="00C84805"/>
    <w:rsid w:val="00C8523C"/>
    <w:rsid w:val="00C85525"/>
    <w:rsid w:val="00C85A35"/>
    <w:rsid w:val="00C87F50"/>
    <w:rsid w:val="00C9161D"/>
    <w:rsid w:val="00C916BC"/>
    <w:rsid w:val="00C9276D"/>
    <w:rsid w:val="00C92BCB"/>
    <w:rsid w:val="00C94E1E"/>
    <w:rsid w:val="00C95249"/>
    <w:rsid w:val="00C978B4"/>
    <w:rsid w:val="00C97B4A"/>
    <w:rsid w:val="00CA04D5"/>
    <w:rsid w:val="00CA070A"/>
    <w:rsid w:val="00CA2361"/>
    <w:rsid w:val="00CA24CF"/>
    <w:rsid w:val="00CA2A61"/>
    <w:rsid w:val="00CA3304"/>
    <w:rsid w:val="00CA35E4"/>
    <w:rsid w:val="00CA3FBD"/>
    <w:rsid w:val="00CA523A"/>
    <w:rsid w:val="00CA52F0"/>
    <w:rsid w:val="00CA5DC8"/>
    <w:rsid w:val="00CA7959"/>
    <w:rsid w:val="00CB1322"/>
    <w:rsid w:val="00CB15FF"/>
    <w:rsid w:val="00CB2F70"/>
    <w:rsid w:val="00CB31CF"/>
    <w:rsid w:val="00CB3C70"/>
    <w:rsid w:val="00CB54FE"/>
    <w:rsid w:val="00CB5DC5"/>
    <w:rsid w:val="00CC10BB"/>
    <w:rsid w:val="00CC13F8"/>
    <w:rsid w:val="00CC2BC4"/>
    <w:rsid w:val="00CC347C"/>
    <w:rsid w:val="00CC3E21"/>
    <w:rsid w:val="00CC4EFF"/>
    <w:rsid w:val="00CC4F7F"/>
    <w:rsid w:val="00CC5865"/>
    <w:rsid w:val="00CC6C9C"/>
    <w:rsid w:val="00CC7F81"/>
    <w:rsid w:val="00CD0119"/>
    <w:rsid w:val="00CD06D3"/>
    <w:rsid w:val="00CD0B28"/>
    <w:rsid w:val="00CD16F7"/>
    <w:rsid w:val="00CD2260"/>
    <w:rsid w:val="00CD2549"/>
    <w:rsid w:val="00CD27E3"/>
    <w:rsid w:val="00CD492E"/>
    <w:rsid w:val="00CD566E"/>
    <w:rsid w:val="00CD57FF"/>
    <w:rsid w:val="00CD59CF"/>
    <w:rsid w:val="00CD62BB"/>
    <w:rsid w:val="00CD663E"/>
    <w:rsid w:val="00CD672D"/>
    <w:rsid w:val="00CD73CE"/>
    <w:rsid w:val="00CD7940"/>
    <w:rsid w:val="00CD7E40"/>
    <w:rsid w:val="00CE0E9B"/>
    <w:rsid w:val="00CE0F1F"/>
    <w:rsid w:val="00CE2AB8"/>
    <w:rsid w:val="00CE3AC8"/>
    <w:rsid w:val="00CE411B"/>
    <w:rsid w:val="00CE5319"/>
    <w:rsid w:val="00CE5C3B"/>
    <w:rsid w:val="00CE74D2"/>
    <w:rsid w:val="00CF0E58"/>
    <w:rsid w:val="00CF1665"/>
    <w:rsid w:val="00CF2622"/>
    <w:rsid w:val="00CF2928"/>
    <w:rsid w:val="00CF44D2"/>
    <w:rsid w:val="00CF72E5"/>
    <w:rsid w:val="00CF7843"/>
    <w:rsid w:val="00CF795A"/>
    <w:rsid w:val="00D003FC"/>
    <w:rsid w:val="00D01325"/>
    <w:rsid w:val="00D019A1"/>
    <w:rsid w:val="00D02529"/>
    <w:rsid w:val="00D032E7"/>
    <w:rsid w:val="00D04549"/>
    <w:rsid w:val="00D05266"/>
    <w:rsid w:val="00D0536E"/>
    <w:rsid w:val="00D056C1"/>
    <w:rsid w:val="00D06B75"/>
    <w:rsid w:val="00D074A9"/>
    <w:rsid w:val="00D10CCF"/>
    <w:rsid w:val="00D113B3"/>
    <w:rsid w:val="00D117F1"/>
    <w:rsid w:val="00D11AD7"/>
    <w:rsid w:val="00D11C94"/>
    <w:rsid w:val="00D12419"/>
    <w:rsid w:val="00D13C59"/>
    <w:rsid w:val="00D13E05"/>
    <w:rsid w:val="00D14022"/>
    <w:rsid w:val="00D149EB"/>
    <w:rsid w:val="00D17F89"/>
    <w:rsid w:val="00D202E6"/>
    <w:rsid w:val="00D20A3A"/>
    <w:rsid w:val="00D20FC4"/>
    <w:rsid w:val="00D21E41"/>
    <w:rsid w:val="00D21FFE"/>
    <w:rsid w:val="00D23FA2"/>
    <w:rsid w:val="00D244B2"/>
    <w:rsid w:val="00D24DEB"/>
    <w:rsid w:val="00D25768"/>
    <w:rsid w:val="00D25C74"/>
    <w:rsid w:val="00D27B0B"/>
    <w:rsid w:val="00D30246"/>
    <w:rsid w:val="00D318BF"/>
    <w:rsid w:val="00D32484"/>
    <w:rsid w:val="00D324DA"/>
    <w:rsid w:val="00D32764"/>
    <w:rsid w:val="00D329E2"/>
    <w:rsid w:val="00D33462"/>
    <w:rsid w:val="00D36412"/>
    <w:rsid w:val="00D3680C"/>
    <w:rsid w:val="00D37FE3"/>
    <w:rsid w:val="00D40104"/>
    <w:rsid w:val="00D40783"/>
    <w:rsid w:val="00D40CBD"/>
    <w:rsid w:val="00D41E4E"/>
    <w:rsid w:val="00D444F6"/>
    <w:rsid w:val="00D45E81"/>
    <w:rsid w:val="00D47CC2"/>
    <w:rsid w:val="00D50544"/>
    <w:rsid w:val="00D50745"/>
    <w:rsid w:val="00D51823"/>
    <w:rsid w:val="00D519AD"/>
    <w:rsid w:val="00D528B0"/>
    <w:rsid w:val="00D536BF"/>
    <w:rsid w:val="00D5420C"/>
    <w:rsid w:val="00D56D5F"/>
    <w:rsid w:val="00D57550"/>
    <w:rsid w:val="00D578EF"/>
    <w:rsid w:val="00D60F8D"/>
    <w:rsid w:val="00D612C8"/>
    <w:rsid w:val="00D626D7"/>
    <w:rsid w:val="00D628B6"/>
    <w:rsid w:val="00D62FE9"/>
    <w:rsid w:val="00D6343C"/>
    <w:rsid w:val="00D64794"/>
    <w:rsid w:val="00D662C2"/>
    <w:rsid w:val="00D672AE"/>
    <w:rsid w:val="00D67786"/>
    <w:rsid w:val="00D67A2E"/>
    <w:rsid w:val="00D705A9"/>
    <w:rsid w:val="00D709BD"/>
    <w:rsid w:val="00D70F5B"/>
    <w:rsid w:val="00D70FBA"/>
    <w:rsid w:val="00D7114E"/>
    <w:rsid w:val="00D717D8"/>
    <w:rsid w:val="00D717EC"/>
    <w:rsid w:val="00D72180"/>
    <w:rsid w:val="00D72746"/>
    <w:rsid w:val="00D72C33"/>
    <w:rsid w:val="00D74150"/>
    <w:rsid w:val="00D74811"/>
    <w:rsid w:val="00D75765"/>
    <w:rsid w:val="00D759D5"/>
    <w:rsid w:val="00D76560"/>
    <w:rsid w:val="00D766AF"/>
    <w:rsid w:val="00D769EC"/>
    <w:rsid w:val="00D7712E"/>
    <w:rsid w:val="00D801B1"/>
    <w:rsid w:val="00D802A5"/>
    <w:rsid w:val="00D802BD"/>
    <w:rsid w:val="00D805BC"/>
    <w:rsid w:val="00D81737"/>
    <w:rsid w:val="00D81883"/>
    <w:rsid w:val="00D81ADB"/>
    <w:rsid w:val="00D8277F"/>
    <w:rsid w:val="00D83A6C"/>
    <w:rsid w:val="00D86BC8"/>
    <w:rsid w:val="00D87169"/>
    <w:rsid w:val="00D87A87"/>
    <w:rsid w:val="00D87AFA"/>
    <w:rsid w:val="00D90C4A"/>
    <w:rsid w:val="00D90D75"/>
    <w:rsid w:val="00D91DA5"/>
    <w:rsid w:val="00D91F34"/>
    <w:rsid w:val="00D92674"/>
    <w:rsid w:val="00D92AE0"/>
    <w:rsid w:val="00D92B76"/>
    <w:rsid w:val="00D92BFC"/>
    <w:rsid w:val="00D933B3"/>
    <w:rsid w:val="00D94580"/>
    <w:rsid w:val="00D9466B"/>
    <w:rsid w:val="00D957AD"/>
    <w:rsid w:val="00D9659C"/>
    <w:rsid w:val="00D97B89"/>
    <w:rsid w:val="00DA0366"/>
    <w:rsid w:val="00DA248E"/>
    <w:rsid w:val="00DA2BF1"/>
    <w:rsid w:val="00DA2DEE"/>
    <w:rsid w:val="00DA320E"/>
    <w:rsid w:val="00DA32E0"/>
    <w:rsid w:val="00DA3A5F"/>
    <w:rsid w:val="00DA47FD"/>
    <w:rsid w:val="00DA52E7"/>
    <w:rsid w:val="00DA5894"/>
    <w:rsid w:val="00DA5F80"/>
    <w:rsid w:val="00DA61C5"/>
    <w:rsid w:val="00DA65F3"/>
    <w:rsid w:val="00DA7F24"/>
    <w:rsid w:val="00DB0848"/>
    <w:rsid w:val="00DB25DB"/>
    <w:rsid w:val="00DB42E6"/>
    <w:rsid w:val="00DB45DC"/>
    <w:rsid w:val="00DB7D0E"/>
    <w:rsid w:val="00DC006A"/>
    <w:rsid w:val="00DC0DFD"/>
    <w:rsid w:val="00DC112D"/>
    <w:rsid w:val="00DC1800"/>
    <w:rsid w:val="00DC22D4"/>
    <w:rsid w:val="00DC3297"/>
    <w:rsid w:val="00DC4645"/>
    <w:rsid w:val="00DC5354"/>
    <w:rsid w:val="00DC55E8"/>
    <w:rsid w:val="00DD01B5"/>
    <w:rsid w:val="00DD0C3E"/>
    <w:rsid w:val="00DD1581"/>
    <w:rsid w:val="00DD185D"/>
    <w:rsid w:val="00DD1FFF"/>
    <w:rsid w:val="00DD4522"/>
    <w:rsid w:val="00DD47D2"/>
    <w:rsid w:val="00DD68F8"/>
    <w:rsid w:val="00DE0B19"/>
    <w:rsid w:val="00DE17B6"/>
    <w:rsid w:val="00DE1AE8"/>
    <w:rsid w:val="00DE20BC"/>
    <w:rsid w:val="00DE2B0A"/>
    <w:rsid w:val="00DE2EF4"/>
    <w:rsid w:val="00DE41C0"/>
    <w:rsid w:val="00DE55A6"/>
    <w:rsid w:val="00DE58D1"/>
    <w:rsid w:val="00DE62FD"/>
    <w:rsid w:val="00DE67FE"/>
    <w:rsid w:val="00DE6B8D"/>
    <w:rsid w:val="00DE767F"/>
    <w:rsid w:val="00DE7EFC"/>
    <w:rsid w:val="00DF003E"/>
    <w:rsid w:val="00DF0C7B"/>
    <w:rsid w:val="00DF0F75"/>
    <w:rsid w:val="00DF2510"/>
    <w:rsid w:val="00DF4657"/>
    <w:rsid w:val="00DF4998"/>
    <w:rsid w:val="00DF4EA9"/>
    <w:rsid w:val="00DF5627"/>
    <w:rsid w:val="00DF624F"/>
    <w:rsid w:val="00DF76E9"/>
    <w:rsid w:val="00E0046B"/>
    <w:rsid w:val="00E02255"/>
    <w:rsid w:val="00E02A7A"/>
    <w:rsid w:val="00E02D95"/>
    <w:rsid w:val="00E0311F"/>
    <w:rsid w:val="00E03B49"/>
    <w:rsid w:val="00E03DBF"/>
    <w:rsid w:val="00E05885"/>
    <w:rsid w:val="00E06527"/>
    <w:rsid w:val="00E06FDB"/>
    <w:rsid w:val="00E07FCF"/>
    <w:rsid w:val="00E10050"/>
    <w:rsid w:val="00E1052D"/>
    <w:rsid w:val="00E105DB"/>
    <w:rsid w:val="00E1060A"/>
    <w:rsid w:val="00E10D61"/>
    <w:rsid w:val="00E12FD0"/>
    <w:rsid w:val="00E134C0"/>
    <w:rsid w:val="00E1390E"/>
    <w:rsid w:val="00E163C6"/>
    <w:rsid w:val="00E16A61"/>
    <w:rsid w:val="00E16C2F"/>
    <w:rsid w:val="00E16D16"/>
    <w:rsid w:val="00E171E3"/>
    <w:rsid w:val="00E17338"/>
    <w:rsid w:val="00E25121"/>
    <w:rsid w:val="00E25168"/>
    <w:rsid w:val="00E255C1"/>
    <w:rsid w:val="00E25C37"/>
    <w:rsid w:val="00E26C6E"/>
    <w:rsid w:val="00E303D9"/>
    <w:rsid w:val="00E30648"/>
    <w:rsid w:val="00E30EB6"/>
    <w:rsid w:val="00E3246C"/>
    <w:rsid w:val="00E32559"/>
    <w:rsid w:val="00E32599"/>
    <w:rsid w:val="00E331C0"/>
    <w:rsid w:val="00E36234"/>
    <w:rsid w:val="00E37AA9"/>
    <w:rsid w:val="00E41E54"/>
    <w:rsid w:val="00E42B43"/>
    <w:rsid w:val="00E4301C"/>
    <w:rsid w:val="00E43336"/>
    <w:rsid w:val="00E437C9"/>
    <w:rsid w:val="00E45623"/>
    <w:rsid w:val="00E462B4"/>
    <w:rsid w:val="00E4660C"/>
    <w:rsid w:val="00E468A9"/>
    <w:rsid w:val="00E472C5"/>
    <w:rsid w:val="00E47498"/>
    <w:rsid w:val="00E51880"/>
    <w:rsid w:val="00E519D1"/>
    <w:rsid w:val="00E53182"/>
    <w:rsid w:val="00E53940"/>
    <w:rsid w:val="00E548E6"/>
    <w:rsid w:val="00E54FDA"/>
    <w:rsid w:val="00E55321"/>
    <w:rsid w:val="00E5560C"/>
    <w:rsid w:val="00E55DF1"/>
    <w:rsid w:val="00E5694F"/>
    <w:rsid w:val="00E56D14"/>
    <w:rsid w:val="00E60028"/>
    <w:rsid w:val="00E61C12"/>
    <w:rsid w:val="00E62FA9"/>
    <w:rsid w:val="00E6537C"/>
    <w:rsid w:val="00E662DB"/>
    <w:rsid w:val="00E66BB1"/>
    <w:rsid w:val="00E70A67"/>
    <w:rsid w:val="00E714B8"/>
    <w:rsid w:val="00E72262"/>
    <w:rsid w:val="00E726C7"/>
    <w:rsid w:val="00E72722"/>
    <w:rsid w:val="00E727EF"/>
    <w:rsid w:val="00E73322"/>
    <w:rsid w:val="00E73979"/>
    <w:rsid w:val="00E73CA1"/>
    <w:rsid w:val="00E73D9E"/>
    <w:rsid w:val="00E74F64"/>
    <w:rsid w:val="00E751CC"/>
    <w:rsid w:val="00E76342"/>
    <w:rsid w:val="00E76CD7"/>
    <w:rsid w:val="00E80435"/>
    <w:rsid w:val="00E8048D"/>
    <w:rsid w:val="00E8280F"/>
    <w:rsid w:val="00E82ECB"/>
    <w:rsid w:val="00E83108"/>
    <w:rsid w:val="00E841D9"/>
    <w:rsid w:val="00E844DF"/>
    <w:rsid w:val="00E85021"/>
    <w:rsid w:val="00E85D72"/>
    <w:rsid w:val="00E86935"/>
    <w:rsid w:val="00E90717"/>
    <w:rsid w:val="00E91289"/>
    <w:rsid w:val="00E913CE"/>
    <w:rsid w:val="00E921B3"/>
    <w:rsid w:val="00E926D8"/>
    <w:rsid w:val="00E93771"/>
    <w:rsid w:val="00E93B24"/>
    <w:rsid w:val="00E93B3C"/>
    <w:rsid w:val="00E94872"/>
    <w:rsid w:val="00E959BB"/>
    <w:rsid w:val="00E96355"/>
    <w:rsid w:val="00E970B9"/>
    <w:rsid w:val="00EA057D"/>
    <w:rsid w:val="00EA2A29"/>
    <w:rsid w:val="00EA4E2C"/>
    <w:rsid w:val="00EA4E49"/>
    <w:rsid w:val="00EA516C"/>
    <w:rsid w:val="00EA5502"/>
    <w:rsid w:val="00EA58AB"/>
    <w:rsid w:val="00EA5961"/>
    <w:rsid w:val="00EA667E"/>
    <w:rsid w:val="00EA6F7D"/>
    <w:rsid w:val="00EA789B"/>
    <w:rsid w:val="00EA7C92"/>
    <w:rsid w:val="00EB031F"/>
    <w:rsid w:val="00EB06BC"/>
    <w:rsid w:val="00EB0E4A"/>
    <w:rsid w:val="00EB29EF"/>
    <w:rsid w:val="00EB394E"/>
    <w:rsid w:val="00EB3A4C"/>
    <w:rsid w:val="00EB4B9A"/>
    <w:rsid w:val="00EB4D40"/>
    <w:rsid w:val="00EB4D45"/>
    <w:rsid w:val="00EB5DBA"/>
    <w:rsid w:val="00EB6F50"/>
    <w:rsid w:val="00EC109B"/>
    <w:rsid w:val="00EC2673"/>
    <w:rsid w:val="00EC284F"/>
    <w:rsid w:val="00EC2ED8"/>
    <w:rsid w:val="00EC373F"/>
    <w:rsid w:val="00EC3849"/>
    <w:rsid w:val="00EC61AE"/>
    <w:rsid w:val="00EC6A22"/>
    <w:rsid w:val="00EC6BEF"/>
    <w:rsid w:val="00ED0B9C"/>
    <w:rsid w:val="00ED10CC"/>
    <w:rsid w:val="00ED1771"/>
    <w:rsid w:val="00ED1A98"/>
    <w:rsid w:val="00ED1D14"/>
    <w:rsid w:val="00ED2C3B"/>
    <w:rsid w:val="00ED3DD7"/>
    <w:rsid w:val="00ED5C9D"/>
    <w:rsid w:val="00ED635A"/>
    <w:rsid w:val="00ED6A67"/>
    <w:rsid w:val="00ED6B1B"/>
    <w:rsid w:val="00EE0107"/>
    <w:rsid w:val="00EE039B"/>
    <w:rsid w:val="00EE0714"/>
    <w:rsid w:val="00EE0EC4"/>
    <w:rsid w:val="00EE1244"/>
    <w:rsid w:val="00EE16CF"/>
    <w:rsid w:val="00EE18C1"/>
    <w:rsid w:val="00EE2A1A"/>
    <w:rsid w:val="00EE2D32"/>
    <w:rsid w:val="00EE470B"/>
    <w:rsid w:val="00EE5384"/>
    <w:rsid w:val="00EF045C"/>
    <w:rsid w:val="00EF13DC"/>
    <w:rsid w:val="00EF2604"/>
    <w:rsid w:val="00EF3207"/>
    <w:rsid w:val="00EF341F"/>
    <w:rsid w:val="00EF427F"/>
    <w:rsid w:val="00EF4542"/>
    <w:rsid w:val="00EF5E65"/>
    <w:rsid w:val="00EF6DF2"/>
    <w:rsid w:val="00EF798B"/>
    <w:rsid w:val="00F00978"/>
    <w:rsid w:val="00F01BF8"/>
    <w:rsid w:val="00F01E1B"/>
    <w:rsid w:val="00F023AB"/>
    <w:rsid w:val="00F0262C"/>
    <w:rsid w:val="00F02680"/>
    <w:rsid w:val="00F027E8"/>
    <w:rsid w:val="00F0368A"/>
    <w:rsid w:val="00F037F5"/>
    <w:rsid w:val="00F03CA6"/>
    <w:rsid w:val="00F03CD6"/>
    <w:rsid w:val="00F04C05"/>
    <w:rsid w:val="00F06BDD"/>
    <w:rsid w:val="00F06C2A"/>
    <w:rsid w:val="00F06CBD"/>
    <w:rsid w:val="00F07F02"/>
    <w:rsid w:val="00F11628"/>
    <w:rsid w:val="00F11AEB"/>
    <w:rsid w:val="00F129A1"/>
    <w:rsid w:val="00F12E97"/>
    <w:rsid w:val="00F1301A"/>
    <w:rsid w:val="00F14B6B"/>
    <w:rsid w:val="00F15BE0"/>
    <w:rsid w:val="00F20898"/>
    <w:rsid w:val="00F20C87"/>
    <w:rsid w:val="00F21032"/>
    <w:rsid w:val="00F22BCF"/>
    <w:rsid w:val="00F24C77"/>
    <w:rsid w:val="00F25C98"/>
    <w:rsid w:val="00F2604F"/>
    <w:rsid w:val="00F2631B"/>
    <w:rsid w:val="00F264B5"/>
    <w:rsid w:val="00F264BC"/>
    <w:rsid w:val="00F27746"/>
    <w:rsid w:val="00F27CAD"/>
    <w:rsid w:val="00F30F39"/>
    <w:rsid w:val="00F32651"/>
    <w:rsid w:val="00F3321C"/>
    <w:rsid w:val="00F339A2"/>
    <w:rsid w:val="00F33AD5"/>
    <w:rsid w:val="00F34398"/>
    <w:rsid w:val="00F34CDD"/>
    <w:rsid w:val="00F34E69"/>
    <w:rsid w:val="00F34F95"/>
    <w:rsid w:val="00F36278"/>
    <w:rsid w:val="00F3644F"/>
    <w:rsid w:val="00F36922"/>
    <w:rsid w:val="00F36B20"/>
    <w:rsid w:val="00F37ACA"/>
    <w:rsid w:val="00F4029D"/>
    <w:rsid w:val="00F4038F"/>
    <w:rsid w:val="00F40459"/>
    <w:rsid w:val="00F40B8C"/>
    <w:rsid w:val="00F40CDA"/>
    <w:rsid w:val="00F4118E"/>
    <w:rsid w:val="00F417EA"/>
    <w:rsid w:val="00F41C3D"/>
    <w:rsid w:val="00F43462"/>
    <w:rsid w:val="00F43794"/>
    <w:rsid w:val="00F479E7"/>
    <w:rsid w:val="00F47C32"/>
    <w:rsid w:val="00F529D4"/>
    <w:rsid w:val="00F52A40"/>
    <w:rsid w:val="00F52B28"/>
    <w:rsid w:val="00F5348C"/>
    <w:rsid w:val="00F5448E"/>
    <w:rsid w:val="00F55A16"/>
    <w:rsid w:val="00F55E5A"/>
    <w:rsid w:val="00F574B2"/>
    <w:rsid w:val="00F57F18"/>
    <w:rsid w:val="00F60382"/>
    <w:rsid w:val="00F61290"/>
    <w:rsid w:val="00F622F4"/>
    <w:rsid w:val="00F62D4D"/>
    <w:rsid w:val="00F63D0C"/>
    <w:rsid w:val="00F64499"/>
    <w:rsid w:val="00F6553D"/>
    <w:rsid w:val="00F65E1C"/>
    <w:rsid w:val="00F65F3D"/>
    <w:rsid w:val="00F679BF"/>
    <w:rsid w:val="00F70688"/>
    <w:rsid w:val="00F70720"/>
    <w:rsid w:val="00F707CD"/>
    <w:rsid w:val="00F7131C"/>
    <w:rsid w:val="00F722E9"/>
    <w:rsid w:val="00F725A4"/>
    <w:rsid w:val="00F7397A"/>
    <w:rsid w:val="00F7468E"/>
    <w:rsid w:val="00F75589"/>
    <w:rsid w:val="00F761ED"/>
    <w:rsid w:val="00F768C7"/>
    <w:rsid w:val="00F807E8"/>
    <w:rsid w:val="00F80E8F"/>
    <w:rsid w:val="00F810FD"/>
    <w:rsid w:val="00F81529"/>
    <w:rsid w:val="00F8156F"/>
    <w:rsid w:val="00F818BF"/>
    <w:rsid w:val="00F81E94"/>
    <w:rsid w:val="00F828C9"/>
    <w:rsid w:val="00F83F92"/>
    <w:rsid w:val="00F847D8"/>
    <w:rsid w:val="00F8488D"/>
    <w:rsid w:val="00F85D82"/>
    <w:rsid w:val="00F86514"/>
    <w:rsid w:val="00F87395"/>
    <w:rsid w:val="00F912D9"/>
    <w:rsid w:val="00F91BCA"/>
    <w:rsid w:val="00F920EE"/>
    <w:rsid w:val="00F93094"/>
    <w:rsid w:val="00F9320D"/>
    <w:rsid w:val="00F93551"/>
    <w:rsid w:val="00F93F84"/>
    <w:rsid w:val="00F9759F"/>
    <w:rsid w:val="00F97B2A"/>
    <w:rsid w:val="00F97B59"/>
    <w:rsid w:val="00FA0A9F"/>
    <w:rsid w:val="00FA0C0D"/>
    <w:rsid w:val="00FA1BBC"/>
    <w:rsid w:val="00FA1E35"/>
    <w:rsid w:val="00FA237C"/>
    <w:rsid w:val="00FA3C31"/>
    <w:rsid w:val="00FA491E"/>
    <w:rsid w:val="00FA4D8C"/>
    <w:rsid w:val="00FA5017"/>
    <w:rsid w:val="00FA5855"/>
    <w:rsid w:val="00FA5C94"/>
    <w:rsid w:val="00FA6799"/>
    <w:rsid w:val="00FA6A05"/>
    <w:rsid w:val="00FB2CBF"/>
    <w:rsid w:val="00FB30D7"/>
    <w:rsid w:val="00FB3122"/>
    <w:rsid w:val="00FB37E0"/>
    <w:rsid w:val="00FB5F07"/>
    <w:rsid w:val="00FB731F"/>
    <w:rsid w:val="00FB7C69"/>
    <w:rsid w:val="00FB7D0C"/>
    <w:rsid w:val="00FC0094"/>
    <w:rsid w:val="00FC07F0"/>
    <w:rsid w:val="00FC12B1"/>
    <w:rsid w:val="00FC1B59"/>
    <w:rsid w:val="00FC2096"/>
    <w:rsid w:val="00FC2EBB"/>
    <w:rsid w:val="00FC45FF"/>
    <w:rsid w:val="00FC587F"/>
    <w:rsid w:val="00FC7D46"/>
    <w:rsid w:val="00FD05A3"/>
    <w:rsid w:val="00FD06DB"/>
    <w:rsid w:val="00FD0F00"/>
    <w:rsid w:val="00FD1234"/>
    <w:rsid w:val="00FD4552"/>
    <w:rsid w:val="00FD4E85"/>
    <w:rsid w:val="00FD5383"/>
    <w:rsid w:val="00FD56A5"/>
    <w:rsid w:val="00FD60AF"/>
    <w:rsid w:val="00FD6297"/>
    <w:rsid w:val="00FD6828"/>
    <w:rsid w:val="00FE0ACE"/>
    <w:rsid w:val="00FE0D6F"/>
    <w:rsid w:val="00FE12C2"/>
    <w:rsid w:val="00FE1E75"/>
    <w:rsid w:val="00FE2B03"/>
    <w:rsid w:val="00FE39A2"/>
    <w:rsid w:val="00FE4DE1"/>
    <w:rsid w:val="00FE55D8"/>
    <w:rsid w:val="00FE615B"/>
    <w:rsid w:val="00FE663D"/>
    <w:rsid w:val="00FE74D1"/>
    <w:rsid w:val="00FF0257"/>
    <w:rsid w:val="00FF0A80"/>
    <w:rsid w:val="00FF0D73"/>
    <w:rsid w:val="00FF1B24"/>
    <w:rsid w:val="00FF5200"/>
    <w:rsid w:val="00FF5ED7"/>
    <w:rsid w:val="00FF5FF0"/>
    <w:rsid w:val="00FF7014"/>
    <w:rsid w:val="00FF73C6"/>
    <w:rsid w:val="00FF7719"/>
  </w:rsids>
  <m:mathPr>
    <m:mathFont m:val="Cambria Math"/>
  </m:mathPr>
  <w:themeFontLang w:val="fr-FR" w:bidi="mn-Mong-CN"/>
  <w:clrSchemeMapping w:bg1="light1" w:t1="dark1" w:bg2="light2" w:t2="dark2" w:accent1="accent1" w:accent2="accent2" w:accent3="accent3" w:accent4="accent4" w:accent5="accent5" w:accent6="accent6" w:hyperlink="hyperlink" w:followedHyperlink="followedHyperlink"/>
  <w15:docId w15:val="{800AD44A-A804-4C34-8420-B1FD517A0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788"/>
    <w:pPr>
      <w:jc w:val="both"/>
    </w:pPr>
    <w:rPr>
      <w:rFonts w:ascii="Arial" w:hAnsi="Arial"/>
      <w:sz w:val="20"/>
    </w:rPr>
  </w:style>
  <w:style w:type="paragraph" w:styleId="Heading1">
    <w:name w:val="heading 1"/>
    <w:basedOn w:val="Normal"/>
    <w:next w:val="Normal"/>
    <w:link w:val="Heading1Char"/>
    <w:uiPriority w:val="9"/>
    <w:qFormat/>
    <w:rsid w:val="004116C7"/>
    <w:pPr>
      <w:keepNext/>
      <w:keepLines/>
      <w:spacing w:before="480" w:after="240"/>
      <w:outlineLvl w:val="0"/>
    </w:pPr>
    <w:rPr>
      <w:rFonts w:eastAsiaTheme="majorEastAsia" w:cstheme="majorBidi"/>
      <w:b/>
      <w:bCs/>
      <w:color w:val="CAD122"/>
      <w:sz w:val="44"/>
      <w:szCs w:val="28"/>
    </w:rPr>
  </w:style>
  <w:style w:type="paragraph" w:styleId="Heading2">
    <w:name w:val="heading 2"/>
    <w:basedOn w:val="Normal"/>
    <w:next w:val="Normal"/>
    <w:link w:val="Heading2Char"/>
    <w:uiPriority w:val="9"/>
    <w:unhideWhenUsed/>
    <w:qFormat/>
    <w:rsid w:val="004845BB"/>
    <w:pPr>
      <w:keepNext/>
      <w:keepLines/>
      <w:spacing w:before="200" w:after="0"/>
      <w:outlineLvl w:val="1"/>
    </w:pPr>
    <w:rPr>
      <w:rFonts w:eastAsiaTheme="majorEastAsia" w:cstheme="majorBidi"/>
      <w:b/>
      <w:bCs/>
      <w:color w:val="808080" w:themeColor="background1" w:themeShade="80"/>
      <w:sz w:val="32"/>
      <w:szCs w:val="26"/>
    </w:rPr>
  </w:style>
  <w:style w:type="paragraph" w:styleId="Heading3">
    <w:name w:val="heading 3"/>
    <w:basedOn w:val="Normal"/>
    <w:next w:val="Normal"/>
    <w:link w:val="Heading3Char"/>
    <w:unhideWhenUsed/>
    <w:qFormat/>
    <w:rsid w:val="00D10CCF"/>
    <w:pPr>
      <w:keepNext/>
      <w:keepLines/>
      <w:spacing w:before="200" w:after="0"/>
      <w:outlineLvl w:val="2"/>
    </w:pPr>
    <w:rPr>
      <w:rFonts w:eastAsiaTheme="majorEastAsia" w:cstheme="majorBidi"/>
      <w:b/>
      <w:bCs/>
      <w:color w:val="808080" w:themeColor="background1" w:themeShade="80"/>
      <w:sz w:val="28"/>
    </w:rPr>
  </w:style>
  <w:style w:type="paragraph" w:styleId="Heading4">
    <w:name w:val="heading 4"/>
    <w:basedOn w:val="Normal"/>
    <w:next w:val="Normal"/>
    <w:link w:val="Heading4Char"/>
    <w:uiPriority w:val="9"/>
    <w:unhideWhenUsed/>
    <w:qFormat/>
    <w:rsid w:val="00C44F2A"/>
    <w:pPr>
      <w:keepNext/>
      <w:keepLines/>
      <w:spacing w:before="200" w:after="0"/>
      <w:outlineLvl w:val="3"/>
    </w:pPr>
    <w:rPr>
      <w:rFonts w:eastAsiaTheme="majorEastAsia" w:cstheme="majorBidi"/>
      <w:b/>
      <w:bCs/>
      <w:i/>
      <w:iCs/>
      <w:color w:val="808080" w:themeColor="background1" w:themeShade="80"/>
      <w:sz w:val="28"/>
    </w:rPr>
  </w:style>
  <w:style w:type="paragraph" w:styleId="Heading5">
    <w:name w:val="heading 5"/>
    <w:basedOn w:val="Normal"/>
    <w:next w:val="Normal"/>
    <w:link w:val="Heading5Char"/>
    <w:uiPriority w:val="9"/>
    <w:semiHidden/>
    <w:unhideWhenUsed/>
    <w:qFormat/>
    <w:rsid w:val="00D90D7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0D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7EB"/>
    <w:pPr>
      <w:ind w:left="720"/>
      <w:contextualSpacing/>
    </w:pPr>
  </w:style>
  <w:style w:type="paragraph" w:styleId="Header">
    <w:name w:val="header"/>
    <w:basedOn w:val="Normal"/>
    <w:link w:val="HeaderChar"/>
    <w:uiPriority w:val="99"/>
    <w:unhideWhenUsed/>
    <w:rsid w:val="000D00E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00E4"/>
  </w:style>
  <w:style w:type="paragraph" w:styleId="Footer">
    <w:name w:val="footer"/>
    <w:basedOn w:val="Normal"/>
    <w:link w:val="FooterChar"/>
    <w:uiPriority w:val="99"/>
    <w:unhideWhenUsed/>
    <w:rsid w:val="000D00E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D00E4"/>
  </w:style>
  <w:style w:type="paragraph" w:styleId="BalloonText">
    <w:name w:val="Balloon Text"/>
    <w:basedOn w:val="Normal"/>
    <w:link w:val="BalloonTextChar"/>
    <w:uiPriority w:val="99"/>
    <w:semiHidden/>
    <w:unhideWhenUsed/>
    <w:rsid w:val="000D0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0E4"/>
    <w:rPr>
      <w:rFonts w:ascii="Tahoma" w:hAnsi="Tahoma" w:cs="Tahoma"/>
      <w:sz w:val="16"/>
      <w:szCs w:val="16"/>
    </w:rPr>
  </w:style>
  <w:style w:type="character" w:styleId="PlaceholderText">
    <w:name w:val="Placeholder Text"/>
    <w:basedOn w:val="DefaultParagraphFont"/>
    <w:uiPriority w:val="99"/>
    <w:semiHidden/>
    <w:rsid w:val="000D00E4"/>
    <w:rPr>
      <w:color w:val="808080"/>
    </w:rPr>
  </w:style>
  <w:style w:type="character" w:customStyle="1" w:styleId="Heading1Char">
    <w:name w:val="Heading 1 Char"/>
    <w:basedOn w:val="DefaultParagraphFont"/>
    <w:link w:val="Heading1"/>
    <w:uiPriority w:val="9"/>
    <w:rsid w:val="00ED10CC"/>
    <w:rPr>
      <w:rFonts w:ascii="Arial" w:hAnsi="Arial" w:eastAsiaTheme="majorEastAsia" w:cstheme="majorBidi"/>
      <w:b/>
      <w:bCs/>
      <w:color w:val="CAD122"/>
      <w:sz w:val="44"/>
      <w:szCs w:val="28"/>
    </w:rPr>
  </w:style>
  <w:style w:type="character" w:customStyle="1" w:styleId="Heading2Char">
    <w:name w:val="Heading 2 Char"/>
    <w:basedOn w:val="DefaultParagraphFont"/>
    <w:link w:val="Heading2"/>
    <w:uiPriority w:val="9"/>
    <w:rsid w:val="004845BB"/>
    <w:rPr>
      <w:rFonts w:ascii="Arial" w:hAnsi="Arial" w:eastAsiaTheme="majorEastAsia" w:cstheme="majorBidi"/>
      <w:b/>
      <w:bCs/>
      <w:color w:val="808080" w:themeColor="background1" w:themeShade="80"/>
      <w:sz w:val="32"/>
      <w:szCs w:val="26"/>
    </w:rPr>
  </w:style>
  <w:style w:type="character" w:customStyle="1" w:styleId="Heading3Char">
    <w:name w:val="Heading 3 Char"/>
    <w:basedOn w:val="DefaultParagraphFont"/>
    <w:link w:val="Heading3"/>
    <w:rsid w:val="00D10CCF"/>
    <w:rPr>
      <w:rFonts w:ascii="Arial" w:hAnsi="Arial" w:eastAsiaTheme="majorEastAsia" w:cstheme="majorBidi"/>
      <w:b/>
      <w:bCs/>
      <w:color w:val="808080" w:themeColor="background1" w:themeShade="80"/>
      <w:sz w:val="28"/>
    </w:rPr>
  </w:style>
  <w:style w:type="character" w:customStyle="1" w:styleId="Heading4Char">
    <w:name w:val="Heading 4 Char"/>
    <w:basedOn w:val="DefaultParagraphFont"/>
    <w:link w:val="Heading4"/>
    <w:uiPriority w:val="9"/>
    <w:rsid w:val="00C44F2A"/>
    <w:rPr>
      <w:rFonts w:ascii="Arial" w:hAnsi="Arial" w:eastAsiaTheme="majorEastAsia" w:cstheme="majorBidi"/>
      <w:b/>
      <w:bCs/>
      <w:i/>
      <w:iCs/>
      <w:color w:val="808080" w:themeColor="background1" w:themeShade="80"/>
      <w:sz w:val="28"/>
    </w:rPr>
  </w:style>
  <w:style w:type="paragraph" w:customStyle="1" w:styleId="imported-imported-Normal">
    <w:name w:val="imported-imported-Normal"/>
    <w:rsid w:val="00490D43"/>
    <w:pPr>
      <w:spacing w:after="0" w:line="240" w:lineRule="auto"/>
      <w:jc w:val="both"/>
    </w:pPr>
    <w:rPr>
      <w:rFonts w:ascii="Arial" w:eastAsia="Arial Unicode MS" w:hAnsi="Arial" w:cs="Times New Roman"/>
      <w:color w:val="000000"/>
      <w:sz w:val="20"/>
      <w:szCs w:val="20"/>
      <w:lang w:eastAsia="fr-FR"/>
    </w:rPr>
  </w:style>
  <w:style w:type="paragraph" w:customStyle="1" w:styleId="imported-imported-Formatlibre">
    <w:name w:val="imported-imported-Format libre"/>
    <w:rsid w:val="00490D43"/>
    <w:pPr>
      <w:spacing w:after="0" w:line="240" w:lineRule="auto"/>
    </w:pPr>
    <w:rPr>
      <w:rFonts w:eastAsia="Arial Unicode MS" w:cs="Times New Roman"/>
      <w:color w:val="000000"/>
      <w:sz w:val="20"/>
      <w:szCs w:val="20"/>
      <w:lang w:eastAsia="fr-FR"/>
    </w:rPr>
  </w:style>
  <w:style w:type="paragraph" w:styleId="Caption">
    <w:name w:val="caption"/>
    <w:basedOn w:val="Normal"/>
    <w:next w:val="Normal"/>
    <w:unhideWhenUsed/>
    <w:qFormat/>
    <w:rsid w:val="00490D43"/>
    <w:pPr>
      <w:spacing w:after="0" w:line="240" w:lineRule="auto"/>
    </w:pPr>
    <w:rPr>
      <w:rFonts w:eastAsia="Times New Roman" w:cs="Times New Roman"/>
      <w:b/>
      <w:bCs/>
      <w:szCs w:val="20"/>
    </w:rPr>
  </w:style>
  <w:style w:type="character" w:styleId="Hyperlink">
    <w:name w:val="Hyperlink"/>
    <w:basedOn w:val="DefaultParagraphFont"/>
    <w:uiPriority w:val="99"/>
    <w:unhideWhenUsed/>
    <w:rsid w:val="00EF341F"/>
    <w:rPr>
      <w:color w:val="0000FF" w:themeColor="hyperlink"/>
      <w:u w:val="single"/>
    </w:rPr>
  </w:style>
  <w:style w:type="paragraph" w:styleId="TOCHeading">
    <w:name w:val="TOC Heading"/>
    <w:basedOn w:val="Heading1"/>
    <w:next w:val="Normal"/>
    <w:uiPriority w:val="39"/>
    <w:unhideWhenUsed/>
    <w:qFormat/>
    <w:rsid w:val="000306C9"/>
    <w:pPr>
      <w:outlineLvl w:val="9"/>
    </w:pPr>
    <w:rPr>
      <w:lang w:eastAsia="fr-FR"/>
    </w:rPr>
  </w:style>
  <w:style w:type="paragraph" w:styleId="TOC1">
    <w:name w:val="toc 1"/>
    <w:basedOn w:val="Normal"/>
    <w:next w:val="Normal"/>
    <w:autoRedefine/>
    <w:uiPriority w:val="39"/>
    <w:unhideWhenUsed/>
    <w:rsid w:val="00FA491E"/>
    <w:pPr>
      <w:tabs>
        <w:tab w:val="left" w:pos="440"/>
        <w:tab w:val="right" w:leader="dot" w:pos="9062"/>
      </w:tabs>
      <w:spacing w:after="0" w:line="280" w:lineRule="exact"/>
    </w:pPr>
    <w:rPr>
      <w:noProof/>
    </w:rPr>
  </w:style>
  <w:style w:type="paragraph" w:styleId="TOC2">
    <w:name w:val="toc 2"/>
    <w:basedOn w:val="Normal"/>
    <w:next w:val="Normal"/>
    <w:autoRedefine/>
    <w:uiPriority w:val="39"/>
    <w:unhideWhenUsed/>
    <w:rsid w:val="00DE41C0"/>
    <w:pPr>
      <w:tabs>
        <w:tab w:val="right" w:leader="dot" w:pos="9062"/>
      </w:tabs>
      <w:spacing w:after="100" w:line="280" w:lineRule="exact"/>
      <w:ind w:left="220"/>
    </w:pPr>
  </w:style>
  <w:style w:type="paragraph" w:styleId="TOC3">
    <w:name w:val="toc 3"/>
    <w:basedOn w:val="Normal"/>
    <w:next w:val="Normal"/>
    <w:autoRedefine/>
    <w:uiPriority w:val="39"/>
    <w:unhideWhenUsed/>
    <w:rsid w:val="000306C9"/>
    <w:pPr>
      <w:spacing w:after="100"/>
      <w:ind w:left="440"/>
    </w:pPr>
  </w:style>
  <w:style w:type="paragraph" w:customStyle="1" w:styleId="imported-Formatlibre">
    <w:name w:val="imported-Format libre"/>
    <w:rsid w:val="002223B5"/>
    <w:pPr>
      <w:spacing w:after="0" w:line="240" w:lineRule="auto"/>
    </w:pPr>
    <w:rPr>
      <w:rFonts w:eastAsia="Arial Unicode MS" w:cs="Times New Roman"/>
      <w:color w:val="000000"/>
      <w:sz w:val="20"/>
      <w:szCs w:val="20"/>
      <w:lang w:eastAsia="fr-FR"/>
    </w:rPr>
  </w:style>
  <w:style w:type="paragraph" w:customStyle="1" w:styleId="imported-imported-heading3">
    <w:name w:val="imported-imported-heading 3"/>
    <w:next w:val="imported-imported-Normal"/>
    <w:rsid w:val="002223B5"/>
    <w:pPr>
      <w:keepNext/>
      <w:tabs>
        <w:tab w:val="left" w:pos="170"/>
      </w:tabs>
      <w:spacing w:before="240" w:after="60" w:line="240" w:lineRule="auto"/>
      <w:jc w:val="both"/>
      <w:outlineLvl w:val="2"/>
    </w:pPr>
    <w:rPr>
      <w:rFonts w:ascii="Arial" w:eastAsia="Arial Unicode MS" w:hAnsi="Arial" w:cs="Times New Roman"/>
      <w:b/>
      <w:color w:val="000000"/>
      <w:sz w:val="26"/>
      <w:szCs w:val="20"/>
      <w:lang w:eastAsia="fr-FR"/>
    </w:rPr>
  </w:style>
  <w:style w:type="paragraph" w:customStyle="1" w:styleId="imported-imported-caption">
    <w:name w:val="imported-imported-caption"/>
    <w:next w:val="imported-imported-Normal"/>
    <w:rsid w:val="002223B5"/>
    <w:pPr>
      <w:spacing w:before="120" w:after="120" w:line="240" w:lineRule="auto"/>
      <w:jc w:val="both"/>
    </w:pPr>
    <w:rPr>
      <w:rFonts w:ascii="Arial" w:eastAsia="Arial Unicode MS" w:hAnsi="Arial" w:cs="Times New Roman"/>
      <w:b/>
      <w:color w:val="000000"/>
      <w:sz w:val="20"/>
      <w:szCs w:val="20"/>
      <w:lang w:eastAsia="fr-FR"/>
    </w:rPr>
  </w:style>
  <w:style w:type="paragraph" w:customStyle="1" w:styleId="List64">
    <w:name w:val="List 64"/>
    <w:basedOn w:val="Normal"/>
    <w:autoRedefine/>
    <w:semiHidden/>
    <w:rsid w:val="002223B5"/>
    <w:pPr>
      <w:tabs>
        <w:tab w:val="num" w:pos="360"/>
      </w:tabs>
      <w:spacing w:after="0" w:line="240" w:lineRule="auto"/>
    </w:pPr>
    <w:rPr>
      <w:rFonts w:eastAsia="Times New Roman" w:cs="Times New Roman"/>
      <w:szCs w:val="20"/>
      <w:lang w:eastAsia="fr-FR"/>
    </w:rPr>
  </w:style>
  <w:style w:type="paragraph" w:customStyle="1" w:styleId="List66">
    <w:name w:val="List 66"/>
    <w:basedOn w:val="Normal"/>
    <w:autoRedefine/>
    <w:semiHidden/>
    <w:rsid w:val="002223B5"/>
    <w:pPr>
      <w:tabs>
        <w:tab w:val="num" w:pos="360"/>
      </w:tabs>
      <w:spacing w:after="0" w:line="240" w:lineRule="auto"/>
    </w:pPr>
    <w:rPr>
      <w:rFonts w:eastAsia="Times New Roman" w:cs="Times New Roman"/>
      <w:szCs w:val="20"/>
      <w:lang w:eastAsia="fr-FR"/>
    </w:rPr>
  </w:style>
  <w:style w:type="paragraph" w:customStyle="1" w:styleId="List68">
    <w:name w:val="List 68"/>
    <w:basedOn w:val="Normal"/>
    <w:autoRedefine/>
    <w:semiHidden/>
    <w:rsid w:val="002223B5"/>
    <w:pPr>
      <w:tabs>
        <w:tab w:val="num" w:pos="360"/>
      </w:tabs>
      <w:spacing w:after="0" w:line="240" w:lineRule="auto"/>
    </w:pPr>
    <w:rPr>
      <w:rFonts w:eastAsia="Times New Roman" w:cs="Times New Roman"/>
      <w:szCs w:val="20"/>
      <w:lang w:eastAsia="fr-FR"/>
    </w:rPr>
  </w:style>
  <w:style w:type="paragraph" w:customStyle="1" w:styleId="List70">
    <w:name w:val="List 70"/>
    <w:basedOn w:val="Normal"/>
    <w:semiHidden/>
    <w:rsid w:val="002223B5"/>
    <w:pPr>
      <w:tabs>
        <w:tab w:val="num" w:pos="360"/>
      </w:tabs>
      <w:spacing w:after="0" w:line="240" w:lineRule="auto"/>
    </w:pPr>
    <w:rPr>
      <w:rFonts w:eastAsia="Times New Roman" w:cs="Times New Roman"/>
      <w:szCs w:val="20"/>
      <w:lang w:eastAsia="fr-FR"/>
    </w:rPr>
  </w:style>
  <w:style w:type="character" w:styleId="CommentReference">
    <w:name w:val="annotation reference"/>
    <w:basedOn w:val="DefaultParagraphFont"/>
    <w:uiPriority w:val="99"/>
    <w:semiHidden/>
    <w:unhideWhenUsed/>
    <w:rsid w:val="000C2B48"/>
    <w:rPr>
      <w:sz w:val="16"/>
      <w:szCs w:val="16"/>
    </w:rPr>
  </w:style>
  <w:style w:type="paragraph" w:styleId="CommentText">
    <w:name w:val="annotation text"/>
    <w:basedOn w:val="Normal"/>
    <w:link w:val="CommentTextChar"/>
    <w:uiPriority w:val="99"/>
    <w:unhideWhenUsed/>
    <w:rsid w:val="000C2B48"/>
    <w:pPr>
      <w:spacing w:line="240" w:lineRule="auto"/>
    </w:pPr>
    <w:rPr>
      <w:szCs w:val="20"/>
    </w:rPr>
  </w:style>
  <w:style w:type="character" w:customStyle="1" w:styleId="CommentTextChar">
    <w:name w:val="Comment Text Char"/>
    <w:basedOn w:val="DefaultParagraphFont"/>
    <w:link w:val="CommentText"/>
    <w:uiPriority w:val="99"/>
    <w:rsid w:val="000C2B48"/>
    <w:rPr>
      <w:sz w:val="20"/>
      <w:szCs w:val="20"/>
    </w:rPr>
  </w:style>
  <w:style w:type="paragraph" w:styleId="CommentSubject">
    <w:name w:val="annotation subject"/>
    <w:basedOn w:val="CommentText"/>
    <w:next w:val="CommentText"/>
    <w:link w:val="CommentSubjectChar"/>
    <w:uiPriority w:val="99"/>
    <w:semiHidden/>
    <w:unhideWhenUsed/>
    <w:rsid w:val="000C2B48"/>
    <w:rPr>
      <w:b/>
      <w:bCs/>
    </w:rPr>
  </w:style>
  <w:style w:type="character" w:customStyle="1" w:styleId="CommentSubjectChar">
    <w:name w:val="Comment Subject Char"/>
    <w:basedOn w:val="CommentTextChar"/>
    <w:link w:val="CommentSubject"/>
    <w:uiPriority w:val="99"/>
    <w:semiHidden/>
    <w:rsid w:val="000C2B48"/>
    <w:rPr>
      <w:b/>
      <w:bCs/>
      <w:sz w:val="20"/>
      <w:szCs w:val="20"/>
    </w:rPr>
  </w:style>
  <w:style w:type="paragraph" w:styleId="NoSpacing">
    <w:name w:val="No Spacing"/>
    <w:basedOn w:val="Normal"/>
    <w:next w:val="Normal"/>
    <w:link w:val="NoSpacingChar"/>
    <w:uiPriority w:val="1"/>
    <w:qFormat/>
    <w:rsid w:val="00ED10CC"/>
    <w:pPr>
      <w:spacing w:after="0" w:line="240" w:lineRule="auto"/>
    </w:pPr>
    <w:rPr>
      <w:b/>
      <w:color w:val="808080" w:themeColor="background1" w:themeShade="80"/>
    </w:rPr>
  </w:style>
  <w:style w:type="paragraph" w:styleId="Revision">
    <w:name w:val="Revision"/>
    <w:hidden/>
    <w:uiPriority w:val="99"/>
    <w:semiHidden/>
    <w:rsid w:val="00B334C1"/>
    <w:pPr>
      <w:spacing w:after="0" w:line="240" w:lineRule="auto"/>
    </w:pPr>
  </w:style>
  <w:style w:type="table" w:styleId="TableGrid">
    <w:name w:val="Table Grid"/>
    <w:basedOn w:val="TableNormal"/>
    <w:uiPriority w:val="39"/>
    <w:rsid w:val="002D5B7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rsid w:val="00A95393"/>
    <w:pPr>
      <w:spacing w:after="160" w:line="240" w:lineRule="exact"/>
    </w:pPr>
    <w:rPr>
      <w:rFonts w:ascii="Verdana" w:eastAsia="MS Mincho" w:hAnsi="Verdana" w:cs="Verdana"/>
      <w:szCs w:val="20"/>
    </w:rPr>
  </w:style>
  <w:style w:type="paragraph" w:styleId="FootnoteText">
    <w:name w:val="footnote text"/>
    <w:basedOn w:val="Normal"/>
    <w:link w:val="FootnoteTextChar"/>
    <w:uiPriority w:val="99"/>
    <w:semiHidden/>
    <w:unhideWhenUsed/>
    <w:rsid w:val="00220472"/>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220472"/>
    <w:rPr>
      <w:rFonts w:ascii="Arial" w:hAnsi="Arial"/>
      <w:sz w:val="16"/>
      <w:szCs w:val="20"/>
    </w:rPr>
  </w:style>
  <w:style w:type="character" w:styleId="FootnoteReference">
    <w:name w:val="footnote reference"/>
    <w:basedOn w:val="DefaultParagraphFont"/>
    <w:uiPriority w:val="99"/>
    <w:semiHidden/>
    <w:unhideWhenUsed/>
    <w:rsid w:val="00220472"/>
    <w:rPr>
      <w:rFonts w:ascii="Arial" w:hAnsi="Arial"/>
      <w:sz w:val="20"/>
      <w:vertAlign w:val="superscript"/>
    </w:rPr>
  </w:style>
  <w:style w:type="paragraph" w:customStyle="1" w:styleId="imported-imported-ListParagraph">
    <w:name w:val="imported-imported-List Paragraph"/>
    <w:rsid w:val="00516131"/>
    <w:pPr>
      <w:spacing w:after="0" w:line="240" w:lineRule="auto"/>
      <w:ind w:left="720"/>
      <w:jc w:val="both"/>
    </w:pPr>
    <w:rPr>
      <w:rFonts w:ascii="Arial" w:eastAsia="Arial Unicode MS" w:hAnsi="Arial" w:cs="Times New Roman"/>
      <w:color w:val="000000"/>
      <w:sz w:val="20"/>
      <w:szCs w:val="20"/>
      <w:lang w:eastAsia="fr-FR"/>
    </w:rPr>
  </w:style>
  <w:style w:type="table" w:styleId="LightShading">
    <w:name w:val="Light Shading"/>
    <w:basedOn w:val="TableNormal"/>
    <w:uiPriority w:val="60"/>
    <w:rsid w:val="00245A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C84805"/>
    <w:rPr>
      <w:rFonts w:cs="Times New Roman"/>
      <w:sz w:val="24"/>
      <w:szCs w:val="24"/>
    </w:rPr>
  </w:style>
  <w:style w:type="character" w:customStyle="1" w:styleId="citecrochet1">
    <w:name w:val="cite_crochet1"/>
    <w:basedOn w:val="DefaultParagraphFont"/>
    <w:rsid w:val="007D2F3D"/>
    <w:rPr>
      <w:vanish/>
      <w:webHidden w:val="0"/>
      <w:specVanish w:val="0"/>
    </w:rPr>
  </w:style>
  <w:style w:type="paragraph" w:customStyle="1" w:styleId="Default">
    <w:name w:val="Default"/>
    <w:rsid w:val="00622211"/>
    <w:pPr>
      <w:autoSpaceDE w:val="0"/>
      <w:autoSpaceDN w:val="0"/>
      <w:adjustRightInd w:val="0"/>
      <w:spacing w:after="0" w:line="240" w:lineRule="auto"/>
    </w:pPr>
    <w:rPr>
      <w:rFonts w:ascii="Arial" w:hAnsi="Arial" w:cs="Arial"/>
      <w:color w:val="000000"/>
      <w:sz w:val="24"/>
      <w:szCs w:val="24"/>
    </w:rPr>
  </w:style>
  <w:style w:type="numbering" w:customStyle="1" w:styleId="List0">
    <w:name w:val="List 0"/>
    <w:basedOn w:val="Tiret"/>
    <w:rsid w:val="00593927"/>
  </w:style>
  <w:style w:type="numbering" w:customStyle="1" w:styleId="Tiret">
    <w:name w:val="Tiret"/>
    <w:rsid w:val="00593927"/>
  </w:style>
  <w:style w:type="numbering" w:customStyle="1" w:styleId="List01">
    <w:name w:val="List 01"/>
    <w:basedOn w:val="Tiret"/>
    <w:rsid w:val="00955CB2"/>
  </w:style>
  <w:style w:type="numbering" w:customStyle="1" w:styleId="Tiret1">
    <w:name w:val="Tiret1"/>
    <w:rsid w:val="00955CB2"/>
  </w:style>
  <w:style w:type="numbering" w:customStyle="1" w:styleId="List1">
    <w:name w:val="List 1"/>
    <w:basedOn w:val="NoList"/>
    <w:rsid w:val="00955CB2"/>
  </w:style>
  <w:style w:type="numbering" w:customStyle="1" w:styleId="Aucuneliste1">
    <w:name w:val="Aucune liste1"/>
    <w:next w:val="NoList"/>
    <w:uiPriority w:val="99"/>
    <w:semiHidden/>
    <w:unhideWhenUsed/>
    <w:rsid w:val="00B12FC7"/>
  </w:style>
  <w:style w:type="table" w:customStyle="1" w:styleId="Grilledutableau1">
    <w:name w:val="Grille du tableau1"/>
    <w:basedOn w:val="TableNormal"/>
    <w:next w:val="TableGrid"/>
    <w:uiPriority w:val="59"/>
    <w:rsid w:val="00B12FC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Default"/>
    <w:next w:val="Default"/>
    <w:uiPriority w:val="99"/>
    <w:rsid w:val="00707BB4"/>
    <w:pPr>
      <w:spacing w:line="221" w:lineRule="atLeast"/>
    </w:pPr>
    <w:rPr>
      <w:rFonts w:ascii="PF DinText Pro Light" w:hAnsi="PF DinText Pro Light" w:cstheme="minorBidi"/>
      <w:color w:val="auto"/>
    </w:rPr>
  </w:style>
  <w:style w:type="paragraph" w:customStyle="1" w:styleId="Pa2">
    <w:name w:val="Pa2"/>
    <w:basedOn w:val="Default"/>
    <w:next w:val="Default"/>
    <w:uiPriority w:val="99"/>
    <w:rsid w:val="00707BB4"/>
    <w:pPr>
      <w:spacing w:line="181" w:lineRule="atLeast"/>
    </w:pPr>
    <w:rPr>
      <w:rFonts w:ascii="PF DinText Pro Light" w:hAnsi="PF DinText Pro Light" w:cstheme="minorBidi"/>
      <w:color w:val="auto"/>
    </w:rPr>
  </w:style>
  <w:style w:type="paragraph" w:customStyle="1" w:styleId="Pa0">
    <w:name w:val="Pa0"/>
    <w:basedOn w:val="Default"/>
    <w:next w:val="Default"/>
    <w:uiPriority w:val="99"/>
    <w:rsid w:val="00707BB4"/>
    <w:pPr>
      <w:spacing w:line="181" w:lineRule="atLeast"/>
    </w:pPr>
    <w:rPr>
      <w:rFonts w:ascii="PF DinText Pro Light" w:hAnsi="PF DinText Pro Light" w:cstheme="minorBidi"/>
      <w:color w:val="auto"/>
    </w:rPr>
  </w:style>
  <w:style w:type="paragraph" w:customStyle="1" w:styleId="Pa16">
    <w:name w:val="Pa16"/>
    <w:basedOn w:val="Default"/>
    <w:next w:val="Default"/>
    <w:uiPriority w:val="99"/>
    <w:rsid w:val="00707BB4"/>
    <w:pPr>
      <w:spacing w:line="181" w:lineRule="atLeast"/>
    </w:pPr>
    <w:rPr>
      <w:rFonts w:ascii="PF DinText Pro Light" w:hAnsi="PF DinText Pro Light" w:cstheme="minorBidi"/>
      <w:color w:val="auto"/>
    </w:rPr>
  </w:style>
  <w:style w:type="character" w:customStyle="1" w:styleId="Heading5Char">
    <w:name w:val="Heading 5 Char"/>
    <w:basedOn w:val="DefaultParagraphFont"/>
    <w:link w:val="Heading5"/>
    <w:uiPriority w:val="9"/>
    <w:semiHidden/>
    <w:rsid w:val="00D90D75"/>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D90D75"/>
    <w:rPr>
      <w:rFonts w:asciiTheme="majorHAnsi" w:eastAsiaTheme="majorEastAsia" w:hAnsiTheme="majorHAnsi" w:cstheme="majorBidi"/>
      <w:i/>
      <w:iCs/>
      <w:color w:val="243F60" w:themeColor="accent1" w:themeShade="7F"/>
      <w:sz w:val="20"/>
    </w:rPr>
  </w:style>
  <w:style w:type="numbering" w:customStyle="1" w:styleId="List02">
    <w:name w:val="List 02"/>
    <w:basedOn w:val="Tiret"/>
    <w:rsid w:val="00D90D75"/>
    <w:pPr>
      <w:numPr>
        <w:numId w:val="2"/>
      </w:numPr>
    </w:pPr>
  </w:style>
  <w:style w:type="numbering" w:customStyle="1" w:styleId="Tiret2">
    <w:name w:val="Tiret2"/>
    <w:rsid w:val="00D90D75"/>
    <w:pPr>
      <w:numPr>
        <w:numId w:val="3"/>
      </w:numPr>
    </w:pPr>
  </w:style>
  <w:style w:type="numbering" w:customStyle="1" w:styleId="List011">
    <w:name w:val="List 011"/>
    <w:basedOn w:val="Tiret"/>
    <w:rsid w:val="00D90D75"/>
    <w:pPr>
      <w:numPr>
        <w:numId w:val="4"/>
      </w:numPr>
    </w:pPr>
  </w:style>
  <w:style w:type="numbering" w:customStyle="1" w:styleId="Tiret11">
    <w:name w:val="Tiret11"/>
    <w:rsid w:val="00D90D75"/>
    <w:pPr>
      <w:numPr>
        <w:numId w:val="5"/>
      </w:numPr>
    </w:pPr>
  </w:style>
  <w:style w:type="numbering" w:customStyle="1" w:styleId="List11">
    <w:name w:val="List 11"/>
    <w:basedOn w:val="NoList"/>
    <w:rsid w:val="00D90D75"/>
    <w:pPr>
      <w:numPr>
        <w:numId w:val="6"/>
      </w:numPr>
    </w:pPr>
  </w:style>
  <w:style w:type="table" w:customStyle="1" w:styleId="Grilledutableau2">
    <w:name w:val="Grille du tableau2"/>
    <w:basedOn w:val="TableNormal"/>
    <w:next w:val="TableGrid"/>
    <w:uiPriority w:val="59"/>
    <w:rsid w:val="00D90D75"/>
    <w:pPr>
      <w:spacing w:after="0" w:line="240" w:lineRule="auto"/>
    </w:pPr>
    <w:rPr>
      <w:rFonts w:eastAsia="Times New Roman"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D90D75"/>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D90D75"/>
    <w:pPr>
      <w:spacing w:after="0" w:line="240" w:lineRule="auto"/>
    </w:pPr>
    <w:rPr>
      <w:rFonts w:cs="Arial"/>
      <w:iCs/>
      <w:sz w:val="22"/>
    </w:rPr>
  </w:style>
  <w:style w:type="character" w:customStyle="1" w:styleId="BodyText3Char">
    <w:name w:val="Body Text 3 Char"/>
    <w:basedOn w:val="DefaultParagraphFont"/>
    <w:link w:val="BodyText3"/>
    <w:uiPriority w:val="99"/>
    <w:rsid w:val="00D90D75"/>
    <w:rPr>
      <w:rFonts w:ascii="Arial" w:hAnsi="Arial" w:cs="Arial"/>
      <w:iCs/>
    </w:rPr>
  </w:style>
  <w:style w:type="paragraph" w:styleId="BodyText">
    <w:name w:val="Body Text"/>
    <w:basedOn w:val="Normal"/>
    <w:link w:val="BodyTextChar"/>
    <w:uiPriority w:val="99"/>
    <w:semiHidden/>
    <w:unhideWhenUsed/>
    <w:rsid w:val="00D90D75"/>
    <w:pPr>
      <w:spacing w:after="120"/>
    </w:pPr>
  </w:style>
  <w:style w:type="character" w:customStyle="1" w:styleId="BodyTextChar">
    <w:name w:val="Body Text Char"/>
    <w:basedOn w:val="DefaultParagraphFont"/>
    <w:link w:val="BodyText"/>
    <w:uiPriority w:val="99"/>
    <w:semiHidden/>
    <w:rsid w:val="00D90D75"/>
    <w:rPr>
      <w:rFonts w:ascii="Arial" w:hAnsi="Arial"/>
      <w:sz w:val="20"/>
    </w:rPr>
  </w:style>
  <w:style w:type="table" w:customStyle="1" w:styleId="Grilledutableau4">
    <w:name w:val="Grille du tableau4"/>
    <w:basedOn w:val="TableNormal"/>
    <w:next w:val="TableGrid"/>
    <w:uiPriority w:val="59"/>
    <w:rsid w:val="00D90D75"/>
    <w:pPr>
      <w:spacing w:after="0" w:line="240" w:lineRule="auto"/>
      <w:ind w:firstLine="36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90D75"/>
    <w:pPr>
      <w:spacing w:after="0" w:line="240" w:lineRule="auto"/>
    </w:pPr>
    <w:rPr>
      <w:szCs w:val="20"/>
    </w:rPr>
  </w:style>
  <w:style w:type="character" w:customStyle="1" w:styleId="EndnoteTextChar">
    <w:name w:val="Endnote Text Char"/>
    <w:basedOn w:val="DefaultParagraphFont"/>
    <w:link w:val="EndnoteText"/>
    <w:uiPriority w:val="99"/>
    <w:semiHidden/>
    <w:rsid w:val="00D90D75"/>
    <w:rPr>
      <w:rFonts w:ascii="Arial" w:hAnsi="Arial"/>
      <w:sz w:val="20"/>
      <w:szCs w:val="20"/>
    </w:rPr>
  </w:style>
  <w:style w:type="character" w:styleId="EndnoteReference">
    <w:name w:val="endnote reference"/>
    <w:basedOn w:val="DefaultParagraphFont"/>
    <w:uiPriority w:val="99"/>
    <w:semiHidden/>
    <w:unhideWhenUsed/>
    <w:rsid w:val="00D90D75"/>
    <w:rPr>
      <w:vertAlign w:val="superscript"/>
    </w:rPr>
  </w:style>
  <w:style w:type="table" w:customStyle="1" w:styleId="Grilledutableau5">
    <w:name w:val="Grille du tableau5"/>
    <w:basedOn w:val="TableNormal"/>
    <w:next w:val="TableGrid"/>
    <w:rsid w:val="00D90D75"/>
    <w:pPr>
      <w:spacing w:after="0" w:line="240" w:lineRule="auto"/>
    </w:pPr>
    <w:rPr>
      <w:rFonts w:eastAsia="Times New Roman" w:cs="Times New Roman"/>
      <w:sz w:val="20"/>
      <w:szCs w:val="20"/>
      <w:lang w:eastAsia="fr-FR"/>
    </w:rPr>
    <w:tblPr>
      <w:tblStyleRowBandSize w:val="1"/>
    </w:tblPr>
    <w:tcPr>
      <w:shd w:val="clear" w:color="auto" w:fill="CCCCCC"/>
    </w:tcPr>
    <w:tblStylePr w:type="band1Horz">
      <w:tblPr/>
      <w:tcPr>
        <w:tcBorders>
          <w:top w:val="nil"/>
          <w:left w:val="nil"/>
          <w:bottom w:val="nil"/>
          <w:right w:val="nil"/>
          <w:insideH w:val="nil"/>
          <w:insideV w:val="nil"/>
          <w:tl2br w:val="nil"/>
          <w:tr2bl w:val="nil"/>
        </w:tcBorders>
        <w:shd w:val="clear" w:color="auto" w:fill="E0E0E0"/>
      </w:tcPr>
    </w:tblStylePr>
  </w:style>
  <w:style w:type="character" w:customStyle="1" w:styleId="apple-converted-space">
    <w:name w:val="apple-converted-space"/>
    <w:basedOn w:val="DefaultParagraphFont"/>
    <w:rsid w:val="00D90D75"/>
  </w:style>
  <w:style w:type="character" w:customStyle="1" w:styleId="st1">
    <w:name w:val="st1"/>
    <w:basedOn w:val="DefaultParagraphFont"/>
    <w:rsid w:val="00D90D75"/>
  </w:style>
  <w:style w:type="character" w:customStyle="1" w:styleId="NoSpacingChar">
    <w:name w:val="No Spacing Char"/>
    <w:basedOn w:val="DefaultParagraphFont"/>
    <w:link w:val="NoSpacing"/>
    <w:uiPriority w:val="1"/>
    <w:rsid w:val="00C13756"/>
    <w:rPr>
      <w:rFonts w:ascii="Arial" w:hAnsi="Arial"/>
      <w:b/>
      <w:color w:val="808080" w:themeColor="background1" w:themeShade="80"/>
      <w:sz w:val="20"/>
    </w:rPr>
  </w:style>
  <w:style w:type="paragraph" w:styleId="Title">
    <w:name w:val="Title"/>
    <w:basedOn w:val="Normal"/>
    <w:next w:val="Normal"/>
    <w:link w:val="TitleChar"/>
    <w:uiPriority w:val="10"/>
    <w:qFormat/>
    <w:rsid w:val="00CC2BC4"/>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leChar">
    <w:name w:val="Title Char"/>
    <w:basedOn w:val="DefaultParagraphFont"/>
    <w:link w:val="Title"/>
    <w:uiPriority w:val="10"/>
    <w:rsid w:val="00CC2BC4"/>
    <w:rPr>
      <w:rFonts w:asciiTheme="majorHAnsi" w:eastAsiaTheme="majorEastAsia" w:hAnsiTheme="majorHAnsi" w:cstheme="majorBidi"/>
      <w:color w:val="404040" w:themeColor="text1" w:themeTint="BF"/>
      <w:spacing w:val="-10"/>
      <w:kern w:val="28"/>
      <w:sz w:val="56"/>
      <w:szCs w:val="56"/>
      <w:lang w:eastAsia="fr-FR"/>
    </w:rPr>
  </w:style>
  <w:style w:type="paragraph" w:styleId="Subtitle">
    <w:name w:val="Subtitle"/>
    <w:basedOn w:val="Normal"/>
    <w:next w:val="Normal"/>
    <w:link w:val="SubtitleChar"/>
    <w:uiPriority w:val="11"/>
    <w:qFormat/>
    <w:rsid w:val="00CC2BC4"/>
    <w:pPr>
      <w:numPr>
        <w:ilvl w:val="1"/>
      </w:numPr>
      <w:spacing w:after="160" w:line="259" w:lineRule="auto"/>
      <w:jc w:val="left"/>
    </w:pPr>
    <w:rPr>
      <w:rFonts w:asciiTheme="minorHAnsi" w:eastAsiaTheme="minorEastAsia" w:hAnsiTheme="minorHAnsi" w:cs="Times New Roman"/>
      <w:color w:val="5A5A5A" w:themeColor="text1" w:themeTint="A5"/>
      <w:spacing w:val="15"/>
      <w:sz w:val="22"/>
      <w:lang w:eastAsia="fr-FR"/>
    </w:rPr>
  </w:style>
  <w:style w:type="character" w:customStyle="1" w:styleId="SubtitleChar">
    <w:name w:val="Subtitle Char"/>
    <w:basedOn w:val="DefaultParagraphFont"/>
    <w:link w:val="Subtitle"/>
    <w:uiPriority w:val="11"/>
    <w:rsid w:val="00CC2BC4"/>
    <w:rPr>
      <w:rFonts w:asciiTheme="minorHAnsi" w:eastAsiaTheme="minorEastAsia" w:hAnsiTheme="minorHAnsi" w:cs="Times New Roman"/>
      <w:color w:val="5A5A5A" w:themeColor="text1" w:themeTint="A5"/>
      <w:spacing w:val="15"/>
      <w:lang w:eastAsia="fr-FR"/>
    </w:rPr>
  </w:style>
  <w:style w:type="table" w:customStyle="1" w:styleId="Grilledutableau31">
    <w:name w:val="Grille du tableau31"/>
    <w:basedOn w:val="TableNormal"/>
    <w:next w:val="TableGrid"/>
    <w:uiPriority w:val="59"/>
    <w:rsid w:val="002B5C2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C1FA5"/>
    <w:rPr>
      <w:color w:val="808080"/>
      <w:shd w:val="clear" w:color="auto" w:fill="E6E6E6"/>
    </w:rPr>
  </w:style>
  <w:style w:type="character" w:customStyle="1" w:styleId="field-content2">
    <w:name w:val="field-content2"/>
    <w:basedOn w:val="DefaultParagraphFont"/>
    <w:rsid w:val="00032D4F"/>
  </w:style>
  <w:style w:type="table" w:styleId="GridTable4Accent1">
    <w:name w:val="Grid Table 4 Accent 1"/>
    <w:basedOn w:val="TableNormal"/>
    <w:uiPriority w:val="49"/>
    <w:rsid w:val="00A347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List03">
    <w:name w:val="List 03"/>
    <w:basedOn w:val="Tiret"/>
    <w:rsid w:val="00BC6FE8"/>
    <w:pPr>
      <w:numPr>
        <w:numId w:val="7"/>
      </w:numPr>
    </w:pPr>
  </w:style>
  <w:style w:type="numbering" w:customStyle="1" w:styleId="Tiret3">
    <w:name w:val="Tiret3"/>
    <w:rsid w:val="00BC6FE8"/>
    <w:pPr>
      <w:numPr>
        <w:numId w:val="8"/>
      </w:numPr>
    </w:pPr>
  </w:style>
  <w:style w:type="numbering" w:customStyle="1" w:styleId="List012">
    <w:name w:val="List 012"/>
    <w:basedOn w:val="Tiret"/>
    <w:rsid w:val="00BC6FE8"/>
    <w:pPr>
      <w:numPr>
        <w:numId w:val="9"/>
      </w:numPr>
    </w:pPr>
  </w:style>
  <w:style w:type="numbering" w:customStyle="1" w:styleId="Tiret12">
    <w:name w:val="Tiret12"/>
    <w:rsid w:val="00BC6FE8"/>
    <w:pPr>
      <w:numPr>
        <w:numId w:val="10"/>
      </w:numPr>
    </w:pPr>
  </w:style>
  <w:style w:type="numbering" w:customStyle="1" w:styleId="List12">
    <w:name w:val="List 12"/>
    <w:basedOn w:val="NoList"/>
    <w:rsid w:val="00BC6FE8"/>
    <w:pPr>
      <w:numPr>
        <w:numId w:val="11"/>
      </w:numPr>
    </w:pPr>
  </w:style>
  <w:style w:type="character" w:styleId="Strong">
    <w:name w:val="Strong"/>
    <w:basedOn w:val="DefaultParagraphFont"/>
    <w:uiPriority w:val="22"/>
    <w:qFormat/>
    <w:rsid w:val="00BC6FE8"/>
    <w:rPr>
      <w:b/>
      <w:bCs/>
    </w:rPr>
  </w:style>
  <w:style w:type="table" w:customStyle="1" w:styleId="Grilledutableau6">
    <w:name w:val="Grille du tableau6"/>
    <w:basedOn w:val="TableNormal"/>
    <w:uiPriority w:val="59"/>
    <w:rsid w:val="003445CF"/>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uiPriority w:val="59"/>
    <w:rsid w:val="004850CE"/>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0E05"/>
    <w:rPr>
      <w:color w:val="800080" w:themeColor="followedHyperlink"/>
      <w:u w:val="single"/>
    </w:rPr>
  </w:style>
  <w:style w:type="character" w:styleId="Emphasis">
    <w:name w:val="Emphasis"/>
    <w:basedOn w:val="DefaultParagraphFont"/>
    <w:uiPriority w:val="20"/>
    <w:qFormat/>
    <w:rsid w:val="00682440"/>
    <w:rPr>
      <w:i/>
      <w:iCs/>
    </w:rPr>
  </w:style>
  <w:style w:type="character" w:customStyle="1" w:styleId="Mentionnonrsolue1">
    <w:name w:val="Mention non résolue1"/>
    <w:basedOn w:val="DefaultParagraphFont"/>
    <w:uiPriority w:val="99"/>
    <w:semiHidden/>
    <w:unhideWhenUsed/>
    <w:rsid w:val="00054DA8"/>
    <w:rPr>
      <w:color w:val="808080"/>
      <w:shd w:val="clear" w:color="auto" w:fill="E6E6E6"/>
    </w:rPr>
  </w:style>
  <w:style w:type="table" w:customStyle="1" w:styleId="TableauGrille4-Accentuation11">
    <w:name w:val="Tableau Grille 4 - Accentuation 11"/>
    <w:basedOn w:val="TableNormal"/>
    <w:uiPriority w:val="49"/>
    <w:rsid w:val="00054D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emf" /><Relationship Id="rId11" Type="http://schemas.openxmlformats.org/officeDocument/2006/relationships/image" Target="media/image4.png" /><Relationship Id="rId12" Type="http://schemas.openxmlformats.org/officeDocument/2006/relationships/image" Target="cid:image005.png@01D43AEE.B77E1D30" TargetMode="External" /><Relationship Id="rId13" Type="http://schemas.openxmlformats.org/officeDocument/2006/relationships/image" Target="media/image5.emf" /><Relationship Id="rId14" Type="http://schemas.openxmlformats.org/officeDocument/2006/relationships/image" Target="media/image6.png" /><Relationship Id="rId15" Type="http://schemas.openxmlformats.org/officeDocument/2006/relationships/image" Target="cid:image006.png@01D43AEE.B77E1D30" TargetMode="External" /><Relationship Id="rId16" Type="http://schemas.openxmlformats.org/officeDocument/2006/relationships/image" Target="media/image7.png" /><Relationship Id="rId17" Type="http://schemas.openxmlformats.org/officeDocument/2006/relationships/image" Target="cid:image001.png@01D43AD3.B326C540" TargetMode="External" /><Relationship Id="rId18" Type="http://schemas.openxmlformats.org/officeDocument/2006/relationships/image" Target="media/image8.emf" /><Relationship Id="rId19" Type="http://schemas.openxmlformats.org/officeDocument/2006/relationships/image" Target="media/image9.emf" /><Relationship Id="rId2" Type="http://schemas.openxmlformats.org/officeDocument/2006/relationships/settings" Target="settings.xml" /><Relationship Id="rId20" Type="http://schemas.openxmlformats.org/officeDocument/2006/relationships/image" Target="media/image10.emf" /><Relationship Id="rId21" Type="http://schemas.openxmlformats.org/officeDocument/2006/relationships/image" Target="media/image11.emf" /><Relationship Id="rId22" Type="http://schemas.openxmlformats.org/officeDocument/2006/relationships/image" Target="media/image12.emf" /><Relationship Id="rId23" Type="http://schemas.openxmlformats.org/officeDocument/2006/relationships/image" Target="media/image13.png" /><Relationship Id="rId24" Type="http://schemas.openxmlformats.org/officeDocument/2006/relationships/image" Target="cid:image008.png@01D43AF1.2C2C5820" TargetMode="External" /><Relationship Id="rId25" Type="http://schemas.openxmlformats.org/officeDocument/2006/relationships/image" Target="media/image14.png" /><Relationship Id="rId26" Type="http://schemas.openxmlformats.org/officeDocument/2006/relationships/image" Target="media/image15.emf" /><Relationship Id="rId27" Type="http://schemas.openxmlformats.org/officeDocument/2006/relationships/image" Target="media/image16.emf" /><Relationship Id="rId28" Type="http://schemas.openxmlformats.org/officeDocument/2006/relationships/image" Target="media/image17.emf" /><Relationship Id="rId29" Type="http://schemas.openxmlformats.org/officeDocument/2006/relationships/image" Target="media/image18.emf" /><Relationship Id="rId3" Type="http://schemas.openxmlformats.org/officeDocument/2006/relationships/webSettings" Target="webSettings.xml" /><Relationship Id="rId30" Type="http://schemas.openxmlformats.org/officeDocument/2006/relationships/image" Target="media/image19.emf" /><Relationship Id="rId31" Type="http://schemas.openxmlformats.org/officeDocument/2006/relationships/image" Target="media/image20.png" /><Relationship Id="rId32" Type="http://schemas.openxmlformats.org/officeDocument/2006/relationships/image" Target="cid:image002.png@01D43AF1.2C47CF60" TargetMode="External" /><Relationship Id="rId33" Type="http://schemas.openxmlformats.org/officeDocument/2006/relationships/image" Target="media/image21.png" /><Relationship Id="rId34" Type="http://schemas.openxmlformats.org/officeDocument/2006/relationships/image" Target="media/image22.emf" /><Relationship Id="rId35" Type="http://schemas.openxmlformats.org/officeDocument/2006/relationships/image" Target="media/image23.emf" /><Relationship Id="rId36" Type="http://schemas.openxmlformats.org/officeDocument/2006/relationships/image" Target="media/image24.emf" /><Relationship Id="rId37" Type="http://schemas.openxmlformats.org/officeDocument/2006/relationships/image" Target="media/image25.emf" /><Relationship Id="rId38" Type="http://schemas.openxmlformats.org/officeDocument/2006/relationships/image" Target="media/image26.emf" /><Relationship Id="rId39" Type="http://schemas.openxmlformats.org/officeDocument/2006/relationships/image" Target="media/image27.emf" /><Relationship Id="rId4" Type="http://schemas.openxmlformats.org/officeDocument/2006/relationships/fontTable" Target="fontTable.xml" /><Relationship Id="rId40" Type="http://schemas.openxmlformats.org/officeDocument/2006/relationships/image" Target="media/image28.jpeg" /><Relationship Id="rId41" Type="http://schemas.openxmlformats.org/officeDocument/2006/relationships/image" Target="media/image29.png" /><Relationship Id="rId42" Type="http://schemas.openxmlformats.org/officeDocument/2006/relationships/image" Target="cid:image009.png@01D43AF6.AACE9C60" TargetMode="External" /><Relationship Id="rId43" Type="http://schemas.openxmlformats.org/officeDocument/2006/relationships/image" Target="media/image30.emf" /><Relationship Id="rId44" Type="http://schemas.openxmlformats.org/officeDocument/2006/relationships/image" Target="media/image31.png" /><Relationship Id="rId45" Type="http://schemas.openxmlformats.org/officeDocument/2006/relationships/image" Target="cid:image002.png@01D43BCC.956CA700" TargetMode="External" /><Relationship Id="rId46" Type="http://schemas.openxmlformats.org/officeDocument/2006/relationships/chart" Target="charts/chart1.xml" /><Relationship Id="rId47" Type="http://schemas.openxmlformats.org/officeDocument/2006/relationships/image" Target="media/image32.png" /><Relationship Id="rId48" Type="http://schemas.openxmlformats.org/officeDocument/2006/relationships/image" Target="cid:image004.png@01D43DF9.9A3172F0" TargetMode="External" /><Relationship Id="rId49" Type="http://schemas.openxmlformats.org/officeDocument/2006/relationships/chart" Target="charts/chart2.xml" /><Relationship Id="rId5" Type="http://schemas.openxmlformats.org/officeDocument/2006/relationships/customXml" Target="../customXml/item1.xml" /><Relationship Id="rId50" Type="http://schemas.openxmlformats.org/officeDocument/2006/relationships/chart" Target="charts/chart3.xml" /><Relationship Id="rId51" Type="http://schemas.openxmlformats.org/officeDocument/2006/relationships/chart" Target="charts/chart4.xml" /><Relationship Id="rId52" Type="http://schemas.openxmlformats.org/officeDocument/2006/relationships/image" Target="media/image33.png" /><Relationship Id="rId53" Type="http://schemas.openxmlformats.org/officeDocument/2006/relationships/image" Target="cid:image001.png@01D43FAB.5D265DE0" TargetMode="External" /><Relationship Id="rId54" Type="http://schemas.openxmlformats.org/officeDocument/2006/relationships/image" Target="media/image34.emf" /><Relationship Id="rId55" Type="http://schemas.openxmlformats.org/officeDocument/2006/relationships/image" Target="media/image35.emf" /><Relationship Id="rId56" Type="http://schemas.openxmlformats.org/officeDocument/2006/relationships/image" Target="media/image36.emf" /><Relationship Id="rId57" Type="http://schemas.openxmlformats.org/officeDocument/2006/relationships/image" Target="media/image37.emf" /><Relationship Id="rId58" Type="http://schemas.openxmlformats.org/officeDocument/2006/relationships/image" Target="media/image38.emf" /><Relationship Id="rId59" Type="http://schemas.openxmlformats.org/officeDocument/2006/relationships/image" Target="media/image39.emf" /><Relationship Id="rId6" Type="http://schemas.openxmlformats.org/officeDocument/2006/relationships/customXml" Target="../customXml/item2.xml" /><Relationship Id="rId60" Type="http://schemas.openxmlformats.org/officeDocument/2006/relationships/image" Target="media/image40.emf" /><Relationship Id="rId61" Type="http://schemas.openxmlformats.org/officeDocument/2006/relationships/image" Target="media/image41.emf" /><Relationship Id="rId62" Type="http://schemas.openxmlformats.org/officeDocument/2006/relationships/image" Target="media/image42.emf" /><Relationship Id="rId63" Type="http://schemas.openxmlformats.org/officeDocument/2006/relationships/image" Target="media/image43.jpeg" /><Relationship Id="rId64" Type="http://schemas.openxmlformats.org/officeDocument/2006/relationships/image" Target="media/image44.emf" /><Relationship Id="rId65" Type="http://schemas.openxmlformats.org/officeDocument/2006/relationships/image" Target="media/image45.emf" /><Relationship Id="rId66" Type="http://schemas.openxmlformats.org/officeDocument/2006/relationships/image" Target="media/image46.emf" /><Relationship Id="rId67" Type="http://schemas.openxmlformats.org/officeDocument/2006/relationships/image" Target="media/image47.emf" /><Relationship Id="rId68" Type="http://schemas.openxmlformats.org/officeDocument/2006/relationships/image" Target="media/image48.emf" /><Relationship Id="rId69" Type="http://schemas.openxmlformats.org/officeDocument/2006/relationships/image" Target="media/image49.jpeg" /><Relationship Id="rId7" Type="http://schemas.openxmlformats.org/officeDocument/2006/relationships/image" Target="media/image1.jpeg" /><Relationship Id="rId70" Type="http://schemas.openxmlformats.org/officeDocument/2006/relationships/image" Target="media/image50.emf" /><Relationship Id="rId71" Type="http://schemas.openxmlformats.org/officeDocument/2006/relationships/image" Target="media/image51.emf" /><Relationship Id="rId72" Type="http://schemas.openxmlformats.org/officeDocument/2006/relationships/image" Target="media/image52.emf" /><Relationship Id="rId73" Type="http://schemas.openxmlformats.org/officeDocument/2006/relationships/image" Target="media/image53.emf" /><Relationship Id="rId74" Type="http://schemas.openxmlformats.org/officeDocument/2006/relationships/image" Target="media/image54.emf" /><Relationship Id="rId75" Type="http://schemas.openxmlformats.org/officeDocument/2006/relationships/image" Target="media/image55.jpeg" /><Relationship Id="rId76" Type="http://schemas.openxmlformats.org/officeDocument/2006/relationships/image" Target="media/image56.emf" /><Relationship Id="rId77" Type="http://schemas.openxmlformats.org/officeDocument/2006/relationships/image" Target="media/image57.emf" /><Relationship Id="rId78" Type="http://schemas.openxmlformats.org/officeDocument/2006/relationships/image" Target="media/image58.emf" /><Relationship Id="rId79" Type="http://schemas.openxmlformats.org/officeDocument/2006/relationships/image" Target="media/image59.emf" /><Relationship Id="rId8" Type="http://schemas.openxmlformats.org/officeDocument/2006/relationships/hyperlink" Target="http://www.sncf-reseau.fr/en/national-rail-network-statement" TargetMode="External" /><Relationship Id="rId80" Type="http://schemas.openxmlformats.org/officeDocument/2006/relationships/image" Target="media/image60.emf" /><Relationship Id="rId81" Type="http://schemas.openxmlformats.org/officeDocument/2006/relationships/image" Target="media/image61.emf" /><Relationship Id="rId82" Type="http://schemas.openxmlformats.org/officeDocument/2006/relationships/header" Target="header1.xml" /><Relationship Id="rId83" Type="http://schemas.openxmlformats.org/officeDocument/2006/relationships/footer" Target="footer1.xml" /><Relationship Id="rId84" Type="http://schemas.openxmlformats.org/officeDocument/2006/relationships/image" Target="media/image62.png" /><Relationship Id="rId85" Type="http://schemas.openxmlformats.org/officeDocument/2006/relationships/footer" Target="footer2.xml" /><Relationship Id="rId86" Type="http://schemas.openxmlformats.org/officeDocument/2006/relationships/hyperlink" Target="mailto:epsf@securite-ferroviaire.fr" TargetMode="External" /><Relationship Id="rId87" Type="http://schemas.openxmlformats.org/officeDocument/2006/relationships/hyperlink" Target="http://www.securite-ferroviaire.fr" TargetMode="External" /><Relationship Id="rId88" Type="http://schemas.openxmlformats.org/officeDocument/2006/relationships/theme" Target="theme/theme1.xml" /><Relationship Id="rId89" Type="http://schemas.openxmlformats.org/officeDocument/2006/relationships/numbering" Target="numbering.xml" /><Relationship Id="rId9" Type="http://schemas.openxmlformats.org/officeDocument/2006/relationships/image" Target="media/image2.emf" /><Relationship Id="rId90" Type="http://schemas.openxmlformats.org/officeDocument/2006/relationships/styles" Target="styles.xm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2.xml" /><Relationship Id="rId3" Type="http://schemas.microsoft.com/office/2011/relationships/chartColorStyle" Target="chart/colors2.xml" /><Relationship Id="rId4"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oleObject" Target="../embeddings/OleObject1.bin" /><Relationship Id="rId2" Type="http://schemas.openxmlformats.org/officeDocument/2006/relationships/themeOverride" Target="../theme/themeOverride3.xml" /></Relationships>
</file>

<file path=word/charts/_rels/chart4.xml.rels>&#65279;<?xml version="1.0" encoding="utf-8" standalone="yes"?><Relationships xmlns="http://schemas.openxmlformats.org/package/2006/relationships"><Relationship Id="rId1" Type="http://schemas.openxmlformats.org/officeDocument/2006/relationships/oleObject" Target="file:///C:\Users\s.queva\AppData\Local\Microsoft\Windows\Temporary%20Internet%20Files\Content.Outlook\8020MEUO\Classeur1.xlsx" TargetMode="External" /></Relationships>
</file>

<file path=word/charts/chart/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Nombre</a:t>
            </a:r>
            <a:r>
              <a:rPr lang="fr-FR" sz="1000" baseline="0">
                <a:latin typeface="Arial" panose="020B0604020202020204" pitchFamily="34" charset="0"/>
                <a:cs typeface="Arial" panose="020B0604020202020204" pitchFamily="34" charset="0"/>
              </a:rPr>
              <a:t> total de déshuntages</a:t>
            </a:r>
            <a:endParaRPr lang="fr-FR" sz="10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Feuil1!$A$3:$A$7</c:f>
              <c:numCache>
                <c:formatCode>General</c:formatCode>
                <c:ptCount val="5"/>
                <c:pt idx="0">
                  <c:v>2013</c:v>
                </c:pt>
                <c:pt idx="1">
                  <c:v>2014</c:v>
                </c:pt>
                <c:pt idx="2">
                  <c:v>2015</c:v>
                </c:pt>
                <c:pt idx="3">
                  <c:v>2016</c:v>
                </c:pt>
                <c:pt idx="4">
                  <c:v>2017</c:v>
                </c:pt>
              </c:numCache>
            </c:numRef>
          </c:cat>
          <c:val>
            <c:numRef>
              <c:f>Feuil1!$B$3:$B$7</c:f>
              <c:numCache>
                <c:formatCode>General</c:formatCode>
                <c:ptCount val="5"/>
                <c:pt idx="0">
                  <c:v>42</c:v>
                </c:pt>
                <c:pt idx="1">
                  <c:v>45</c:v>
                </c:pt>
                <c:pt idx="2">
                  <c:v>65</c:v>
                </c:pt>
                <c:pt idx="3">
                  <c:v>47</c:v>
                </c:pt>
                <c:pt idx="4">
                  <c:v>65</c:v>
                </c:pt>
              </c:numCache>
            </c:numRef>
          </c:val>
          <c:extLst>
            <c:ext xmlns:c="http://schemas.openxmlformats.org/drawingml/2006/chart" xmlns:c16="http://schemas.microsoft.com/office/drawing/2014/chart" uri="{C3380CC4-5D6E-409C-BE32-E72D297353CC}">
              <c16:uniqueId val="{00000000-EEF5-4B5A-9DB6-7927CDA9E605}"/>
            </c:ext>
          </c:extLst>
        </c:ser>
        <c:dLbls>
          <c:showLegendKey val="0"/>
          <c:showVal val="0"/>
          <c:showCatName val="0"/>
          <c:showSerName val="0"/>
          <c:showPercent val="0"/>
          <c:showBubbleSize val="0"/>
        </c:dLbls>
        <c:gapWidth val="219"/>
        <c:axId val="817312024"/>
        <c:axId val="817312808"/>
      </c:barChart>
      <c:catAx>
        <c:axId val="8173120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7312808"/>
        <c:crosses val="autoZero"/>
        <c:auto val="1"/>
        <c:lblAlgn val="ctr"/>
        <c:lblOffset val="100"/>
        <c:noMultiLvlLbl val="0"/>
      </c:catAx>
      <c:valAx>
        <c:axId val="817312808"/>
        <c:scaling>
          <c:orientation val="minMax"/>
        </c:scaling>
        <c:delete val="1"/>
        <c:axPos val="l"/>
        <c:majorGridlines>
          <c:spPr>
            <a:ln w="9525">
              <a:noFill/>
              <a:round/>
            </a:ln>
            <a:effectLst/>
          </c:spPr>
        </c:majorGridlines>
        <c:numFmt formatCode="General" sourceLinked="1"/>
        <c:majorTickMark val="none"/>
        <c:minorTickMark val="none"/>
        <c:tickLblPos val="nextTo"/>
        <c:crossAx val="81731202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Classement</a:t>
            </a:r>
            <a:r>
              <a:rPr lang="fr-FR" baseline="0"/>
              <a:t> par causes</a:t>
            </a:r>
            <a:endParaRPr lang="fr-F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6">
                  <a:lumMod val="60000"/>
                  <a:lumOff val="40000"/>
                </a:schemeClr>
              </a:solidFill>
              <a:ln w="19050">
                <a:solidFill>
                  <a:schemeClr val="lt1"/>
                </a:solidFill>
              </a:ln>
              <a:effectLst/>
            </c:spPr>
            <c:extLst>
              <c:ext xmlns:c="http://schemas.openxmlformats.org/drawingml/2006/chart" xmlns:c16="http://schemas.microsoft.com/office/drawing/2014/chart" uri="{C3380CC4-5D6E-409C-BE32-E72D297353CC}">
                <c16:uniqueId val="{00000001-2C71-4169-93F6-62AC8D35E49D}"/>
              </c:ext>
            </c:extLst>
          </c:dPt>
          <c:dPt>
            <c:idx val="1"/>
            <c:bubble3D val="0"/>
            <c:spPr>
              <a:solidFill>
                <a:srgbClr val="7030A0"/>
              </a:solidFill>
              <a:ln w="19050">
                <a:solidFill>
                  <a:schemeClr val="lt1"/>
                </a:solidFill>
              </a:ln>
              <a:effectLst/>
            </c:spPr>
            <c:extLst>
              <c:ext xmlns:c="http://schemas.openxmlformats.org/drawingml/2006/chart" xmlns:c16="http://schemas.microsoft.com/office/drawing/2014/chart" uri="{C3380CC4-5D6E-409C-BE32-E72D297353CC}">
                <c16:uniqueId val="{00000003-2C71-4169-93F6-62AC8D35E49D}"/>
              </c:ext>
            </c:extLst>
          </c:dPt>
          <c:dPt>
            <c:idx val="2"/>
            <c:bubble3D val="0"/>
            <c:spPr>
              <a:solidFill>
                <a:srgbClr val="FFC000"/>
              </a:solidFill>
              <a:ln w="19050">
                <a:solidFill>
                  <a:schemeClr val="lt1"/>
                </a:solidFill>
              </a:ln>
              <a:effectLst/>
            </c:spPr>
            <c:extLst>
              <c:ext xmlns:c="http://schemas.openxmlformats.org/drawingml/2006/chart" xmlns:c16="http://schemas.microsoft.com/office/drawing/2014/chart" uri="{C3380CC4-5D6E-409C-BE32-E72D297353CC}">
                <c16:uniqueId val="{00000005-2C71-4169-93F6-62AC8D35E49D}"/>
              </c:ext>
            </c:extLst>
          </c:dPt>
          <c:dPt>
            <c:idx val="3"/>
            <c:bubble3D val="0"/>
            <c:spPr>
              <a:solidFill>
                <a:srgbClr val="00B0F0"/>
              </a:solidFill>
              <a:ln w="19050">
                <a:solidFill>
                  <a:schemeClr val="lt1"/>
                </a:solidFill>
              </a:ln>
              <a:effectLst/>
            </c:spPr>
            <c:extLst>
              <c:ext xmlns:c="http://schemas.openxmlformats.org/drawingml/2006/chart" xmlns:c16="http://schemas.microsoft.com/office/drawing/2014/chart" uri="{C3380CC4-5D6E-409C-BE32-E72D297353CC}">
                <c16:uniqueId val="{00000007-2C71-4169-93F6-62AC8D35E49D}"/>
              </c:ext>
            </c:extLst>
          </c:dPt>
          <c:dPt>
            <c:idx val="4"/>
            <c:bubble3D val="0"/>
            <c:spPr>
              <a:solidFill>
                <a:schemeClr val="accent3">
                  <a:lumMod val="40000"/>
                  <a:lumOff val="60000"/>
                </a:schemeClr>
              </a:solidFill>
              <a:ln w="19050">
                <a:solidFill>
                  <a:schemeClr val="lt1"/>
                </a:solidFill>
              </a:ln>
              <a:effectLst/>
            </c:spPr>
            <c:extLst>
              <c:ext xmlns:c="http://schemas.openxmlformats.org/drawingml/2006/chart" xmlns:c16="http://schemas.microsoft.com/office/drawing/2014/chart" uri="{C3380CC4-5D6E-409C-BE32-E72D297353CC}">
                <c16:uniqueId val="{00000009-2C71-4169-93F6-62AC8D35E49D}"/>
              </c:ext>
            </c:extLst>
          </c:dPt>
          <c:dPt>
            <c:idx val="5"/>
            <c:bubble3D val="0"/>
            <c:spPr>
              <a:solidFill>
                <a:schemeClr val="accent2">
                  <a:lumMod val="75000"/>
                </a:schemeClr>
              </a:solidFill>
              <a:ln w="19050">
                <a:solidFill>
                  <a:schemeClr val="lt1"/>
                </a:solidFill>
              </a:ln>
              <a:effectLst/>
            </c:spPr>
            <c:extLst>
              <c:ext xmlns:c="http://schemas.openxmlformats.org/drawingml/2006/chart" xmlns:c16="http://schemas.microsoft.com/office/drawing/2014/chart" uri="{C3380CC4-5D6E-409C-BE32-E72D297353CC}">
                <c16:uniqueId val="{0000000B-2C71-4169-93F6-62AC8D35E49D}"/>
              </c:ext>
            </c:extLst>
          </c:dPt>
          <c:dLbls>
            <c:dLbl>
              <c:idx val="0"/>
              <c:layout>
                <c:manualLayout>
                  <c:x val="-0.14223757603422096"/>
                  <c:y val="-0.14747833988850681"/>
                </c:manualLayout>
              </c:layout>
              <c:tx>
                <c:rich>
                  <a:bodyPr/>
                  <a:lstStyle/>
                  <a:p>
                    <a:fld id="{ec3cef02-5075-4fbf-a239-ab4cd7febedd}" type="CELLRANGE">
                      <a:rPr lang="en-US" baseline="0"/>
                      <a:t>[CELLRANGE]</a:t>
                    </a:fld>
                    <a:r>
                      <a:rPr lang="en-US" baseline="0"/>
                      <a:t> </a:t>
                    </a:r>
                    <a:fld id="{533abde7-77d3-4ca8-8650-ff401a959795}" type="VALUE">
                      <a:rPr lang="en-US" baseline="0"/>
                      <a:t>[VALUE]</a:t>
                    </a:fld>
                    <a:endParaRPr lang="en-US" baseline="0"/>
                  </a:p>
                </c:rich>
              </c:tx>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2C71-4169-93F6-62AC8D35E49D}"/>
                </c:ext>
              </c:extLst>
            </c:dLbl>
            <c:dLbl>
              <c:idx val="1"/>
              <c:tx>
                <c:rich>
                  <a:bodyPr/>
                  <a:lstStyle/>
                  <a:p>
                    <a:fld id="{d5a76780-f2d6-46b9-99ff-6d3302d29dca}" type="CELLRANGE">
                      <a:rPr lang="en-US"/>
                      <a:t>[CELLRANGE]</a:t>
                    </a:fld>
                    <a:r>
                      <a:rPr lang="en-US" baseline="0"/>
                      <a:t> </a:t>
                    </a:r>
                    <a:fld id="{dfcca6f0-e174-4f9a-b371-dfd3c230b90c}" type="VALUE">
                      <a:rPr lang="en-US" baseline="0"/>
                      <a:t>[VALUE]</a:t>
                    </a:fld>
                    <a:endParaRPr lang="en-US" baseline="0"/>
                  </a:p>
                </c:rich>
              </c:tx>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2C71-4169-93F6-62AC8D35E49D}"/>
                </c:ext>
              </c:extLst>
            </c:dLbl>
            <c:dLbl>
              <c:idx val="2"/>
              <c:layout>
                <c:manualLayout>
                  <c:x val="-0.033786893239135619"/>
                  <c:y val="-0.0054446599763962773"/>
                </c:manualLayout>
              </c:layout>
              <c:tx>
                <c:rich>
                  <a:bodyPr/>
                  <a:lstStyle/>
                  <a:p>
                    <a:fld id="{22845c49-798a-4743-9bf3-8fd7a07e168a}" type="CELLRANGE">
                      <a:rPr lang="en-US" baseline="0"/>
                      <a:t>[CELLRANGE]</a:t>
                    </a:fld>
                    <a:r>
                      <a:rPr lang="en-US" baseline="0"/>
                      <a:t> </a:t>
                    </a:r>
                    <a:fld id="{2fdbf034-233b-4bf9-8f8b-4d34e147e7d4}" type="VALUE">
                      <a:rPr lang="en-US" baseline="0"/>
                      <a:t>[VALUE]</a:t>
                    </a:fld>
                    <a:endParaRPr lang="en-US" baseline="0"/>
                  </a:p>
                </c:rich>
              </c:tx>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5-2C71-4169-93F6-62AC8D35E49D}"/>
                </c:ext>
              </c:extLst>
            </c:dLbl>
            <c:dLbl>
              <c:idx val="3"/>
              <c:layout>
                <c:manualLayout>
                  <c:x val="-0.022603854360102222"/>
                  <c:y val="-0.033823611879350818"/>
                </c:manualLayout>
              </c:layout>
              <c:tx>
                <c:rich>
                  <a:bodyPr/>
                  <a:lstStyle/>
                  <a:p>
                    <a:fld id="{b29956f1-5194-4f44-bc76-1106e78b9820}" type="CELLRANGE">
                      <a:rPr lang="en-US" baseline="0"/>
                      <a:t>[CELLRANGE]</a:t>
                    </a:fld>
                    <a:r>
                      <a:rPr lang="en-US" baseline="0"/>
                      <a:t> </a:t>
                    </a:r>
                    <a:fld id="{fcd09259-2deb-4912-a1b5-e7d93a25296e}" type="VALUE">
                      <a:rPr lang="en-US" baseline="0"/>
                      <a:t>[VALUE]</a:t>
                    </a:fld>
                    <a:endParaRPr lang="en-US" baseline="0"/>
                  </a:p>
                </c:rich>
              </c:tx>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7-2C71-4169-93F6-62AC8D35E49D}"/>
                </c:ext>
              </c:extLst>
            </c:dLbl>
            <c:dLbl>
              <c:idx val="4"/>
              <c:layout>
                <c:manualLayout>
                  <c:x val="-0.024303009554635744"/>
                  <c:y val="0.014572622230832171"/>
                </c:manualLayout>
              </c:layout>
              <c:tx>
                <c:rich>
                  <a:bodyPr rot="0" spcFirstLastPara="1" vertOverflow="overflow" horzOverflow="overflow" vert="horz" wrap="square" lIns="38100" tIns="19050" rIns="38100" bIns="19050" anchor="ctr" anchorCtr="1"/>
                  <a:lstStyle/>
                  <a:p>
                    <a:pPr>
                      <a:defRPr sz="900" b="0" i="0" u="none" strike="noStrike" kern="1200" baseline="0">
                        <a:solidFill>
                          <a:schemeClr val="tx1">
                            <a:lumMod val="75000"/>
                            <a:lumOff val="25000"/>
                          </a:schemeClr>
                        </a:solidFill>
                        <a:latin typeface="+mn-lt"/>
                        <a:ea typeface="+mn-ea"/>
                        <a:cs typeface="+mn-cs"/>
                      </a:defRPr>
                    </a:pPr>
                    <a:fld id="{afba9212-efb0-41e6-86b2-409b76741d09}" type="CELLRANGE">
                      <a:pPr>
                        <a:defRPr/>
                      </a:pPr>
                      <a:rPr lang="en-US" baseline="0"/>
                      <a:t>[CELLRANGE]</a:t>
                    </a:fld>
                    <a:r>
                      <a:rPr lang="en-US" baseline="0"/>
                      <a:t> </a:t>
                    </a:r>
                    <a:fld id="{54a3b42a-5734-4026-853a-a572595cf3d2}" type="VALUE">
                      <a:pPr>
                        <a:defRPr/>
                      </a:pPr>
                      <a:rPr lang="en-US" baseline="0"/>
                      <a:t>[VALUE]</a:t>
                    </a:fld>
                    <a:endParaRPr lang="en-US" baseline="0"/>
                  </a:p>
                </c:rich>
              </c:tx>
              <c:spPr>
                <a:noFill/>
                <a:ln>
                  <a:noFill/>
                </a:ln>
                <a:effectLst/>
              </c:spPr>
              <c:txPr>
                <a:bodyPr rot="0" spcFirstLastPara="1" vertOverflow="overflow" horzOverflow="overflow" vert="horz" wrap="square" lIns="38100" tIns="19050" rIns="38100" bIns="19050"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9-2C71-4169-93F6-62AC8D35E49D}"/>
                </c:ext>
              </c:extLst>
            </c:dLbl>
            <c:dLbl>
              <c:idx val="5"/>
              <c:layout>
                <c:manualLayout>
                  <c:x val="0.16930814478229747"/>
                  <c:y val="-0.017557180400243684"/>
                </c:manualLayout>
              </c:layout>
              <c:tx>
                <c:rich>
                  <a:bodyPr/>
                  <a:lstStyle/>
                  <a:p>
                    <a:fld id="{627787e2-9436-46c2-a162-f32aa652120c}" type="CELLRANGE">
                      <a:rPr lang="en-US" baseline="0"/>
                      <a:t>[CELLRANGE]</a:t>
                    </a:fld>
                    <a:r>
                      <a:rPr lang="en-US" baseline="0"/>
                      <a:t> </a:t>
                    </a:r>
                    <a:fld id="{2e213206-8ef9-4b15-b495-84a7fa2298a9}" type="VALUE">
                      <a:rPr lang="en-US" baseline="0"/>
                      <a:t>[VALUE]</a:t>
                    </a:fld>
                    <a:endParaRPr lang="en-US" baseline="0"/>
                  </a:p>
                </c:rich>
              </c:tx>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B-2C71-4169-93F6-62AC8D35E4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Feuil1!$B$27:$B$32</c:f>
              <c:strCache>
                <c:ptCount val="6"/>
                <c:pt idx="0">
                  <c:v>Pollution du rail</c:v>
                </c:pt>
                <c:pt idx="1">
                  <c:v>Pollution des roues</c:v>
                </c:pt>
                <c:pt idx="2">
                  <c:v>Réglage du circuit de voie</c:v>
                </c:pt>
                <c:pt idx="3">
                  <c:v>Sablage</c:v>
                </c:pt>
                <c:pt idx="4">
                  <c:v>Indéterminée</c:v>
                </c:pt>
                <c:pt idx="5">
                  <c:v>Oxydation du rail</c:v>
                </c:pt>
              </c:strCache>
            </c:strRef>
          </c:cat>
          <c:val>
            <c:numRef>
              <c:f>Feuil1!$C$27:$C$32</c:f>
              <c:numCache>
                <c:formatCode>0%</c:formatCode>
                <c:ptCount val="6"/>
                <c:pt idx="0">
                  <c:v>0.74</c:v>
                </c:pt>
                <c:pt idx="1">
                  <c:v>0.01</c:v>
                </c:pt>
                <c:pt idx="2">
                  <c:v>0.01</c:v>
                </c:pt>
                <c:pt idx="3">
                  <c:v>0.05</c:v>
                </c:pt>
                <c:pt idx="4">
                  <c:v>0.14</c:v>
                </c:pt>
                <c:pt idx="5">
                  <c:v>0.05</c:v>
                </c:pt>
              </c:numCache>
            </c:numRef>
          </c:val>
          <c:extLst>
            <c:ext xmlns:c15="http://schemas.microsoft.com/office/drawing/2012/chart" uri="{02D57815-91ED-43cb-92C2-25804820EDAC}">
              <c15:datalabelsRange>
                <c15:f>Feuil1!$B$27:$B$32</c15:f>
                <c15:dlblRangeCache>
                  <c:ptCount val="6"/>
                  <c:pt idx="0">
                    <c:v>Pollution du rail</c:v>
                  </c:pt>
                  <c:pt idx="1">
                    <c:v>Pollution des roues</c:v>
                  </c:pt>
                  <c:pt idx="2">
                    <c:v>Réglage du circuit de voie</c:v>
                  </c:pt>
                  <c:pt idx="3">
                    <c:v>Sablage</c:v>
                  </c:pt>
                  <c:pt idx="4">
                    <c:v>Indéterminée</c:v>
                  </c:pt>
                  <c:pt idx="5">
                    <c:v>Oxydation du rail</c:v>
                  </c:pt>
                </c15:dlblRangeCache>
              </c15:datalabelsRange>
            </c:ext>
            <c:ext xmlns:c="http://schemas.openxmlformats.org/drawingml/2006/chart" xmlns:c16="http://schemas.microsoft.com/office/drawing/2014/chart" uri="{C3380CC4-5D6E-409C-BE32-E72D297353CC}">
              <c16:uniqueId val="{0000000C-2C71-4169-93F6-62AC8D35E49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i="0" baseline="0">
                <a:solidFill>
                  <a:schemeClr val="bg1">
                    <a:lumMod val="50000"/>
                  </a:schemeClr>
                </a:solidFill>
                <a:effectLst/>
                <a:latin typeface="Arial" panose="020B0604020202020204" pitchFamily="34" charset="0"/>
                <a:cs typeface="Arial" panose="020B0604020202020204" pitchFamily="34" charset="0"/>
              </a:rPr>
              <a:t>État des recommandations adressées aux acteurs ferroviaires depuis 2006 au 31/12/2017</a:t>
            </a:r>
            <a:endParaRPr lang="fr-FR" sz="1000" b="1" i="0">
              <a:solidFill>
                <a:schemeClr val="bg1">
                  <a:lumMod val="50000"/>
                </a:schemeClr>
              </a:solidFill>
              <a:effectLst/>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manualLayout>
          <c:layoutTarget val="inner"/>
          <c:xMode val="edge"/>
          <c:yMode val="edge"/>
          <c:x val="0.31730821999522785"/>
          <c:y val="0.21226415457138836"/>
          <c:w val="0.39503440448322336"/>
          <c:h val="0.68944649658470925"/>
        </c:manualLayout>
      </c:layout>
      <c:pieChart>
        <c:varyColors val="1"/>
        <c:ser>
          <c:idx val="0"/>
          <c:order val="0"/>
          <c:dPt>
            <c:idx val="0"/>
            <c:bubble3D val="0"/>
            <c:spPr>
              <a:solidFill>
                <a:schemeClr val="tx2">
                  <a:lumMod val="60000"/>
                  <a:lumOff val="40000"/>
                </a:schemeClr>
              </a:solidFill>
              <a:ln w="19050">
                <a:solidFill>
                  <a:schemeClr val="lt1"/>
                </a:solidFill>
              </a:ln>
              <a:effectLst/>
            </c:spPr>
            <c:extLst>
              <c:ext xmlns:c="http://schemas.openxmlformats.org/drawingml/2006/chart" xmlns:c16="http://schemas.microsoft.com/office/drawing/2014/chart" uri="{C3380CC4-5D6E-409C-BE32-E72D297353CC}">
                <c16:uniqueId val="{00000001-8CFB-4629-B02C-78162573DF4D}"/>
              </c:ext>
            </c:extLst>
          </c:dPt>
          <c:dPt>
            <c:idx val="1"/>
            <c:bubble3D val="0"/>
            <c:spPr>
              <a:solidFill>
                <a:srgbClr val="97B953"/>
              </a:solidFill>
              <a:ln w="19050">
                <a:solidFill>
                  <a:schemeClr val="lt1"/>
                </a:solidFill>
              </a:ln>
              <a:effectLst/>
            </c:spPr>
            <c:extLst>
              <c:ext xmlns:c="http://schemas.openxmlformats.org/drawingml/2006/chart" xmlns:c16="http://schemas.microsoft.com/office/drawing/2014/chart" uri="{C3380CC4-5D6E-409C-BE32-E72D297353CC}">
                <c16:uniqueId val="{00000003-8CFB-4629-B02C-78162573DF4D}"/>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'[Classeur1]T-SS6'!$E$2:$E$3</c:f>
              <c:strCache>
                <c:ptCount val="2"/>
                <c:pt idx="0">
                  <c:v>Ouvertes</c:v>
                </c:pt>
                <c:pt idx="1">
                  <c:v>Closes</c:v>
                </c:pt>
              </c:strCache>
            </c:strRef>
          </c:cat>
          <c:val>
            <c:numRef>
              <c:f>'[Classeur1]T-SS6'!$F$2:$F$3</c:f>
              <c:numCache>
                <c:formatCode>General</c:formatCode>
                <c:ptCount val="2"/>
                <c:pt idx="0">
                  <c:v>42</c:v>
                </c:pt>
                <c:pt idx="1">
                  <c:v>127</c:v>
                </c:pt>
              </c:numCache>
            </c:numRef>
          </c:val>
          <c:extLst>
            <c:ext xmlns:c="http://schemas.openxmlformats.org/drawingml/2006/chart" xmlns:c16="http://schemas.microsoft.com/office/drawing/2014/chart" uri="{C3380CC4-5D6E-409C-BE32-E72D297353CC}">
              <c16:uniqueId val="{00000004-8CFB-4629-B02C-78162573DF4D}"/>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307478227153424"/>
          <c:y val="0.85479051472776879"/>
          <c:w val="0.3850432474349797"/>
          <c:h val="0.11590546723756945"/>
        </c:manualLayout>
      </c:layout>
      <c:overlay val="0"/>
      <c:spPr>
        <a:noFill/>
        <a:ln>
          <a:noFill/>
        </a:ln>
        <a:effectLst/>
      </c:spPr>
      <c:txPr>
        <a:bodyPr rot="0" spcFirstLastPara="1" vertOverflow="ellipsis" vert="horz" wrap="square" anchor="ctr" anchorCtr="1"/>
        <a:lstStyle/>
        <a:p>
          <a:pPr>
            <a:defRPr sz="880" b="1"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a:no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fr-FR" sz="1100" b="1" i="0" baseline="0">
                <a:solidFill>
                  <a:schemeClr val="bg1">
                    <a:lumMod val="50000"/>
                  </a:schemeClr>
                </a:solidFill>
                <a:effectLst/>
                <a:latin typeface="Arial" panose="020B0604020202020204" pitchFamily="34" charset="0"/>
                <a:cs typeface="Arial" panose="020B0604020202020204" pitchFamily="34" charset="0"/>
              </a:rPr>
              <a:t>Nombre d'actions avec ou sans date cible au 31/12/2017</a:t>
            </a:r>
            <a:endParaRPr lang="fr-FR" sz="1000" b="1" i="0">
              <a:solidFill>
                <a:schemeClr val="bg1">
                  <a:lumMod val="50000"/>
                </a:schemeClr>
              </a:solidFill>
              <a:effectLst/>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manualLayout>
          <c:layoutTarget val="inner"/>
          <c:xMode val="edge"/>
          <c:yMode val="edge"/>
          <c:x val="0.30973246241947028"/>
          <c:y val="0.16209503236152947"/>
          <c:w val="0.39503440448322336"/>
          <c:h val="0.68944649658470925"/>
        </c:manualLayout>
      </c:layout>
      <c:pieChart>
        <c:varyColors val="1"/>
        <c:ser>
          <c:idx val="0"/>
          <c:order val="0"/>
          <c:dPt>
            <c:idx val="0"/>
            <c:bubble3D val="0"/>
            <c:spPr>
              <a:solidFill>
                <a:schemeClr val="tx2">
                  <a:lumMod val="60000"/>
                  <a:lumOff val="40000"/>
                </a:schemeClr>
              </a:solidFill>
              <a:ln w="19050">
                <a:solidFill>
                  <a:schemeClr val="lt1"/>
                </a:solidFill>
              </a:ln>
              <a:effectLst/>
            </c:spPr>
            <c:extLst>
              <c:ext xmlns:c="http://schemas.openxmlformats.org/drawingml/2006/chart" xmlns:c16="http://schemas.microsoft.com/office/drawing/2014/chart" uri="{C3380CC4-5D6E-409C-BE32-E72D297353CC}">
                <c16:uniqueId val="{00000001-4C0D-419C-83CB-6DA38EFF9A3E}"/>
              </c:ext>
            </c:extLst>
          </c:dPt>
          <c:dPt>
            <c:idx val="1"/>
            <c:bubble3D val="0"/>
            <c:spPr>
              <a:solidFill>
                <a:srgbClr val="97B953"/>
              </a:solidFill>
              <a:ln w="19050">
                <a:solidFill>
                  <a:schemeClr val="lt1"/>
                </a:solidFill>
              </a:ln>
              <a:effectLst/>
            </c:spPr>
            <c:extLst>
              <c:ext xmlns:c="http://schemas.openxmlformats.org/drawingml/2006/chart" xmlns:c16="http://schemas.microsoft.com/office/drawing/2014/chart" uri="{C3380CC4-5D6E-409C-BE32-E72D297353CC}">
                <c16:uniqueId val="{00000003-4C0D-419C-83CB-6DA38EFF9A3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Feuil2!$A$1:$A$2</c:f>
              <c:strCache>
                <c:ptCount val="2"/>
                <c:pt idx="0">
                  <c:v>Actions avec dates cibles</c:v>
                </c:pt>
                <c:pt idx="1">
                  <c:v>Actions sans dates cibles</c:v>
                </c:pt>
              </c:strCache>
            </c:strRef>
          </c:cat>
          <c:val>
            <c:numRef>
              <c:f>Feuil2!$B$1:$B$2</c:f>
              <c:numCache>
                <c:formatCode>General</c:formatCode>
                <c:ptCount val="2"/>
                <c:pt idx="0">
                  <c:v>36</c:v>
                </c:pt>
                <c:pt idx="1">
                  <c:v>16</c:v>
                </c:pt>
              </c:numCache>
            </c:numRef>
          </c:val>
          <c:extLst>
            <c:ext xmlns:c="http://schemas.openxmlformats.org/drawingml/2006/chart" xmlns:c16="http://schemas.microsoft.com/office/drawing/2014/chart" uri="{C3380CC4-5D6E-409C-BE32-E72D297353CC}">
              <c16:uniqueId val="{00000004-4C0D-419C-83CB-6DA38EFF9A3E}"/>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20520549988069672"/>
          <c:y val="0.81259649403751155"/>
          <c:w val="0.60095233834407058"/>
          <c:h val="0.11590546723756945"/>
        </c:manualLayout>
      </c:layout>
      <c:overlay val="0"/>
      <c:spPr>
        <a:noFill/>
        <a:ln>
          <a:noFill/>
        </a:ln>
        <a:effectLst/>
      </c:spPr>
      <c:txPr>
        <a:bodyPr rot="0" spcFirstLastPara="1" vertOverflow="ellipsis" vert="horz" wrap="square" anchor="ctr" anchorCtr="1"/>
        <a:lstStyle/>
        <a:p>
          <a:pPr>
            <a:defRPr sz="880" b="1"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a:no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2015</PublishDate>
  <Abstract>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FA1B2E-80D5-42DE-9D12-61A57B3F0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109</Pages>
  <Words>32582</Words>
  <Characters>179205</Characters>
  <Application>Microsoft Office Word</Application>
  <DocSecurity>0</DocSecurity>
  <Lines>1493</Lines>
  <Paragraphs>422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de sécuritÉ</vt:lpstr>
      <vt:lpstr>Rapport de sécuritÉ</vt:lpstr>
    </vt:vector>
  </TitlesOfParts>
  <Company>CDT</Company>
  <LinksUpToDate>false</LinksUpToDate>
  <CharactersWithSpaces>211365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sécuritÉ</dc:title>
  <dc:subject>Document interne</dc:subject>
  <dc:creator>CDT</dc:creator>
  <cp:lastModifiedBy>CDT</cp:lastModifiedBy>
  <cp:revision>4</cp:revision>
  <cp:lastPrinted>2018-10-10T19:30:00Z</cp:lastPrinted>
  <dcterms:created xsi:type="dcterms:W3CDTF">2018-12-20T12:28:00Z</dcterms:created>
  <dcterms:modified xsi:type="dcterms:W3CDTF">2018-12-21T10:09:00Z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Id">
    <vt:lpwstr>476bf13c-3454-4d5c-9899-a976009b2937</vt:lpwstr>
  </property>
</Properties>
</file>